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792797" w:rsidRPr="0067544E" w14:paraId="4CB6298B" w14:textId="77777777">
        <w:trPr>
          <w:trHeight w:hRule="exact" w:val="418"/>
          <w:jc w:val="center"/>
        </w:trPr>
        <w:tc>
          <w:tcPr>
            <w:tcW w:w="8721" w:type="dxa"/>
            <w:gridSpan w:val="2"/>
          </w:tcPr>
          <w:p w14:paraId="1B37F4C7" w14:textId="77777777" w:rsidR="00792797" w:rsidRPr="0067544E" w:rsidRDefault="00792797" w:rsidP="0067544E">
            <w:pPr>
              <w:pStyle w:val="a3"/>
              <w:jc w:val="center"/>
              <w:rPr>
                <w:rFonts w:ascii="Tahoma" w:hAnsi="Tahoma" w:cs="Tahoma"/>
                <w:color w:val="000080"/>
                <w:rtl/>
              </w:rPr>
            </w:pPr>
            <w:bookmarkStart w:id="0" w:name="FirstLawyer"/>
            <w:bookmarkStart w:id="1" w:name="LastJudge"/>
            <w:r w:rsidRPr="0067544E">
              <w:rPr>
                <w:rFonts w:ascii="Tahoma" w:hAnsi="Tahoma" w:cs="Tahoma"/>
                <w:b/>
                <w:bCs/>
                <w:color w:val="000080"/>
                <w:rtl/>
              </w:rPr>
              <w:t>בית המשפט המחוזי בחיפה</w:t>
            </w:r>
          </w:p>
        </w:tc>
      </w:tr>
      <w:tr w:rsidR="00792797" w:rsidRPr="0067544E" w14:paraId="0B18256D" w14:textId="77777777">
        <w:trPr>
          <w:trHeight w:val="337"/>
          <w:jc w:val="center"/>
        </w:trPr>
        <w:tc>
          <w:tcPr>
            <w:tcW w:w="5055" w:type="dxa"/>
          </w:tcPr>
          <w:p w14:paraId="03649CA1" w14:textId="77777777" w:rsidR="00792797" w:rsidRPr="0067544E" w:rsidRDefault="00792797" w:rsidP="0067544E">
            <w:pPr>
              <w:rPr>
                <w:rFonts w:cs="FrankRuehl"/>
                <w:sz w:val="28"/>
                <w:szCs w:val="28"/>
                <w:rtl/>
              </w:rPr>
            </w:pPr>
            <w:r w:rsidRPr="0067544E">
              <w:rPr>
                <w:rFonts w:cs="FrankRuehl"/>
                <w:sz w:val="28"/>
                <w:szCs w:val="28"/>
                <w:rtl/>
              </w:rPr>
              <w:t>ת"פ</w:t>
            </w:r>
            <w:r w:rsidRPr="0067544E">
              <w:rPr>
                <w:rFonts w:cs="FrankRuehl" w:hint="cs"/>
                <w:sz w:val="28"/>
                <w:szCs w:val="28"/>
                <w:rtl/>
              </w:rPr>
              <w:t xml:space="preserve"> </w:t>
            </w:r>
            <w:r w:rsidRPr="0067544E">
              <w:rPr>
                <w:rFonts w:cs="FrankRuehl"/>
                <w:sz w:val="28"/>
                <w:szCs w:val="28"/>
                <w:rtl/>
              </w:rPr>
              <w:t>1589-02-16</w:t>
            </w:r>
            <w:r w:rsidRPr="0067544E">
              <w:rPr>
                <w:rFonts w:cs="FrankRuehl" w:hint="cs"/>
                <w:sz w:val="28"/>
                <w:szCs w:val="28"/>
                <w:rtl/>
              </w:rPr>
              <w:t xml:space="preserve"> </w:t>
            </w:r>
            <w:r w:rsidRPr="0067544E">
              <w:rPr>
                <w:rFonts w:cs="FrankRuehl"/>
                <w:sz w:val="28"/>
                <w:szCs w:val="28"/>
                <w:rtl/>
              </w:rPr>
              <w:t>מדינת ישראל נ' אגבאריה</w:t>
            </w:r>
          </w:p>
          <w:p w14:paraId="45D98BE1" w14:textId="77777777" w:rsidR="00792797" w:rsidRPr="0067544E" w:rsidRDefault="00792797" w:rsidP="0067544E">
            <w:pPr>
              <w:pStyle w:val="a3"/>
              <w:rPr>
                <w:rFonts w:cs="FrankRuehl"/>
                <w:sz w:val="28"/>
                <w:szCs w:val="28"/>
                <w:rtl/>
              </w:rPr>
            </w:pPr>
          </w:p>
        </w:tc>
        <w:tc>
          <w:tcPr>
            <w:tcW w:w="3666" w:type="dxa"/>
          </w:tcPr>
          <w:p w14:paraId="45D803D7" w14:textId="77777777" w:rsidR="00792797" w:rsidRPr="0067544E" w:rsidRDefault="00792797" w:rsidP="0067544E">
            <w:pPr>
              <w:pStyle w:val="a3"/>
              <w:jc w:val="right"/>
              <w:rPr>
                <w:rFonts w:cs="FrankRuehl"/>
                <w:sz w:val="28"/>
                <w:szCs w:val="28"/>
                <w:rtl/>
              </w:rPr>
            </w:pPr>
          </w:p>
        </w:tc>
      </w:tr>
    </w:tbl>
    <w:p w14:paraId="386083AA" w14:textId="77777777" w:rsidR="00792797" w:rsidRPr="0067544E" w:rsidRDefault="00792797" w:rsidP="00792797">
      <w:pPr>
        <w:pStyle w:val="a3"/>
        <w:rPr>
          <w:rtl/>
        </w:rPr>
      </w:pPr>
      <w:r w:rsidRPr="0067544E">
        <w:rPr>
          <w:rFonts w:hint="cs"/>
          <w:rtl/>
        </w:rPr>
        <w:t xml:space="preserve"> </w:t>
      </w:r>
    </w:p>
    <w:p w14:paraId="69A7EC05" w14:textId="77777777" w:rsidR="00792797" w:rsidRPr="0067544E" w:rsidRDefault="00792797" w:rsidP="00792797">
      <w:pPr>
        <w:rPr>
          <w:rFonts w:ascii="Arial" w:hAnsi="Arial"/>
          <w:rtl/>
        </w:rPr>
      </w:pPr>
    </w:p>
    <w:tbl>
      <w:tblPr>
        <w:bidiVisual/>
        <w:tblW w:w="8820" w:type="dxa"/>
        <w:jc w:val="center"/>
        <w:tblLook w:val="01E0" w:firstRow="1" w:lastRow="1" w:firstColumn="1" w:lastColumn="1" w:noHBand="0" w:noVBand="0"/>
      </w:tblPr>
      <w:tblGrid>
        <w:gridCol w:w="743"/>
        <w:gridCol w:w="2506"/>
        <w:gridCol w:w="5571"/>
      </w:tblGrid>
      <w:tr w:rsidR="00792797" w:rsidRPr="0067544E" w14:paraId="675E60B1" w14:textId="77777777">
        <w:trPr>
          <w:jc w:val="center"/>
        </w:trPr>
        <w:tc>
          <w:tcPr>
            <w:tcW w:w="743" w:type="dxa"/>
            <w:shd w:val="clear" w:color="auto" w:fill="auto"/>
          </w:tcPr>
          <w:p w14:paraId="6A165ECB" w14:textId="77777777" w:rsidR="00792797" w:rsidRPr="0067544E" w:rsidRDefault="00792797" w:rsidP="0067544E">
            <w:pPr>
              <w:jc w:val="both"/>
              <w:rPr>
                <w:rFonts w:ascii="Arial" w:hAnsi="Arial"/>
                <w:b/>
                <w:bCs/>
              </w:rPr>
            </w:pPr>
            <w:r w:rsidRPr="0067544E">
              <w:rPr>
                <w:rFonts w:ascii="Arial" w:hAnsi="Arial" w:hint="cs"/>
                <w:b/>
                <w:bCs/>
                <w:rtl/>
              </w:rPr>
              <w:t xml:space="preserve">בפני </w:t>
            </w:r>
          </w:p>
        </w:tc>
        <w:tc>
          <w:tcPr>
            <w:tcW w:w="8077" w:type="dxa"/>
            <w:gridSpan w:val="2"/>
            <w:shd w:val="clear" w:color="auto" w:fill="auto"/>
          </w:tcPr>
          <w:p w14:paraId="773F8FEC" w14:textId="77777777" w:rsidR="00792797" w:rsidRPr="0067544E" w:rsidRDefault="00792797" w:rsidP="0067544E">
            <w:pPr>
              <w:rPr>
                <w:rFonts w:ascii="Arial" w:hAnsi="Arial"/>
                <w:b/>
                <w:bCs/>
              </w:rPr>
            </w:pPr>
            <w:r w:rsidRPr="0067544E">
              <w:rPr>
                <w:rFonts w:ascii="Arial" w:hAnsi="Arial" w:hint="cs"/>
                <w:b/>
                <w:bCs/>
                <w:rtl/>
              </w:rPr>
              <w:t>כבוד ה</w:t>
            </w:r>
            <w:r w:rsidRPr="0067544E">
              <w:rPr>
                <w:rFonts w:hint="cs"/>
                <w:b/>
                <w:bCs/>
                <w:rtl/>
              </w:rPr>
              <w:t>שופט</w:t>
            </w:r>
            <w:r w:rsidRPr="0067544E">
              <w:rPr>
                <w:rFonts w:ascii="Arial" w:hAnsi="Arial" w:hint="cs"/>
                <w:b/>
                <w:bCs/>
                <w:rtl/>
              </w:rPr>
              <w:t xml:space="preserve">  </w:t>
            </w:r>
            <w:r w:rsidRPr="0067544E">
              <w:rPr>
                <w:rFonts w:hint="cs"/>
                <w:b/>
                <w:bCs/>
                <w:rtl/>
              </w:rPr>
              <w:t>דניאל פיש</w:t>
            </w:r>
          </w:p>
          <w:p w14:paraId="5C814C71" w14:textId="77777777" w:rsidR="00792797" w:rsidRPr="0067544E" w:rsidRDefault="00792797" w:rsidP="0067544E">
            <w:pPr>
              <w:rPr>
                <w:rFonts w:ascii="Arial" w:hAnsi="Arial"/>
                <w:b/>
                <w:bCs/>
                <w:highlight w:val="yellow"/>
                <w:rtl/>
              </w:rPr>
            </w:pPr>
          </w:p>
        </w:tc>
      </w:tr>
      <w:tr w:rsidR="00792797" w:rsidRPr="0067544E" w14:paraId="02702954" w14:textId="77777777">
        <w:trPr>
          <w:jc w:val="center"/>
        </w:trPr>
        <w:tc>
          <w:tcPr>
            <w:tcW w:w="3249" w:type="dxa"/>
            <w:gridSpan w:val="2"/>
            <w:shd w:val="clear" w:color="auto" w:fill="auto"/>
          </w:tcPr>
          <w:p w14:paraId="2AB057BE" w14:textId="77777777" w:rsidR="00792797" w:rsidRPr="0067544E" w:rsidRDefault="00792797" w:rsidP="0067544E">
            <w:pPr>
              <w:rPr>
                <w:rFonts w:ascii="Arial" w:hAnsi="Arial"/>
                <w:b/>
                <w:bCs/>
                <w:rtl/>
              </w:rPr>
            </w:pPr>
            <w:bookmarkStart w:id="2" w:name="FirstAppellant"/>
          </w:p>
          <w:p w14:paraId="4A22EE03" w14:textId="77777777" w:rsidR="00792797" w:rsidRPr="0067544E" w:rsidRDefault="00792797" w:rsidP="0067544E">
            <w:pPr>
              <w:rPr>
                <w:rFonts w:ascii="Arial" w:hAnsi="Arial"/>
                <w:b/>
                <w:bCs/>
              </w:rPr>
            </w:pPr>
            <w:r w:rsidRPr="0067544E">
              <w:rPr>
                <w:rFonts w:hint="cs"/>
                <w:b/>
                <w:bCs/>
                <w:rtl/>
              </w:rPr>
              <w:t>מאשימה</w:t>
            </w:r>
          </w:p>
        </w:tc>
        <w:tc>
          <w:tcPr>
            <w:tcW w:w="5571" w:type="dxa"/>
            <w:shd w:val="clear" w:color="auto" w:fill="auto"/>
          </w:tcPr>
          <w:p w14:paraId="3911C8B3" w14:textId="77777777" w:rsidR="00792797" w:rsidRPr="0067544E" w:rsidRDefault="00792797" w:rsidP="0067544E">
            <w:pPr>
              <w:rPr>
                <w:rFonts w:ascii="Arial" w:hAnsi="Arial"/>
                <w:b/>
                <w:bCs/>
              </w:rPr>
            </w:pPr>
          </w:p>
          <w:p w14:paraId="7A4D4C2C" w14:textId="77777777" w:rsidR="00792797" w:rsidRPr="0067544E" w:rsidRDefault="00792797" w:rsidP="0067544E">
            <w:pPr>
              <w:rPr>
                <w:b/>
                <w:bCs/>
                <w:rtl/>
              </w:rPr>
            </w:pPr>
            <w:r w:rsidRPr="0067544E">
              <w:rPr>
                <w:rFonts w:hint="cs"/>
                <w:b/>
                <w:bCs/>
                <w:rtl/>
              </w:rPr>
              <w:t>מדינת ישראל</w:t>
            </w:r>
            <w:r w:rsidRPr="0067544E">
              <w:rPr>
                <w:rFonts w:hint="cs"/>
                <w:b/>
                <w:bCs/>
                <w:rtl/>
              </w:rPr>
              <w:br/>
              <w:t xml:space="preserve">ע"י ב"כ עו"ד מפרקליטות מחוז חיפה – פלילי </w:t>
            </w:r>
          </w:p>
        </w:tc>
      </w:tr>
      <w:bookmarkEnd w:id="2"/>
      <w:tr w:rsidR="00792797" w:rsidRPr="0067544E" w14:paraId="29DF5616" w14:textId="77777777">
        <w:trPr>
          <w:jc w:val="center"/>
        </w:trPr>
        <w:tc>
          <w:tcPr>
            <w:tcW w:w="8820" w:type="dxa"/>
            <w:gridSpan w:val="3"/>
            <w:shd w:val="clear" w:color="auto" w:fill="auto"/>
          </w:tcPr>
          <w:p w14:paraId="23EE1A03" w14:textId="77777777" w:rsidR="00792797" w:rsidRPr="0067544E" w:rsidRDefault="00792797" w:rsidP="0067544E">
            <w:pPr>
              <w:rPr>
                <w:rFonts w:ascii="Arial" w:hAnsi="Arial"/>
                <w:b/>
                <w:bCs/>
                <w:rtl/>
              </w:rPr>
            </w:pPr>
          </w:p>
          <w:p w14:paraId="0068BC2A" w14:textId="77777777" w:rsidR="00792797" w:rsidRPr="0067544E" w:rsidRDefault="00792797" w:rsidP="0067544E">
            <w:pPr>
              <w:jc w:val="center"/>
              <w:rPr>
                <w:rFonts w:ascii="Arial" w:hAnsi="Arial"/>
                <w:b/>
                <w:bCs/>
              </w:rPr>
            </w:pPr>
            <w:r w:rsidRPr="0067544E">
              <w:rPr>
                <w:rFonts w:ascii="Arial" w:hAnsi="Arial" w:hint="cs"/>
                <w:b/>
                <w:bCs/>
                <w:rtl/>
              </w:rPr>
              <w:t>נגד</w:t>
            </w:r>
          </w:p>
          <w:p w14:paraId="4D073DEC" w14:textId="77777777" w:rsidR="00792797" w:rsidRPr="0067544E" w:rsidRDefault="00792797" w:rsidP="0067544E">
            <w:pPr>
              <w:rPr>
                <w:rFonts w:ascii="Arial" w:hAnsi="Arial"/>
                <w:b/>
                <w:bCs/>
                <w:rtl/>
              </w:rPr>
            </w:pPr>
          </w:p>
        </w:tc>
      </w:tr>
      <w:tr w:rsidR="00792797" w:rsidRPr="0067544E" w14:paraId="71F9AAEE" w14:textId="77777777">
        <w:trPr>
          <w:jc w:val="center"/>
        </w:trPr>
        <w:tc>
          <w:tcPr>
            <w:tcW w:w="3249" w:type="dxa"/>
            <w:gridSpan w:val="2"/>
            <w:shd w:val="clear" w:color="auto" w:fill="auto"/>
          </w:tcPr>
          <w:p w14:paraId="77F65990" w14:textId="77777777" w:rsidR="00792797" w:rsidRPr="0067544E" w:rsidRDefault="00792797" w:rsidP="0067544E">
            <w:pPr>
              <w:rPr>
                <w:rFonts w:ascii="Arial" w:hAnsi="Arial"/>
                <w:b/>
                <w:bCs/>
                <w:rtl/>
              </w:rPr>
            </w:pPr>
          </w:p>
          <w:p w14:paraId="40D6E5C5" w14:textId="77777777" w:rsidR="00792797" w:rsidRPr="0067544E" w:rsidRDefault="00792797" w:rsidP="0067544E">
            <w:pPr>
              <w:rPr>
                <w:rFonts w:ascii="Arial" w:hAnsi="Arial"/>
                <w:b/>
                <w:bCs/>
              </w:rPr>
            </w:pPr>
            <w:r w:rsidRPr="0067544E">
              <w:rPr>
                <w:rFonts w:hint="cs"/>
                <w:b/>
                <w:bCs/>
                <w:rtl/>
              </w:rPr>
              <w:t>נאשם</w:t>
            </w:r>
          </w:p>
        </w:tc>
        <w:tc>
          <w:tcPr>
            <w:tcW w:w="5571" w:type="dxa"/>
            <w:shd w:val="clear" w:color="auto" w:fill="auto"/>
          </w:tcPr>
          <w:p w14:paraId="0F39852B" w14:textId="77777777" w:rsidR="00792797" w:rsidRPr="0067544E" w:rsidRDefault="00792797" w:rsidP="0067544E">
            <w:pPr>
              <w:rPr>
                <w:rFonts w:ascii="Arial" w:hAnsi="Arial"/>
                <w:b/>
                <w:bCs/>
                <w:rtl/>
              </w:rPr>
            </w:pPr>
          </w:p>
          <w:p w14:paraId="2CB68ADA" w14:textId="77777777" w:rsidR="00792797" w:rsidRPr="0067544E" w:rsidRDefault="00792797" w:rsidP="0067544E">
            <w:pPr>
              <w:rPr>
                <w:b/>
                <w:bCs/>
              </w:rPr>
            </w:pPr>
            <w:r w:rsidRPr="0067544E">
              <w:rPr>
                <w:rFonts w:hint="cs"/>
                <w:b/>
                <w:bCs/>
                <w:rtl/>
              </w:rPr>
              <w:t xml:space="preserve">אנס אגבאריה ת.ז. </w:t>
            </w:r>
            <w:r w:rsidR="0067544E">
              <w:rPr>
                <w:b/>
                <w:bCs/>
              </w:rPr>
              <w:t>xxxxxxxxxx</w:t>
            </w:r>
            <w:r w:rsidRPr="0067544E">
              <w:rPr>
                <w:rFonts w:hint="cs"/>
                <w:b/>
                <w:bCs/>
                <w:rtl/>
              </w:rPr>
              <w:br/>
              <w:t xml:space="preserve">ע"י ב"כ עו"ד עלא אלדי עתאמנה </w:t>
            </w:r>
          </w:p>
        </w:tc>
      </w:tr>
      <w:tr w:rsidR="00792797" w:rsidRPr="0067544E" w14:paraId="26115EE5" w14:textId="77777777">
        <w:trPr>
          <w:jc w:val="center"/>
        </w:trPr>
        <w:tc>
          <w:tcPr>
            <w:tcW w:w="8820" w:type="dxa"/>
            <w:gridSpan w:val="3"/>
            <w:shd w:val="clear" w:color="auto" w:fill="auto"/>
          </w:tcPr>
          <w:p w14:paraId="121F4F38" w14:textId="77777777" w:rsidR="00792797" w:rsidRPr="0067544E" w:rsidRDefault="00792797" w:rsidP="0067544E">
            <w:pPr>
              <w:rPr>
                <w:rFonts w:ascii="Arial" w:hAnsi="Arial"/>
                <w:b/>
                <w:bCs/>
                <w:rtl/>
              </w:rPr>
            </w:pPr>
          </w:p>
          <w:p w14:paraId="562EDA67" w14:textId="77777777" w:rsidR="00792797" w:rsidRPr="0067544E" w:rsidRDefault="00792797" w:rsidP="0067544E">
            <w:pPr>
              <w:rPr>
                <w:rFonts w:ascii="Arial" w:hAnsi="Arial"/>
                <w:rtl/>
              </w:rPr>
            </w:pPr>
            <w:r w:rsidRPr="0067544E">
              <w:rPr>
                <w:rFonts w:ascii="Arial" w:hAnsi="Arial" w:hint="cs"/>
                <w:rtl/>
              </w:rPr>
              <w:t>נוכחים:</w:t>
            </w:r>
          </w:p>
          <w:p w14:paraId="5E7D910F" w14:textId="77777777" w:rsidR="00792797" w:rsidRPr="0067544E" w:rsidRDefault="00792797" w:rsidP="0067544E">
            <w:pPr>
              <w:rPr>
                <w:rFonts w:ascii="Arial" w:hAnsi="Arial"/>
                <w:rtl/>
              </w:rPr>
            </w:pPr>
            <w:r w:rsidRPr="0067544E">
              <w:rPr>
                <w:rFonts w:ascii="Arial" w:hAnsi="Arial" w:hint="cs"/>
                <w:rtl/>
              </w:rPr>
              <w:t xml:space="preserve">ב"כ המאשימה- עו"ד מאיה הרטמן ומתמחה לוטן זינגר </w:t>
            </w:r>
          </w:p>
          <w:p w14:paraId="1232DF05" w14:textId="77777777" w:rsidR="00792797" w:rsidRPr="0067544E" w:rsidRDefault="00792797" w:rsidP="0067544E">
            <w:pPr>
              <w:rPr>
                <w:rFonts w:ascii="Arial" w:hAnsi="Arial"/>
                <w:rtl/>
              </w:rPr>
            </w:pPr>
            <w:r w:rsidRPr="0067544E">
              <w:rPr>
                <w:rFonts w:ascii="Arial" w:hAnsi="Arial" w:hint="cs"/>
                <w:rtl/>
              </w:rPr>
              <w:t xml:space="preserve">ב"כ הנאשם </w:t>
            </w:r>
            <w:r w:rsidRPr="0067544E">
              <w:rPr>
                <w:rFonts w:ascii="Arial" w:hAnsi="Arial"/>
                <w:rtl/>
              </w:rPr>
              <w:t>–</w:t>
            </w:r>
            <w:r w:rsidRPr="0067544E">
              <w:rPr>
                <w:rFonts w:ascii="Arial" w:hAnsi="Arial" w:hint="cs"/>
                <w:rtl/>
              </w:rPr>
              <w:t xml:space="preserve"> עו"ד עתאמנה </w:t>
            </w:r>
          </w:p>
          <w:p w14:paraId="44A26BE1" w14:textId="77777777" w:rsidR="00792797" w:rsidRPr="0067544E" w:rsidRDefault="00792797" w:rsidP="0067544E">
            <w:pPr>
              <w:rPr>
                <w:rFonts w:ascii="Arial" w:hAnsi="Arial"/>
                <w:rtl/>
              </w:rPr>
            </w:pPr>
            <w:r w:rsidRPr="0067544E">
              <w:rPr>
                <w:rFonts w:ascii="Arial" w:hAnsi="Arial" w:hint="cs"/>
                <w:rtl/>
              </w:rPr>
              <w:t>הנאשם בעצמו</w:t>
            </w:r>
          </w:p>
        </w:tc>
      </w:tr>
    </w:tbl>
    <w:p w14:paraId="03724DF6" w14:textId="77777777" w:rsidR="009273C9" w:rsidRDefault="009273C9" w:rsidP="00206EF5">
      <w:pPr>
        <w:jc w:val="center"/>
        <w:rPr>
          <w:rFonts w:ascii="Arial" w:hAnsi="Arial" w:cs="FrankRuehl"/>
          <w:sz w:val="32"/>
          <w:szCs w:val="32"/>
          <w:rtl/>
        </w:rPr>
      </w:pPr>
      <w:bookmarkStart w:id="3" w:name="PsakDin"/>
      <w:bookmarkStart w:id="4" w:name="LawTable"/>
      <w:bookmarkEnd w:id="0"/>
      <w:bookmarkEnd w:id="1"/>
      <w:bookmarkEnd w:id="4"/>
    </w:p>
    <w:p w14:paraId="532596E1" w14:textId="77777777" w:rsidR="009273C9" w:rsidRPr="009273C9" w:rsidRDefault="009273C9" w:rsidP="009273C9">
      <w:pPr>
        <w:spacing w:after="120" w:line="240" w:lineRule="exact"/>
        <w:ind w:left="283" w:hanging="283"/>
        <w:jc w:val="both"/>
        <w:rPr>
          <w:rFonts w:ascii="FrankRuehl" w:hAnsi="FrankRuehl" w:cs="FrankRuehl"/>
          <w:rtl/>
        </w:rPr>
      </w:pPr>
    </w:p>
    <w:p w14:paraId="641A1EA3" w14:textId="77777777" w:rsidR="009273C9" w:rsidRPr="009273C9" w:rsidRDefault="009273C9" w:rsidP="009273C9">
      <w:pPr>
        <w:spacing w:after="120" w:line="240" w:lineRule="exact"/>
        <w:ind w:left="283" w:hanging="283"/>
        <w:jc w:val="both"/>
        <w:rPr>
          <w:rFonts w:ascii="FrankRuehl" w:hAnsi="FrankRuehl" w:cs="FrankRuehl"/>
          <w:rtl/>
        </w:rPr>
      </w:pPr>
      <w:r w:rsidRPr="009273C9">
        <w:rPr>
          <w:rFonts w:ascii="FrankRuehl" w:hAnsi="FrankRuehl" w:cs="FrankRuehl"/>
          <w:rtl/>
        </w:rPr>
        <w:t xml:space="preserve">חקיקה שאוזכרה: </w:t>
      </w:r>
    </w:p>
    <w:p w14:paraId="59163871" w14:textId="77777777" w:rsidR="009273C9" w:rsidRPr="009273C9" w:rsidRDefault="009273C9" w:rsidP="009273C9">
      <w:pPr>
        <w:spacing w:after="120" w:line="240" w:lineRule="exact"/>
        <w:ind w:left="283" w:hanging="283"/>
        <w:jc w:val="both"/>
        <w:rPr>
          <w:rFonts w:ascii="FrankRuehl" w:hAnsi="FrankRuehl" w:cs="FrankRuehl"/>
          <w:color w:val="0000FF"/>
          <w:u w:val="single"/>
          <w:rtl/>
        </w:rPr>
      </w:pPr>
      <w:hyperlink r:id="rId7" w:history="1">
        <w:r w:rsidRPr="009273C9">
          <w:rPr>
            <w:rStyle w:val="Hyperlink"/>
            <w:rFonts w:ascii="FrankRuehl" w:hAnsi="FrankRuehl" w:cs="FrankRuehl"/>
            <w:rtl/>
          </w:rPr>
          <w:t>חוק העונשין, תשל"ז-1977</w:t>
        </w:r>
      </w:hyperlink>
      <w:r w:rsidRPr="009273C9">
        <w:rPr>
          <w:rFonts w:ascii="FrankRuehl" w:hAnsi="FrankRuehl" w:cs="FrankRuehl"/>
          <w:color w:val="0000FF"/>
          <w:u w:val="single"/>
          <w:rtl/>
        </w:rPr>
        <w:t xml:space="preserve">: סע'  </w:t>
      </w:r>
      <w:hyperlink r:id="rId8" w:history="1">
        <w:r w:rsidRPr="009273C9">
          <w:rPr>
            <w:rStyle w:val="Hyperlink"/>
            <w:rFonts w:ascii="FrankRuehl" w:hAnsi="FrankRuehl" w:cs="FrankRuehl"/>
          </w:rPr>
          <w:t>31</w:t>
        </w:r>
      </w:hyperlink>
      <w:r w:rsidRPr="009273C9">
        <w:rPr>
          <w:rFonts w:ascii="FrankRuehl" w:hAnsi="FrankRuehl" w:cs="FrankRuehl"/>
          <w:color w:val="0000FF"/>
          <w:u w:val="single"/>
          <w:rtl/>
        </w:rPr>
        <w:t xml:space="preserve">, </w:t>
      </w:r>
      <w:hyperlink r:id="rId9" w:history="1">
        <w:r w:rsidRPr="009273C9">
          <w:rPr>
            <w:rStyle w:val="Hyperlink"/>
            <w:rFonts w:ascii="FrankRuehl" w:hAnsi="FrankRuehl" w:cs="FrankRuehl"/>
          </w:rPr>
          <w:t>144(</w:t>
        </w:r>
        <w:r w:rsidRPr="009273C9">
          <w:rPr>
            <w:rStyle w:val="Hyperlink"/>
            <w:rFonts w:ascii="FrankRuehl" w:hAnsi="FrankRuehl" w:cs="FrankRuehl"/>
            <w:rtl/>
          </w:rPr>
          <w:t>א</w:t>
        </w:r>
        <w:r w:rsidRPr="009273C9">
          <w:rPr>
            <w:rStyle w:val="Hyperlink"/>
            <w:rFonts w:ascii="FrankRuehl" w:hAnsi="FrankRuehl" w:cs="FrankRuehl"/>
          </w:rPr>
          <w:t>)</w:t>
        </w:r>
      </w:hyperlink>
      <w:r w:rsidRPr="009273C9">
        <w:rPr>
          <w:rFonts w:ascii="FrankRuehl" w:hAnsi="FrankRuehl" w:cs="FrankRuehl"/>
          <w:color w:val="0000FF"/>
          <w:u w:val="single"/>
          <w:rtl/>
        </w:rPr>
        <w:t xml:space="preserve">, </w:t>
      </w:r>
      <w:hyperlink r:id="rId10" w:history="1">
        <w:r w:rsidRPr="009273C9">
          <w:rPr>
            <w:rStyle w:val="Hyperlink"/>
            <w:rFonts w:ascii="FrankRuehl" w:hAnsi="FrankRuehl" w:cs="FrankRuehl"/>
          </w:rPr>
          <w:t>+(</w:t>
        </w:r>
        <w:r w:rsidRPr="009273C9">
          <w:rPr>
            <w:rStyle w:val="Hyperlink"/>
            <w:rFonts w:ascii="FrankRuehl" w:hAnsi="FrankRuehl" w:cs="FrankRuehl"/>
            <w:rtl/>
          </w:rPr>
          <w:t>ב</w:t>
        </w:r>
        <w:r w:rsidRPr="009273C9">
          <w:rPr>
            <w:rStyle w:val="Hyperlink"/>
            <w:rFonts w:ascii="FrankRuehl" w:hAnsi="FrankRuehl" w:cs="FrankRuehl"/>
          </w:rPr>
          <w:t>)</w:t>
        </w:r>
      </w:hyperlink>
      <w:r w:rsidRPr="009273C9">
        <w:rPr>
          <w:rFonts w:ascii="FrankRuehl" w:hAnsi="FrankRuehl" w:cs="FrankRuehl"/>
          <w:color w:val="0000FF"/>
          <w:u w:val="single"/>
          <w:rtl/>
        </w:rPr>
        <w:t xml:space="preserve">, </w:t>
      </w:r>
      <w:hyperlink r:id="rId11" w:history="1">
        <w:r w:rsidRPr="009273C9">
          <w:rPr>
            <w:rStyle w:val="Hyperlink"/>
            <w:rFonts w:ascii="FrankRuehl" w:hAnsi="FrankRuehl" w:cs="FrankRuehl"/>
          </w:rPr>
          <w:t>(</w:t>
        </w:r>
        <w:r w:rsidRPr="009273C9">
          <w:rPr>
            <w:rStyle w:val="Hyperlink"/>
            <w:rFonts w:ascii="FrankRuehl" w:hAnsi="FrankRuehl" w:cs="FrankRuehl"/>
            <w:rtl/>
          </w:rPr>
          <w:t>ג1</w:t>
        </w:r>
        <w:r w:rsidRPr="009273C9">
          <w:rPr>
            <w:rStyle w:val="Hyperlink"/>
            <w:rFonts w:ascii="FrankRuehl" w:hAnsi="FrankRuehl" w:cs="FrankRuehl"/>
          </w:rPr>
          <w:t>)</w:t>
        </w:r>
      </w:hyperlink>
      <w:r w:rsidRPr="009273C9">
        <w:rPr>
          <w:rFonts w:ascii="FrankRuehl" w:hAnsi="FrankRuehl" w:cs="FrankRuehl"/>
          <w:color w:val="0000FF"/>
          <w:u w:val="single"/>
          <w:rtl/>
        </w:rPr>
        <w:t xml:space="preserve">, </w:t>
      </w:r>
      <w:hyperlink r:id="rId12" w:history="1">
        <w:r w:rsidRPr="009273C9">
          <w:rPr>
            <w:rStyle w:val="Hyperlink"/>
            <w:rFonts w:ascii="FrankRuehl" w:hAnsi="FrankRuehl" w:cs="FrankRuehl"/>
          </w:rPr>
          <w:t>338(5)</w:t>
        </w:r>
      </w:hyperlink>
      <w:r w:rsidRPr="009273C9">
        <w:rPr>
          <w:rFonts w:ascii="FrankRuehl" w:hAnsi="FrankRuehl" w:cs="FrankRuehl"/>
          <w:color w:val="0000FF"/>
          <w:u w:val="single"/>
          <w:rtl/>
        </w:rPr>
        <w:t xml:space="preserve">, </w:t>
      </w:r>
      <w:hyperlink r:id="rId13" w:history="1">
        <w:r w:rsidRPr="009273C9">
          <w:rPr>
            <w:rStyle w:val="Hyperlink"/>
            <w:rFonts w:ascii="FrankRuehl" w:hAnsi="FrankRuehl" w:cs="FrankRuehl"/>
          </w:rPr>
          <w:t>340</w:t>
        </w:r>
        <w:r w:rsidRPr="009273C9">
          <w:rPr>
            <w:rStyle w:val="Hyperlink"/>
            <w:rFonts w:ascii="FrankRuehl" w:hAnsi="FrankRuehl" w:cs="FrankRuehl"/>
            <w:rtl/>
          </w:rPr>
          <w:t>א</w:t>
        </w:r>
        <w:r w:rsidRPr="009273C9">
          <w:rPr>
            <w:rStyle w:val="Hyperlink"/>
            <w:rFonts w:ascii="FrankRuehl" w:hAnsi="FrankRuehl" w:cs="FrankRuehl"/>
          </w:rPr>
          <w:t>'</w:t>
        </w:r>
      </w:hyperlink>
      <w:r w:rsidRPr="009273C9">
        <w:rPr>
          <w:rFonts w:ascii="FrankRuehl" w:hAnsi="FrankRuehl" w:cs="FrankRuehl"/>
          <w:color w:val="0000FF"/>
          <w:u w:val="single"/>
          <w:rtl/>
        </w:rPr>
        <w:t xml:space="preserve">, </w:t>
      </w:r>
      <w:hyperlink r:id="rId14" w:history="1">
        <w:r w:rsidRPr="009273C9">
          <w:rPr>
            <w:rStyle w:val="Hyperlink"/>
            <w:rFonts w:ascii="FrankRuehl" w:hAnsi="FrankRuehl" w:cs="FrankRuehl"/>
          </w:rPr>
          <w:t>413</w:t>
        </w:r>
        <w:r w:rsidRPr="009273C9">
          <w:rPr>
            <w:rStyle w:val="Hyperlink"/>
            <w:rFonts w:ascii="FrankRuehl" w:hAnsi="FrankRuehl" w:cs="FrankRuehl"/>
            <w:rtl/>
          </w:rPr>
          <w:t>ה</w:t>
        </w:r>
        <w:r w:rsidRPr="009273C9">
          <w:rPr>
            <w:rStyle w:val="Hyperlink"/>
            <w:rFonts w:ascii="FrankRuehl" w:hAnsi="FrankRuehl" w:cs="FrankRuehl"/>
          </w:rPr>
          <w:t>'</w:t>
        </w:r>
      </w:hyperlink>
    </w:p>
    <w:p w14:paraId="4480301A" w14:textId="77777777" w:rsidR="009273C9" w:rsidRPr="009273C9" w:rsidRDefault="009273C9" w:rsidP="009273C9">
      <w:pPr>
        <w:spacing w:after="120" w:line="240" w:lineRule="exact"/>
        <w:ind w:left="283" w:hanging="283"/>
        <w:jc w:val="both"/>
        <w:rPr>
          <w:rFonts w:ascii="FrankRuehl" w:hAnsi="FrankRuehl" w:cs="FrankRuehl"/>
          <w:rtl/>
        </w:rPr>
      </w:pPr>
    </w:p>
    <w:p w14:paraId="04C22240" w14:textId="77777777" w:rsidR="009273C9" w:rsidRPr="009273C9" w:rsidRDefault="009273C9" w:rsidP="00206EF5">
      <w:pPr>
        <w:jc w:val="center"/>
        <w:rPr>
          <w:rFonts w:ascii="Arial" w:hAnsi="Arial" w:cs="FrankRuehl"/>
          <w:sz w:val="32"/>
          <w:szCs w:val="32"/>
          <w:rtl/>
        </w:rPr>
      </w:pPr>
      <w:bookmarkStart w:id="5" w:name="LawTable_End"/>
      <w:bookmarkEnd w:id="5"/>
      <w:r>
        <w:rPr>
          <w:rFonts w:ascii="Arial" w:hAnsi="Arial" w:cs="FrankRuehl" w:hint="cs"/>
          <w:sz w:val="32"/>
          <w:szCs w:val="32"/>
          <w:rtl/>
        </w:rPr>
        <w:t xml:space="preserve">    </w:t>
      </w:r>
    </w:p>
    <w:p w14:paraId="26A8ABB2" w14:textId="77777777" w:rsidR="00206EF5" w:rsidRPr="0067544E" w:rsidRDefault="00206EF5" w:rsidP="00206EF5">
      <w:pPr>
        <w:jc w:val="center"/>
        <w:rPr>
          <w:rFonts w:ascii="Arial" w:hAnsi="Arial" w:cs="FrankRuehl"/>
          <w:b/>
          <w:bCs/>
          <w:sz w:val="32"/>
          <w:szCs w:val="32"/>
          <w:rtl/>
        </w:rPr>
      </w:pPr>
      <w:r w:rsidRPr="0067544E">
        <w:rPr>
          <w:rFonts w:ascii="Arial" w:hAnsi="Arial" w:cs="FrankRuehl"/>
          <w:b/>
          <w:bCs/>
          <w:sz w:val="32"/>
          <w:szCs w:val="32"/>
          <w:rtl/>
        </w:rPr>
        <w:t>גזר דין</w:t>
      </w:r>
    </w:p>
    <w:bookmarkEnd w:id="3"/>
    <w:p w14:paraId="2FCF9937" w14:textId="77777777" w:rsidR="00206EF5" w:rsidRPr="00B05847" w:rsidRDefault="00206EF5" w:rsidP="00792797">
      <w:pPr>
        <w:rPr>
          <w:rFonts w:ascii="Arial" w:hAnsi="Arial" w:hint="cs"/>
          <w:rtl/>
        </w:rPr>
      </w:pPr>
    </w:p>
    <w:p w14:paraId="4A35ACBF" w14:textId="77777777" w:rsidR="00792797" w:rsidRDefault="00792797" w:rsidP="00792797">
      <w:pPr>
        <w:spacing w:line="360" w:lineRule="auto"/>
        <w:rPr>
          <w:rtl/>
        </w:rPr>
      </w:pPr>
      <w:r>
        <w:rPr>
          <w:rFonts w:hint="cs"/>
          <w:rtl/>
        </w:rPr>
        <w:t>למען הסדר מובאת פעם שניה תוכן ההחלטה שניתנה ביום 23.8.16 למעט ההפנייה לממונה על עבודות השירות:</w:t>
      </w:r>
    </w:p>
    <w:p w14:paraId="0830E618" w14:textId="77777777" w:rsidR="00792797" w:rsidRDefault="00792797" w:rsidP="00792797">
      <w:pPr>
        <w:rPr>
          <w:rFonts w:ascii="Arial" w:hAnsi="Arial"/>
        </w:rPr>
      </w:pPr>
    </w:p>
    <w:p w14:paraId="56F7DDDD" w14:textId="77777777" w:rsidR="00792797" w:rsidRDefault="00792797" w:rsidP="00792797">
      <w:pPr>
        <w:pStyle w:val="ListParagraph"/>
        <w:numPr>
          <w:ilvl w:val="0"/>
          <w:numId w:val="1"/>
        </w:numPr>
        <w:spacing w:line="360" w:lineRule="auto"/>
        <w:jc w:val="both"/>
      </w:pPr>
      <w:r>
        <w:rPr>
          <w:rFonts w:hint="cs"/>
          <w:rtl/>
        </w:rPr>
        <w:t xml:space="preserve">הנאשם הודה במסגרת הסדר טיעון חלקי שלא כלל הסדר לרכיב העונש, בביצוע עבירות של סיוע להחזקת נשק ותחמושת ונשיאתם שלא כדין לפי </w:t>
      </w:r>
      <w:hyperlink r:id="rId15" w:history="1">
        <w:r w:rsidR="00206EF5" w:rsidRPr="00206EF5">
          <w:rPr>
            <w:color w:val="0000FF"/>
            <w:u w:val="single"/>
            <w:rtl/>
          </w:rPr>
          <w:t>סעיף 144(א)</w:t>
        </w:r>
      </w:hyperlink>
      <w:r>
        <w:rPr>
          <w:rFonts w:hint="cs"/>
          <w:rtl/>
        </w:rPr>
        <w:t xml:space="preserve"> </w:t>
      </w:r>
      <w:hyperlink r:id="rId16" w:history="1">
        <w:r w:rsidR="00206EF5" w:rsidRPr="00206EF5">
          <w:rPr>
            <w:color w:val="0000FF"/>
            <w:u w:val="single"/>
            <w:rtl/>
          </w:rPr>
          <w:t>+(ב)</w:t>
        </w:r>
      </w:hyperlink>
      <w:r>
        <w:rPr>
          <w:rFonts w:hint="cs"/>
          <w:rtl/>
        </w:rPr>
        <w:t xml:space="preserve"> + </w:t>
      </w:r>
      <w:hyperlink r:id="rId17" w:history="1">
        <w:r w:rsidR="00206EF5" w:rsidRPr="00206EF5">
          <w:rPr>
            <w:color w:val="0000FF"/>
            <w:u w:val="single"/>
            <w:rtl/>
          </w:rPr>
          <w:t>(ג1)</w:t>
        </w:r>
      </w:hyperlink>
      <w:r>
        <w:rPr>
          <w:rFonts w:hint="cs"/>
          <w:rtl/>
        </w:rPr>
        <w:t xml:space="preserve"> ל</w:t>
      </w:r>
      <w:hyperlink r:id="rId18" w:history="1">
        <w:r w:rsidR="0067544E" w:rsidRPr="0067544E">
          <w:rPr>
            <w:color w:val="0000FF"/>
            <w:u w:val="single"/>
            <w:rtl/>
          </w:rPr>
          <w:t>חוק העונשין</w:t>
        </w:r>
      </w:hyperlink>
      <w:r>
        <w:rPr>
          <w:rFonts w:hint="cs"/>
          <w:rtl/>
        </w:rPr>
        <w:t xml:space="preserve">, סיוע ליריות באזור מגורים לפי </w:t>
      </w:r>
      <w:hyperlink r:id="rId19" w:history="1">
        <w:r w:rsidR="00206EF5" w:rsidRPr="00206EF5">
          <w:rPr>
            <w:color w:val="0000FF"/>
            <w:u w:val="single"/>
            <w:rtl/>
          </w:rPr>
          <w:t>סעיף 340א'</w:t>
        </w:r>
      </w:hyperlink>
      <w:r>
        <w:rPr>
          <w:rFonts w:hint="cs"/>
          <w:rtl/>
        </w:rPr>
        <w:t xml:space="preserve"> + </w:t>
      </w:r>
      <w:hyperlink r:id="rId20" w:history="1">
        <w:r w:rsidR="00206EF5" w:rsidRPr="00206EF5">
          <w:rPr>
            <w:color w:val="0000FF"/>
            <w:u w:val="single"/>
            <w:rtl/>
          </w:rPr>
          <w:t>31</w:t>
        </w:r>
      </w:hyperlink>
      <w:r>
        <w:rPr>
          <w:rFonts w:hint="cs"/>
          <w:rtl/>
        </w:rPr>
        <w:t xml:space="preserve"> לחוק, סיוע למעשה פזיזות ורשלנות לפי </w:t>
      </w:r>
      <w:hyperlink r:id="rId21" w:history="1">
        <w:r w:rsidR="00206EF5" w:rsidRPr="00206EF5">
          <w:rPr>
            <w:color w:val="0000FF"/>
            <w:u w:val="single"/>
            <w:rtl/>
          </w:rPr>
          <w:t>סעיף 338(5)</w:t>
        </w:r>
      </w:hyperlink>
      <w:r>
        <w:rPr>
          <w:rFonts w:hint="cs"/>
          <w:rtl/>
        </w:rPr>
        <w:t xml:space="preserve"> + </w:t>
      </w:r>
      <w:hyperlink r:id="rId22" w:history="1">
        <w:r w:rsidR="00206EF5" w:rsidRPr="00206EF5">
          <w:rPr>
            <w:color w:val="0000FF"/>
            <w:u w:val="single"/>
            <w:rtl/>
          </w:rPr>
          <w:t>31</w:t>
        </w:r>
      </w:hyperlink>
      <w:r>
        <w:rPr>
          <w:rFonts w:hint="cs"/>
          <w:rtl/>
        </w:rPr>
        <w:t xml:space="preserve"> לחוק וסיוע להיזק בזדון לרכב לפי </w:t>
      </w:r>
      <w:hyperlink r:id="rId23" w:history="1">
        <w:r w:rsidR="00206EF5" w:rsidRPr="00206EF5">
          <w:rPr>
            <w:color w:val="0000FF"/>
            <w:u w:val="single"/>
            <w:rtl/>
          </w:rPr>
          <w:t>סעיף 413ה'</w:t>
        </w:r>
      </w:hyperlink>
      <w:r>
        <w:rPr>
          <w:rFonts w:hint="cs"/>
          <w:rtl/>
        </w:rPr>
        <w:t xml:space="preserve"> + </w:t>
      </w:r>
      <w:hyperlink r:id="rId24" w:history="1">
        <w:r w:rsidR="00206EF5" w:rsidRPr="00206EF5">
          <w:rPr>
            <w:rStyle w:val="Hyperlink"/>
            <w:rtl/>
          </w:rPr>
          <w:t>31</w:t>
        </w:r>
      </w:hyperlink>
      <w:r>
        <w:rPr>
          <w:rFonts w:hint="cs"/>
          <w:rtl/>
        </w:rPr>
        <w:t xml:space="preserve"> לחוק. הנאשם שהה במעצר מיום 12.1.16 עד ליום 17.2.16. </w:t>
      </w:r>
    </w:p>
    <w:p w14:paraId="7E075B7F" w14:textId="77777777" w:rsidR="00792797" w:rsidRDefault="00792797" w:rsidP="00792797">
      <w:pPr>
        <w:spacing w:line="360" w:lineRule="auto"/>
        <w:jc w:val="both"/>
        <w:rPr>
          <w:rtl/>
        </w:rPr>
      </w:pPr>
    </w:p>
    <w:p w14:paraId="7B4E0CC5" w14:textId="77777777" w:rsidR="00792797" w:rsidRDefault="00792797" w:rsidP="00792797">
      <w:pPr>
        <w:pStyle w:val="ListParagraph"/>
        <w:numPr>
          <w:ilvl w:val="0"/>
          <w:numId w:val="1"/>
        </w:numPr>
        <w:spacing w:line="360" w:lineRule="auto"/>
        <w:jc w:val="both"/>
        <w:rPr>
          <w:rtl/>
        </w:rPr>
      </w:pPr>
      <w:r>
        <w:rPr>
          <w:rFonts w:hint="cs"/>
          <w:rtl/>
        </w:rPr>
        <w:t xml:space="preserve">כאמור בכתב האישום המתוקן, הנאשם הוא חברו של אדם המכונה "בוני" (מוחמד בן עדאל רפעיה). בין בוני לאדם אחר שהוא המתלונן התקיימו קשרי חברות לרבות עם ילדי המתלונן וביניהם קטין יליד 2001. במהלך שנת 2015 בהזדמנויות שונות, נהג בוני ברכב והסיע את הקטין ליערות באיזור מגידו ואיפשר לו לנהוג ברכב ביערות, זאת למרות שהוא </w:t>
      </w:r>
      <w:r>
        <w:rPr>
          <w:rFonts w:hint="cs"/>
          <w:rtl/>
        </w:rPr>
        <w:lastRenderedPageBreak/>
        <w:t xml:space="preserve">ידע שלקטין אין רישיון נהיגה. על רקע זה, בין בוני לבין המתלונן התגלעה מחלוקת והמתלונן אמר בסופו של דבר כי בוני אינו רצוי עוד בביתו. באותו ערב בוני איים על המתלונן באמצעות בתו. ביום 11.1.16 בשעה מאוחרת בלילה התקשר בוני לנאשם וביקש ממנו להגיע לביתו. הנאשם הביא את רכבו לביתו של בוני והסיע את בוני לכפר ביאדה על מנת לירות לעבר בית המתלונן. הם נסעו עם אקדח טעון כדורים שבוני החזיק. בהגיעם לבית בוני ירד מהרכב עם הנשק, נכנס בריצה לחצר הבית וירה 11 כדורים לעבר רכב בבעלות בתו של המתלונן. הלה יצא למרפסת ביתו וצעק לעבר בוני ואז בוני הסתובב וירה יריה אחת נוספת לכיוון ביתו ובהמשך ברחו ברכב. </w:t>
      </w:r>
    </w:p>
    <w:p w14:paraId="7C4CE8A9" w14:textId="77777777" w:rsidR="00792797" w:rsidRDefault="00792797" w:rsidP="00792797">
      <w:pPr>
        <w:spacing w:line="360" w:lineRule="auto"/>
        <w:jc w:val="both"/>
        <w:rPr>
          <w:sz w:val="18"/>
          <w:szCs w:val="18"/>
          <w:rtl/>
        </w:rPr>
      </w:pPr>
    </w:p>
    <w:p w14:paraId="2D86886B" w14:textId="77777777" w:rsidR="00792797" w:rsidRDefault="00792797" w:rsidP="00792797">
      <w:pPr>
        <w:pStyle w:val="ListParagraph"/>
        <w:spacing w:line="360" w:lineRule="auto"/>
        <w:ind w:left="360"/>
        <w:jc w:val="both"/>
        <w:rPr>
          <w:rtl/>
        </w:rPr>
      </w:pPr>
      <w:r>
        <w:rPr>
          <w:rFonts w:hint="cs"/>
          <w:b/>
          <w:bCs/>
          <w:u w:val="single"/>
          <w:rtl/>
        </w:rPr>
        <w:t>עמדת המדינה לעניין העונש</w:t>
      </w:r>
    </w:p>
    <w:p w14:paraId="1D2C2F70" w14:textId="77777777" w:rsidR="00792797" w:rsidRDefault="00792797" w:rsidP="00792797">
      <w:pPr>
        <w:spacing w:line="360" w:lineRule="auto"/>
        <w:jc w:val="both"/>
        <w:rPr>
          <w:sz w:val="18"/>
          <w:szCs w:val="18"/>
          <w:rtl/>
        </w:rPr>
      </w:pPr>
    </w:p>
    <w:p w14:paraId="4324A8DD" w14:textId="77777777" w:rsidR="00792797" w:rsidRDefault="00792797" w:rsidP="00792797">
      <w:pPr>
        <w:pStyle w:val="ListParagraph"/>
        <w:numPr>
          <w:ilvl w:val="0"/>
          <w:numId w:val="1"/>
        </w:numPr>
        <w:spacing w:line="360" w:lineRule="auto"/>
        <w:jc w:val="both"/>
        <w:rPr>
          <w:rtl/>
        </w:rPr>
      </w:pPr>
      <w:r>
        <w:rPr>
          <w:rFonts w:hint="cs"/>
          <w:rtl/>
        </w:rPr>
        <w:t>המדינה פרטה שהנשק לא נתפס עד היום ולא הוסגר. לרכב נגרמו נזקי פחחות ושברים בשמשות והוא הוגדר כחסר ערך. הודגש מספר הכדורים הרב שנורה באירוע. הודגשה החומרה שיש בעבירות הנשק למיניהן (</w:t>
      </w:r>
      <w:hyperlink r:id="rId25" w:history="1">
        <w:r w:rsidR="0067544E" w:rsidRPr="0067544E">
          <w:rPr>
            <w:color w:val="0000FF"/>
            <w:u w:val="single"/>
            <w:rtl/>
          </w:rPr>
          <w:t>ע"פ 3300/06</w:t>
        </w:r>
      </w:hyperlink>
      <w:r>
        <w:rPr>
          <w:rFonts w:hint="cs"/>
          <w:rtl/>
        </w:rPr>
        <w:t xml:space="preserve"> </w:t>
      </w:r>
      <w:r>
        <w:rPr>
          <w:rFonts w:hint="cs"/>
          <w:b/>
          <w:bCs/>
          <w:rtl/>
        </w:rPr>
        <w:t>אבו סנינא נ' מדינת ישראל</w:t>
      </w:r>
      <w:r>
        <w:rPr>
          <w:rFonts w:hint="cs"/>
          <w:rtl/>
        </w:rPr>
        <w:t xml:space="preserve"> (2006); </w:t>
      </w:r>
      <w:hyperlink r:id="rId26" w:history="1">
        <w:r w:rsidR="009273C9" w:rsidRPr="009273C9">
          <w:rPr>
            <w:rStyle w:val="Hyperlink"/>
            <w:rFonts w:hint="eastAsia"/>
            <w:rtl/>
          </w:rPr>
          <w:t>ע</w:t>
        </w:r>
        <w:r w:rsidR="009273C9" w:rsidRPr="009273C9">
          <w:rPr>
            <w:rStyle w:val="Hyperlink"/>
            <w:rtl/>
          </w:rPr>
          <w:t xml:space="preserve">"פ 1332/04 </w:t>
        </w:r>
      </w:hyperlink>
      <w:r>
        <w:rPr>
          <w:rFonts w:hint="cs"/>
          <w:rtl/>
        </w:rPr>
        <w:t xml:space="preserve"> </w:t>
      </w:r>
      <w:r>
        <w:rPr>
          <w:rFonts w:hint="cs"/>
          <w:b/>
          <w:bCs/>
          <w:rtl/>
        </w:rPr>
        <w:t>מדינת ישראל נ' פס</w:t>
      </w:r>
      <w:r>
        <w:rPr>
          <w:rFonts w:hint="cs"/>
          <w:rtl/>
        </w:rPr>
        <w:t xml:space="preserve"> (2004)) ועוד ביתר שאת כאשר העבירות מבוצעות באיזור מגורים (</w:t>
      </w:r>
      <w:hyperlink r:id="rId27" w:history="1">
        <w:r w:rsidR="0067544E" w:rsidRPr="0067544E">
          <w:rPr>
            <w:color w:val="0000FF"/>
            <w:u w:val="single"/>
            <w:rtl/>
          </w:rPr>
          <w:t>ע"פ 4595/13</w:t>
        </w:r>
      </w:hyperlink>
      <w:r>
        <w:rPr>
          <w:rFonts w:hint="cs"/>
          <w:rtl/>
        </w:rPr>
        <w:t xml:space="preserve"> </w:t>
      </w:r>
      <w:r>
        <w:rPr>
          <w:rFonts w:hint="cs"/>
          <w:b/>
          <w:bCs/>
          <w:rtl/>
        </w:rPr>
        <w:t xml:space="preserve">זובידאת ואח' נ' מדינת ישראל </w:t>
      </w:r>
      <w:r>
        <w:rPr>
          <w:rFonts w:hint="cs"/>
          <w:rtl/>
        </w:rPr>
        <w:t xml:space="preserve">(2014)). המדינה איזכרה מקרים דומים: </w:t>
      </w:r>
      <w:hyperlink r:id="rId28" w:history="1">
        <w:r w:rsidR="0067544E" w:rsidRPr="0067544E">
          <w:rPr>
            <w:color w:val="0000FF"/>
            <w:u w:val="single"/>
            <w:rtl/>
          </w:rPr>
          <w:t>ע"פ 2477/14</w:t>
        </w:r>
      </w:hyperlink>
      <w:r>
        <w:rPr>
          <w:rFonts w:hint="cs"/>
          <w:rtl/>
        </w:rPr>
        <w:t xml:space="preserve"> </w:t>
      </w:r>
      <w:r>
        <w:rPr>
          <w:rFonts w:hint="cs"/>
          <w:b/>
          <w:bCs/>
          <w:rtl/>
        </w:rPr>
        <w:t>עמאש וזובידאת נ' מדינת ישראל</w:t>
      </w:r>
      <w:r>
        <w:rPr>
          <w:rFonts w:hint="cs"/>
          <w:rtl/>
        </w:rPr>
        <w:t xml:space="preserve"> (2015) כאשר שם הנאשמים הגיעו לבית המתלונן עם נשק וירו 10 כדורים לעבר הבית. אחד הנאשמים הורשע לאחר ניהול הוכחות. נקבע מתחם ענישה בין 3 עד 6 שנות מאסר לאחד הנאשמים ו- 3 – 7 שנות מאסר לשני (היורה). נאשם אחד היה בעל עבר פלילי והשני ללא עבר פלילי. בית המשפט גזר על שניהם 48 חודשי מאסר בפועל. הערעור לבית המשפט העליון נדחה. </w:t>
      </w:r>
    </w:p>
    <w:p w14:paraId="706F0391" w14:textId="77777777" w:rsidR="00792797" w:rsidRDefault="00792797" w:rsidP="00792797">
      <w:pPr>
        <w:pStyle w:val="ListParagraph"/>
        <w:spacing w:line="360" w:lineRule="auto"/>
        <w:jc w:val="both"/>
        <w:rPr>
          <w:rtl/>
        </w:rPr>
      </w:pPr>
      <w:r>
        <w:rPr>
          <w:rFonts w:hint="cs"/>
          <w:rtl/>
        </w:rPr>
        <w:t>ב</w:t>
      </w:r>
      <w:hyperlink r:id="rId29" w:history="1">
        <w:r w:rsidR="0067544E" w:rsidRPr="0067544E">
          <w:rPr>
            <w:color w:val="0000FF"/>
            <w:u w:val="single"/>
            <w:rtl/>
          </w:rPr>
          <w:t>ע"פ 4595/13</w:t>
        </w:r>
      </w:hyperlink>
      <w:r>
        <w:rPr>
          <w:rFonts w:hint="cs"/>
          <w:rtl/>
        </w:rPr>
        <w:t xml:space="preserve"> (לעיל) הורשעו המערערים בשותפות בעבירה של נשיאה והובלת נשק, ירי באיזור מגורים, איומים וקשירת קשר לפשע כאשר על רקע סכסוך משפחתי של אחד מהם הם הצטיידו באקדח ותחמושת וירו מבעד חלון רכב על בית המתלונן. נגזרו עליהם  42 חודשי מאסר שהופחתו במסגרת הערעור ל- 30 חודשי מאסר בפועל, בהתחשב בעבר הנקי בהודאה המיידית והסכם הסולחה שהתקיים. </w:t>
      </w:r>
    </w:p>
    <w:p w14:paraId="6DE8D758" w14:textId="77777777" w:rsidR="00792797" w:rsidRDefault="00792797" w:rsidP="00792797">
      <w:pPr>
        <w:pStyle w:val="ListParagraph"/>
        <w:spacing w:line="360" w:lineRule="auto"/>
        <w:jc w:val="both"/>
      </w:pPr>
      <w:r>
        <w:rPr>
          <w:rFonts w:hint="cs"/>
          <w:rtl/>
        </w:rPr>
        <w:t>ב</w:t>
      </w:r>
      <w:hyperlink r:id="rId30" w:history="1">
        <w:r w:rsidR="0067544E" w:rsidRPr="0067544E">
          <w:rPr>
            <w:color w:val="0000FF"/>
            <w:u w:val="single"/>
            <w:rtl/>
          </w:rPr>
          <w:t>ת"פ 29911-03-15</w:t>
        </w:r>
      </w:hyperlink>
      <w:r>
        <w:rPr>
          <w:rFonts w:hint="cs"/>
          <w:rtl/>
        </w:rPr>
        <w:t xml:space="preserve"> </w:t>
      </w:r>
      <w:r>
        <w:rPr>
          <w:rFonts w:hint="cs"/>
          <w:b/>
          <w:bCs/>
          <w:rtl/>
        </w:rPr>
        <w:t>מדינת ישראל נ' אבו דיב</w:t>
      </w:r>
      <w:r>
        <w:rPr>
          <w:rFonts w:hint="cs"/>
          <w:rtl/>
        </w:rPr>
        <w:t xml:space="preserve"> (11.8.2015) הורשע נאשם בעבירות נשיאת נשק והחזקתו כאשר הנאשם החזיק אקדח ומחסנית וירה כדורים רבים בשטח חווה שבבעלותו. לאחר מכן נסע עם אדם נוסף לשכונת מגורים וירה גם שם מספר רב של כדורים ובהמשך ביצע ירי מתוך הרכב. הוטל עליו עונש בן 28 חודשי מאסר בפועל. </w:t>
      </w:r>
    </w:p>
    <w:p w14:paraId="189A4CF9" w14:textId="77777777" w:rsidR="00792797" w:rsidRDefault="00792797" w:rsidP="00792797">
      <w:pPr>
        <w:pStyle w:val="ListParagraph"/>
        <w:spacing w:line="360" w:lineRule="auto"/>
        <w:jc w:val="both"/>
        <w:rPr>
          <w:rtl/>
        </w:rPr>
      </w:pPr>
      <w:r>
        <w:rPr>
          <w:rFonts w:hint="cs"/>
          <w:rtl/>
        </w:rPr>
        <w:t>המדינה הוסיפה איזכורים ביחס לעבירה של החזקה ונשיאת נשק בלבד ללא שימוש בו כאשר הוטלו בין 18 ל-30 חודשי מאסר בגין עבירות אלה (</w:t>
      </w:r>
      <w:hyperlink r:id="rId31" w:history="1">
        <w:r w:rsidR="0067544E" w:rsidRPr="0067544E">
          <w:rPr>
            <w:color w:val="0000FF"/>
            <w:u w:val="single"/>
            <w:rtl/>
          </w:rPr>
          <w:t>ע"פ 3288/14</w:t>
        </w:r>
      </w:hyperlink>
      <w:r>
        <w:rPr>
          <w:rFonts w:hint="cs"/>
          <w:rtl/>
        </w:rPr>
        <w:t xml:space="preserve"> </w:t>
      </w:r>
      <w:r>
        <w:rPr>
          <w:rFonts w:hint="cs"/>
          <w:b/>
          <w:bCs/>
          <w:rtl/>
        </w:rPr>
        <w:t>מדינת ישראל נ' מרדכי מתיאל קריספיל</w:t>
      </w:r>
      <w:r>
        <w:rPr>
          <w:rFonts w:hint="cs"/>
          <w:rtl/>
        </w:rPr>
        <w:t xml:space="preserve"> (24.8.2014); </w:t>
      </w:r>
      <w:hyperlink r:id="rId32" w:history="1">
        <w:r w:rsidR="0067544E" w:rsidRPr="0067544E">
          <w:rPr>
            <w:color w:val="0000FF"/>
            <w:u w:val="single"/>
            <w:rtl/>
          </w:rPr>
          <w:t>ע"פ 3632/14</w:t>
        </w:r>
      </w:hyperlink>
      <w:r>
        <w:rPr>
          <w:rFonts w:hint="cs"/>
          <w:rtl/>
        </w:rPr>
        <w:t xml:space="preserve"> </w:t>
      </w:r>
      <w:r>
        <w:rPr>
          <w:rFonts w:hint="cs"/>
          <w:b/>
          <w:bCs/>
          <w:rtl/>
        </w:rPr>
        <w:t>אנואר אבו סבית נ' מדינת ישראל</w:t>
      </w:r>
      <w:r>
        <w:rPr>
          <w:rFonts w:hint="cs"/>
          <w:rtl/>
        </w:rPr>
        <w:t xml:space="preserve"> (8.12.2014); </w:t>
      </w:r>
      <w:hyperlink r:id="rId33" w:history="1">
        <w:r w:rsidR="0067544E" w:rsidRPr="0067544E">
          <w:rPr>
            <w:color w:val="0000FF"/>
            <w:u w:val="single"/>
            <w:rtl/>
          </w:rPr>
          <w:t>ע"פ 9373/10</w:t>
        </w:r>
      </w:hyperlink>
      <w:r>
        <w:rPr>
          <w:rFonts w:hint="cs"/>
          <w:rtl/>
        </w:rPr>
        <w:t xml:space="preserve"> </w:t>
      </w:r>
      <w:r>
        <w:rPr>
          <w:rFonts w:hint="cs"/>
          <w:b/>
          <w:bCs/>
          <w:rtl/>
        </w:rPr>
        <w:t>חאמד וותד נ' מדינת ישראל</w:t>
      </w:r>
      <w:r>
        <w:rPr>
          <w:rFonts w:hint="cs"/>
          <w:rtl/>
        </w:rPr>
        <w:t xml:space="preserve"> (14.9.2011)). </w:t>
      </w:r>
    </w:p>
    <w:p w14:paraId="7287A5A0" w14:textId="77777777" w:rsidR="00792797" w:rsidRDefault="00792797" w:rsidP="00792797">
      <w:pPr>
        <w:spacing w:line="360" w:lineRule="auto"/>
        <w:jc w:val="both"/>
        <w:rPr>
          <w:rtl/>
        </w:rPr>
      </w:pPr>
    </w:p>
    <w:p w14:paraId="58E9DBAB" w14:textId="77777777" w:rsidR="00792797" w:rsidRDefault="00792797" w:rsidP="00792797">
      <w:pPr>
        <w:pStyle w:val="ListParagraph"/>
        <w:numPr>
          <w:ilvl w:val="0"/>
          <w:numId w:val="1"/>
        </w:numPr>
        <w:spacing w:line="360" w:lineRule="auto"/>
        <w:jc w:val="both"/>
        <w:rPr>
          <w:rtl/>
        </w:rPr>
      </w:pPr>
      <w:r>
        <w:rPr>
          <w:rFonts w:hint="cs"/>
          <w:rtl/>
        </w:rPr>
        <w:lastRenderedPageBreak/>
        <w:t xml:space="preserve">נטען שנפגעו הערכים החברתיים המוגנים של הגנה על שלום הציבור, בטחונו ורכושו ובנוסף נפגע הסדר הציבורי. נטען שבהתחשב בנסיבות ביצוע העבירה והעובדה שהנשק לא נתפס, מתחם הענישה ההולם נמצא בין 3 עד 5 שנות מאסר בפועל למבצע העיקרי ו- 18 – 30 חודשי מאסר למסייע –הנאשם. </w:t>
      </w:r>
    </w:p>
    <w:p w14:paraId="1E9D025E" w14:textId="77777777" w:rsidR="00792797" w:rsidRDefault="00792797" w:rsidP="00792797">
      <w:pPr>
        <w:spacing w:line="360" w:lineRule="auto"/>
        <w:jc w:val="both"/>
        <w:rPr>
          <w:rtl/>
        </w:rPr>
      </w:pPr>
    </w:p>
    <w:p w14:paraId="0870A26C" w14:textId="77777777" w:rsidR="00792797" w:rsidRDefault="00792797" w:rsidP="00792797">
      <w:pPr>
        <w:pStyle w:val="ListParagraph"/>
        <w:numPr>
          <w:ilvl w:val="0"/>
          <w:numId w:val="1"/>
        </w:numPr>
        <w:spacing w:line="360" w:lineRule="auto"/>
        <w:jc w:val="both"/>
        <w:rPr>
          <w:rtl/>
        </w:rPr>
      </w:pPr>
      <w:r>
        <w:rPr>
          <w:rFonts w:hint="cs"/>
          <w:rtl/>
        </w:rPr>
        <w:t xml:space="preserve">ביחס לנסיבות שלא קשורות בביצוע העבירה, תואר שמדובר באדם צעיר בן 22 שהודה וחסך זמן למערכת המשפט והעובדה שהוגש תסקיר חיובי. נטען שחרף נסיבות אלה, פסיקת בית המשפט העליון מתווה מדיניות ענישה לפיה גם מי שזו הרשעתו הראשונה – יש להטיל עליו מאסר בפועל. כך המדינה ביקשה שנסיבותיו של הנאשם ועברו הנקי יקבלו ביטוי במשך המאסר בלבד. נטען שאין לקבל את המלצות התסקיר והמדינה ביקשה שיוטל גם מאסר על תנאי ממושך קנס ופיצוי למתלונן. </w:t>
      </w:r>
    </w:p>
    <w:p w14:paraId="6413CDA4" w14:textId="77777777" w:rsidR="00792797" w:rsidRDefault="00792797" w:rsidP="00792797">
      <w:pPr>
        <w:spacing w:line="360" w:lineRule="auto"/>
        <w:jc w:val="both"/>
        <w:rPr>
          <w:rtl/>
        </w:rPr>
      </w:pPr>
    </w:p>
    <w:p w14:paraId="66C5068F" w14:textId="77777777" w:rsidR="00792797" w:rsidRDefault="00792797" w:rsidP="00792797">
      <w:pPr>
        <w:pStyle w:val="ListParagraph"/>
        <w:spacing w:line="360" w:lineRule="auto"/>
        <w:ind w:left="360"/>
        <w:jc w:val="both"/>
        <w:rPr>
          <w:rtl/>
        </w:rPr>
      </w:pPr>
      <w:r>
        <w:rPr>
          <w:rFonts w:hint="cs"/>
          <w:b/>
          <w:bCs/>
          <w:u w:val="single"/>
          <w:rtl/>
        </w:rPr>
        <w:t>טיעוני ב"כ הנאשם לעונש</w:t>
      </w:r>
    </w:p>
    <w:p w14:paraId="2F999110" w14:textId="77777777" w:rsidR="00792797" w:rsidRDefault="00792797" w:rsidP="00792797">
      <w:pPr>
        <w:spacing w:line="360" w:lineRule="auto"/>
        <w:jc w:val="both"/>
        <w:rPr>
          <w:rtl/>
        </w:rPr>
      </w:pPr>
    </w:p>
    <w:p w14:paraId="315EE8FB" w14:textId="77777777" w:rsidR="00792797" w:rsidRDefault="00792797" w:rsidP="00792797">
      <w:pPr>
        <w:pStyle w:val="ListParagraph"/>
        <w:numPr>
          <w:ilvl w:val="0"/>
          <w:numId w:val="1"/>
        </w:numPr>
        <w:spacing w:line="360" w:lineRule="auto"/>
        <w:jc w:val="both"/>
        <w:rPr>
          <w:rtl/>
        </w:rPr>
      </w:pPr>
      <w:r>
        <w:rPr>
          <w:rFonts w:hint="cs"/>
          <w:rtl/>
        </w:rPr>
        <w:t xml:space="preserve">ב"כ הנאשם לא הקל ראש בערכים החברתיים המוגנים שנפגעו כתוצאה מעבירות הנשק. יחד עם זאת, נטען שטרם קביעת המתחם יש לזכור כי אין הדיון עוסק במבצע העיקרי וכאן מדובר במסייע בלבד שאינו קשור לסכסוך בין הנאשם למתלונן. הסניגור טען שהנאשם הוא למעשה "שעיר לעזאזל" ונקלע לסיטואציה קשה ביותר שלא יכל להחלץ ממנה. נטען שמייד עם הגעתו לתחנת המשטרה גולל הנאשם בפני חוקריו את כל סיפור המעשה (הצדדים הסכימו שאימרות הנאשם יכללו בראיות המוסכמות). נטען שאין ענייננו באדם המתעסק בנשק או אדם בעל עבר פלילי. נטען עוד שאי תפיסת הנשק לא קשור לנאשם ואין להחמיר עמו בשל כך כיוון שאין הוא שולט בעניין זה. נטען שחלקו באירוע אף נמצא ברף התחתון של עבירות הסיוע.  </w:t>
      </w:r>
    </w:p>
    <w:p w14:paraId="211CBAAE" w14:textId="77777777" w:rsidR="00792797" w:rsidRDefault="00792797" w:rsidP="00792797">
      <w:pPr>
        <w:spacing w:line="360" w:lineRule="auto"/>
        <w:jc w:val="both"/>
        <w:rPr>
          <w:rtl/>
        </w:rPr>
      </w:pPr>
    </w:p>
    <w:p w14:paraId="6632625A" w14:textId="77777777" w:rsidR="00792797" w:rsidRDefault="00792797" w:rsidP="00792797">
      <w:pPr>
        <w:pStyle w:val="ListParagraph"/>
        <w:numPr>
          <w:ilvl w:val="0"/>
          <w:numId w:val="1"/>
        </w:numPr>
        <w:spacing w:line="360" w:lineRule="auto"/>
        <w:jc w:val="both"/>
        <w:rPr>
          <w:rtl/>
        </w:rPr>
      </w:pPr>
      <w:r>
        <w:rPr>
          <w:rFonts w:hint="cs"/>
          <w:rtl/>
        </w:rPr>
        <w:t xml:space="preserve">נטען כי אין להחמיר עמו כיוון שלא נשא ונתן עם רשויות התביעה תמורת הודאתו. נטען שהנאשם לא היה חלק מהתכנון המוקדם של ביצוע העבירה. נטען שמי שגרם את  הנזק בפועל היה בוני ולא הוא. </w:t>
      </w:r>
    </w:p>
    <w:p w14:paraId="35F3F8ED" w14:textId="77777777" w:rsidR="00792797" w:rsidRDefault="00792797" w:rsidP="00792797">
      <w:pPr>
        <w:spacing w:line="360" w:lineRule="auto"/>
        <w:jc w:val="both"/>
        <w:rPr>
          <w:rtl/>
        </w:rPr>
      </w:pPr>
    </w:p>
    <w:p w14:paraId="6BA17AF4" w14:textId="77777777" w:rsidR="00792797" w:rsidRDefault="00792797" w:rsidP="00792797">
      <w:pPr>
        <w:pStyle w:val="ListParagraph"/>
        <w:numPr>
          <w:ilvl w:val="0"/>
          <w:numId w:val="1"/>
        </w:numPr>
        <w:spacing w:line="360" w:lineRule="auto"/>
        <w:jc w:val="both"/>
        <w:rPr>
          <w:rtl/>
        </w:rPr>
      </w:pPr>
      <w:r>
        <w:rPr>
          <w:rFonts w:hint="cs"/>
          <w:rtl/>
        </w:rPr>
        <w:t>ביחס למדיניות הענישה והסיבות שהביאו את הנאשם לביצוע העבירה הפנה הסניגור לתסקיר. ביחס למדיניות הענישה בנוגע לעבירות המושלמות נטען למתחם ענישה שבין שנה עד 3 שנים (</w:t>
      </w:r>
      <w:hyperlink r:id="rId34" w:history="1">
        <w:r w:rsidR="0067544E" w:rsidRPr="0067544E">
          <w:rPr>
            <w:color w:val="0000FF"/>
            <w:u w:val="single"/>
            <w:rtl/>
          </w:rPr>
          <w:t>ע"פ 4945/13</w:t>
        </w:r>
      </w:hyperlink>
      <w:r>
        <w:rPr>
          <w:rFonts w:hint="cs"/>
          <w:rtl/>
        </w:rPr>
        <w:t xml:space="preserve"> </w:t>
      </w:r>
      <w:r>
        <w:rPr>
          <w:rFonts w:hint="cs"/>
          <w:b/>
          <w:bCs/>
          <w:rtl/>
        </w:rPr>
        <w:t>מדינת ישראל נ' אבו כרים סולימאן</w:t>
      </w:r>
      <w:r>
        <w:rPr>
          <w:rFonts w:hint="cs"/>
          <w:rtl/>
        </w:rPr>
        <w:t xml:space="preserve"> (19.1.2014) שם על היורה הוטל עונש של 6 חודשי מאסר לריצוי בעבודות שירות ובית המשפט העליון קבע מתחם שבין שנה עד 3 שנים בגין העבירה המושלמת. </w:t>
      </w:r>
    </w:p>
    <w:p w14:paraId="2CF6E132" w14:textId="77777777" w:rsidR="00792797" w:rsidRDefault="00792797" w:rsidP="00792797">
      <w:pPr>
        <w:pStyle w:val="ListParagraph"/>
        <w:spacing w:line="360" w:lineRule="auto"/>
        <w:jc w:val="both"/>
        <w:rPr>
          <w:rtl/>
        </w:rPr>
      </w:pPr>
      <w:r>
        <w:rPr>
          <w:rFonts w:hint="cs"/>
          <w:rtl/>
        </w:rPr>
        <w:t>הסניגור הפנה עוד ל</w:t>
      </w:r>
      <w:hyperlink r:id="rId35" w:history="1">
        <w:r w:rsidR="0067544E" w:rsidRPr="0067544E">
          <w:rPr>
            <w:color w:val="0000FF"/>
            <w:u w:val="single"/>
            <w:rtl/>
          </w:rPr>
          <w:t>ת"פ 9785-12-15</w:t>
        </w:r>
      </w:hyperlink>
      <w:r>
        <w:rPr>
          <w:rFonts w:hint="cs"/>
          <w:rtl/>
        </w:rPr>
        <w:t xml:space="preserve"> - בגין סיוע, החזקה ונשיאת נשק הוטלו עבודות שירות. </w:t>
      </w:r>
    </w:p>
    <w:p w14:paraId="162A0D10" w14:textId="77777777" w:rsidR="00792797" w:rsidRDefault="00792797" w:rsidP="00792797">
      <w:pPr>
        <w:pStyle w:val="ListParagraph"/>
        <w:spacing w:line="360" w:lineRule="auto"/>
        <w:jc w:val="both"/>
        <w:rPr>
          <w:rtl/>
        </w:rPr>
      </w:pPr>
      <w:r>
        <w:rPr>
          <w:rFonts w:hint="cs"/>
          <w:rtl/>
        </w:rPr>
        <w:t>ב</w:t>
      </w:r>
      <w:hyperlink r:id="rId36" w:history="1">
        <w:r w:rsidR="0067544E" w:rsidRPr="0067544E">
          <w:rPr>
            <w:color w:val="0000FF"/>
            <w:u w:val="single"/>
            <w:rtl/>
          </w:rPr>
          <w:t>ת"פ 14513-12-13</w:t>
        </w:r>
      </w:hyperlink>
      <w:r>
        <w:rPr>
          <w:rFonts w:hint="cs"/>
          <w:rtl/>
        </w:rPr>
        <w:t xml:space="preserve"> הוטלו בגין סיוע נשיאת נשק והחזקת נשק – 4 חודשים לריצוי בעבודות שירות.</w:t>
      </w:r>
    </w:p>
    <w:p w14:paraId="6643E6BE" w14:textId="77777777" w:rsidR="00792797" w:rsidRDefault="00792797" w:rsidP="00792797">
      <w:pPr>
        <w:pStyle w:val="ListParagraph"/>
        <w:spacing w:line="360" w:lineRule="auto"/>
        <w:jc w:val="both"/>
        <w:rPr>
          <w:rtl/>
        </w:rPr>
      </w:pPr>
      <w:r>
        <w:rPr>
          <w:rFonts w:hint="cs"/>
          <w:rtl/>
        </w:rPr>
        <w:t>ב</w:t>
      </w:r>
      <w:hyperlink r:id="rId37" w:history="1">
        <w:r w:rsidR="0067544E" w:rsidRPr="0067544E">
          <w:rPr>
            <w:color w:val="0000FF"/>
            <w:u w:val="single"/>
            <w:rtl/>
          </w:rPr>
          <w:t>ת"פ 37083-11-14</w:t>
        </w:r>
      </w:hyperlink>
      <w:r>
        <w:rPr>
          <w:rFonts w:hint="cs"/>
          <w:rtl/>
        </w:rPr>
        <w:t xml:space="preserve"> – בגין עבירת סיוע הוטלו 6 חודשים לריצוי בעבודות שירות. </w:t>
      </w:r>
    </w:p>
    <w:p w14:paraId="55F7EF3F" w14:textId="77777777" w:rsidR="00792797" w:rsidRDefault="00792797" w:rsidP="00792797">
      <w:pPr>
        <w:spacing w:line="360" w:lineRule="auto"/>
        <w:jc w:val="both"/>
        <w:rPr>
          <w:rtl/>
        </w:rPr>
      </w:pPr>
    </w:p>
    <w:p w14:paraId="23A23721" w14:textId="77777777" w:rsidR="00792797" w:rsidRDefault="00792797" w:rsidP="00792797">
      <w:pPr>
        <w:pStyle w:val="ListParagraph"/>
        <w:numPr>
          <w:ilvl w:val="0"/>
          <w:numId w:val="1"/>
        </w:numPr>
        <w:spacing w:line="360" w:lineRule="auto"/>
        <w:jc w:val="both"/>
        <w:rPr>
          <w:rtl/>
        </w:rPr>
      </w:pPr>
      <w:r>
        <w:rPr>
          <w:rFonts w:hint="cs"/>
          <w:rtl/>
        </w:rPr>
        <w:t xml:space="preserve">לעניין נסיבותיו האישיות של הנאשם צויין שמדובר באדם צעיר בן 22, שנערך לגביו תסקיר שירות מבחן חיובי שיש לאמצו. </w:t>
      </w:r>
    </w:p>
    <w:p w14:paraId="2129AE67" w14:textId="77777777" w:rsidR="00792797" w:rsidRDefault="00792797" w:rsidP="00792797">
      <w:pPr>
        <w:pStyle w:val="ListParagraph"/>
        <w:spacing w:line="360" w:lineRule="auto"/>
        <w:jc w:val="both"/>
        <w:rPr>
          <w:rtl/>
        </w:rPr>
      </w:pPr>
    </w:p>
    <w:p w14:paraId="57146ED9" w14:textId="77777777" w:rsidR="00792797" w:rsidRDefault="00792797" w:rsidP="00792797">
      <w:pPr>
        <w:pStyle w:val="ListParagraph"/>
        <w:numPr>
          <w:ilvl w:val="0"/>
          <w:numId w:val="1"/>
        </w:numPr>
        <w:spacing w:line="360" w:lineRule="auto"/>
        <w:jc w:val="both"/>
      </w:pPr>
      <w:r>
        <w:rPr>
          <w:rFonts w:hint="cs"/>
          <w:rtl/>
        </w:rPr>
        <w:t xml:space="preserve">הסניגור ביקש שיוטל צו מבחן בהתאם לאמור בתסקיר. </w:t>
      </w:r>
    </w:p>
    <w:p w14:paraId="45ED54F9" w14:textId="77777777" w:rsidR="00792797" w:rsidRDefault="00792797" w:rsidP="00792797">
      <w:pPr>
        <w:spacing w:line="360" w:lineRule="auto"/>
        <w:jc w:val="both"/>
        <w:rPr>
          <w:rtl/>
        </w:rPr>
      </w:pPr>
    </w:p>
    <w:p w14:paraId="3CE19BA4" w14:textId="77777777" w:rsidR="00792797" w:rsidRDefault="00792797" w:rsidP="00792797">
      <w:pPr>
        <w:pStyle w:val="ListParagraph"/>
        <w:numPr>
          <w:ilvl w:val="0"/>
          <w:numId w:val="1"/>
        </w:numPr>
        <w:spacing w:line="360" w:lineRule="auto"/>
        <w:jc w:val="both"/>
        <w:rPr>
          <w:rtl/>
        </w:rPr>
      </w:pPr>
      <w:r>
        <w:rPr>
          <w:rFonts w:hint="cs"/>
          <w:rtl/>
        </w:rPr>
        <w:t xml:space="preserve">הנאשם עצמו התנצל על ביצוע העבירות. </w:t>
      </w:r>
    </w:p>
    <w:p w14:paraId="361CAB7C" w14:textId="77777777" w:rsidR="00792797" w:rsidRDefault="00792797" w:rsidP="00792797">
      <w:pPr>
        <w:spacing w:line="360" w:lineRule="auto"/>
        <w:jc w:val="both"/>
        <w:rPr>
          <w:rtl/>
        </w:rPr>
      </w:pPr>
    </w:p>
    <w:p w14:paraId="04EB83C6" w14:textId="77777777" w:rsidR="00792797" w:rsidRDefault="00792797" w:rsidP="00792797">
      <w:pPr>
        <w:pStyle w:val="ListParagraph"/>
        <w:spacing w:line="360" w:lineRule="auto"/>
        <w:ind w:left="360"/>
        <w:jc w:val="both"/>
        <w:rPr>
          <w:rtl/>
        </w:rPr>
      </w:pPr>
      <w:r>
        <w:rPr>
          <w:rFonts w:hint="cs"/>
          <w:b/>
          <w:bCs/>
          <w:u w:val="single"/>
          <w:rtl/>
        </w:rPr>
        <w:t>תסקיר שירות המבחן</w:t>
      </w:r>
    </w:p>
    <w:p w14:paraId="5A2B0098" w14:textId="77777777" w:rsidR="00792797" w:rsidRDefault="00792797" w:rsidP="00792797">
      <w:pPr>
        <w:spacing w:line="360" w:lineRule="auto"/>
        <w:jc w:val="both"/>
        <w:rPr>
          <w:rtl/>
        </w:rPr>
      </w:pPr>
    </w:p>
    <w:p w14:paraId="3EC2B3DD" w14:textId="77777777" w:rsidR="00792797" w:rsidRDefault="00792797" w:rsidP="00792797">
      <w:pPr>
        <w:pStyle w:val="ListParagraph"/>
        <w:numPr>
          <w:ilvl w:val="0"/>
          <w:numId w:val="1"/>
        </w:numPr>
        <w:spacing w:line="360" w:lineRule="auto"/>
        <w:jc w:val="both"/>
        <w:rPr>
          <w:rtl/>
        </w:rPr>
      </w:pPr>
      <w:r>
        <w:rPr>
          <w:rFonts w:hint="cs"/>
          <w:rtl/>
        </w:rPr>
        <w:t xml:space="preserve">בתסקיר תוארו קורות הנאשם: שהוא בן 22, רווק, בעל השכלה של 14.5 שנות לימוד שכללו גם לימודים לתואר הנדסאי בניין שטרם השלים עקב מעצרו. משפחתו נורמטיבית והנאשם ללא עבר פלילי. </w:t>
      </w:r>
    </w:p>
    <w:p w14:paraId="4E7B0DA9" w14:textId="77777777" w:rsidR="00792797" w:rsidRDefault="00792797" w:rsidP="00792797">
      <w:pPr>
        <w:spacing w:line="360" w:lineRule="auto"/>
        <w:jc w:val="both"/>
        <w:rPr>
          <w:rtl/>
        </w:rPr>
      </w:pPr>
    </w:p>
    <w:p w14:paraId="61C7E735" w14:textId="77777777" w:rsidR="00792797" w:rsidRDefault="00792797" w:rsidP="00792797">
      <w:pPr>
        <w:pStyle w:val="ListParagraph"/>
        <w:numPr>
          <w:ilvl w:val="0"/>
          <w:numId w:val="1"/>
        </w:numPr>
        <w:spacing w:line="360" w:lineRule="auto"/>
        <w:jc w:val="both"/>
        <w:rPr>
          <w:rtl/>
        </w:rPr>
      </w:pPr>
      <w:r>
        <w:rPr>
          <w:rFonts w:hint="cs"/>
          <w:rtl/>
        </w:rPr>
        <w:t xml:space="preserve">שירות המבחן התרשם שהנאשם אינו בעל מאפייני אישיות אנטיסוציאליים אך קיימים מצבים מסויימים בהם הוא מתקשה להפעיל שיקול דעת מותאם, בעיקר סביב כשריו החברתיים אך עניין זה עדיין נתון בצורך בחינה. בסופו של דבר קבע שירות המבחן כי קיימת מידת סיכון נמוכה להישנות המקרים והתנהגות פורצת גבולות בעתיד. צויין שהנאשם אינו מזדהה עם פעילות עבריינית. שירות המבחן התרשם מנזקקות טיפולית גבוהה שעשויה להצטמצם בעקבות התערבות טיפולית. צויין שהנאשם הביע מוכנות לטיפול אך מתוך מוטיבציה חיצונית בשלב זה. בסופו של דבר המליץ שירות המבחן להעמידו במבחן משך 18 חודשים ועל ענישה קונקרטית שתחדד את ההשלכות של מעשים פסולים, דהיינו, עונש מאסר בדרך של עבודות שירות. </w:t>
      </w:r>
    </w:p>
    <w:p w14:paraId="4CFDBBC9" w14:textId="77777777" w:rsidR="00792797" w:rsidRDefault="00792797" w:rsidP="00792797">
      <w:pPr>
        <w:spacing w:line="360" w:lineRule="auto"/>
        <w:jc w:val="both"/>
        <w:rPr>
          <w:rtl/>
        </w:rPr>
      </w:pPr>
    </w:p>
    <w:p w14:paraId="3D19FE90" w14:textId="77777777" w:rsidR="00792797" w:rsidRDefault="00792797" w:rsidP="00792797">
      <w:pPr>
        <w:pStyle w:val="ListParagraph"/>
        <w:spacing w:line="360" w:lineRule="auto"/>
        <w:ind w:left="360"/>
        <w:jc w:val="both"/>
        <w:rPr>
          <w:b/>
          <w:bCs/>
          <w:rtl/>
        </w:rPr>
      </w:pPr>
      <w:r>
        <w:rPr>
          <w:rFonts w:hint="cs"/>
          <w:b/>
          <w:bCs/>
          <w:u w:val="single"/>
          <w:rtl/>
        </w:rPr>
        <w:t xml:space="preserve">דיון </w:t>
      </w:r>
    </w:p>
    <w:p w14:paraId="2947AD69" w14:textId="77777777" w:rsidR="00792797" w:rsidRDefault="00792797" w:rsidP="00792797">
      <w:pPr>
        <w:spacing w:line="360" w:lineRule="auto"/>
        <w:jc w:val="both"/>
        <w:rPr>
          <w:rtl/>
        </w:rPr>
      </w:pPr>
    </w:p>
    <w:p w14:paraId="3DD4597B" w14:textId="77777777" w:rsidR="00792797" w:rsidRDefault="00792797" w:rsidP="00792797">
      <w:pPr>
        <w:pStyle w:val="ListParagraph"/>
        <w:numPr>
          <w:ilvl w:val="0"/>
          <w:numId w:val="1"/>
        </w:numPr>
        <w:spacing w:line="360" w:lineRule="auto"/>
        <w:jc w:val="both"/>
        <w:rPr>
          <w:rtl/>
        </w:rPr>
      </w:pPr>
      <w:r>
        <w:rPr>
          <w:rFonts w:hint="cs"/>
          <w:rtl/>
        </w:rPr>
        <w:t xml:space="preserve">הערכים החברתיים שנפגעו הם שמירה על שלום הציבור ובטחונו ושמירה על הרכוש. הנאשם לא נטל חלק בתכנון ביצוע העבירה וחלקו היחסי היה כמסייע בלבד ואף זה ברף בינוני ופחות מכך כאשר הוא מילא תפקיד המסיע בלבד. הסיבות שהביאו אותו לבצע את העבירה היו כמובן פסולות ולמרות גילו הוא היה צריך להבין את הפסול במעשיו ולהמנע מביצוע העבירה. </w:t>
      </w:r>
    </w:p>
    <w:p w14:paraId="16799057" w14:textId="77777777" w:rsidR="00792797" w:rsidRDefault="00792797" w:rsidP="00792797">
      <w:pPr>
        <w:spacing w:line="360" w:lineRule="auto"/>
        <w:jc w:val="both"/>
        <w:rPr>
          <w:rtl/>
        </w:rPr>
      </w:pPr>
    </w:p>
    <w:p w14:paraId="50A3061D" w14:textId="77777777" w:rsidR="00792797" w:rsidRDefault="00792797" w:rsidP="00792797">
      <w:pPr>
        <w:pStyle w:val="ListParagraph"/>
        <w:numPr>
          <w:ilvl w:val="0"/>
          <w:numId w:val="1"/>
        </w:numPr>
        <w:spacing w:line="360" w:lineRule="auto"/>
        <w:jc w:val="both"/>
        <w:rPr>
          <w:rtl/>
        </w:rPr>
      </w:pPr>
      <w:r>
        <w:rPr>
          <w:rFonts w:hint="cs"/>
          <w:rtl/>
        </w:rPr>
        <w:t xml:space="preserve">כאמור בפסקי הדין אשר אוזכרו לעיל על ידי הצדדים, מדיניות הענישה בגין עבירות הסיוע במקרה הנוכחי נעות בין 6 חודשי מאסר לבין שנתיים מאסר. </w:t>
      </w:r>
    </w:p>
    <w:p w14:paraId="192E5C55" w14:textId="77777777" w:rsidR="00792797" w:rsidRDefault="00792797" w:rsidP="00792797">
      <w:pPr>
        <w:spacing w:line="360" w:lineRule="auto"/>
        <w:jc w:val="both"/>
        <w:rPr>
          <w:rtl/>
        </w:rPr>
      </w:pPr>
    </w:p>
    <w:p w14:paraId="2298DB88" w14:textId="77777777" w:rsidR="00792797" w:rsidRDefault="00792797" w:rsidP="00792797">
      <w:pPr>
        <w:pStyle w:val="ListParagraph"/>
        <w:numPr>
          <w:ilvl w:val="0"/>
          <w:numId w:val="1"/>
        </w:numPr>
        <w:spacing w:line="360" w:lineRule="auto"/>
        <w:jc w:val="both"/>
        <w:rPr>
          <w:rtl/>
        </w:rPr>
      </w:pPr>
      <w:r>
        <w:rPr>
          <w:rFonts w:hint="cs"/>
          <w:rtl/>
        </w:rPr>
        <w:t xml:space="preserve">לעניין קביעת העונש בתוך המתחם, יש לציין את הודאתו המיידית של הנאשם ושיתוף הפעולה עם רשויות החקירה לכשנעצר. אין לזקוף לחובתו במקרה זה את העובדה כי הנשק לא נתפס כי לא הוא שלט על מקום המצאו. בנוסף, יצויין לקולא גילו הצעיר וכי כפי שצויין בתסקיר כי הוא עדיין מגבש את אישיותו. כמו כן, אין לחובתו עבר פלילי הקודם. </w:t>
      </w:r>
    </w:p>
    <w:p w14:paraId="5D2AC227" w14:textId="77777777" w:rsidR="00792797" w:rsidRDefault="00792797" w:rsidP="00792797">
      <w:pPr>
        <w:spacing w:line="360" w:lineRule="auto"/>
        <w:jc w:val="both"/>
        <w:rPr>
          <w:rtl/>
        </w:rPr>
      </w:pPr>
    </w:p>
    <w:p w14:paraId="4C673286" w14:textId="77777777" w:rsidR="00792797" w:rsidRDefault="00792797" w:rsidP="00792797">
      <w:pPr>
        <w:pStyle w:val="ListParagraph"/>
        <w:numPr>
          <w:ilvl w:val="0"/>
          <w:numId w:val="1"/>
        </w:numPr>
        <w:spacing w:line="360" w:lineRule="auto"/>
        <w:jc w:val="both"/>
      </w:pPr>
      <w:r>
        <w:rPr>
          <w:rFonts w:hint="cs"/>
          <w:rtl/>
        </w:rPr>
        <w:t xml:space="preserve">לא מצאתי כי יש לדחות את ההמלצות בתסקיר באופן אוטומטי לאור חומרת העבירות. הענישה הינה כידוע אינדיווידואלית ויתכן ומכיוון שמדובר באדם שטרם סיים לגבש את אורחות חייו, כי השהות בקרב  עבריינים – במידה ויוטל עונש מאסר בפועל – תשפיע עליו לרעה. </w:t>
      </w:r>
    </w:p>
    <w:p w14:paraId="2E0A2F26" w14:textId="77777777" w:rsidR="00792797" w:rsidRDefault="00792797" w:rsidP="00792797">
      <w:pPr>
        <w:pStyle w:val="ListParagraph"/>
        <w:spacing w:line="360" w:lineRule="auto"/>
        <w:jc w:val="both"/>
      </w:pPr>
    </w:p>
    <w:p w14:paraId="57BF90EE" w14:textId="77777777" w:rsidR="00792797" w:rsidRDefault="00792797" w:rsidP="00792797">
      <w:pPr>
        <w:pStyle w:val="ListParagraph"/>
        <w:numPr>
          <w:ilvl w:val="0"/>
          <w:numId w:val="1"/>
        </w:numPr>
        <w:spacing w:line="360" w:lineRule="auto"/>
        <w:jc w:val="both"/>
      </w:pPr>
      <w:r>
        <w:rPr>
          <w:rFonts w:hint="cs"/>
          <w:rtl/>
        </w:rPr>
        <w:t xml:space="preserve">במקרה זה, לאחר קבלת חוות דעת הממונה על עבודות שירות, ובעקבות כך שמדובר באדם ללא עבר פלילי שניתן לגביו תסקיר חיובי, החלטתי שיש להטיל עליו עונש מקל בקצה הנמוך של מתחם הענישה ובצד זאת להטיל מאסר על תנאי משמעותי צופה פני עתיד. </w:t>
      </w:r>
    </w:p>
    <w:p w14:paraId="6B27E947" w14:textId="77777777" w:rsidR="00792797" w:rsidRDefault="00792797" w:rsidP="00792797">
      <w:pPr>
        <w:pStyle w:val="ListParagraph"/>
        <w:spacing w:line="360" w:lineRule="auto"/>
        <w:jc w:val="both"/>
      </w:pPr>
    </w:p>
    <w:p w14:paraId="752D3B6E" w14:textId="77777777" w:rsidR="00792797" w:rsidRDefault="00792797" w:rsidP="00792797">
      <w:pPr>
        <w:spacing w:line="360" w:lineRule="auto"/>
        <w:jc w:val="both"/>
        <w:rPr>
          <w:rtl/>
        </w:rPr>
      </w:pPr>
      <w:r>
        <w:rPr>
          <w:rFonts w:hint="cs"/>
          <w:rtl/>
        </w:rPr>
        <w:t>19.</w:t>
      </w:r>
      <w:r>
        <w:rPr>
          <w:rFonts w:hint="cs"/>
          <w:rtl/>
        </w:rPr>
        <w:tab/>
        <w:t xml:space="preserve">אשר על כן הנני מטיל על הנאשם עונש כדלקמן: </w:t>
      </w:r>
    </w:p>
    <w:p w14:paraId="634DE7DD" w14:textId="77777777" w:rsidR="00792797" w:rsidRDefault="00792797" w:rsidP="00792797">
      <w:pPr>
        <w:pStyle w:val="ListParagraph"/>
        <w:numPr>
          <w:ilvl w:val="0"/>
          <w:numId w:val="2"/>
        </w:numPr>
        <w:spacing w:line="360" w:lineRule="auto"/>
        <w:jc w:val="both"/>
        <w:rPr>
          <w:rtl/>
        </w:rPr>
      </w:pPr>
      <w:r>
        <w:rPr>
          <w:rFonts w:hint="cs"/>
          <w:rtl/>
        </w:rPr>
        <w:t xml:space="preserve">6 חודשי מאסר שירוצו בדרך של עבודות שרות בהתאם לחוות הדעת מיום 26.9.16. על הנאשם להתייצב לצורך קליטה ומיון ביום 10.1.07 במשרדי הממונה על עבודות שירות בשעה 08:00 במפקדת מחוז צפון יחידת עבודות שירות ברחוב הציונות 14 טבריה. </w:t>
      </w:r>
    </w:p>
    <w:p w14:paraId="3EC501B2" w14:textId="77777777" w:rsidR="00792797" w:rsidRDefault="00792797" w:rsidP="00792797">
      <w:pPr>
        <w:pStyle w:val="ListParagraph"/>
        <w:numPr>
          <w:ilvl w:val="0"/>
          <w:numId w:val="2"/>
        </w:numPr>
        <w:spacing w:line="360" w:lineRule="auto"/>
        <w:jc w:val="both"/>
        <w:rPr>
          <w:rtl/>
        </w:rPr>
      </w:pPr>
      <w:r>
        <w:rPr>
          <w:rFonts w:hint="cs"/>
          <w:rtl/>
        </w:rPr>
        <w:t xml:space="preserve">12 חודשי מאסר על תנאי למשך 3 שנים מיום שחרורו שיופעל במידה והנאשם יעבור עבירות רכוש, אלימות או נשק מסוג פשע. </w:t>
      </w:r>
    </w:p>
    <w:p w14:paraId="26DEDF89" w14:textId="77777777" w:rsidR="00792797" w:rsidRDefault="00792797" w:rsidP="00792797">
      <w:pPr>
        <w:pStyle w:val="ListParagraph"/>
        <w:numPr>
          <w:ilvl w:val="0"/>
          <w:numId w:val="2"/>
        </w:numPr>
        <w:spacing w:line="360" w:lineRule="auto"/>
        <w:jc w:val="both"/>
      </w:pPr>
      <w:r>
        <w:rPr>
          <w:rFonts w:hint="cs"/>
          <w:rtl/>
        </w:rPr>
        <w:t xml:space="preserve">6 חודשי מאסר על תנאי למשך 3 שנים מיום שחרורו שיופעל במידה והנאשם יעבור עבירות רכוש, אלימות או נשק מסוג עוון. </w:t>
      </w:r>
    </w:p>
    <w:p w14:paraId="4F324464" w14:textId="77777777" w:rsidR="00792797" w:rsidRDefault="00792797" w:rsidP="00792797">
      <w:pPr>
        <w:pStyle w:val="ListParagraph"/>
        <w:numPr>
          <w:ilvl w:val="0"/>
          <w:numId w:val="2"/>
        </w:numPr>
        <w:spacing w:line="360" w:lineRule="auto"/>
        <w:jc w:val="both"/>
      </w:pPr>
      <w:r>
        <w:rPr>
          <w:rFonts w:hint="cs"/>
          <w:rtl/>
        </w:rPr>
        <w:t xml:space="preserve">הנאשם ישלם קנס בסך 5,000 ₪ עד ליום 31.12.16. </w:t>
      </w:r>
    </w:p>
    <w:p w14:paraId="56767DF4" w14:textId="77777777" w:rsidR="00792797" w:rsidRDefault="00792797" w:rsidP="00792797">
      <w:pPr>
        <w:pStyle w:val="ListParagraph"/>
        <w:numPr>
          <w:ilvl w:val="0"/>
          <w:numId w:val="2"/>
        </w:numPr>
        <w:spacing w:line="360" w:lineRule="auto"/>
        <w:jc w:val="both"/>
      </w:pPr>
      <w:r>
        <w:rPr>
          <w:rFonts w:hint="cs"/>
          <w:rtl/>
        </w:rPr>
        <w:t xml:space="preserve">הנאשם ישלם למתלונן פיצוי בסך 2,500 ₪ עד ליום 31.12.16. </w:t>
      </w:r>
    </w:p>
    <w:p w14:paraId="1ACADA60" w14:textId="77777777" w:rsidR="00792797" w:rsidRDefault="00792797" w:rsidP="00792797">
      <w:pPr>
        <w:spacing w:line="360" w:lineRule="auto"/>
        <w:jc w:val="both"/>
        <w:rPr>
          <w:sz w:val="6"/>
          <w:szCs w:val="6"/>
          <w:rtl/>
        </w:rPr>
      </w:pPr>
      <w:r>
        <w:rPr>
          <w:rFonts w:hint="cs"/>
          <w:sz w:val="6"/>
          <w:szCs w:val="6"/>
          <w:rtl/>
        </w:rPr>
        <w:t>&lt;#3#&gt;</w:t>
      </w:r>
    </w:p>
    <w:p w14:paraId="73285B74" w14:textId="77777777" w:rsidR="00792797" w:rsidRPr="00B05847" w:rsidRDefault="00792797" w:rsidP="00792797">
      <w:pPr>
        <w:rPr>
          <w:rtl/>
        </w:rPr>
      </w:pPr>
    </w:p>
    <w:p w14:paraId="6E497563" w14:textId="77777777" w:rsidR="00792797" w:rsidRPr="0032653C" w:rsidRDefault="00792797" w:rsidP="00792797">
      <w:pPr>
        <w:rPr>
          <w:b/>
          <w:bCs/>
          <w:u w:val="single"/>
          <w:rtl/>
        </w:rPr>
      </w:pPr>
      <w:r>
        <w:rPr>
          <w:rFonts w:hint="cs"/>
          <w:b/>
          <w:bCs/>
          <w:u w:val="single"/>
          <w:rtl/>
        </w:rPr>
        <w:t xml:space="preserve">זכות ערעור תוך 45 ימים. </w:t>
      </w:r>
    </w:p>
    <w:p w14:paraId="132947BC" w14:textId="77777777" w:rsidR="00792797" w:rsidRPr="00B05847" w:rsidRDefault="00792797" w:rsidP="00792797">
      <w:pPr>
        <w:rPr>
          <w:rtl/>
        </w:rPr>
      </w:pPr>
    </w:p>
    <w:p w14:paraId="31B1B903" w14:textId="77777777" w:rsidR="00792797" w:rsidRPr="00B05847" w:rsidRDefault="00792797" w:rsidP="00792797">
      <w:pPr>
        <w:rPr>
          <w:rtl/>
        </w:rPr>
      </w:pPr>
    </w:p>
    <w:p w14:paraId="0A136709" w14:textId="77777777" w:rsidR="00792797" w:rsidRDefault="0067544E" w:rsidP="00792797">
      <w:pPr>
        <w:jc w:val="center"/>
      </w:pPr>
      <w:r>
        <w:rPr>
          <w:rFonts w:ascii="Arial" w:hAnsi="Arial"/>
          <w:rtl/>
        </w:rPr>
        <w:t xml:space="preserve">ניתן היום,  כ"ו אלול תשע"ו, 29 ספטמבר 2016, בנוכחות הצדדים.       </w:t>
      </w:r>
    </w:p>
    <w:p w14:paraId="25646790" w14:textId="77777777" w:rsidR="00792797" w:rsidRPr="0067544E" w:rsidRDefault="0067544E" w:rsidP="00792797">
      <w:pPr>
        <w:jc w:val="right"/>
        <w:rPr>
          <w:rFonts w:ascii="David" w:hAnsi="David"/>
          <w:color w:val="FFFFFF"/>
          <w:sz w:val="2"/>
          <w:szCs w:val="2"/>
          <w:rtl/>
        </w:rPr>
      </w:pPr>
      <w:r w:rsidRPr="0067544E">
        <w:rPr>
          <w:rFonts w:ascii="David" w:hAnsi="David"/>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792797" w14:paraId="6CBA1E88" w14:textId="77777777">
        <w:trPr>
          <w:trHeight w:val="316"/>
          <w:jc w:val="right"/>
        </w:trPr>
        <w:tc>
          <w:tcPr>
            <w:tcW w:w="3936" w:type="dxa"/>
            <w:tcBorders>
              <w:top w:val="nil"/>
              <w:left w:val="nil"/>
              <w:bottom w:val="single" w:sz="4" w:space="0" w:color="auto"/>
              <w:right w:val="nil"/>
            </w:tcBorders>
            <w:shd w:val="clear" w:color="auto" w:fill="auto"/>
          </w:tcPr>
          <w:p w14:paraId="17E5C7FF" w14:textId="77777777" w:rsidR="00792797" w:rsidRPr="0067544E" w:rsidRDefault="0067544E" w:rsidP="0067544E">
            <w:pPr>
              <w:jc w:val="center"/>
              <w:rPr>
                <w:color w:val="FFFFFF"/>
                <w:sz w:val="2"/>
                <w:szCs w:val="2"/>
                <w:rtl/>
              </w:rPr>
            </w:pPr>
            <w:r w:rsidRPr="0067544E">
              <w:rPr>
                <w:color w:val="FFFFFF"/>
                <w:sz w:val="2"/>
                <w:szCs w:val="2"/>
                <w:rtl/>
              </w:rPr>
              <w:t>54678313</w:t>
            </w:r>
          </w:p>
          <w:p w14:paraId="65363C74" w14:textId="77777777" w:rsidR="00792797" w:rsidRDefault="00792797" w:rsidP="0067544E">
            <w:pPr>
              <w:jc w:val="center"/>
            </w:pPr>
          </w:p>
        </w:tc>
      </w:tr>
      <w:tr w:rsidR="00792797" w14:paraId="0FD8A11E" w14:textId="77777777">
        <w:trPr>
          <w:trHeight w:val="361"/>
          <w:jc w:val="right"/>
        </w:trPr>
        <w:tc>
          <w:tcPr>
            <w:tcW w:w="3936" w:type="dxa"/>
            <w:tcBorders>
              <w:top w:val="single" w:sz="4" w:space="0" w:color="auto"/>
              <w:left w:val="nil"/>
              <w:bottom w:val="nil"/>
              <w:right w:val="nil"/>
            </w:tcBorders>
            <w:shd w:val="clear" w:color="auto" w:fill="auto"/>
          </w:tcPr>
          <w:p w14:paraId="3B3232EE" w14:textId="77777777" w:rsidR="00792797" w:rsidRPr="00BF74F9" w:rsidRDefault="00792797" w:rsidP="0067544E">
            <w:pPr>
              <w:jc w:val="center"/>
              <w:rPr>
                <w:b/>
                <w:bCs/>
                <w:rtl/>
              </w:rPr>
            </w:pPr>
            <w:r w:rsidRPr="00BF74F9">
              <w:rPr>
                <w:rFonts w:hint="cs"/>
                <w:b/>
                <w:bCs/>
                <w:rtl/>
              </w:rPr>
              <w:t xml:space="preserve">דניאל </w:t>
            </w:r>
            <w:r w:rsidRPr="00BF74F9">
              <w:rPr>
                <w:rFonts w:cs="Times New Roman" w:hint="cs"/>
                <w:b/>
                <w:bCs/>
                <w:rtl/>
              </w:rPr>
              <w:t>פיש</w:t>
            </w:r>
            <w:r w:rsidRPr="00BF74F9">
              <w:rPr>
                <w:rFonts w:hint="cs"/>
                <w:b/>
                <w:bCs/>
                <w:rtl/>
              </w:rPr>
              <w:t xml:space="preserve"> , </w:t>
            </w:r>
            <w:r w:rsidRPr="00BF74F9">
              <w:rPr>
                <w:rFonts w:cs="Times New Roman" w:hint="cs"/>
                <w:b/>
                <w:bCs/>
                <w:rtl/>
              </w:rPr>
              <w:t>שופט</w:t>
            </w:r>
            <w:r w:rsidRPr="00BF74F9">
              <w:rPr>
                <w:rFonts w:hint="cs"/>
                <w:b/>
                <w:bCs/>
                <w:rtl/>
              </w:rPr>
              <w:t xml:space="preserve"> </w:t>
            </w:r>
          </w:p>
        </w:tc>
      </w:tr>
    </w:tbl>
    <w:p w14:paraId="04A9A869" w14:textId="77777777" w:rsidR="00792797" w:rsidRDefault="00792797" w:rsidP="00792797">
      <w:pPr>
        <w:jc w:val="right"/>
        <w:rPr>
          <w:rFonts w:ascii="David" w:hAnsi="David"/>
          <w:rtl/>
        </w:rPr>
      </w:pPr>
    </w:p>
    <w:p w14:paraId="7BAE7392" w14:textId="77777777" w:rsidR="0067544E" w:rsidRPr="0067544E" w:rsidRDefault="0067544E" w:rsidP="0067544E">
      <w:pPr>
        <w:keepNext/>
        <w:rPr>
          <w:rFonts w:ascii="David" w:hAnsi="David"/>
          <w:color w:val="000000"/>
          <w:sz w:val="22"/>
          <w:szCs w:val="22"/>
          <w:rtl/>
        </w:rPr>
      </w:pPr>
    </w:p>
    <w:p w14:paraId="6E94A76A" w14:textId="77777777" w:rsidR="0067544E" w:rsidRPr="0067544E" w:rsidRDefault="0067544E" w:rsidP="0067544E">
      <w:pPr>
        <w:keepNext/>
        <w:rPr>
          <w:rFonts w:ascii="David" w:hAnsi="David"/>
          <w:color w:val="000000"/>
          <w:sz w:val="22"/>
          <w:szCs w:val="22"/>
          <w:rtl/>
        </w:rPr>
      </w:pPr>
      <w:r w:rsidRPr="0067544E">
        <w:rPr>
          <w:rFonts w:ascii="David" w:hAnsi="David"/>
          <w:color w:val="000000"/>
          <w:sz w:val="22"/>
          <w:szCs w:val="22"/>
          <w:rtl/>
        </w:rPr>
        <w:t>דניאל פיש 54678313</w:t>
      </w:r>
    </w:p>
    <w:p w14:paraId="57E7859E" w14:textId="77777777" w:rsidR="0067544E" w:rsidRDefault="0067544E" w:rsidP="0067544E">
      <w:r w:rsidRPr="0067544E">
        <w:rPr>
          <w:color w:val="000000"/>
          <w:rtl/>
        </w:rPr>
        <w:t>נוסח מסמך זה כפוף לשינויי ניסוח ועריכה</w:t>
      </w:r>
    </w:p>
    <w:p w14:paraId="67FDDED4" w14:textId="77777777" w:rsidR="0067544E" w:rsidRDefault="0067544E" w:rsidP="0067544E">
      <w:pPr>
        <w:rPr>
          <w:rtl/>
        </w:rPr>
      </w:pPr>
    </w:p>
    <w:p w14:paraId="115A6274" w14:textId="77777777" w:rsidR="0067544E" w:rsidRDefault="0067544E" w:rsidP="0067544E">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r w:rsidR="002B235A">
        <w:rPr>
          <w:rFonts w:hint="cs"/>
          <w:color w:val="0000FF"/>
          <w:u w:val="single"/>
          <w:rtl/>
        </w:rPr>
        <w:t xml:space="preserve"> </w:t>
      </w:r>
    </w:p>
    <w:p w14:paraId="537FC425" w14:textId="77777777" w:rsidR="00B35717" w:rsidRPr="0067544E" w:rsidRDefault="00B35717" w:rsidP="0067544E">
      <w:pPr>
        <w:jc w:val="center"/>
        <w:rPr>
          <w:color w:val="0000FF"/>
          <w:u w:val="single"/>
        </w:rPr>
      </w:pPr>
    </w:p>
    <w:sectPr w:rsidR="00B35717" w:rsidRPr="0067544E" w:rsidSect="0067544E">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738FE" w14:textId="77777777" w:rsidR="0080775A" w:rsidRDefault="0080775A">
      <w:r>
        <w:separator/>
      </w:r>
    </w:p>
  </w:endnote>
  <w:endnote w:type="continuationSeparator" w:id="0">
    <w:p w14:paraId="70E17B8B" w14:textId="77777777" w:rsidR="0080775A" w:rsidRDefault="00807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B078A" w14:textId="77777777" w:rsidR="00D30DF8" w:rsidRDefault="00D30DF8" w:rsidP="0067544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BED1080" w14:textId="77777777" w:rsidR="00D30DF8" w:rsidRPr="0067544E" w:rsidRDefault="00D30DF8" w:rsidP="0067544E">
    <w:pPr>
      <w:pStyle w:val="a4"/>
      <w:pBdr>
        <w:top w:val="single" w:sz="4" w:space="1" w:color="auto"/>
        <w:between w:val="single" w:sz="4" w:space="0" w:color="auto"/>
      </w:pBdr>
      <w:spacing w:after="60"/>
      <w:jc w:val="center"/>
      <w:rPr>
        <w:rFonts w:ascii="FrankRuehl" w:hAnsi="FrankRuehl" w:cs="FrankRuehl"/>
        <w:color w:val="000000"/>
      </w:rPr>
    </w:pPr>
    <w:r w:rsidRPr="0067544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DA0FD" w14:textId="77777777" w:rsidR="00D30DF8" w:rsidRDefault="00D30DF8" w:rsidP="0067544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1526B">
      <w:rPr>
        <w:rFonts w:ascii="FrankRuehl" w:hAnsi="FrankRuehl" w:cs="FrankRuehl"/>
        <w:noProof/>
        <w:rtl/>
      </w:rPr>
      <w:t>1</w:t>
    </w:r>
    <w:r>
      <w:rPr>
        <w:rFonts w:ascii="FrankRuehl" w:hAnsi="FrankRuehl" w:cs="FrankRuehl"/>
        <w:rtl/>
      </w:rPr>
      <w:fldChar w:fldCharType="end"/>
    </w:r>
  </w:p>
  <w:p w14:paraId="7B05CBC5" w14:textId="77777777" w:rsidR="00D30DF8" w:rsidRPr="0067544E" w:rsidRDefault="00D30DF8" w:rsidP="0067544E">
    <w:pPr>
      <w:pStyle w:val="a4"/>
      <w:pBdr>
        <w:top w:val="single" w:sz="4" w:space="1" w:color="auto"/>
        <w:between w:val="single" w:sz="4" w:space="0" w:color="auto"/>
      </w:pBdr>
      <w:spacing w:after="60"/>
      <w:jc w:val="center"/>
      <w:rPr>
        <w:rFonts w:ascii="FrankRuehl" w:hAnsi="FrankRuehl" w:cs="FrankRuehl"/>
        <w:color w:val="000000"/>
      </w:rPr>
    </w:pPr>
    <w:r w:rsidRPr="0067544E">
      <w:rPr>
        <w:rFonts w:ascii="FrankRuehl" w:hAnsi="FrankRuehl" w:cs="FrankRuehl"/>
        <w:color w:val="000000"/>
      </w:rPr>
      <w:pict w14:anchorId="6F1A2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FC6BF8" w14:textId="77777777" w:rsidR="0080775A" w:rsidRDefault="0080775A">
      <w:r>
        <w:separator/>
      </w:r>
    </w:p>
  </w:footnote>
  <w:footnote w:type="continuationSeparator" w:id="0">
    <w:p w14:paraId="5621C3CB" w14:textId="77777777" w:rsidR="0080775A" w:rsidRDefault="00807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76441" w14:textId="77777777" w:rsidR="00D30DF8" w:rsidRPr="0067544E" w:rsidRDefault="00D30DF8" w:rsidP="006754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1589-02-16</w:t>
    </w:r>
    <w:r>
      <w:rPr>
        <w:rFonts w:ascii="David" w:hAnsi="David"/>
        <w:color w:val="000000"/>
        <w:sz w:val="22"/>
        <w:szCs w:val="22"/>
        <w:rtl/>
      </w:rPr>
      <w:tab/>
      <w:t xml:space="preserve"> מדינת ישראל נ' אנס אגבאריה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A1CB3" w14:textId="77777777" w:rsidR="00D30DF8" w:rsidRPr="0067544E" w:rsidRDefault="00D30DF8" w:rsidP="0067544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1589-02-16</w:t>
    </w:r>
    <w:r>
      <w:rPr>
        <w:rFonts w:ascii="David" w:hAnsi="David"/>
        <w:color w:val="000000"/>
        <w:sz w:val="22"/>
        <w:szCs w:val="22"/>
        <w:rtl/>
      </w:rPr>
      <w:tab/>
      <w:t xml:space="preserve"> מדינת ישראל נ' אנס אגבאריה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9C2326"/>
    <w:multiLevelType w:val="hybridMultilevel"/>
    <w:tmpl w:val="4F002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9E93CC7"/>
    <w:multiLevelType w:val="hybridMultilevel"/>
    <w:tmpl w:val="9D50AE94"/>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73517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7407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92797"/>
    <w:rsid w:val="00004B4A"/>
    <w:rsid w:val="000258C6"/>
    <w:rsid w:val="00066B24"/>
    <w:rsid w:val="00092DB2"/>
    <w:rsid w:val="000B222D"/>
    <w:rsid w:val="000F3716"/>
    <w:rsid w:val="000F776E"/>
    <w:rsid w:val="001163D9"/>
    <w:rsid w:val="00123268"/>
    <w:rsid w:val="0013605C"/>
    <w:rsid w:val="0015154B"/>
    <w:rsid w:val="0017711A"/>
    <w:rsid w:val="00203146"/>
    <w:rsid w:val="00206EF5"/>
    <w:rsid w:val="002474C9"/>
    <w:rsid w:val="002B1389"/>
    <w:rsid w:val="002B235A"/>
    <w:rsid w:val="002D2C1C"/>
    <w:rsid w:val="002E4BA2"/>
    <w:rsid w:val="00327617"/>
    <w:rsid w:val="00371D27"/>
    <w:rsid w:val="00374124"/>
    <w:rsid w:val="003C709F"/>
    <w:rsid w:val="003D65D3"/>
    <w:rsid w:val="003E51B4"/>
    <w:rsid w:val="003F02C5"/>
    <w:rsid w:val="00417666"/>
    <w:rsid w:val="004D1A95"/>
    <w:rsid w:val="004D5997"/>
    <w:rsid w:val="0051526B"/>
    <w:rsid w:val="00533D5C"/>
    <w:rsid w:val="00551C5E"/>
    <w:rsid w:val="005638FB"/>
    <w:rsid w:val="00582B08"/>
    <w:rsid w:val="005847C1"/>
    <w:rsid w:val="005B4DDE"/>
    <w:rsid w:val="005E305D"/>
    <w:rsid w:val="00631AF6"/>
    <w:rsid w:val="00671477"/>
    <w:rsid w:val="0067544E"/>
    <w:rsid w:val="006D1E81"/>
    <w:rsid w:val="00710EDB"/>
    <w:rsid w:val="007171C2"/>
    <w:rsid w:val="00720984"/>
    <w:rsid w:val="00733E47"/>
    <w:rsid w:val="007900C5"/>
    <w:rsid w:val="00792797"/>
    <w:rsid w:val="007A3B68"/>
    <w:rsid w:val="007D10E0"/>
    <w:rsid w:val="007E62CB"/>
    <w:rsid w:val="008043FC"/>
    <w:rsid w:val="008057C3"/>
    <w:rsid w:val="0080775A"/>
    <w:rsid w:val="00860D56"/>
    <w:rsid w:val="00866CE3"/>
    <w:rsid w:val="00875CAA"/>
    <w:rsid w:val="008760F0"/>
    <w:rsid w:val="008B2C82"/>
    <w:rsid w:val="008D4AF6"/>
    <w:rsid w:val="00901DEA"/>
    <w:rsid w:val="00913EC5"/>
    <w:rsid w:val="009273C9"/>
    <w:rsid w:val="00946CA3"/>
    <w:rsid w:val="009A4E50"/>
    <w:rsid w:val="009A720E"/>
    <w:rsid w:val="009B4682"/>
    <w:rsid w:val="009D423B"/>
    <w:rsid w:val="00A03304"/>
    <w:rsid w:val="00A24369"/>
    <w:rsid w:val="00A472AB"/>
    <w:rsid w:val="00A52B25"/>
    <w:rsid w:val="00A96648"/>
    <w:rsid w:val="00AE1669"/>
    <w:rsid w:val="00B07251"/>
    <w:rsid w:val="00B10E9A"/>
    <w:rsid w:val="00B24722"/>
    <w:rsid w:val="00B35717"/>
    <w:rsid w:val="00B37A30"/>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E616C"/>
    <w:rsid w:val="00D11A80"/>
    <w:rsid w:val="00D308EF"/>
    <w:rsid w:val="00D30DF8"/>
    <w:rsid w:val="00D357B5"/>
    <w:rsid w:val="00D40041"/>
    <w:rsid w:val="00D56203"/>
    <w:rsid w:val="00D807AC"/>
    <w:rsid w:val="00DD36BA"/>
    <w:rsid w:val="00DE1662"/>
    <w:rsid w:val="00E45CCB"/>
    <w:rsid w:val="00E61C95"/>
    <w:rsid w:val="00EA60CD"/>
    <w:rsid w:val="00EE2A1B"/>
    <w:rsid w:val="00F274FE"/>
    <w:rsid w:val="00FD02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55CC2D"/>
  <w15:chartTrackingRefBased/>
  <w15:docId w15:val="{F6FEF310-CA17-417C-8313-A69E99D7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9279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92797"/>
    <w:pPr>
      <w:tabs>
        <w:tab w:val="center" w:pos="4153"/>
        <w:tab w:val="right" w:pos="8306"/>
      </w:tabs>
    </w:pPr>
  </w:style>
  <w:style w:type="paragraph" w:styleId="a4">
    <w:name w:val="footer"/>
    <w:basedOn w:val="a"/>
    <w:rsid w:val="00792797"/>
    <w:pPr>
      <w:tabs>
        <w:tab w:val="center" w:pos="4153"/>
        <w:tab w:val="right" w:pos="8306"/>
      </w:tabs>
    </w:pPr>
  </w:style>
  <w:style w:type="character" w:styleId="a5">
    <w:name w:val="page number"/>
    <w:basedOn w:val="a0"/>
    <w:rsid w:val="00792797"/>
  </w:style>
  <w:style w:type="paragraph" w:customStyle="1" w:styleId="ListParagraph">
    <w:name w:val="List Paragraph"/>
    <w:basedOn w:val="a"/>
    <w:qFormat/>
    <w:rsid w:val="00792797"/>
    <w:pPr>
      <w:ind w:left="720"/>
      <w:contextualSpacing/>
    </w:pPr>
  </w:style>
  <w:style w:type="character" w:styleId="Hyperlink">
    <w:name w:val="Hyperlink"/>
    <w:rsid w:val="006754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40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762686" TargetMode="External"/><Relationship Id="rId39" Type="http://schemas.openxmlformats.org/officeDocument/2006/relationships/header" Target="header1.xml"/><Relationship Id="rId21" Type="http://schemas.openxmlformats.org/officeDocument/2006/relationships/hyperlink" Target="http://www.nevo.co.il/law/70301/338.5" TargetMode="External"/><Relationship Id="rId34" Type="http://schemas.openxmlformats.org/officeDocument/2006/relationships/hyperlink" Target="http://www.nevo.co.il/case/7791493" TargetMode="External"/><Relationship Id="rId42"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law/70301/31" TargetMode="External"/><Relationship Id="rId29" Type="http://schemas.openxmlformats.org/officeDocument/2006/relationships/hyperlink" Target="http://www.nevo.co.il/case/7697292"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c1" TargetMode="External"/><Relationship Id="rId24" Type="http://schemas.openxmlformats.org/officeDocument/2006/relationships/hyperlink" Target="http://www.nevo.co.il/law/70301/31" TargetMode="External"/><Relationship Id="rId32" Type="http://schemas.openxmlformats.org/officeDocument/2006/relationships/hyperlink" Target="http://www.nevo.co.il/case/16944929" TargetMode="External"/><Relationship Id="rId37" Type="http://schemas.openxmlformats.org/officeDocument/2006/relationships/hyperlink" Target="http://www.nevo.co.il/case/18164843"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law/70301/413e" TargetMode="External"/><Relationship Id="rId28" Type="http://schemas.openxmlformats.org/officeDocument/2006/relationships/hyperlink" Target="http://www.nevo.co.il/case/13097162" TargetMode="External"/><Relationship Id="rId36" Type="http://schemas.openxmlformats.org/officeDocument/2006/relationships/hyperlink" Target="http://www.nevo.co.il/case/10507558"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340a" TargetMode="External"/><Relationship Id="rId31" Type="http://schemas.openxmlformats.org/officeDocument/2006/relationships/hyperlink" Target="http://www.nevo.co.il/case/1691373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413e" TargetMode="External"/><Relationship Id="rId22" Type="http://schemas.openxmlformats.org/officeDocument/2006/relationships/hyperlink" Target="http://www.nevo.co.il/law/70301/31" TargetMode="External"/><Relationship Id="rId27" Type="http://schemas.openxmlformats.org/officeDocument/2006/relationships/hyperlink" Target="http://www.nevo.co.il/case/7697292" TargetMode="External"/><Relationship Id="rId30" Type="http://schemas.openxmlformats.org/officeDocument/2006/relationships/hyperlink" Target="http://www.nevo.co.il/case/20115885" TargetMode="External"/><Relationship Id="rId35" Type="http://schemas.openxmlformats.org/officeDocument/2006/relationships/hyperlink" Target="http://www.nevo.co.il/case/20772444" TargetMode="External"/><Relationship Id="rId43" Type="http://schemas.openxmlformats.org/officeDocument/2006/relationships/fontTable" Target="fontTable.xml"/><Relationship Id="rId8" Type="http://schemas.openxmlformats.org/officeDocument/2006/relationships/hyperlink" Target="http://www.nevo.co.il/law/70301/31" TargetMode="External"/><Relationship Id="rId3" Type="http://schemas.openxmlformats.org/officeDocument/2006/relationships/settings" Target="settings.xml"/><Relationship Id="rId12" Type="http://schemas.openxmlformats.org/officeDocument/2006/relationships/hyperlink" Target="http://www.nevo.co.il/law/70301/338.5" TargetMode="External"/><Relationship Id="rId17" Type="http://schemas.openxmlformats.org/officeDocument/2006/relationships/hyperlink" Target="http://www.nevo.co.il/law/70301/144.c1" TargetMode="External"/><Relationship Id="rId25" Type="http://schemas.openxmlformats.org/officeDocument/2006/relationships/hyperlink" Target="http://www.nevo.co.il/case/5887664" TargetMode="External"/><Relationship Id="rId33" Type="http://schemas.openxmlformats.org/officeDocument/2006/relationships/hyperlink" Target="http://www.nevo.co.il/case/6151556"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1733</Words>
  <Characters>8666</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10379</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3145842</vt:i4>
      </vt:variant>
      <vt:variant>
        <vt:i4>90</vt:i4>
      </vt:variant>
      <vt:variant>
        <vt:i4>0</vt:i4>
      </vt:variant>
      <vt:variant>
        <vt:i4>5</vt:i4>
      </vt:variant>
      <vt:variant>
        <vt:lpwstr>http://www.nevo.co.il/case/18164843</vt:lpwstr>
      </vt:variant>
      <vt:variant>
        <vt:lpwstr/>
      </vt:variant>
      <vt:variant>
        <vt:i4>3539057</vt:i4>
      </vt:variant>
      <vt:variant>
        <vt:i4>87</vt:i4>
      </vt:variant>
      <vt:variant>
        <vt:i4>0</vt:i4>
      </vt:variant>
      <vt:variant>
        <vt:i4>5</vt:i4>
      </vt:variant>
      <vt:variant>
        <vt:lpwstr>http://www.nevo.co.il/case/10507558</vt:lpwstr>
      </vt:variant>
      <vt:variant>
        <vt:lpwstr/>
      </vt:variant>
      <vt:variant>
        <vt:i4>3342455</vt:i4>
      </vt:variant>
      <vt:variant>
        <vt:i4>84</vt:i4>
      </vt:variant>
      <vt:variant>
        <vt:i4>0</vt:i4>
      </vt:variant>
      <vt:variant>
        <vt:i4>5</vt:i4>
      </vt:variant>
      <vt:variant>
        <vt:lpwstr>http://www.nevo.co.il/case/20772444</vt:lpwstr>
      </vt:variant>
      <vt:variant>
        <vt:lpwstr/>
      </vt:variant>
      <vt:variant>
        <vt:i4>3735675</vt:i4>
      </vt:variant>
      <vt:variant>
        <vt:i4>81</vt:i4>
      </vt:variant>
      <vt:variant>
        <vt:i4>0</vt:i4>
      </vt:variant>
      <vt:variant>
        <vt:i4>5</vt:i4>
      </vt:variant>
      <vt:variant>
        <vt:lpwstr>http://www.nevo.co.il/case/7791493</vt:lpwstr>
      </vt:variant>
      <vt:variant>
        <vt:lpwstr/>
      </vt:variant>
      <vt:variant>
        <vt:i4>3145841</vt:i4>
      </vt:variant>
      <vt:variant>
        <vt:i4>78</vt:i4>
      </vt:variant>
      <vt:variant>
        <vt:i4>0</vt:i4>
      </vt:variant>
      <vt:variant>
        <vt:i4>5</vt:i4>
      </vt:variant>
      <vt:variant>
        <vt:lpwstr>http://www.nevo.co.il/case/6151556</vt:lpwstr>
      </vt:variant>
      <vt:variant>
        <vt:lpwstr/>
      </vt:variant>
      <vt:variant>
        <vt:i4>4063359</vt:i4>
      </vt:variant>
      <vt:variant>
        <vt:i4>75</vt:i4>
      </vt:variant>
      <vt:variant>
        <vt:i4>0</vt:i4>
      </vt:variant>
      <vt:variant>
        <vt:i4>5</vt:i4>
      </vt:variant>
      <vt:variant>
        <vt:lpwstr>http://www.nevo.co.il/case/16944929</vt:lpwstr>
      </vt:variant>
      <vt:variant>
        <vt:lpwstr/>
      </vt:variant>
      <vt:variant>
        <vt:i4>3670132</vt:i4>
      </vt:variant>
      <vt:variant>
        <vt:i4>72</vt:i4>
      </vt:variant>
      <vt:variant>
        <vt:i4>0</vt:i4>
      </vt:variant>
      <vt:variant>
        <vt:i4>5</vt:i4>
      </vt:variant>
      <vt:variant>
        <vt:lpwstr>http://www.nevo.co.il/case/16913730</vt:lpwstr>
      </vt:variant>
      <vt:variant>
        <vt:lpwstr/>
      </vt:variant>
      <vt:variant>
        <vt:i4>4063357</vt:i4>
      </vt:variant>
      <vt:variant>
        <vt:i4>69</vt:i4>
      </vt:variant>
      <vt:variant>
        <vt:i4>0</vt:i4>
      </vt:variant>
      <vt:variant>
        <vt:i4>5</vt:i4>
      </vt:variant>
      <vt:variant>
        <vt:lpwstr>http://www.nevo.co.il/case/20115885</vt:lpwstr>
      </vt:variant>
      <vt:variant>
        <vt:lpwstr/>
      </vt:variant>
      <vt:variant>
        <vt:i4>4063356</vt:i4>
      </vt:variant>
      <vt:variant>
        <vt:i4>66</vt:i4>
      </vt:variant>
      <vt:variant>
        <vt:i4>0</vt:i4>
      </vt:variant>
      <vt:variant>
        <vt:i4>5</vt:i4>
      </vt:variant>
      <vt:variant>
        <vt:lpwstr>http://www.nevo.co.il/case/7697292</vt:lpwstr>
      </vt:variant>
      <vt:variant>
        <vt:lpwstr/>
      </vt:variant>
      <vt:variant>
        <vt:i4>3145855</vt:i4>
      </vt:variant>
      <vt:variant>
        <vt:i4>63</vt:i4>
      </vt:variant>
      <vt:variant>
        <vt:i4>0</vt:i4>
      </vt:variant>
      <vt:variant>
        <vt:i4>5</vt:i4>
      </vt:variant>
      <vt:variant>
        <vt:lpwstr>http://www.nevo.co.il/case/13097162</vt:lpwstr>
      </vt:variant>
      <vt:variant>
        <vt:lpwstr/>
      </vt:variant>
      <vt:variant>
        <vt:i4>4063356</vt:i4>
      </vt:variant>
      <vt:variant>
        <vt:i4>60</vt:i4>
      </vt:variant>
      <vt:variant>
        <vt:i4>0</vt:i4>
      </vt:variant>
      <vt:variant>
        <vt:i4>5</vt:i4>
      </vt:variant>
      <vt:variant>
        <vt:lpwstr>http://www.nevo.co.il/case/7697292</vt:lpwstr>
      </vt:variant>
      <vt:variant>
        <vt:lpwstr/>
      </vt:variant>
      <vt:variant>
        <vt:i4>3342457</vt:i4>
      </vt:variant>
      <vt:variant>
        <vt:i4>57</vt:i4>
      </vt:variant>
      <vt:variant>
        <vt:i4>0</vt:i4>
      </vt:variant>
      <vt:variant>
        <vt:i4>5</vt:i4>
      </vt:variant>
      <vt:variant>
        <vt:lpwstr>http://www.nevo.co.il/case/5762686</vt:lpwstr>
      </vt:variant>
      <vt:variant>
        <vt:lpwstr/>
      </vt:variant>
      <vt:variant>
        <vt:i4>4128893</vt:i4>
      </vt:variant>
      <vt:variant>
        <vt:i4>54</vt:i4>
      </vt:variant>
      <vt:variant>
        <vt:i4>0</vt:i4>
      </vt:variant>
      <vt:variant>
        <vt:i4>5</vt:i4>
      </vt:variant>
      <vt:variant>
        <vt:lpwstr>http://www.nevo.co.il/case/5887664</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65618</vt:i4>
      </vt:variant>
      <vt:variant>
        <vt:i4>48</vt:i4>
      </vt:variant>
      <vt:variant>
        <vt:i4>0</vt:i4>
      </vt:variant>
      <vt:variant>
        <vt:i4>5</vt:i4>
      </vt:variant>
      <vt:variant>
        <vt:lpwstr>http://www.nevo.co.il/law/70301/413e</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4718686</vt:i4>
      </vt:variant>
      <vt:variant>
        <vt:i4>42</vt:i4>
      </vt:variant>
      <vt:variant>
        <vt:i4>0</vt:i4>
      </vt:variant>
      <vt:variant>
        <vt:i4>5</vt:i4>
      </vt:variant>
      <vt:variant>
        <vt:lpwstr>http://www.nevo.co.il/law/70301/338.5</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86</vt:i4>
      </vt:variant>
      <vt:variant>
        <vt:i4>36</vt:i4>
      </vt:variant>
      <vt:variant>
        <vt:i4>0</vt:i4>
      </vt:variant>
      <vt:variant>
        <vt:i4>5</vt:i4>
      </vt:variant>
      <vt:variant>
        <vt:lpwstr>http://www.nevo.co.il/law/70301/340a</vt:lpwstr>
      </vt:variant>
      <vt:variant>
        <vt:lpwstr/>
      </vt:variant>
      <vt:variant>
        <vt:i4>7995492</vt:i4>
      </vt:variant>
      <vt:variant>
        <vt:i4>33</vt:i4>
      </vt:variant>
      <vt:variant>
        <vt:i4>0</vt:i4>
      </vt:variant>
      <vt:variant>
        <vt:i4>5</vt:i4>
      </vt:variant>
      <vt:variant>
        <vt:lpwstr>http://www.nevo.co.il/law/70301</vt:lpwstr>
      </vt:variant>
      <vt:variant>
        <vt:lpwstr/>
      </vt:variant>
      <vt:variant>
        <vt:i4>8257587</vt:i4>
      </vt:variant>
      <vt:variant>
        <vt:i4>30</vt:i4>
      </vt:variant>
      <vt:variant>
        <vt:i4>0</vt:i4>
      </vt:variant>
      <vt:variant>
        <vt:i4>5</vt:i4>
      </vt:variant>
      <vt:variant>
        <vt:lpwstr>http://www.nevo.co.il/law/70301/144.c1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65618</vt:i4>
      </vt:variant>
      <vt:variant>
        <vt:i4>21</vt:i4>
      </vt:variant>
      <vt:variant>
        <vt:i4>0</vt:i4>
      </vt:variant>
      <vt:variant>
        <vt:i4>5</vt:i4>
      </vt:variant>
      <vt:variant>
        <vt:lpwstr>http://www.nevo.co.il/law/70301/413e</vt:lpwstr>
      </vt:variant>
      <vt:variant>
        <vt:lpwstr/>
      </vt:variant>
      <vt:variant>
        <vt:i4>86</vt:i4>
      </vt:variant>
      <vt:variant>
        <vt:i4>18</vt:i4>
      </vt:variant>
      <vt:variant>
        <vt:i4>0</vt:i4>
      </vt:variant>
      <vt:variant>
        <vt:i4>5</vt:i4>
      </vt:variant>
      <vt:variant>
        <vt:lpwstr>http://www.nevo.co.il/law/70301/340a</vt:lpwstr>
      </vt:variant>
      <vt:variant>
        <vt:lpwstr/>
      </vt:variant>
      <vt:variant>
        <vt:i4>4718686</vt:i4>
      </vt:variant>
      <vt:variant>
        <vt:i4>15</vt:i4>
      </vt:variant>
      <vt:variant>
        <vt:i4>0</vt:i4>
      </vt:variant>
      <vt:variant>
        <vt:i4>5</vt:i4>
      </vt:variant>
      <vt:variant>
        <vt:lpwstr>http://www.nevo.co.il/law/70301/338.5</vt:lpwstr>
      </vt:variant>
      <vt:variant>
        <vt:lpwstr/>
      </vt:variant>
      <vt:variant>
        <vt:i4>8257587</vt:i4>
      </vt:variant>
      <vt:variant>
        <vt:i4>12</vt:i4>
      </vt:variant>
      <vt:variant>
        <vt:i4>0</vt:i4>
      </vt:variant>
      <vt:variant>
        <vt:i4>5</vt:i4>
      </vt:variant>
      <vt:variant>
        <vt:lpwstr>http://www.nevo.co.il/law/70301/144.c1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2025-01-19T16:07:00Z</dcterms:created>
  <dcterms:modified xsi:type="dcterms:W3CDTF">2025-01-19T16:07:00Z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1589</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אנס אגבאריה</vt:lpwstr>
  </property>
  <property fmtid="{D5CDD505-2E9C-101B-9397-08002B2CF9AE}" pid="10" name="LAWYER">
    <vt:lpwstr>עלא אלדי עתאמנה;מאיה הרטמן ומתמחה לוטן זינגר עתאמנה</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20160929</vt:lpwstr>
  </property>
  <property fmtid="{D5CDD505-2E9C-101B-9397-08002B2CF9AE}" pid="14" name="TYPE_N_DATE">
    <vt:lpwstr>39020160929</vt:lpwstr>
  </property>
  <property fmtid="{D5CDD505-2E9C-101B-9397-08002B2CF9AE}" pid="15" name="WORDNUMPAGES">
    <vt:lpwstr>6</vt:lpwstr>
  </property>
  <property fmtid="{D5CDD505-2E9C-101B-9397-08002B2CF9AE}" pid="16" name="TYPE_ABS_DATE">
    <vt:lpwstr>390020160929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CASESLISTTMP1">
    <vt:lpwstr>5887664;5762686;7697292:2;13097162;20115885;16913730;16944929;6151556;7791493;20772444;10507558;18164843</vt:lpwstr>
  </property>
  <property fmtid="{D5CDD505-2E9C-101B-9397-08002B2CF9AE}" pid="35" name="LAWLISTTMP1">
    <vt:lpwstr>70301/144.a;144.b;144.c1;340a;031:3;338.5;413e</vt:lpwstr>
  </property>
</Properties>
</file>