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3B6B52" w:rsidRPr="007156D3" w14:paraId="178AE63F" w14:textId="77777777" w:rsidTr="00E63136">
        <w:trPr>
          <w:trHeight w:hRule="exact" w:val="709"/>
          <w:jc w:val="center"/>
        </w:trPr>
        <w:tc>
          <w:tcPr>
            <w:tcW w:w="8721" w:type="dxa"/>
            <w:gridSpan w:val="2"/>
          </w:tcPr>
          <w:p w14:paraId="3E739FA6" w14:textId="77777777" w:rsidR="003B6B52" w:rsidRPr="007156D3" w:rsidRDefault="003B6B52" w:rsidP="003A342E">
            <w:pPr>
              <w:pStyle w:val="a3"/>
              <w:jc w:val="center"/>
              <w:rPr>
                <w:rFonts w:ascii="Tahoma" w:hAnsi="Tahoma" w:cs="Tahoma"/>
                <w:b/>
                <w:bCs/>
                <w:color w:val="000080"/>
                <w:rtl/>
              </w:rPr>
            </w:pPr>
            <w:bookmarkStart w:id="0" w:name="FirstLawyer"/>
            <w:bookmarkStart w:id="1" w:name="LastJudge"/>
            <w:r w:rsidRPr="007156D3">
              <w:rPr>
                <w:rFonts w:ascii="Tahoma" w:hAnsi="Tahoma" w:cs="Tahoma"/>
                <w:b/>
                <w:bCs/>
                <w:color w:val="000080"/>
                <w:rtl/>
              </w:rPr>
              <w:t>בית המשפט המחוזי בירושלי</w:t>
            </w:r>
            <w:r w:rsidRPr="007156D3">
              <w:rPr>
                <w:rFonts w:ascii="Tahoma" w:hAnsi="Tahoma" w:cs="Tahoma" w:hint="cs"/>
                <w:b/>
                <w:bCs/>
                <w:color w:val="000080"/>
                <w:rtl/>
              </w:rPr>
              <w:t>ם</w:t>
            </w:r>
          </w:p>
          <w:p w14:paraId="74C07D11" w14:textId="77777777" w:rsidR="003B6B52" w:rsidRPr="007156D3" w:rsidRDefault="003B6B52" w:rsidP="003A342E">
            <w:pPr>
              <w:pStyle w:val="a3"/>
              <w:jc w:val="center"/>
              <w:rPr>
                <w:rFonts w:ascii="Tahoma" w:hAnsi="Tahoma" w:cs="Tahoma"/>
                <w:b/>
                <w:bCs/>
                <w:color w:val="000080"/>
                <w:rtl/>
              </w:rPr>
            </w:pPr>
            <w:r w:rsidRPr="007156D3">
              <w:rPr>
                <w:rFonts w:ascii="Tahoma" w:hAnsi="Tahoma" w:cs="Tahoma" w:hint="cs"/>
                <w:b/>
                <w:bCs/>
                <w:color w:val="000080"/>
                <w:rtl/>
              </w:rPr>
              <w:t xml:space="preserve">לפני כב' השופט דניאל טפרברג </w:t>
            </w:r>
          </w:p>
        </w:tc>
      </w:tr>
      <w:tr w:rsidR="003B6B52" w:rsidRPr="007156D3" w14:paraId="7E83098D" w14:textId="77777777" w:rsidTr="00E63136">
        <w:trPr>
          <w:trHeight w:val="337"/>
          <w:jc w:val="center"/>
        </w:trPr>
        <w:tc>
          <w:tcPr>
            <w:tcW w:w="5055" w:type="dxa"/>
          </w:tcPr>
          <w:p w14:paraId="46AFB61C" w14:textId="77777777" w:rsidR="003B6B52" w:rsidRPr="007156D3" w:rsidRDefault="003B6B52" w:rsidP="003A342E">
            <w:pPr>
              <w:rPr>
                <w:rFonts w:cs="FrankRuehl"/>
                <w:sz w:val="28"/>
                <w:szCs w:val="28"/>
                <w:rtl/>
              </w:rPr>
            </w:pPr>
            <w:r w:rsidRPr="007156D3">
              <w:rPr>
                <w:rFonts w:cs="FrankRuehl"/>
                <w:sz w:val="28"/>
                <w:szCs w:val="28"/>
                <w:rtl/>
              </w:rPr>
              <w:t>ת"פ</w:t>
            </w:r>
            <w:r w:rsidRPr="007156D3">
              <w:rPr>
                <w:rFonts w:cs="FrankRuehl" w:hint="cs"/>
                <w:sz w:val="28"/>
                <w:szCs w:val="28"/>
                <w:rtl/>
              </w:rPr>
              <w:t xml:space="preserve"> </w:t>
            </w:r>
            <w:r w:rsidRPr="007156D3">
              <w:rPr>
                <w:rFonts w:cs="FrankRuehl"/>
                <w:sz w:val="28"/>
                <w:szCs w:val="28"/>
                <w:rtl/>
              </w:rPr>
              <w:t>49331-02-16</w:t>
            </w:r>
            <w:r w:rsidRPr="007156D3">
              <w:rPr>
                <w:rFonts w:cs="FrankRuehl" w:hint="cs"/>
                <w:sz w:val="28"/>
                <w:szCs w:val="28"/>
                <w:rtl/>
              </w:rPr>
              <w:t xml:space="preserve"> </w:t>
            </w:r>
            <w:r w:rsidRPr="007156D3">
              <w:rPr>
                <w:rFonts w:cs="FrankRuehl"/>
                <w:sz w:val="28"/>
                <w:szCs w:val="28"/>
                <w:rtl/>
              </w:rPr>
              <w:t>מדינת ישראל נ' אלקצאצי ואח'</w:t>
            </w:r>
          </w:p>
          <w:p w14:paraId="5DEA24FD" w14:textId="77777777" w:rsidR="003B6B52" w:rsidRPr="007156D3" w:rsidRDefault="003B6B52" w:rsidP="003A342E">
            <w:pPr>
              <w:pStyle w:val="a3"/>
              <w:rPr>
                <w:rFonts w:cs="FrankRuehl"/>
                <w:sz w:val="28"/>
                <w:szCs w:val="28"/>
                <w:rtl/>
              </w:rPr>
            </w:pPr>
          </w:p>
        </w:tc>
        <w:tc>
          <w:tcPr>
            <w:tcW w:w="3666" w:type="dxa"/>
          </w:tcPr>
          <w:p w14:paraId="7A99EF6C" w14:textId="77777777" w:rsidR="003B6B52" w:rsidRPr="007156D3" w:rsidRDefault="003B6B52" w:rsidP="003A342E">
            <w:pPr>
              <w:pStyle w:val="a3"/>
              <w:jc w:val="right"/>
              <w:rPr>
                <w:rFonts w:cs="FrankRuehl"/>
                <w:sz w:val="28"/>
                <w:szCs w:val="28"/>
                <w:rtl/>
              </w:rPr>
            </w:pPr>
          </w:p>
        </w:tc>
      </w:tr>
    </w:tbl>
    <w:p w14:paraId="0412683A" w14:textId="77777777" w:rsidR="003B6B52" w:rsidRPr="007156D3" w:rsidRDefault="003B6B52" w:rsidP="003B6B52">
      <w:pPr>
        <w:pStyle w:val="a3"/>
        <w:rPr>
          <w:rtl/>
        </w:rPr>
      </w:pPr>
      <w:r w:rsidRPr="007156D3">
        <w:rPr>
          <w:rFonts w:hint="cs"/>
          <w:rtl/>
        </w:rPr>
        <w:t xml:space="preserve"> </w:t>
      </w:r>
    </w:p>
    <w:p w14:paraId="5135323D" w14:textId="77777777" w:rsidR="003B6B52" w:rsidRPr="007156D3" w:rsidRDefault="003B6B52" w:rsidP="003B6B52">
      <w:pPr>
        <w:rPr>
          <w:rFonts w:cs="FrankRueh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B6B52" w:rsidRPr="007156D3" w14:paraId="391049BF" w14:textId="77777777" w:rsidTr="003B6B52">
        <w:trPr>
          <w:trHeight w:val="295"/>
          <w:jc w:val="center"/>
        </w:trPr>
        <w:tc>
          <w:tcPr>
            <w:tcW w:w="923" w:type="dxa"/>
            <w:tcBorders>
              <w:top w:val="nil"/>
              <w:left w:val="nil"/>
              <w:bottom w:val="nil"/>
              <w:right w:val="nil"/>
            </w:tcBorders>
            <w:shd w:val="clear" w:color="auto" w:fill="auto"/>
          </w:tcPr>
          <w:p w14:paraId="00D53EB5" w14:textId="77777777" w:rsidR="003B6B52" w:rsidRPr="007156D3" w:rsidRDefault="003B6B52" w:rsidP="003B6B52">
            <w:pPr>
              <w:jc w:val="both"/>
              <w:rPr>
                <w:rFonts w:ascii="Arial" w:hAnsi="Arial" w:cs="FrankRuehl"/>
                <w:sz w:val="28"/>
                <w:szCs w:val="28"/>
              </w:rPr>
            </w:pPr>
          </w:p>
        </w:tc>
        <w:tc>
          <w:tcPr>
            <w:tcW w:w="7897" w:type="dxa"/>
            <w:gridSpan w:val="2"/>
            <w:tcBorders>
              <w:top w:val="nil"/>
              <w:left w:val="nil"/>
              <w:bottom w:val="nil"/>
              <w:right w:val="nil"/>
            </w:tcBorders>
            <w:shd w:val="clear" w:color="auto" w:fill="auto"/>
          </w:tcPr>
          <w:p w14:paraId="0FD3527D" w14:textId="77777777" w:rsidR="003B6B52" w:rsidRPr="007156D3" w:rsidRDefault="003B6B52" w:rsidP="003B6B52">
            <w:pPr>
              <w:jc w:val="both"/>
              <w:rPr>
                <w:rFonts w:ascii="Arial" w:hAnsi="Arial" w:cs="FrankRuehl"/>
                <w:sz w:val="28"/>
                <w:szCs w:val="28"/>
              </w:rPr>
            </w:pPr>
          </w:p>
        </w:tc>
      </w:tr>
      <w:tr w:rsidR="003B6B52" w:rsidRPr="007156D3" w14:paraId="5818AB31" w14:textId="77777777" w:rsidTr="003B6B52">
        <w:trPr>
          <w:trHeight w:val="355"/>
          <w:jc w:val="center"/>
        </w:trPr>
        <w:tc>
          <w:tcPr>
            <w:tcW w:w="923" w:type="dxa"/>
            <w:tcBorders>
              <w:top w:val="nil"/>
              <w:left w:val="nil"/>
              <w:bottom w:val="nil"/>
              <w:right w:val="nil"/>
            </w:tcBorders>
            <w:shd w:val="clear" w:color="auto" w:fill="auto"/>
          </w:tcPr>
          <w:p w14:paraId="40E9FC8A" w14:textId="77777777" w:rsidR="003B6B52" w:rsidRPr="007156D3" w:rsidRDefault="003B6B52" w:rsidP="003B6B52">
            <w:pPr>
              <w:jc w:val="both"/>
              <w:rPr>
                <w:rFonts w:ascii="Arial" w:hAnsi="Arial" w:cs="FrankRuehl"/>
                <w:b/>
                <w:bCs/>
                <w:sz w:val="28"/>
                <w:szCs w:val="28"/>
              </w:rPr>
            </w:pPr>
            <w:bookmarkStart w:id="2" w:name="FirstAppellant"/>
            <w:r w:rsidRPr="007156D3">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6B8A1BB0" w14:textId="77777777" w:rsidR="003B6B52" w:rsidRPr="007156D3" w:rsidRDefault="003B6B52" w:rsidP="003A342E">
            <w:pPr>
              <w:rPr>
                <w:rFonts w:cs="FrankRuehl"/>
                <w:b/>
                <w:bCs/>
                <w:sz w:val="28"/>
                <w:szCs w:val="28"/>
              </w:rPr>
            </w:pPr>
            <w:r w:rsidRPr="007156D3">
              <w:rPr>
                <w:rFonts w:ascii="Arial" w:hAnsi="Arial" w:cs="FrankRuehl"/>
                <w:b/>
                <w:bCs/>
                <w:sz w:val="28"/>
                <w:szCs w:val="28"/>
                <w:rtl/>
              </w:rPr>
              <w:t>מדינת ישראל</w:t>
            </w:r>
            <w:r w:rsidRPr="007156D3">
              <w:rPr>
                <w:rFonts w:ascii="Arial" w:hAnsi="Arial" w:cs="FrankRuehl"/>
                <w:b/>
                <w:bCs/>
                <w:sz w:val="28"/>
                <w:szCs w:val="28"/>
                <w:rtl/>
              </w:rPr>
              <w:br/>
            </w:r>
            <w:r w:rsidRPr="007156D3">
              <w:rPr>
                <w:rFonts w:cs="FrankRuehl" w:hint="cs"/>
                <w:b/>
                <w:bCs/>
                <w:sz w:val="28"/>
                <w:szCs w:val="28"/>
                <w:rtl/>
              </w:rPr>
              <w:t xml:space="preserve">ע"י ב"כ עו"ד חן בן שלום </w:t>
            </w:r>
          </w:p>
        </w:tc>
        <w:tc>
          <w:tcPr>
            <w:tcW w:w="3771" w:type="dxa"/>
            <w:tcBorders>
              <w:top w:val="nil"/>
              <w:left w:val="nil"/>
              <w:bottom w:val="nil"/>
              <w:right w:val="nil"/>
            </w:tcBorders>
            <w:shd w:val="clear" w:color="auto" w:fill="auto"/>
          </w:tcPr>
          <w:p w14:paraId="2C551BCF" w14:textId="77777777" w:rsidR="003B6B52" w:rsidRPr="007156D3" w:rsidRDefault="003B6B52" w:rsidP="003B6B52">
            <w:pPr>
              <w:jc w:val="both"/>
              <w:rPr>
                <w:rFonts w:ascii="Arial" w:hAnsi="Arial" w:cs="FrankRuehl"/>
                <w:b/>
                <w:bCs/>
                <w:sz w:val="28"/>
                <w:szCs w:val="28"/>
              </w:rPr>
            </w:pPr>
          </w:p>
        </w:tc>
      </w:tr>
      <w:bookmarkEnd w:id="2"/>
      <w:tr w:rsidR="003B6B52" w:rsidRPr="007156D3" w14:paraId="34E072D7" w14:textId="77777777" w:rsidTr="003B6B52">
        <w:trPr>
          <w:trHeight w:val="355"/>
          <w:jc w:val="center"/>
        </w:trPr>
        <w:tc>
          <w:tcPr>
            <w:tcW w:w="923" w:type="dxa"/>
            <w:tcBorders>
              <w:top w:val="nil"/>
              <w:left w:val="nil"/>
              <w:bottom w:val="nil"/>
              <w:right w:val="nil"/>
            </w:tcBorders>
            <w:shd w:val="clear" w:color="auto" w:fill="auto"/>
          </w:tcPr>
          <w:p w14:paraId="456C4C38" w14:textId="77777777" w:rsidR="003B6B52" w:rsidRPr="007156D3" w:rsidRDefault="003B6B52" w:rsidP="003B6B52">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66B4DCE1" w14:textId="77777777" w:rsidR="003B6B52" w:rsidRPr="007156D3" w:rsidRDefault="003B6B52" w:rsidP="003B6B52">
            <w:pPr>
              <w:jc w:val="both"/>
              <w:rPr>
                <w:rFonts w:cs="FrankRuehl"/>
                <w:b/>
                <w:bCs/>
                <w:sz w:val="28"/>
                <w:szCs w:val="28"/>
                <w:rtl/>
              </w:rPr>
            </w:pPr>
          </w:p>
        </w:tc>
        <w:tc>
          <w:tcPr>
            <w:tcW w:w="3771" w:type="dxa"/>
            <w:tcBorders>
              <w:top w:val="nil"/>
              <w:left w:val="nil"/>
              <w:bottom w:val="nil"/>
              <w:right w:val="nil"/>
            </w:tcBorders>
            <w:shd w:val="clear" w:color="auto" w:fill="auto"/>
          </w:tcPr>
          <w:p w14:paraId="438A8A17" w14:textId="77777777" w:rsidR="003B6B52" w:rsidRPr="007156D3" w:rsidRDefault="003B6B52" w:rsidP="003B6B52">
            <w:pPr>
              <w:jc w:val="right"/>
              <w:rPr>
                <w:rFonts w:ascii="Arial" w:hAnsi="Arial" w:cs="FrankRuehl"/>
                <w:b/>
                <w:bCs/>
                <w:sz w:val="28"/>
                <w:szCs w:val="28"/>
                <w:rtl/>
              </w:rPr>
            </w:pPr>
            <w:r w:rsidRPr="007156D3">
              <w:rPr>
                <w:rFonts w:ascii="Arial" w:hAnsi="Arial" w:cs="FrankRuehl" w:hint="cs"/>
                <w:b/>
                <w:bCs/>
                <w:sz w:val="28"/>
                <w:szCs w:val="28"/>
                <w:rtl/>
              </w:rPr>
              <w:t>ה</w:t>
            </w:r>
            <w:r w:rsidRPr="007156D3">
              <w:rPr>
                <w:rFonts w:ascii="Arial" w:hAnsi="Arial" w:cs="FrankRuehl"/>
                <w:b/>
                <w:bCs/>
                <w:sz w:val="28"/>
                <w:szCs w:val="28"/>
                <w:rtl/>
              </w:rPr>
              <w:t>מאשימה</w:t>
            </w:r>
          </w:p>
        </w:tc>
      </w:tr>
      <w:tr w:rsidR="003B6B52" w:rsidRPr="007156D3" w14:paraId="42D4A53C" w14:textId="77777777" w:rsidTr="003B6B52">
        <w:trPr>
          <w:trHeight w:val="355"/>
          <w:jc w:val="center"/>
        </w:trPr>
        <w:tc>
          <w:tcPr>
            <w:tcW w:w="923" w:type="dxa"/>
            <w:tcBorders>
              <w:top w:val="nil"/>
              <w:left w:val="nil"/>
              <w:bottom w:val="nil"/>
              <w:right w:val="nil"/>
            </w:tcBorders>
            <w:shd w:val="clear" w:color="auto" w:fill="auto"/>
          </w:tcPr>
          <w:p w14:paraId="21A27DD2" w14:textId="77777777" w:rsidR="003B6B52" w:rsidRPr="007156D3" w:rsidRDefault="003B6B52" w:rsidP="003B6B52">
            <w:pPr>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71C1A15A" w14:textId="77777777" w:rsidR="003B6B52" w:rsidRPr="007156D3" w:rsidRDefault="003B6B52" w:rsidP="003B6B52">
            <w:pPr>
              <w:jc w:val="center"/>
              <w:rPr>
                <w:rFonts w:ascii="Arial" w:hAnsi="Arial" w:cs="FrankRuehl"/>
                <w:b/>
                <w:bCs/>
                <w:sz w:val="28"/>
                <w:szCs w:val="28"/>
                <w:rtl/>
              </w:rPr>
            </w:pPr>
          </w:p>
          <w:p w14:paraId="2C57DF26" w14:textId="77777777" w:rsidR="003B6B52" w:rsidRPr="007156D3" w:rsidRDefault="003B6B52" w:rsidP="003B6B52">
            <w:pPr>
              <w:jc w:val="center"/>
              <w:rPr>
                <w:rFonts w:ascii="Arial" w:hAnsi="Arial" w:cs="FrankRuehl"/>
                <w:b/>
                <w:bCs/>
                <w:sz w:val="28"/>
                <w:szCs w:val="28"/>
                <w:rtl/>
              </w:rPr>
            </w:pPr>
            <w:r w:rsidRPr="007156D3">
              <w:rPr>
                <w:rFonts w:ascii="Arial" w:hAnsi="Arial" w:cs="FrankRuehl"/>
                <w:b/>
                <w:bCs/>
                <w:sz w:val="28"/>
                <w:szCs w:val="28"/>
                <w:rtl/>
              </w:rPr>
              <w:t>נגד</w:t>
            </w:r>
          </w:p>
          <w:p w14:paraId="42188C8C" w14:textId="77777777" w:rsidR="003B6B52" w:rsidRPr="007156D3" w:rsidRDefault="003B6B52" w:rsidP="003B6B52">
            <w:pPr>
              <w:jc w:val="both"/>
              <w:rPr>
                <w:rFonts w:ascii="Arial" w:hAnsi="Arial" w:cs="FrankRuehl"/>
                <w:b/>
                <w:bCs/>
                <w:sz w:val="14"/>
                <w:szCs w:val="14"/>
              </w:rPr>
            </w:pPr>
          </w:p>
        </w:tc>
      </w:tr>
      <w:tr w:rsidR="003B6B52" w:rsidRPr="007156D3" w14:paraId="200B8FDB" w14:textId="77777777" w:rsidTr="003B6B52">
        <w:trPr>
          <w:trHeight w:val="355"/>
          <w:jc w:val="center"/>
        </w:trPr>
        <w:tc>
          <w:tcPr>
            <w:tcW w:w="923" w:type="dxa"/>
            <w:tcBorders>
              <w:top w:val="nil"/>
              <w:left w:val="nil"/>
              <w:bottom w:val="nil"/>
              <w:right w:val="nil"/>
            </w:tcBorders>
            <w:shd w:val="clear" w:color="auto" w:fill="auto"/>
          </w:tcPr>
          <w:p w14:paraId="72D3C87C" w14:textId="77777777" w:rsidR="003B6B52" w:rsidRPr="007156D3" w:rsidRDefault="003B6B52" w:rsidP="003A342E">
            <w:pPr>
              <w:rPr>
                <w:rFonts w:ascii="Arial" w:hAnsi="Arial" w:cs="FrankRuehl"/>
                <w:b/>
                <w:bCs/>
                <w:sz w:val="28"/>
                <w:szCs w:val="28"/>
                <w:rtl/>
              </w:rPr>
            </w:pPr>
          </w:p>
        </w:tc>
        <w:tc>
          <w:tcPr>
            <w:tcW w:w="4126" w:type="dxa"/>
            <w:tcBorders>
              <w:top w:val="nil"/>
              <w:left w:val="nil"/>
              <w:bottom w:val="nil"/>
              <w:right w:val="nil"/>
            </w:tcBorders>
            <w:shd w:val="clear" w:color="auto" w:fill="auto"/>
          </w:tcPr>
          <w:p w14:paraId="41BF2725" w14:textId="77777777" w:rsidR="003B6B52" w:rsidRPr="007156D3" w:rsidRDefault="003B6B52" w:rsidP="003A342E">
            <w:pPr>
              <w:rPr>
                <w:rFonts w:cs="FrankRuehl"/>
                <w:b/>
                <w:bCs/>
                <w:sz w:val="28"/>
                <w:szCs w:val="28"/>
                <w:rtl/>
              </w:rPr>
            </w:pPr>
            <w:r w:rsidRPr="007156D3">
              <w:rPr>
                <w:rFonts w:ascii="Arial" w:hAnsi="Arial" w:cs="FrankRuehl"/>
                <w:b/>
                <w:bCs/>
                <w:sz w:val="28"/>
                <w:szCs w:val="28"/>
                <w:rtl/>
              </w:rPr>
              <w:t>1</w:t>
            </w:r>
            <w:r w:rsidRPr="007156D3">
              <w:rPr>
                <w:rFonts w:ascii="Arial" w:hAnsi="Arial" w:cs="FrankRuehl" w:hint="cs"/>
                <w:b/>
                <w:bCs/>
                <w:sz w:val="28"/>
                <w:szCs w:val="28"/>
                <w:rtl/>
              </w:rPr>
              <w:t>.</w:t>
            </w:r>
            <w:r w:rsidRPr="007156D3">
              <w:rPr>
                <w:rFonts w:ascii="Arial" w:hAnsi="Arial" w:cs="FrankRuehl"/>
                <w:b/>
                <w:bCs/>
                <w:sz w:val="28"/>
                <w:szCs w:val="28"/>
                <w:rtl/>
              </w:rPr>
              <w:t>עומר אלקצאצי</w:t>
            </w:r>
          </w:p>
          <w:p w14:paraId="5D4D9812" w14:textId="77777777" w:rsidR="003B6B52" w:rsidRPr="007156D3" w:rsidRDefault="003B6B52" w:rsidP="003A342E">
            <w:pPr>
              <w:rPr>
                <w:rFonts w:cs="FrankRuehl"/>
                <w:b/>
                <w:bCs/>
                <w:sz w:val="28"/>
                <w:szCs w:val="28"/>
                <w:rtl/>
              </w:rPr>
            </w:pPr>
            <w:r w:rsidRPr="007156D3">
              <w:rPr>
                <w:rFonts w:cs="FrankRuehl" w:hint="cs"/>
                <w:b/>
                <w:bCs/>
                <w:sz w:val="28"/>
                <w:szCs w:val="28"/>
                <w:rtl/>
              </w:rPr>
              <w:t xml:space="preserve">ע"י ב"כ עו"ד חאלד סואלחי </w:t>
            </w:r>
          </w:p>
          <w:p w14:paraId="04CFDE62" w14:textId="77777777" w:rsidR="003B6B52" w:rsidRPr="007156D3" w:rsidRDefault="003B6B52" w:rsidP="003A342E">
            <w:pPr>
              <w:rPr>
                <w:rFonts w:cs="FrankRuehl"/>
                <w:b/>
                <w:bCs/>
                <w:sz w:val="28"/>
                <w:szCs w:val="28"/>
                <w:rtl/>
              </w:rPr>
            </w:pPr>
            <w:r w:rsidRPr="007156D3">
              <w:rPr>
                <w:rFonts w:ascii="Arial" w:hAnsi="Arial" w:cs="FrankRuehl"/>
                <w:b/>
                <w:bCs/>
                <w:sz w:val="28"/>
                <w:szCs w:val="28"/>
                <w:rtl/>
              </w:rPr>
              <w:t>2</w:t>
            </w:r>
            <w:r w:rsidRPr="007156D3">
              <w:rPr>
                <w:rFonts w:ascii="Arial" w:hAnsi="Arial" w:cs="FrankRuehl" w:hint="cs"/>
                <w:b/>
                <w:bCs/>
                <w:sz w:val="28"/>
                <w:szCs w:val="28"/>
                <w:rtl/>
              </w:rPr>
              <w:t>.</w:t>
            </w:r>
            <w:r w:rsidRPr="007156D3">
              <w:rPr>
                <w:rFonts w:ascii="Arial" w:hAnsi="Arial" w:cs="FrankRuehl"/>
                <w:b/>
                <w:bCs/>
                <w:sz w:val="28"/>
                <w:szCs w:val="28"/>
                <w:rtl/>
              </w:rPr>
              <w:t>עתמאן אלקסאסי</w:t>
            </w:r>
            <w:r w:rsidRPr="007156D3">
              <w:rPr>
                <w:rFonts w:ascii="Arial" w:hAnsi="Arial" w:cs="FrankRuehl"/>
                <w:b/>
                <w:bCs/>
                <w:sz w:val="28"/>
                <w:szCs w:val="28"/>
                <w:rtl/>
              </w:rPr>
              <w:br/>
            </w:r>
            <w:r w:rsidRPr="007156D3">
              <w:rPr>
                <w:rFonts w:cs="FrankRuehl" w:hint="cs"/>
                <w:b/>
                <w:bCs/>
                <w:sz w:val="28"/>
                <w:szCs w:val="28"/>
                <w:rtl/>
              </w:rPr>
              <w:t xml:space="preserve">ע"י ב"כ עו"ד אהוד בן יהודה </w:t>
            </w:r>
          </w:p>
          <w:p w14:paraId="35930209" w14:textId="77777777" w:rsidR="003B6B52" w:rsidRPr="007156D3" w:rsidRDefault="003B6B52" w:rsidP="003A342E">
            <w:pPr>
              <w:rPr>
                <w:rFonts w:cs="FrankRuehl"/>
                <w:b/>
                <w:bCs/>
                <w:sz w:val="28"/>
                <w:szCs w:val="28"/>
                <w:rtl/>
              </w:rPr>
            </w:pPr>
            <w:r w:rsidRPr="007156D3">
              <w:rPr>
                <w:rFonts w:ascii="Arial" w:hAnsi="Arial" w:cs="FrankRuehl"/>
                <w:b/>
                <w:bCs/>
                <w:sz w:val="28"/>
                <w:szCs w:val="28"/>
                <w:rtl/>
              </w:rPr>
              <w:t>3</w:t>
            </w:r>
            <w:r w:rsidRPr="007156D3">
              <w:rPr>
                <w:rFonts w:ascii="Arial" w:hAnsi="Arial" w:cs="FrankRuehl" w:hint="cs"/>
                <w:b/>
                <w:bCs/>
                <w:sz w:val="28"/>
                <w:szCs w:val="28"/>
                <w:rtl/>
              </w:rPr>
              <w:t>.</w:t>
            </w:r>
            <w:r w:rsidRPr="007156D3">
              <w:rPr>
                <w:rFonts w:ascii="Arial" w:hAnsi="Arial" w:cs="FrankRuehl"/>
                <w:b/>
                <w:bCs/>
                <w:sz w:val="28"/>
                <w:szCs w:val="28"/>
                <w:rtl/>
              </w:rPr>
              <w:t>מאג'ד אל קדאדי</w:t>
            </w:r>
            <w:r w:rsidRPr="007156D3">
              <w:rPr>
                <w:rFonts w:cs="FrankRuehl"/>
                <w:b/>
                <w:bCs/>
                <w:sz w:val="28"/>
                <w:szCs w:val="28"/>
                <w:rtl/>
              </w:rPr>
              <w:t xml:space="preserve"> – הסתיים </w:t>
            </w:r>
            <w:r w:rsidRPr="007156D3">
              <w:rPr>
                <w:rFonts w:cs="FrankRuehl" w:hint="cs"/>
                <w:b/>
                <w:bCs/>
                <w:sz w:val="28"/>
                <w:szCs w:val="28"/>
                <w:rtl/>
              </w:rPr>
              <w:t>עניינו</w:t>
            </w:r>
          </w:p>
        </w:tc>
        <w:tc>
          <w:tcPr>
            <w:tcW w:w="3771" w:type="dxa"/>
            <w:tcBorders>
              <w:top w:val="nil"/>
              <w:left w:val="nil"/>
              <w:bottom w:val="nil"/>
              <w:right w:val="nil"/>
            </w:tcBorders>
            <w:shd w:val="clear" w:color="auto" w:fill="auto"/>
          </w:tcPr>
          <w:p w14:paraId="63C1E218" w14:textId="77777777" w:rsidR="003B6B52" w:rsidRPr="007156D3" w:rsidRDefault="003B6B52" w:rsidP="003B6B52">
            <w:pPr>
              <w:jc w:val="right"/>
              <w:rPr>
                <w:rFonts w:ascii="Arial" w:hAnsi="Arial" w:cs="FrankRuehl"/>
                <w:b/>
                <w:bCs/>
                <w:sz w:val="28"/>
                <w:szCs w:val="28"/>
              </w:rPr>
            </w:pPr>
          </w:p>
        </w:tc>
      </w:tr>
      <w:tr w:rsidR="003B6B52" w:rsidRPr="007156D3" w14:paraId="54577C8D" w14:textId="77777777" w:rsidTr="003B6B52">
        <w:trPr>
          <w:trHeight w:val="355"/>
          <w:jc w:val="center"/>
        </w:trPr>
        <w:tc>
          <w:tcPr>
            <w:tcW w:w="923" w:type="dxa"/>
            <w:tcBorders>
              <w:top w:val="nil"/>
              <w:left w:val="nil"/>
              <w:bottom w:val="nil"/>
              <w:right w:val="nil"/>
            </w:tcBorders>
            <w:shd w:val="clear" w:color="auto" w:fill="auto"/>
          </w:tcPr>
          <w:p w14:paraId="769A95ED" w14:textId="77777777" w:rsidR="003B6B52" w:rsidRPr="007156D3" w:rsidRDefault="003B6B52" w:rsidP="003B6B52">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2376AF58" w14:textId="77777777" w:rsidR="003B6B52" w:rsidRPr="007156D3" w:rsidRDefault="003B6B52" w:rsidP="003B6B52">
            <w:pPr>
              <w:jc w:val="both"/>
              <w:rPr>
                <w:rFonts w:cs="FrankRuehl"/>
                <w:b/>
                <w:bCs/>
                <w:sz w:val="28"/>
                <w:szCs w:val="28"/>
                <w:rtl/>
              </w:rPr>
            </w:pPr>
          </w:p>
        </w:tc>
        <w:tc>
          <w:tcPr>
            <w:tcW w:w="3771" w:type="dxa"/>
            <w:tcBorders>
              <w:top w:val="nil"/>
              <w:left w:val="nil"/>
              <w:bottom w:val="nil"/>
              <w:right w:val="nil"/>
            </w:tcBorders>
            <w:shd w:val="clear" w:color="auto" w:fill="auto"/>
          </w:tcPr>
          <w:p w14:paraId="1B317B64" w14:textId="77777777" w:rsidR="003B6B52" w:rsidRPr="007156D3" w:rsidRDefault="003B6B52" w:rsidP="003B6B52">
            <w:pPr>
              <w:jc w:val="right"/>
              <w:rPr>
                <w:rFonts w:ascii="Arial" w:hAnsi="Arial" w:cs="FrankRuehl"/>
                <w:b/>
                <w:bCs/>
                <w:sz w:val="28"/>
                <w:szCs w:val="28"/>
              </w:rPr>
            </w:pPr>
            <w:r w:rsidRPr="007156D3">
              <w:rPr>
                <w:rFonts w:ascii="Arial" w:hAnsi="Arial" w:cs="FrankRuehl" w:hint="cs"/>
                <w:b/>
                <w:bCs/>
                <w:sz w:val="28"/>
                <w:szCs w:val="28"/>
                <w:rtl/>
              </w:rPr>
              <w:t>ה</w:t>
            </w:r>
            <w:r w:rsidRPr="007156D3">
              <w:rPr>
                <w:rFonts w:ascii="Arial" w:hAnsi="Arial" w:cs="FrankRuehl"/>
                <w:b/>
                <w:bCs/>
                <w:sz w:val="28"/>
                <w:szCs w:val="28"/>
                <w:rtl/>
              </w:rPr>
              <w:t>נאשמים</w:t>
            </w:r>
          </w:p>
        </w:tc>
      </w:tr>
    </w:tbl>
    <w:p w14:paraId="3B52032B" w14:textId="77777777" w:rsidR="003B6B52" w:rsidRPr="007156D3" w:rsidRDefault="003B6B52" w:rsidP="003B6B52">
      <w:pPr>
        <w:rPr>
          <w:rFonts w:cs="FrankRuehl"/>
          <w:sz w:val="28"/>
          <w:szCs w:val="28"/>
        </w:rPr>
      </w:pPr>
    </w:p>
    <w:p w14:paraId="54504935" w14:textId="77777777" w:rsidR="00C8078D" w:rsidRPr="00C8078D" w:rsidRDefault="00C8078D" w:rsidP="00C8078D">
      <w:pPr>
        <w:spacing w:after="120" w:line="240" w:lineRule="exact"/>
        <w:ind w:left="283" w:hanging="283"/>
        <w:jc w:val="both"/>
        <w:rPr>
          <w:rFonts w:ascii="FrankRuehl" w:hAnsi="FrankRuehl" w:cs="FrankRuehl"/>
          <w:rtl/>
        </w:rPr>
      </w:pPr>
    </w:p>
    <w:p w14:paraId="27156620" w14:textId="77777777" w:rsidR="00C8078D" w:rsidRPr="00C8078D" w:rsidRDefault="00C8078D" w:rsidP="00C8078D">
      <w:pPr>
        <w:spacing w:after="120" w:line="240" w:lineRule="exact"/>
        <w:ind w:left="283" w:hanging="283"/>
        <w:jc w:val="both"/>
        <w:rPr>
          <w:rFonts w:ascii="FrankRuehl" w:hAnsi="FrankRuehl" w:cs="FrankRuehl"/>
          <w:rtl/>
        </w:rPr>
      </w:pPr>
      <w:r w:rsidRPr="00C8078D">
        <w:rPr>
          <w:rFonts w:ascii="FrankRuehl" w:hAnsi="FrankRuehl" w:cs="FrankRuehl"/>
          <w:rtl/>
        </w:rPr>
        <w:t xml:space="preserve">חקיקה שאוזכרה: </w:t>
      </w:r>
    </w:p>
    <w:p w14:paraId="7AFB945E" w14:textId="77777777" w:rsidR="00C8078D" w:rsidRPr="00C8078D" w:rsidRDefault="00C8078D" w:rsidP="00C8078D">
      <w:pPr>
        <w:spacing w:after="120" w:line="240" w:lineRule="exact"/>
        <w:ind w:left="283" w:hanging="283"/>
        <w:jc w:val="both"/>
        <w:rPr>
          <w:rFonts w:ascii="FrankRuehl" w:hAnsi="FrankRuehl" w:cs="FrankRuehl"/>
          <w:rtl/>
        </w:rPr>
      </w:pPr>
      <w:hyperlink r:id="rId7" w:history="1">
        <w:r w:rsidRPr="00C8078D">
          <w:rPr>
            <w:rFonts w:ascii="FrankRuehl" w:hAnsi="FrankRuehl" w:cs="FrankRuehl"/>
            <w:color w:val="0000FF"/>
            <w:u w:val="single"/>
            <w:rtl/>
          </w:rPr>
          <w:t>חוק העונשין, תשל"ז-1977</w:t>
        </w:r>
      </w:hyperlink>
      <w:r w:rsidRPr="00C8078D">
        <w:rPr>
          <w:rFonts w:ascii="FrankRuehl" w:hAnsi="FrankRuehl" w:cs="FrankRuehl"/>
          <w:rtl/>
        </w:rPr>
        <w:t xml:space="preserve">: סע'  </w:t>
      </w:r>
      <w:hyperlink r:id="rId8" w:history="1">
        <w:r w:rsidRPr="00C8078D">
          <w:rPr>
            <w:rFonts w:ascii="FrankRuehl" w:hAnsi="FrankRuehl" w:cs="FrankRuehl"/>
            <w:color w:val="0000FF"/>
            <w:u w:val="single"/>
            <w:rtl/>
          </w:rPr>
          <w:t>31</w:t>
        </w:r>
      </w:hyperlink>
      <w:r w:rsidRPr="00C8078D">
        <w:rPr>
          <w:rFonts w:ascii="FrankRuehl" w:hAnsi="FrankRuehl" w:cs="FrankRuehl"/>
          <w:rtl/>
        </w:rPr>
        <w:t xml:space="preserve">, </w:t>
      </w:r>
      <w:hyperlink r:id="rId9" w:history="1">
        <w:r w:rsidRPr="00C8078D">
          <w:rPr>
            <w:rFonts w:ascii="FrankRuehl" w:hAnsi="FrankRuehl" w:cs="FrankRuehl"/>
            <w:color w:val="0000FF"/>
            <w:u w:val="single"/>
            <w:rtl/>
          </w:rPr>
          <w:t>40ב</w:t>
        </w:r>
      </w:hyperlink>
      <w:r w:rsidRPr="00C8078D">
        <w:rPr>
          <w:rFonts w:ascii="FrankRuehl" w:hAnsi="FrankRuehl" w:cs="FrankRuehl"/>
          <w:rtl/>
        </w:rPr>
        <w:t xml:space="preserve">, </w:t>
      </w:r>
      <w:hyperlink r:id="rId10" w:history="1">
        <w:r w:rsidRPr="00C8078D">
          <w:rPr>
            <w:rFonts w:ascii="FrankRuehl" w:hAnsi="FrankRuehl" w:cs="FrankRuehl"/>
            <w:color w:val="0000FF"/>
            <w:u w:val="single"/>
            <w:rtl/>
          </w:rPr>
          <w:t>40ג</w:t>
        </w:r>
      </w:hyperlink>
      <w:r w:rsidRPr="00C8078D">
        <w:rPr>
          <w:rFonts w:ascii="FrankRuehl" w:hAnsi="FrankRuehl" w:cs="FrankRuehl"/>
          <w:rtl/>
        </w:rPr>
        <w:t xml:space="preserve">, </w:t>
      </w:r>
      <w:hyperlink r:id="rId11" w:history="1">
        <w:r w:rsidRPr="00C8078D">
          <w:rPr>
            <w:rFonts w:ascii="FrankRuehl" w:hAnsi="FrankRuehl" w:cs="FrankRuehl"/>
            <w:color w:val="0000FF"/>
            <w:u w:val="single"/>
            <w:rtl/>
          </w:rPr>
          <w:t>40ג(ב)</w:t>
        </w:r>
      </w:hyperlink>
      <w:r w:rsidRPr="00C8078D">
        <w:rPr>
          <w:rFonts w:ascii="FrankRuehl" w:hAnsi="FrankRuehl" w:cs="FrankRuehl"/>
          <w:rtl/>
        </w:rPr>
        <w:t xml:space="preserve">, </w:t>
      </w:r>
      <w:hyperlink r:id="rId12" w:history="1">
        <w:r w:rsidRPr="00C8078D">
          <w:rPr>
            <w:rFonts w:ascii="FrankRuehl" w:hAnsi="FrankRuehl" w:cs="FrankRuehl"/>
            <w:color w:val="0000FF"/>
            <w:u w:val="single"/>
            <w:rtl/>
          </w:rPr>
          <w:t>144(א)</w:t>
        </w:r>
      </w:hyperlink>
      <w:r w:rsidRPr="00C8078D">
        <w:rPr>
          <w:rFonts w:ascii="FrankRuehl" w:hAnsi="FrankRuehl" w:cs="FrankRuehl"/>
          <w:rtl/>
        </w:rPr>
        <w:t xml:space="preserve">, </w:t>
      </w:r>
      <w:hyperlink r:id="rId13" w:history="1">
        <w:r w:rsidRPr="00C8078D">
          <w:rPr>
            <w:rFonts w:ascii="FrankRuehl" w:hAnsi="FrankRuehl" w:cs="FrankRuehl"/>
            <w:color w:val="0000FF"/>
            <w:u w:val="single"/>
            <w:rtl/>
          </w:rPr>
          <w:t>144(ב)</w:t>
        </w:r>
      </w:hyperlink>
      <w:r w:rsidRPr="00C8078D">
        <w:rPr>
          <w:rFonts w:ascii="FrankRuehl" w:hAnsi="FrankRuehl" w:cs="FrankRuehl"/>
          <w:rtl/>
        </w:rPr>
        <w:t xml:space="preserve">, </w:t>
      </w:r>
      <w:hyperlink r:id="rId14" w:history="1">
        <w:r w:rsidRPr="00C8078D">
          <w:rPr>
            <w:rFonts w:ascii="FrankRuehl" w:hAnsi="FrankRuehl" w:cs="FrankRuehl"/>
            <w:color w:val="0000FF"/>
            <w:u w:val="single"/>
            <w:rtl/>
          </w:rPr>
          <w:t>244(א)</w:t>
        </w:r>
      </w:hyperlink>
      <w:r w:rsidRPr="00C8078D">
        <w:rPr>
          <w:rFonts w:ascii="FrankRuehl" w:hAnsi="FrankRuehl" w:cs="FrankRuehl"/>
          <w:rtl/>
        </w:rPr>
        <w:t xml:space="preserve">, </w:t>
      </w:r>
      <w:hyperlink r:id="rId15" w:history="1">
        <w:r w:rsidRPr="00C8078D">
          <w:rPr>
            <w:rFonts w:ascii="FrankRuehl" w:hAnsi="FrankRuehl" w:cs="FrankRuehl"/>
            <w:color w:val="0000FF"/>
            <w:u w:val="single"/>
            <w:rtl/>
          </w:rPr>
          <w:t>40יא</w:t>
        </w:r>
      </w:hyperlink>
      <w:r w:rsidRPr="00C8078D">
        <w:rPr>
          <w:rFonts w:ascii="FrankRuehl" w:hAnsi="FrankRuehl" w:cs="FrankRuehl"/>
          <w:rtl/>
        </w:rPr>
        <w:t xml:space="preserve">, </w:t>
      </w:r>
      <w:hyperlink r:id="rId16" w:history="1">
        <w:r w:rsidRPr="00C8078D">
          <w:rPr>
            <w:rFonts w:ascii="FrankRuehl" w:hAnsi="FrankRuehl" w:cs="FrankRuehl"/>
            <w:color w:val="0000FF"/>
            <w:u w:val="single"/>
            <w:rtl/>
          </w:rPr>
          <w:t>40יג</w:t>
        </w:r>
      </w:hyperlink>
      <w:r w:rsidRPr="00C8078D">
        <w:rPr>
          <w:rFonts w:ascii="FrankRuehl" w:hAnsi="FrankRuehl" w:cs="FrankRuehl"/>
          <w:rtl/>
        </w:rPr>
        <w:t xml:space="preserve">, </w:t>
      </w:r>
      <w:hyperlink r:id="rId17" w:history="1">
        <w:r w:rsidRPr="00C8078D">
          <w:rPr>
            <w:rFonts w:ascii="FrankRuehl" w:hAnsi="FrankRuehl" w:cs="FrankRuehl"/>
            <w:color w:val="0000FF"/>
            <w:u w:val="single"/>
            <w:rtl/>
          </w:rPr>
          <w:t>א1</w:t>
        </w:r>
      </w:hyperlink>
    </w:p>
    <w:p w14:paraId="2077C393" w14:textId="77777777" w:rsidR="00C8078D" w:rsidRPr="00C8078D" w:rsidRDefault="00C8078D" w:rsidP="00C8078D">
      <w:pPr>
        <w:spacing w:after="120" w:line="240" w:lineRule="exact"/>
        <w:ind w:left="283" w:hanging="283"/>
        <w:jc w:val="both"/>
        <w:rPr>
          <w:rFonts w:ascii="FrankRuehl" w:hAnsi="FrankRuehl" w:cs="FrankRuehl"/>
          <w:rtl/>
        </w:rPr>
      </w:pPr>
      <w:hyperlink r:id="rId18" w:history="1">
        <w:r w:rsidRPr="00C8078D">
          <w:rPr>
            <w:rFonts w:ascii="FrankRuehl" w:hAnsi="FrankRuehl" w:cs="FrankRuehl"/>
            <w:color w:val="0000FF"/>
            <w:u w:val="single"/>
            <w:rtl/>
          </w:rPr>
          <w:t>חוק סדר הדין הפלילי [נוסח משולב], תשמ"ב-1982</w:t>
        </w:r>
      </w:hyperlink>
      <w:r w:rsidRPr="00C8078D">
        <w:rPr>
          <w:rFonts w:ascii="FrankRuehl" w:hAnsi="FrankRuehl" w:cs="FrankRuehl"/>
          <w:rtl/>
        </w:rPr>
        <w:t xml:space="preserve">: סע'  </w:t>
      </w:r>
      <w:hyperlink r:id="rId19" w:history="1">
        <w:r w:rsidRPr="00C8078D">
          <w:rPr>
            <w:rFonts w:ascii="FrankRuehl" w:hAnsi="FrankRuehl" w:cs="FrankRuehl"/>
            <w:color w:val="0000FF"/>
            <w:u w:val="single"/>
            <w:rtl/>
          </w:rPr>
          <w:t>149(10)</w:t>
        </w:r>
      </w:hyperlink>
    </w:p>
    <w:p w14:paraId="2D96A7C2" w14:textId="77777777" w:rsidR="00C8078D" w:rsidRPr="00C8078D" w:rsidRDefault="00C8078D" w:rsidP="00C8078D">
      <w:pPr>
        <w:spacing w:after="120" w:line="240" w:lineRule="exact"/>
        <w:ind w:left="283" w:hanging="283"/>
        <w:jc w:val="both"/>
        <w:rPr>
          <w:rFonts w:ascii="FrankRuehl" w:hAnsi="FrankRuehl" w:cs="FrankRuehl"/>
          <w:rtl/>
        </w:rPr>
      </w:pPr>
    </w:p>
    <w:p w14:paraId="07AE90A7" w14:textId="77777777" w:rsidR="00C8078D" w:rsidRPr="00C8078D" w:rsidRDefault="00C8078D" w:rsidP="006315F3">
      <w:pPr>
        <w:spacing w:after="120" w:line="240" w:lineRule="exact"/>
        <w:ind w:left="283" w:hanging="283"/>
        <w:jc w:val="both"/>
        <w:rPr>
          <w:rFonts w:ascii="FrankRuehl" w:hAnsi="FrankRuehl" w:cs="FrankRuehl"/>
          <w:rtl/>
        </w:rPr>
      </w:pPr>
      <w:bookmarkStart w:id="3" w:name="LawTable_End"/>
      <w:bookmarkEnd w:id="3"/>
    </w:p>
    <w:p w14:paraId="4EEFFB9B" w14:textId="77777777" w:rsidR="003B6B52" w:rsidRPr="007156D3" w:rsidRDefault="003B6B52" w:rsidP="003B6B52">
      <w:pPr>
        <w:rPr>
          <w:rFonts w:ascii="Arial" w:hAnsi="Arial" w:cs="FrankRueh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B6B52" w:rsidRPr="007156D3" w14:paraId="41089623" w14:textId="77777777" w:rsidTr="003B6B52">
        <w:trPr>
          <w:trHeight w:val="355"/>
          <w:jc w:val="center"/>
        </w:trPr>
        <w:tc>
          <w:tcPr>
            <w:tcW w:w="8820" w:type="dxa"/>
            <w:tcBorders>
              <w:top w:val="nil"/>
              <w:left w:val="nil"/>
              <w:bottom w:val="nil"/>
              <w:right w:val="nil"/>
            </w:tcBorders>
            <w:shd w:val="clear" w:color="auto" w:fill="auto"/>
          </w:tcPr>
          <w:p w14:paraId="67945833" w14:textId="77777777" w:rsidR="003B6B52" w:rsidRPr="007156D3" w:rsidRDefault="003B6B52" w:rsidP="003B6B52">
            <w:pPr>
              <w:jc w:val="center"/>
              <w:rPr>
                <w:rFonts w:ascii="Arial" w:hAnsi="Arial" w:cs="FrankRuehl"/>
                <w:b/>
                <w:bCs/>
                <w:sz w:val="28"/>
                <w:szCs w:val="28"/>
                <w:rtl/>
              </w:rPr>
            </w:pPr>
            <w:bookmarkStart w:id="4" w:name="PsakDin"/>
            <w:r w:rsidRPr="007156D3">
              <w:rPr>
                <w:rFonts w:ascii="Arial" w:hAnsi="Arial" w:cs="FrankRuehl" w:hint="cs"/>
                <w:b/>
                <w:bCs/>
                <w:sz w:val="28"/>
                <w:szCs w:val="28"/>
                <w:rtl/>
              </w:rPr>
              <w:t>גזר דין</w:t>
            </w:r>
            <w:bookmarkEnd w:id="4"/>
            <w:r w:rsidRPr="007156D3">
              <w:rPr>
                <w:rFonts w:ascii="Arial" w:hAnsi="Arial" w:cs="FrankRuehl" w:hint="cs"/>
                <w:b/>
                <w:bCs/>
                <w:sz w:val="28"/>
                <w:szCs w:val="28"/>
                <w:rtl/>
              </w:rPr>
              <w:t>-נאשמים 1 ו- 2</w:t>
            </w:r>
          </w:p>
        </w:tc>
      </w:tr>
    </w:tbl>
    <w:p w14:paraId="01748EFE" w14:textId="77777777" w:rsidR="003B6B52" w:rsidRPr="007156D3" w:rsidRDefault="003B6B52" w:rsidP="003B6B52">
      <w:pPr>
        <w:rPr>
          <w:rFonts w:ascii="Arial" w:hAnsi="Arial" w:cs="FrankRuehl"/>
          <w:sz w:val="28"/>
          <w:szCs w:val="28"/>
          <w:rtl/>
        </w:rPr>
      </w:pPr>
    </w:p>
    <w:p w14:paraId="6F9E4451" w14:textId="77777777" w:rsidR="003B6B52" w:rsidRPr="007156D3" w:rsidRDefault="003B6B52" w:rsidP="003B6B52">
      <w:pPr>
        <w:rPr>
          <w:rFonts w:ascii="Arial" w:hAnsi="Arial" w:cs="FrankRuehl"/>
          <w:sz w:val="14"/>
          <w:szCs w:val="14"/>
          <w:rtl/>
        </w:rPr>
      </w:pPr>
    </w:p>
    <w:p w14:paraId="25AFD16A" w14:textId="77777777" w:rsidR="003B6B52" w:rsidRPr="007156D3" w:rsidRDefault="003B6B52" w:rsidP="003B6B52">
      <w:pPr>
        <w:spacing w:after="120" w:line="360" w:lineRule="auto"/>
        <w:rPr>
          <w:rFonts w:ascii="David" w:hAnsi="David" w:cs="FrankRuehl"/>
          <w:sz w:val="28"/>
          <w:szCs w:val="28"/>
          <w:rtl/>
        </w:rPr>
      </w:pPr>
      <w:bookmarkStart w:id="5" w:name="ABSTRACT_START"/>
      <w:bookmarkEnd w:id="5"/>
      <w:r w:rsidRPr="007156D3">
        <w:rPr>
          <w:rFonts w:ascii="David" w:hAnsi="David" w:cs="FrankRuehl" w:hint="cs"/>
          <w:sz w:val="28"/>
          <w:szCs w:val="28"/>
          <w:rtl/>
        </w:rPr>
        <w:t>גזר דין בעניינם של הנאשם 1 (להלן: עומר) והנאשם 2 (להלן: עתמאן, וביחד: הנאשמים).</w:t>
      </w:r>
    </w:p>
    <w:p w14:paraId="6501836E" w14:textId="77777777" w:rsidR="003B6B52" w:rsidRPr="007156D3" w:rsidRDefault="003B6B52" w:rsidP="003B6B52">
      <w:pPr>
        <w:spacing w:after="120" w:line="360" w:lineRule="auto"/>
        <w:rPr>
          <w:rFonts w:ascii="David" w:hAnsi="David" w:cs="FrankRuehl"/>
          <w:sz w:val="28"/>
          <w:szCs w:val="28"/>
          <w:rtl/>
        </w:rPr>
      </w:pPr>
      <w:r w:rsidRPr="007156D3">
        <w:rPr>
          <w:rFonts w:ascii="David" w:hAnsi="David" w:cs="FrankRuehl" w:hint="cs"/>
          <w:sz w:val="28"/>
          <w:szCs w:val="28"/>
          <w:rtl/>
        </w:rPr>
        <w:t xml:space="preserve">עומר הודה והורשע במסגרת הסדר טיעון, בביצוע עבירת </w:t>
      </w:r>
      <w:r w:rsidRPr="007156D3">
        <w:rPr>
          <w:rFonts w:ascii="David" w:hAnsi="David" w:cs="FrankRuehl" w:hint="cs"/>
          <w:b/>
          <w:bCs/>
          <w:sz w:val="28"/>
          <w:szCs w:val="28"/>
          <w:rtl/>
        </w:rPr>
        <w:t>סיוע לנשיאת ולהובלת נשק</w:t>
      </w:r>
      <w:r w:rsidRPr="007156D3">
        <w:rPr>
          <w:rFonts w:ascii="David" w:hAnsi="David" w:cs="FrankRuehl" w:hint="cs"/>
          <w:sz w:val="28"/>
          <w:szCs w:val="28"/>
          <w:rtl/>
        </w:rPr>
        <w:t xml:space="preserve"> – עבירה לפי </w:t>
      </w:r>
      <w:hyperlink r:id="rId20" w:history="1">
        <w:r w:rsidR="00E63136" w:rsidRPr="00E63136">
          <w:rPr>
            <w:rFonts w:ascii="David" w:hAnsi="David" w:cs="FrankRuehl"/>
            <w:color w:val="0000FF"/>
            <w:sz w:val="28"/>
            <w:szCs w:val="28"/>
            <w:u w:val="single"/>
            <w:rtl/>
          </w:rPr>
          <w:t>סעיף 144(ב)</w:t>
        </w:r>
      </w:hyperlink>
      <w:r w:rsidRPr="007156D3">
        <w:rPr>
          <w:rFonts w:ascii="David" w:hAnsi="David" w:cs="FrankRuehl" w:hint="cs"/>
          <w:sz w:val="28"/>
          <w:szCs w:val="28"/>
          <w:rtl/>
        </w:rPr>
        <w:t xml:space="preserve"> רישא, בצירוף </w:t>
      </w:r>
      <w:hyperlink r:id="rId21" w:history="1">
        <w:r w:rsidR="00E63136" w:rsidRPr="00E63136">
          <w:rPr>
            <w:rFonts w:ascii="David" w:hAnsi="David" w:cs="FrankRuehl"/>
            <w:color w:val="0000FF"/>
            <w:sz w:val="28"/>
            <w:szCs w:val="28"/>
            <w:u w:val="single"/>
            <w:rtl/>
          </w:rPr>
          <w:t>סעיף 31</w:t>
        </w:r>
      </w:hyperlink>
      <w:r w:rsidRPr="007156D3">
        <w:rPr>
          <w:rFonts w:ascii="David" w:hAnsi="David" w:cs="FrankRuehl" w:hint="cs"/>
          <w:sz w:val="28"/>
          <w:szCs w:val="28"/>
          <w:rtl/>
        </w:rPr>
        <w:t xml:space="preserve"> ל</w:t>
      </w:r>
      <w:hyperlink r:id="rId22" w:history="1">
        <w:r w:rsidR="007156D3" w:rsidRPr="007156D3">
          <w:rPr>
            <w:rFonts w:ascii="David" w:hAnsi="David" w:cs="FrankRuehl"/>
            <w:color w:val="0000FF"/>
            <w:sz w:val="28"/>
            <w:szCs w:val="28"/>
            <w:u w:val="single"/>
            <w:rtl/>
          </w:rPr>
          <w:t>חוק העונשין</w:t>
        </w:r>
      </w:hyperlink>
      <w:r w:rsidRPr="007156D3">
        <w:rPr>
          <w:rFonts w:ascii="David" w:hAnsi="David" w:cs="FrankRuehl" w:hint="cs"/>
          <w:sz w:val="28"/>
          <w:szCs w:val="28"/>
          <w:rtl/>
        </w:rPr>
        <w:t xml:space="preserve">, התשל"ז-1977 (להלן: החוק), ובעבירת </w:t>
      </w:r>
      <w:r w:rsidRPr="007156D3">
        <w:rPr>
          <w:rFonts w:ascii="David" w:hAnsi="David" w:cs="FrankRuehl" w:hint="cs"/>
          <w:b/>
          <w:bCs/>
          <w:sz w:val="28"/>
          <w:szCs w:val="28"/>
          <w:rtl/>
        </w:rPr>
        <w:t>שיבוש מהלכי משפט</w:t>
      </w:r>
      <w:r w:rsidRPr="007156D3">
        <w:rPr>
          <w:rFonts w:ascii="David" w:hAnsi="David" w:cs="FrankRuehl" w:hint="cs"/>
          <w:sz w:val="28"/>
          <w:szCs w:val="28"/>
          <w:rtl/>
        </w:rPr>
        <w:t xml:space="preserve"> – עבירה לפי </w:t>
      </w:r>
      <w:hyperlink r:id="rId23" w:history="1">
        <w:r w:rsidR="00E63136" w:rsidRPr="00E63136">
          <w:rPr>
            <w:rFonts w:ascii="David" w:hAnsi="David" w:cs="FrankRuehl"/>
            <w:color w:val="0000FF"/>
            <w:sz w:val="28"/>
            <w:szCs w:val="28"/>
            <w:u w:val="single"/>
            <w:rtl/>
          </w:rPr>
          <w:t>סעיף 244(א)</w:t>
        </w:r>
      </w:hyperlink>
      <w:r w:rsidRPr="007156D3">
        <w:rPr>
          <w:rFonts w:ascii="David" w:hAnsi="David" w:cs="FrankRuehl" w:hint="cs"/>
          <w:sz w:val="28"/>
          <w:szCs w:val="28"/>
          <w:rtl/>
        </w:rPr>
        <w:t xml:space="preserve"> לחוק.</w:t>
      </w:r>
    </w:p>
    <w:p w14:paraId="061C0E72" w14:textId="77777777" w:rsidR="003B6B52" w:rsidRPr="007156D3" w:rsidRDefault="003B6B52" w:rsidP="003B6B52">
      <w:pPr>
        <w:spacing w:after="120" w:line="360" w:lineRule="auto"/>
        <w:rPr>
          <w:rFonts w:ascii="David" w:hAnsi="David" w:cs="FrankRuehl"/>
          <w:sz w:val="28"/>
          <w:szCs w:val="28"/>
          <w:rtl/>
        </w:rPr>
      </w:pPr>
      <w:r w:rsidRPr="007156D3">
        <w:rPr>
          <w:rFonts w:ascii="David" w:hAnsi="David" w:cs="FrankRuehl" w:hint="cs"/>
          <w:sz w:val="28"/>
          <w:szCs w:val="28"/>
          <w:rtl/>
        </w:rPr>
        <w:t xml:space="preserve">עתמאן הודה והורשע במסגרת הסדר טיעון בביצוע עבירת </w:t>
      </w:r>
      <w:r w:rsidRPr="007156D3">
        <w:rPr>
          <w:rFonts w:ascii="David" w:hAnsi="David" w:cs="FrankRuehl" w:hint="cs"/>
          <w:b/>
          <w:bCs/>
          <w:sz w:val="28"/>
          <w:szCs w:val="28"/>
          <w:rtl/>
        </w:rPr>
        <w:t>נשיאת והובלת נשק</w:t>
      </w:r>
      <w:r w:rsidRPr="007156D3">
        <w:rPr>
          <w:rFonts w:ascii="David" w:hAnsi="David" w:cs="FrankRuehl" w:hint="cs"/>
          <w:sz w:val="28"/>
          <w:szCs w:val="28"/>
          <w:rtl/>
        </w:rPr>
        <w:t xml:space="preserve"> – עבירה לפי </w:t>
      </w:r>
      <w:hyperlink r:id="rId24" w:history="1">
        <w:r w:rsidR="00E63136" w:rsidRPr="00E63136">
          <w:rPr>
            <w:rFonts w:ascii="David" w:hAnsi="David" w:cs="FrankRuehl"/>
            <w:color w:val="0000FF"/>
            <w:sz w:val="28"/>
            <w:szCs w:val="28"/>
            <w:u w:val="single"/>
            <w:rtl/>
          </w:rPr>
          <w:t>סעיף 144(ב)</w:t>
        </w:r>
      </w:hyperlink>
      <w:r w:rsidRPr="007156D3">
        <w:rPr>
          <w:rFonts w:ascii="David" w:hAnsi="David" w:cs="FrankRuehl" w:hint="cs"/>
          <w:sz w:val="28"/>
          <w:szCs w:val="28"/>
          <w:rtl/>
        </w:rPr>
        <w:t xml:space="preserve"> לחוק.</w:t>
      </w:r>
    </w:p>
    <w:p w14:paraId="7D62EC13" w14:textId="77777777" w:rsidR="003B6B52" w:rsidRPr="007156D3" w:rsidRDefault="003B6B52" w:rsidP="003B6B52">
      <w:pPr>
        <w:spacing w:after="120" w:line="360" w:lineRule="auto"/>
        <w:rPr>
          <w:rFonts w:ascii="David" w:hAnsi="David" w:cs="FrankRuehl"/>
          <w:sz w:val="28"/>
          <w:szCs w:val="28"/>
          <w:rtl/>
        </w:rPr>
      </w:pPr>
      <w:bookmarkStart w:id="6" w:name="ABSTRACT_END"/>
      <w:bookmarkEnd w:id="6"/>
      <w:r w:rsidRPr="007156D3">
        <w:rPr>
          <w:rFonts w:ascii="David" w:hAnsi="David" w:cs="FrankRuehl" w:hint="cs"/>
          <w:sz w:val="28"/>
          <w:szCs w:val="28"/>
          <w:rtl/>
        </w:rPr>
        <w:lastRenderedPageBreak/>
        <w:t xml:space="preserve">עניינו של הנאשם 3 בכתב אישום זה הסתיים. הנאשם 3 הורשע בעבירת </w:t>
      </w:r>
      <w:r w:rsidRPr="007156D3">
        <w:rPr>
          <w:rFonts w:ascii="David" w:hAnsi="David" w:cs="FrankRuehl" w:hint="cs"/>
          <w:b/>
          <w:bCs/>
          <w:sz w:val="28"/>
          <w:szCs w:val="28"/>
          <w:rtl/>
        </w:rPr>
        <w:t>החזקת נשק</w:t>
      </w:r>
      <w:r w:rsidRPr="007156D3">
        <w:rPr>
          <w:rFonts w:ascii="David" w:hAnsi="David" w:cs="FrankRuehl" w:hint="cs"/>
          <w:sz w:val="28"/>
          <w:szCs w:val="28"/>
          <w:rtl/>
        </w:rPr>
        <w:t xml:space="preserve"> – עבירה לפי </w:t>
      </w:r>
      <w:hyperlink r:id="rId25" w:history="1">
        <w:r w:rsidR="00E63136" w:rsidRPr="00E63136">
          <w:rPr>
            <w:rFonts w:ascii="David" w:hAnsi="David" w:cs="FrankRuehl"/>
            <w:color w:val="0000FF"/>
            <w:sz w:val="28"/>
            <w:szCs w:val="28"/>
            <w:u w:val="single"/>
            <w:rtl/>
          </w:rPr>
          <w:t>סעיף 144(א)</w:t>
        </w:r>
      </w:hyperlink>
      <w:r w:rsidRPr="007156D3">
        <w:rPr>
          <w:rFonts w:ascii="David" w:hAnsi="David" w:cs="FrankRuehl" w:hint="cs"/>
          <w:sz w:val="28"/>
          <w:szCs w:val="28"/>
          <w:rtl/>
        </w:rPr>
        <w:t xml:space="preserve"> סיפא לחוק, ונדון לשישה חודשי עבודות שירות.</w:t>
      </w:r>
    </w:p>
    <w:p w14:paraId="57078BBD" w14:textId="77777777" w:rsidR="003B6B52" w:rsidRPr="007156D3" w:rsidRDefault="003B6B52" w:rsidP="003B6B52">
      <w:pPr>
        <w:spacing w:after="120" w:line="360" w:lineRule="auto"/>
        <w:rPr>
          <w:rFonts w:ascii="David" w:hAnsi="David" w:cs="FrankRuehl"/>
          <w:sz w:val="28"/>
          <w:szCs w:val="28"/>
          <w:rtl/>
        </w:rPr>
      </w:pPr>
      <w:r w:rsidRPr="007156D3">
        <w:rPr>
          <w:rFonts w:ascii="David" w:hAnsi="David" w:cs="FrankRuehl" w:hint="cs"/>
          <w:sz w:val="28"/>
          <w:szCs w:val="28"/>
          <w:rtl/>
        </w:rPr>
        <w:t xml:space="preserve">על פי עובדות כתב האישום המתוקן, ביום 13.2.2016 סמוך לשעה 02:00, נסעו הנאשמים ברכבו של עומר מסוג הונדה (להלן: הרכב), על כביש מספר 38, בקטע הדרך שבין צומת שריגים לכיוון בית ג'וברין. ברכב שהה אדם נוסף בשם טלאל אלקסאסי (להלן: טלאל). </w:t>
      </w:r>
    </w:p>
    <w:p w14:paraId="5788AECB" w14:textId="77777777" w:rsidR="003B6B52" w:rsidRPr="007156D3" w:rsidRDefault="003B6B52" w:rsidP="003B6B52">
      <w:pPr>
        <w:spacing w:after="120" w:line="360" w:lineRule="auto"/>
        <w:jc w:val="both"/>
        <w:rPr>
          <w:rFonts w:ascii="David" w:hAnsi="David" w:cs="FrankRuehl"/>
          <w:sz w:val="28"/>
          <w:szCs w:val="28"/>
          <w:rtl/>
        </w:rPr>
      </w:pPr>
      <w:r w:rsidRPr="007156D3">
        <w:rPr>
          <w:rFonts w:ascii="David" w:hAnsi="David" w:cs="FrankRuehl" w:hint="cs"/>
          <w:sz w:val="28"/>
          <w:szCs w:val="28"/>
          <w:rtl/>
        </w:rPr>
        <w:t xml:space="preserve">במהלך נסיעתם, החזיק עתמאן ברכב, תוך שעומר מסייע לו, אקדח מסוג </w:t>
      </w:r>
      <w:r w:rsidRPr="007156D3">
        <w:rPr>
          <w:rFonts w:ascii="David" w:hAnsi="David" w:cs="FrankRuehl" w:hint="cs"/>
          <w:sz w:val="28"/>
          <w:szCs w:val="28"/>
        </w:rPr>
        <w:t>FN</w:t>
      </w:r>
      <w:r w:rsidRPr="007156D3">
        <w:rPr>
          <w:rFonts w:ascii="David" w:hAnsi="David" w:cs="FrankRuehl" w:hint="cs"/>
          <w:sz w:val="28"/>
          <w:szCs w:val="28"/>
          <w:rtl/>
        </w:rPr>
        <w:t xml:space="preserve"> בקוטר 9 מ"מ (להלן: האקדח), וכן מחסנית לאקדח ובה 11 כדורי אקדח בקוטר 9 מ"מ. האקדח והמחסנית היו עטופים בגרב לבנה. בנוסף, החזיק עתמאן ברכב בסיועו של עומר, חפיסת כדורי אקדח בקוטר 9 מ"מ ובה 50 כדורים. </w:t>
      </w:r>
    </w:p>
    <w:p w14:paraId="31A6997C" w14:textId="77777777" w:rsidR="003B6B52" w:rsidRPr="007156D3" w:rsidRDefault="003B6B52" w:rsidP="003B6B52">
      <w:pPr>
        <w:spacing w:after="120" w:line="360" w:lineRule="auto"/>
        <w:jc w:val="both"/>
        <w:rPr>
          <w:rFonts w:ascii="David" w:hAnsi="David" w:cs="FrankRuehl"/>
          <w:sz w:val="28"/>
          <w:szCs w:val="28"/>
          <w:rtl/>
        </w:rPr>
      </w:pPr>
      <w:r w:rsidRPr="007156D3">
        <w:rPr>
          <w:rFonts w:ascii="David" w:hAnsi="David" w:cs="FrankRuehl" w:hint="cs"/>
          <w:sz w:val="28"/>
          <w:szCs w:val="28"/>
          <w:rtl/>
        </w:rPr>
        <w:t>השוטרים דניאל יחזקאלי (להלן: דניאל) ואופק רפאל (להלן: אופק), ממוקמים היו על כביש 38 לצד ניידת משטרה באורות כחולים ובפנסי איתות מהבהבים. משהתקרב הרכב לעבר הניידת, סימנו לו השוטרים לעצור. הרכב חלף על פני השוטרים ועצר במרחק מהניידת. השוטרים נכנסו לניידת, נסעו לעבר הרכב וחנו מאחורי</w:t>
      </w:r>
      <w:r w:rsidRPr="007156D3">
        <w:rPr>
          <w:rFonts w:ascii="David" w:hAnsi="David" w:cs="FrankRuehl" w:hint="eastAsia"/>
          <w:sz w:val="28"/>
          <w:szCs w:val="28"/>
          <w:rtl/>
        </w:rPr>
        <w:t>ו</w:t>
      </w:r>
      <w:r w:rsidRPr="007156D3">
        <w:rPr>
          <w:rFonts w:ascii="David" w:hAnsi="David" w:cs="FrankRuehl" w:hint="cs"/>
          <w:sz w:val="28"/>
          <w:szCs w:val="28"/>
          <w:rtl/>
        </w:rPr>
        <w:t xml:space="preserve"> ויצאו רגלית לעבר הרכב. דניאל נעמד לצד חלקו האחורי-ימני של הרכב, ואופק פנה לעבר צדו השמאלי, סמוך למקום מושב הנהג – עומר. עומר יצא מהרכב ופנה בדברים לאופק במטרה להסיח את דעתו מעתמאן, כאשר זה האחרון השליך מחלון הרכב את הגרב הלבנה ובה האקדח והמחסנית. הגרב נחתה מרחק שלושה מטרים מהרכב ונתפסה על ידי דניאל. בסמוך לכך, בחיפוש שנערך ברכב, נמצאה מתחת למקום מושבו של עתמאן חפיסת כדורי אקדח בקוטר 9 מ"מ ובה 50 כדורים, על המושב עצמו בו ישב עתמאן נמצאה חפיסת כדורים נוספת ובה 50 כדורים. ברצפת הרכב סמוך למקום מושבו של עתמאן, נמצאו גרזן, פטיש, ושני מברגים. במושב האחורי נמצא גם כובע גרב שחור ובו חרכים לפה ולעיניים. </w:t>
      </w:r>
    </w:p>
    <w:p w14:paraId="5F5AE790" w14:textId="77777777" w:rsidR="003B6B52" w:rsidRPr="007156D3" w:rsidRDefault="003B6B52" w:rsidP="003B6B52">
      <w:pPr>
        <w:spacing w:after="120" w:line="360" w:lineRule="auto"/>
        <w:jc w:val="both"/>
        <w:rPr>
          <w:rFonts w:ascii="David" w:hAnsi="David" w:cs="FrankRuehl"/>
          <w:sz w:val="28"/>
          <w:szCs w:val="28"/>
          <w:rtl/>
        </w:rPr>
      </w:pPr>
      <w:r w:rsidRPr="007156D3">
        <w:rPr>
          <w:rFonts w:ascii="David" w:hAnsi="David" w:cs="FrankRuehl" w:hint="cs"/>
          <w:sz w:val="28"/>
          <w:szCs w:val="28"/>
          <w:rtl/>
        </w:rPr>
        <w:t xml:space="preserve">במעשיהם המתוארים לעיל, נשא עומר והוביל נשק, תוך שעתמאן מסייע לו בכך. </w:t>
      </w:r>
    </w:p>
    <w:p w14:paraId="3D725E06" w14:textId="77777777" w:rsidR="003B6B52" w:rsidRPr="007156D3" w:rsidRDefault="003B6B52" w:rsidP="003B6B52">
      <w:pPr>
        <w:spacing w:after="120" w:line="360" w:lineRule="auto"/>
        <w:jc w:val="both"/>
        <w:rPr>
          <w:rFonts w:ascii="David" w:hAnsi="David" w:cs="FrankRuehl"/>
          <w:sz w:val="28"/>
          <w:szCs w:val="28"/>
          <w:rtl/>
        </w:rPr>
      </w:pPr>
      <w:r w:rsidRPr="007156D3">
        <w:rPr>
          <w:rFonts w:ascii="David" w:hAnsi="David" w:cs="FrankRuehl" w:hint="cs"/>
          <w:sz w:val="28"/>
          <w:szCs w:val="28"/>
          <w:rtl/>
        </w:rPr>
        <w:t>נוכח העובדה שעומר פנה לאופק בניסיון להסיח דעתו מכך שעתמאן השליך את האקדח והמחסנית מחלון הרכב, עשה עומר דבר בכוונה למנוע או להכשיל הליך שיפוטי.</w:t>
      </w:r>
    </w:p>
    <w:p w14:paraId="678DD66E" w14:textId="77777777" w:rsidR="003B6B52" w:rsidRPr="007156D3" w:rsidRDefault="003B6B52" w:rsidP="003B6B52">
      <w:pPr>
        <w:pStyle w:val="1"/>
        <w:rPr>
          <w:rFonts w:ascii="David" w:eastAsia="Calibri" w:hAnsi="David" w:cs="FrankRuehl"/>
          <w:sz w:val="28"/>
          <w:szCs w:val="28"/>
          <w:rtl/>
        </w:rPr>
      </w:pPr>
      <w:r w:rsidRPr="007156D3">
        <w:rPr>
          <w:rFonts w:eastAsia="Calibri" w:cs="FrankRuehl" w:hint="cs"/>
          <w:sz w:val="28"/>
          <w:szCs w:val="28"/>
          <w:rtl/>
        </w:rPr>
        <w:t>טיעוני המאשימה לעונש</w:t>
      </w:r>
    </w:p>
    <w:p w14:paraId="47683A63" w14:textId="77777777" w:rsidR="006315F3" w:rsidRDefault="003B6B52" w:rsidP="003B6B52">
      <w:pPr>
        <w:spacing w:after="120" w:line="360" w:lineRule="auto"/>
        <w:jc w:val="both"/>
        <w:rPr>
          <w:rFonts w:ascii="David" w:hAnsi="David" w:cs="FrankRuehl"/>
          <w:sz w:val="28"/>
          <w:szCs w:val="28"/>
          <w:rtl/>
        </w:rPr>
      </w:pPr>
      <w:r w:rsidRPr="007156D3">
        <w:rPr>
          <w:rFonts w:ascii="David" w:hAnsi="David" w:cs="FrankRuehl" w:hint="cs"/>
          <w:sz w:val="28"/>
          <w:szCs w:val="28"/>
          <w:rtl/>
        </w:rPr>
        <w:t>במסגרת הראיות לעונש, הציגה המאשימה את רישומו הפלילי של עומר, הכולל הרשעה פלילית</w:t>
      </w:r>
    </w:p>
    <w:bookmarkEnd w:id="0"/>
    <w:bookmarkEnd w:id="1"/>
    <w:p w14:paraId="0494CE8C" w14:textId="77777777" w:rsidR="007156D3" w:rsidRPr="007156D3" w:rsidRDefault="007156D3" w:rsidP="007156D3">
      <w:pPr>
        <w:spacing w:after="120" w:line="360" w:lineRule="auto"/>
        <w:jc w:val="center"/>
        <w:rPr>
          <w:rFonts w:ascii="David" w:hAnsi="David" w:cs="FrankRuehl"/>
          <w:bCs/>
          <w:sz w:val="28"/>
          <w:szCs w:val="28"/>
          <w:rtl/>
        </w:rPr>
      </w:pPr>
      <w:r w:rsidRPr="007156D3">
        <w:rPr>
          <w:rFonts w:ascii="David" w:hAnsi="David" w:cs="FrankRuehl"/>
          <w:bCs/>
          <w:sz w:val="28"/>
          <w:szCs w:val="28"/>
          <w:rtl/>
        </w:rPr>
        <w:t>משנת 2013 בגין ביצוע עבירה של שימוש במסמך מזויף. בנוסף, נדון עומר פעמיים לעונשי מאסר</w:t>
      </w:r>
    </w:p>
    <w:p w14:paraId="5BC47785"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בפועל בגין ביצוע עבירות תעבורה.</w:t>
      </w:r>
    </w:p>
    <w:p w14:paraId="1B2A1F08" w14:textId="77777777" w:rsidR="003B6B52" w:rsidRPr="003B6B52" w:rsidRDefault="003B6B52" w:rsidP="003B6B52">
      <w:pPr>
        <w:spacing w:after="120" w:line="360" w:lineRule="auto"/>
        <w:jc w:val="both"/>
        <w:rPr>
          <w:rFonts w:ascii="David" w:eastAsia="Calibri" w:hAnsi="David" w:cs="FrankRuehl"/>
          <w:sz w:val="28"/>
          <w:szCs w:val="28"/>
          <w:rtl/>
        </w:rPr>
      </w:pPr>
      <w:r w:rsidRPr="0089297D">
        <w:rPr>
          <w:rFonts w:ascii="David" w:hAnsi="David" w:cs="FrankRuehl" w:hint="cs"/>
          <w:sz w:val="28"/>
          <w:szCs w:val="28"/>
          <w:rtl/>
        </w:rPr>
        <w:lastRenderedPageBreak/>
        <w:t xml:space="preserve"> עתמאן נעדר עבר פלילי.</w:t>
      </w:r>
    </w:p>
    <w:p w14:paraId="39F53718"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 xml:space="preserve">הודגש, כי עבירות הנשק מבוצעות לרוב על מנת לאפשר עבירות נוספות והן תורמות להרחבת מעגל האלימות ולתוצאות קשות בעקבות כך. </w:t>
      </w:r>
    </w:p>
    <w:p w14:paraId="0F4F6E9C"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בית המשפט העליון עמד לא אחת על כך שיש להחמיר בענישה בגין עבירות נשק, ולהעדיף את אינטרס הציבור על פני נתוניו האישיים של הנאשם. בהקשר לכך צוינו פסקי הדין שניתנו ב</w:t>
      </w:r>
      <w:hyperlink r:id="rId26" w:history="1">
        <w:r w:rsidR="007156D3" w:rsidRPr="007156D3">
          <w:rPr>
            <w:rFonts w:ascii="David" w:hAnsi="David" w:cs="FrankRuehl"/>
            <w:color w:val="0000FF"/>
            <w:sz w:val="28"/>
            <w:szCs w:val="28"/>
            <w:u w:val="single"/>
            <w:rtl/>
          </w:rPr>
          <w:t>ע"פ 761/07</w:t>
        </w:r>
      </w:hyperlink>
      <w:r w:rsidRPr="0089297D">
        <w:rPr>
          <w:rFonts w:ascii="David" w:hAnsi="David" w:cs="FrankRuehl" w:hint="cs"/>
          <w:sz w:val="28"/>
          <w:szCs w:val="28"/>
          <w:rtl/>
        </w:rPr>
        <w:t xml:space="preserve"> </w:t>
      </w:r>
      <w:r w:rsidRPr="0089297D">
        <w:rPr>
          <w:rFonts w:ascii="David" w:hAnsi="David" w:cs="FrankRuehl" w:hint="cs"/>
          <w:b/>
          <w:bCs/>
          <w:sz w:val="28"/>
          <w:szCs w:val="28"/>
          <w:rtl/>
        </w:rPr>
        <w:t>מדינת ישראל נ' אדרי</w:t>
      </w:r>
      <w:r w:rsidRPr="0089297D">
        <w:rPr>
          <w:rFonts w:ascii="David" w:hAnsi="David" w:cs="FrankRuehl" w:hint="cs"/>
          <w:sz w:val="28"/>
          <w:szCs w:val="28"/>
          <w:rtl/>
        </w:rPr>
        <w:t xml:space="preserve"> (פורסם בנבו, 22.2.2007); ו</w:t>
      </w:r>
      <w:hyperlink r:id="rId27" w:history="1">
        <w:r w:rsidR="007156D3" w:rsidRPr="007156D3">
          <w:rPr>
            <w:rFonts w:ascii="David" w:hAnsi="David" w:cs="FrankRuehl"/>
            <w:color w:val="0000FF"/>
            <w:sz w:val="28"/>
            <w:szCs w:val="28"/>
            <w:u w:val="single"/>
            <w:rtl/>
          </w:rPr>
          <w:t>ע"פ 2251/11</w:t>
        </w:r>
      </w:hyperlink>
      <w:r w:rsidRPr="0089297D">
        <w:rPr>
          <w:rFonts w:ascii="David" w:hAnsi="David" w:cs="FrankRuehl" w:hint="cs"/>
          <w:sz w:val="28"/>
          <w:szCs w:val="28"/>
          <w:rtl/>
        </w:rPr>
        <w:t xml:space="preserve"> </w:t>
      </w:r>
      <w:r w:rsidRPr="0089297D">
        <w:rPr>
          <w:rFonts w:ascii="David" w:hAnsi="David" w:cs="FrankRuehl" w:hint="cs"/>
          <w:b/>
          <w:bCs/>
          <w:sz w:val="28"/>
          <w:szCs w:val="28"/>
          <w:rtl/>
        </w:rPr>
        <w:t>נפאע נ' מדינת ישראל</w:t>
      </w:r>
      <w:r w:rsidRPr="0089297D">
        <w:rPr>
          <w:rFonts w:ascii="David" w:hAnsi="David" w:cs="FrankRuehl" w:hint="cs"/>
          <w:sz w:val="28"/>
          <w:szCs w:val="28"/>
          <w:rtl/>
        </w:rPr>
        <w:t xml:space="preserve"> (פורסם בנבו, 4.12.2011). </w:t>
      </w:r>
    </w:p>
    <w:p w14:paraId="755316CF"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באשר לנסיבות הקשורות בביצוע העבירה צוין, כי עומר סייע לעתמאן סיוע שאינו רגעי, כאשר הסיע אותו ברכבו במהלך נסיעה לא קצרה. לאורך כל הדרך הבינו הנאשמים את הפסול במעשיהם, ולראיה, כאשר נתקלו בשוטרים ניסו להיפטר מהאקדח והתחמושת. בנסיבות אלה, עתרה המאשימה למתחם שבין 22 ל-40 חודשי מאסר בפועל לעתמאן, ומתחם שבין 12 עד 24 חודשי מאסר בפועל לעומר.</w:t>
      </w:r>
    </w:p>
    <w:p w14:paraId="0F9EEFA0"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בנוגע למדיניות הענישה, הפנתה המאשימה ל</w:t>
      </w:r>
      <w:hyperlink r:id="rId28" w:history="1">
        <w:r w:rsidR="007156D3" w:rsidRPr="007156D3">
          <w:rPr>
            <w:rFonts w:ascii="David" w:hAnsi="David" w:cs="FrankRuehl"/>
            <w:color w:val="0000FF"/>
            <w:sz w:val="28"/>
            <w:szCs w:val="28"/>
            <w:u w:val="single"/>
            <w:rtl/>
          </w:rPr>
          <w:t>ע"פ 9373/10</w:t>
        </w:r>
      </w:hyperlink>
      <w:r w:rsidRPr="0089297D">
        <w:rPr>
          <w:rFonts w:ascii="David" w:hAnsi="David" w:cs="FrankRuehl" w:hint="cs"/>
          <w:sz w:val="28"/>
          <w:szCs w:val="28"/>
          <w:rtl/>
        </w:rPr>
        <w:t xml:space="preserve"> </w:t>
      </w:r>
      <w:r w:rsidRPr="0089297D">
        <w:rPr>
          <w:rFonts w:ascii="David" w:hAnsi="David" w:cs="FrankRuehl" w:hint="cs"/>
          <w:b/>
          <w:bCs/>
          <w:sz w:val="28"/>
          <w:szCs w:val="28"/>
          <w:rtl/>
        </w:rPr>
        <w:t>ותד נ' מדינת ישראל</w:t>
      </w:r>
      <w:r w:rsidRPr="0089297D">
        <w:rPr>
          <w:rFonts w:ascii="David" w:hAnsi="David" w:cs="FrankRuehl" w:hint="cs"/>
          <w:sz w:val="28"/>
          <w:szCs w:val="28"/>
          <w:rtl/>
        </w:rPr>
        <w:t xml:space="preserve"> (פורסם בנבו, 14.9.2011) (להלן: עניין </w:t>
      </w:r>
      <w:r w:rsidRPr="0089297D">
        <w:rPr>
          <w:rFonts w:ascii="David" w:hAnsi="David" w:cs="FrankRuehl" w:hint="cs"/>
          <w:b/>
          <w:bCs/>
          <w:sz w:val="28"/>
          <w:szCs w:val="28"/>
          <w:rtl/>
        </w:rPr>
        <w:t>ותד</w:t>
      </w:r>
      <w:r w:rsidRPr="0089297D">
        <w:rPr>
          <w:rFonts w:ascii="David" w:hAnsi="David" w:cs="FrankRuehl" w:hint="cs"/>
          <w:sz w:val="28"/>
          <w:szCs w:val="28"/>
          <w:rtl/>
        </w:rPr>
        <w:t xml:space="preserve">), שם גזר בית המשפט העליון עונש של 30 חודשי מאסר, על נאשם שהחזיק בביתו אקדח ומחסנית עם 12 כדורים. עוד הפנתה המאשימה לת"פ 5127/06 </w:t>
      </w:r>
      <w:r w:rsidRPr="0089297D">
        <w:rPr>
          <w:rFonts w:ascii="David" w:hAnsi="David" w:cs="FrankRuehl" w:hint="cs"/>
          <w:b/>
          <w:bCs/>
          <w:sz w:val="28"/>
          <w:szCs w:val="28"/>
          <w:rtl/>
        </w:rPr>
        <w:t xml:space="preserve">מדינת ישראל נ' כרכור </w:t>
      </w:r>
      <w:r w:rsidRPr="0089297D">
        <w:rPr>
          <w:rFonts w:ascii="David" w:hAnsi="David" w:cs="FrankRuehl" w:hint="cs"/>
          <w:sz w:val="28"/>
          <w:szCs w:val="28"/>
          <w:rtl/>
        </w:rPr>
        <w:t>(פורסם בנבו, 10.7.2006), שם נגזרו 24 חודשי מאסר בפועל על נאשם שנתפס מחזיק אקדח ותחמושת גנובים. המאשימה הפנתה לפסיקה נוספת התומכת לגישתה במתחם העונש הראוי שיש לקבוע בעניינם של הנאשמים.</w:t>
      </w:r>
    </w:p>
    <w:p w14:paraId="5F5B7A4E"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סוף דבר, ובהתחשב בכך שהנאשמים הודו וחסכו זמן שיפוטי, כי עתמאן נעדר עבר פלילי וכי עומר הינו בעל עבר פלילי, עתרה המאשימה להשית על עומר עונש של 18 חודשי מאסר בפועל. על עתמאן, עתרה המאשימה להשית עונש של 30 חודשי מאסר בפועל, מאסר על תנאי מרתיע וקנס.</w:t>
      </w:r>
    </w:p>
    <w:p w14:paraId="536FF07B" w14:textId="77777777" w:rsidR="003B6B52" w:rsidRPr="003B6B52" w:rsidRDefault="003B6B52" w:rsidP="003B6B52">
      <w:pPr>
        <w:pStyle w:val="1"/>
        <w:rPr>
          <w:rFonts w:ascii="David" w:eastAsia="Calibri" w:hAnsi="David" w:cs="FrankRuehl"/>
          <w:sz w:val="28"/>
          <w:szCs w:val="28"/>
          <w:u w:val="single"/>
          <w:rtl/>
        </w:rPr>
      </w:pPr>
      <w:r w:rsidRPr="003B6B52">
        <w:rPr>
          <w:rFonts w:eastAsia="Calibri" w:cs="FrankRuehl" w:hint="cs"/>
          <w:sz w:val="28"/>
          <w:szCs w:val="28"/>
          <w:u w:val="single"/>
          <w:rtl/>
        </w:rPr>
        <w:t>טיעוני הנאשמים לעונש</w:t>
      </w:r>
    </w:p>
    <w:p w14:paraId="086978FA" w14:textId="77777777" w:rsidR="003B6B52" w:rsidRPr="003B6B52" w:rsidRDefault="003B6B52" w:rsidP="003B6B52">
      <w:pPr>
        <w:pStyle w:val="aa"/>
        <w:rPr>
          <w:rFonts w:eastAsia="Calibri" w:cs="FrankRuehl"/>
          <w:b/>
          <w:bCs/>
          <w:sz w:val="28"/>
          <w:szCs w:val="28"/>
          <w:rtl/>
        </w:rPr>
      </w:pPr>
      <w:r w:rsidRPr="003B6B52">
        <w:rPr>
          <w:rFonts w:eastAsia="Calibri" w:cs="FrankRuehl" w:hint="cs"/>
          <w:b/>
          <w:bCs/>
          <w:sz w:val="28"/>
          <w:szCs w:val="28"/>
          <w:rtl/>
        </w:rPr>
        <w:t>הנאשם 1 – עומר</w:t>
      </w:r>
    </w:p>
    <w:p w14:paraId="5152BD93" w14:textId="77777777" w:rsidR="003B6B52" w:rsidRPr="003B6B52" w:rsidRDefault="003B6B52" w:rsidP="003B6B52">
      <w:pPr>
        <w:spacing w:after="120" w:line="360" w:lineRule="auto"/>
        <w:jc w:val="both"/>
        <w:rPr>
          <w:rFonts w:ascii="David" w:eastAsia="Calibri" w:hAnsi="David" w:cs="FrankRuehl"/>
          <w:sz w:val="28"/>
          <w:szCs w:val="28"/>
          <w:rtl/>
        </w:rPr>
      </w:pPr>
      <w:r w:rsidRPr="0089297D">
        <w:rPr>
          <w:rFonts w:ascii="David" w:hAnsi="David" w:cs="FrankRuehl" w:hint="cs"/>
          <w:sz w:val="28"/>
          <w:szCs w:val="28"/>
          <w:rtl/>
        </w:rPr>
        <w:t>בפתח דבריו קבל ב"כ של עומר על כך שכנגד טלאל, ששהה אף הוא ברכבם של הנאשמים, לא הוגש כתב אישום. ועוד הלין על כך, שכנגד הנאשם 3 הוגש כתב אישום על החזקת תחמושת בלבד, לבסוף הוסכם שעונשו ירוצה בעבודות שירות. לגישת ב"כ עומר הדבר עולה לכדי "אכיפה בררנית" מצד המאשימה, ומקים לו טענת הגנה מן הצדק. בנוסף, הדבר אינו עולה בקנה אחד עם עיקרון אחידות הענישה.</w:t>
      </w:r>
    </w:p>
    <w:p w14:paraId="6E3F976D"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 xml:space="preserve">צוין, כי עניינו של עומר דומה מאוד לעניינו של טלאל ושל הנאשם 3, ולא ברורה ההבחנה שעשתה המאשימה בין עומר וביניהם. </w:t>
      </w:r>
    </w:p>
    <w:p w14:paraId="18A12770"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 xml:space="preserve">בהקשר לכך הודגש, כי על אף שעומר הודה בכתב האישום המתוקן, הרי ש-"אכיפה בררנית" מצד המאשימה, עשויה להוביל אף להקלה בעונש כפי שנקבע בפסק הדין בעניין </w:t>
      </w:r>
      <w:r w:rsidRPr="0089297D">
        <w:rPr>
          <w:rFonts w:ascii="David" w:hAnsi="David" w:cs="FrankRuehl" w:hint="cs"/>
          <w:b/>
          <w:bCs/>
          <w:sz w:val="28"/>
          <w:szCs w:val="28"/>
          <w:rtl/>
        </w:rPr>
        <w:t>קלנר</w:t>
      </w:r>
      <w:r w:rsidRPr="0089297D">
        <w:rPr>
          <w:rFonts w:ascii="David" w:hAnsi="David" w:cs="FrankRuehl" w:hint="cs"/>
          <w:sz w:val="28"/>
          <w:szCs w:val="28"/>
          <w:rtl/>
        </w:rPr>
        <w:t xml:space="preserve"> (</w:t>
      </w:r>
      <w:hyperlink r:id="rId29" w:history="1">
        <w:r w:rsidR="007156D3" w:rsidRPr="007156D3">
          <w:rPr>
            <w:rFonts w:ascii="David" w:hAnsi="David" w:cs="FrankRuehl"/>
            <w:color w:val="0000FF"/>
            <w:sz w:val="28"/>
            <w:szCs w:val="28"/>
            <w:u w:val="single"/>
            <w:rtl/>
          </w:rPr>
          <w:t>ע"פ 4456/14</w:t>
        </w:r>
      </w:hyperlink>
      <w:r w:rsidRPr="0089297D">
        <w:rPr>
          <w:rFonts w:ascii="David" w:hAnsi="David" w:cs="FrankRuehl" w:hint="cs"/>
          <w:sz w:val="28"/>
          <w:szCs w:val="28"/>
          <w:rtl/>
        </w:rPr>
        <w:t xml:space="preserve"> </w:t>
      </w:r>
      <w:r w:rsidRPr="0089297D">
        <w:rPr>
          <w:rFonts w:ascii="David" w:hAnsi="David" w:cs="FrankRuehl" w:hint="cs"/>
          <w:b/>
          <w:bCs/>
          <w:sz w:val="28"/>
          <w:szCs w:val="28"/>
          <w:rtl/>
        </w:rPr>
        <w:t>קלנר נ' מדינת ישראל</w:t>
      </w:r>
      <w:r w:rsidRPr="0089297D">
        <w:rPr>
          <w:rFonts w:ascii="David" w:hAnsi="David" w:cs="FrankRuehl" w:hint="cs"/>
          <w:sz w:val="28"/>
          <w:szCs w:val="28"/>
          <w:rtl/>
        </w:rPr>
        <w:t xml:space="preserve"> (פורסם בנבו, 29.12.2015)).</w:t>
      </w:r>
    </w:p>
    <w:p w14:paraId="7972AA75"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 xml:space="preserve"> הוסף, כי הפסיקה שהציגה המאשימה בנוגע לנשיאה והובלת נשק מתייחסת לעבירה המושלמת, ולא לסיוע לה. הוטעם, כי בסופו של יום לא נגרם כל נזק ממעשי הנאשמים.</w:t>
      </w:r>
    </w:p>
    <w:p w14:paraId="3F02423D"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בנוגע לגזירת העונש בתוך המתחם, צוין כי עומר לוקח אחריות על האישום המיוחס לו, והודאתו אינה מן השפה ולחוץ. הוסף, כי מטבע הדברים כאשר כתב באישום הוגש בגין סיוע בלבד, חלקו של עומר בעבירה מצומצם.</w:t>
      </w:r>
    </w:p>
    <w:p w14:paraId="54B40230"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בנוגע למדיניות הענישה הנוהגת, הפנה ב"כ עומר ל</w:t>
      </w:r>
      <w:hyperlink r:id="rId30" w:history="1">
        <w:r w:rsidR="007156D3" w:rsidRPr="007156D3">
          <w:rPr>
            <w:rFonts w:ascii="David" w:hAnsi="David" w:cs="FrankRuehl"/>
            <w:color w:val="0000FF"/>
            <w:sz w:val="28"/>
            <w:szCs w:val="28"/>
            <w:u w:val="single"/>
            <w:rtl/>
          </w:rPr>
          <w:t>ת"פ  (מחוזי נצ') 14513-12-13</w:t>
        </w:r>
      </w:hyperlink>
      <w:r w:rsidRPr="0089297D">
        <w:rPr>
          <w:rFonts w:ascii="David" w:hAnsi="David" w:cs="FrankRuehl" w:hint="cs"/>
          <w:sz w:val="28"/>
          <w:szCs w:val="28"/>
          <w:rtl/>
        </w:rPr>
        <w:t xml:space="preserve"> </w:t>
      </w:r>
      <w:r w:rsidRPr="0089297D">
        <w:rPr>
          <w:rFonts w:ascii="David" w:hAnsi="David" w:cs="FrankRuehl" w:hint="cs"/>
          <w:b/>
          <w:bCs/>
          <w:sz w:val="28"/>
          <w:szCs w:val="28"/>
          <w:rtl/>
        </w:rPr>
        <w:t>מדינת ישראל נ' עמאש</w:t>
      </w:r>
      <w:r w:rsidRPr="0089297D">
        <w:rPr>
          <w:rFonts w:ascii="David" w:hAnsi="David" w:cs="FrankRuehl" w:hint="cs"/>
          <w:sz w:val="28"/>
          <w:szCs w:val="28"/>
          <w:rtl/>
        </w:rPr>
        <w:t xml:space="preserve"> (פורסם בנבו, 1.7.2015), שם נגזרו 4 חודשי מאסר בפועל לנאשם שהורשע בסיוע לנשיאת והחזקת נשק שלא כדין. </w:t>
      </w:r>
    </w:p>
    <w:p w14:paraId="18C4D816"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עוד הפנה ב"כ עומר ל</w:t>
      </w:r>
      <w:hyperlink r:id="rId31" w:history="1">
        <w:r w:rsidR="007156D3" w:rsidRPr="007156D3">
          <w:rPr>
            <w:rFonts w:ascii="David" w:hAnsi="David" w:cs="FrankRuehl"/>
            <w:color w:val="0000FF"/>
            <w:sz w:val="28"/>
            <w:szCs w:val="28"/>
            <w:u w:val="single"/>
            <w:rtl/>
          </w:rPr>
          <w:t>ת"פ 9785-12-15</w:t>
        </w:r>
      </w:hyperlink>
      <w:r w:rsidRPr="0089297D">
        <w:rPr>
          <w:rFonts w:ascii="David" w:hAnsi="David" w:cs="FrankRuehl" w:hint="cs"/>
          <w:sz w:val="28"/>
          <w:szCs w:val="28"/>
          <w:rtl/>
        </w:rPr>
        <w:t xml:space="preserve"> </w:t>
      </w:r>
      <w:r w:rsidRPr="0089297D">
        <w:rPr>
          <w:rFonts w:ascii="David" w:hAnsi="David" w:cs="FrankRuehl" w:hint="cs"/>
          <w:b/>
          <w:bCs/>
          <w:sz w:val="28"/>
          <w:szCs w:val="28"/>
          <w:rtl/>
        </w:rPr>
        <w:t>מדינת ישראל נ' גאבר</w:t>
      </w:r>
      <w:r w:rsidRPr="0089297D">
        <w:rPr>
          <w:rFonts w:ascii="David" w:hAnsi="David" w:cs="FrankRuehl" w:hint="cs"/>
          <w:sz w:val="28"/>
          <w:szCs w:val="28"/>
          <w:rtl/>
        </w:rPr>
        <w:t xml:space="preserve"> (פורסם בנבו, 19.6.2016), שם נגזרו 6 חודשי מאסר על נאשם שהורשע בסיוע לנשיאה והובלת נשק. וכן לפסיקה נוספת התומכת לגישתו במתחם העונש שיש לקבוע בעניינו של עומר.</w:t>
      </w:r>
    </w:p>
    <w:p w14:paraId="52A28601"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 xml:space="preserve">הוטעם, כי עומר אכן ריצה עונש מאסר מאחורי סורג ובריח, אך מאסר זה נבע מעבירות תעבורה בהן הורשע. </w:t>
      </w:r>
    </w:p>
    <w:p w14:paraId="3FFBAF2D"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לעומר אין הרשעות בתחום האלימות או הנשק, ולא נשקפת ממנו מסוכנות.</w:t>
      </w:r>
    </w:p>
    <w:p w14:paraId="357C30E2"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סוף דבר, עתר הסניגור להשית על עומר עונש של מספר חודשי מאסר, שירוצו בעבודות שירות.</w:t>
      </w:r>
    </w:p>
    <w:p w14:paraId="786C1847" w14:textId="77777777" w:rsidR="003B6B52"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 xml:space="preserve">באשר לטענה לאכיפה בררנית מצד המאשימה, השיב ב"כ המאשימה כי כנגד טלאל לא הוגש כתב אישום, כיוון שלא נמצאו נגדו ראיות. למאשימה מסור שיקול דעת להחליט אם ישנן ראיות המצדיקות העמדה לדין כנגד אדם, ולא נטען כי המאשימה הפעילה שיקול דעת זה באופן לא ראוי. בנסיבות אלה אין מקום לטענת אכיפה בררנית. </w:t>
      </w:r>
    </w:p>
    <w:p w14:paraId="65EC5540"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 xml:space="preserve">למחלוקת זו בין הצדדים, אתייחס </w:t>
      </w:r>
      <w:r>
        <w:rPr>
          <w:rFonts w:ascii="David" w:hAnsi="David" w:cs="FrankRuehl" w:hint="cs"/>
          <w:sz w:val="28"/>
          <w:szCs w:val="28"/>
          <w:rtl/>
        </w:rPr>
        <w:t>בהמשך</w:t>
      </w:r>
      <w:r w:rsidRPr="0089297D">
        <w:rPr>
          <w:rFonts w:ascii="David" w:hAnsi="David" w:cs="FrankRuehl" w:hint="cs"/>
          <w:sz w:val="28"/>
          <w:szCs w:val="28"/>
          <w:rtl/>
        </w:rPr>
        <w:t>.</w:t>
      </w:r>
    </w:p>
    <w:p w14:paraId="368F6306" w14:textId="77777777" w:rsidR="003B6B52" w:rsidRPr="003B6B52" w:rsidRDefault="003B6B52" w:rsidP="003B6B52">
      <w:pPr>
        <w:pStyle w:val="aa"/>
        <w:rPr>
          <w:rFonts w:ascii="David" w:eastAsia="Calibri" w:hAnsi="David" w:cs="FrankRuehl"/>
          <w:b/>
          <w:bCs/>
          <w:color w:val="404040"/>
          <w:sz w:val="28"/>
          <w:szCs w:val="28"/>
          <w:rtl/>
        </w:rPr>
      </w:pPr>
      <w:r w:rsidRPr="003B6B52">
        <w:rPr>
          <w:rFonts w:eastAsia="Calibri" w:cs="FrankRuehl" w:hint="cs"/>
          <w:b/>
          <w:bCs/>
          <w:color w:val="404040"/>
          <w:sz w:val="28"/>
          <w:szCs w:val="28"/>
          <w:rtl/>
        </w:rPr>
        <w:t>הנאשם 2 – עתמאן</w:t>
      </w:r>
    </w:p>
    <w:p w14:paraId="35D6B0CD" w14:textId="77777777" w:rsidR="003B6B52" w:rsidRPr="003B6B52" w:rsidRDefault="003B6B52" w:rsidP="003B6B52">
      <w:pPr>
        <w:spacing w:after="120" w:line="360" w:lineRule="auto"/>
        <w:jc w:val="both"/>
        <w:rPr>
          <w:rFonts w:ascii="David" w:eastAsia="Calibri" w:hAnsi="David" w:cs="FrankRuehl"/>
          <w:sz w:val="28"/>
          <w:szCs w:val="28"/>
          <w:rtl/>
        </w:rPr>
      </w:pPr>
      <w:r w:rsidRPr="0089297D">
        <w:rPr>
          <w:rFonts w:ascii="David" w:hAnsi="David" w:cs="FrankRuehl" w:hint="cs"/>
          <w:sz w:val="28"/>
          <w:szCs w:val="28"/>
          <w:rtl/>
        </w:rPr>
        <w:t>ב"כ עתמאן הדגיש כי מדובר במעידה ראשונה בחייו של עתמאן, והוא מצר ומתחרט עליה מאוד. בהינתן עברו הנקי, יש להעדיף בעניינו את הגישה השיקומית. בא-כוחו הפנה לפסק הדין ב</w:t>
      </w:r>
      <w:hyperlink r:id="rId32" w:history="1">
        <w:r w:rsidR="007156D3" w:rsidRPr="007156D3">
          <w:rPr>
            <w:rFonts w:ascii="David" w:hAnsi="David" w:cs="FrankRuehl"/>
            <w:color w:val="0000FF"/>
            <w:sz w:val="28"/>
            <w:szCs w:val="28"/>
            <w:u w:val="single"/>
            <w:rtl/>
          </w:rPr>
          <w:t>ע"פ 779/15</w:t>
        </w:r>
      </w:hyperlink>
      <w:r w:rsidRPr="0089297D">
        <w:rPr>
          <w:rFonts w:ascii="David" w:hAnsi="David" w:cs="FrankRuehl" w:hint="cs"/>
          <w:sz w:val="28"/>
          <w:szCs w:val="28"/>
          <w:rtl/>
        </w:rPr>
        <w:t xml:space="preserve"> </w:t>
      </w:r>
      <w:r w:rsidRPr="0089297D">
        <w:rPr>
          <w:rFonts w:ascii="David" w:hAnsi="David" w:cs="FrankRuehl" w:hint="cs"/>
          <w:b/>
          <w:bCs/>
          <w:sz w:val="28"/>
          <w:szCs w:val="28"/>
          <w:rtl/>
        </w:rPr>
        <w:t xml:space="preserve">פלוני נ' מדינת ישראל </w:t>
      </w:r>
      <w:r w:rsidRPr="0089297D">
        <w:rPr>
          <w:rFonts w:ascii="David" w:hAnsi="David" w:cs="FrankRuehl" w:hint="cs"/>
          <w:sz w:val="28"/>
          <w:szCs w:val="28"/>
          <w:rtl/>
        </w:rPr>
        <w:t xml:space="preserve">(פורסם בנבו, 12.4.2015), שם המיר בית המשפט העליון עונש מאסר ממושך שנגזר על נאשם בעבודות שירות, נוכח הליך שיקומי יוצא דופן של הנאשם. בהתאם לכך  ביקש לגזור גזירה שווה מפסק הדין בענייננו. </w:t>
      </w:r>
    </w:p>
    <w:p w14:paraId="0849773A"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הודגש, כי שירות המבחן התרשם באופן חיובי מעתמאן, וכי המעצר ומעצר הבית בהם שהה היוו גורם מרתיע עבורו.</w:t>
      </w:r>
    </w:p>
    <w:p w14:paraId="056F9BE1"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 xml:space="preserve"> עתמאן מטופל בשלושה ילדים קטנים, הסובלים מבעיות בריאותיות, והוא מתאמץ לפרנסם ולטפל בהם. מצבו הכלכלי בכי רע. </w:t>
      </w:r>
    </w:p>
    <w:p w14:paraId="25BBB5DF"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 xml:space="preserve">בפני בית המשפט הוצג מכתב ממעון יום שיקומי ברהט, בו צוין כי עתמאן הוא דודו של יחיא, המטופל במעון בגין בעיות בריאותיות קשות. עתמאן מסייע ככל יכולתו בטיפול ביחיא, והפגין לאורך השנים חמלה, דאגה ואכפתיות. כן הוצגו בפני בית המשפט תלושי משכורת המעידים על כך שעתמאן עובד בעבודה קבועה ומשתדל לפרנס את  משפחתו. </w:t>
      </w:r>
    </w:p>
    <w:p w14:paraId="2D3CE928"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גם ב"כ עתמאן הדגיש כי לא נגרם נזק ממעשי הנאשמים, וכי אין אינדיקציה לכך שהנאשמים ביקשו לעשות בנשק שימוש למטרה פלילית.</w:t>
      </w:r>
    </w:p>
    <w:p w14:paraId="14C95F67"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 xml:space="preserve">סוף דבר, עתר ב"כ עתמאן שלא לגזור על הנאשם עונש מאסר מאחורי סורג ובריח, ולהסתפק בעונש של מספר חודשי מאסר שירוצו בעבודות שירות. </w:t>
      </w:r>
    </w:p>
    <w:p w14:paraId="0C5DAAEB"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 xml:space="preserve">בנצלם את זכות המילה האחרונה, הביעו הנאשמים חרטה על מעשיהם, והצהירו כי אלה לא יישנו. עתמאן אף ביקש מבית המשפט להתחשב במצבו הכלכלי הקשה. </w:t>
      </w:r>
    </w:p>
    <w:p w14:paraId="0072AB34" w14:textId="77777777" w:rsidR="003B6B52" w:rsidRPr="009F0362" w:rsidRDefault="003B6B52" w:rsidP="003B6B52">
      <w:pPr>
        <w:spacing w:after="120" w:line="360" w:lineRule="auto"/>
        <w:jc w:val="both"/>
        <w:rPr>
          <w:rFonts w:ascii="David" w:hAnsi="David" w:cs="FrankRuehl"/>
          <w:sz w:val="2"/>
          <w:szCs w:val="2"/>
          <w:rtl/>
        </w:rPr>
      </w:pPr>
    </w:p>
    <w:p w14:paraId="4A1E9559" w14:textId="77777777" w:rsidR="003B6B52" w:rsidRPr="003B6B52" w:rsidRDefault="003B6B52" w:rsidP="003B6B52">
      <w:pPr>
        <w:pStyle w:val="1"/>
        <w:rPr>
          <w:rFonts w:ascii="David" w:eastAsia="Calibri" w:hAnsi="David" w:cs="FrankRuehl"/>
          <w:sz w:val="28"/>
          <w:szCs w:val="28"/>
          <w:u w:val="single"/>
          <w:rtl/>
        </w:rPr>
      </w:pPr>
      <w:r w:rsidRPr="003B6B52">
        <w:rPr>
          <w:rFonts w:eastAsia="Calibri" w:cs="FrankRuehl" w:hint="cs"/>
          <w:sz w:val="28"/>
          <w:szCs w:val="28"/>
          <w:u w:val="single"/>
          <w:rtl/>
        </w:rPr>
        <w:t>תסקירי שירות המבחן</w:t>
      </w:r>
    </w:p>
    <w:p w14:paraId="12545EAA" w14:textId="77777777" w:rsidR="003B6B52" w:rsidRPr="003B6B52" w:rsidRDefault="003B6B52" w:rsidP="003B6B52">
      <w:pPr>
        <w:rPr>
          <w:rFonts w:eastAsia="Calibri" w:cs="FrankRuehl"/>
          <w:sz w:val="28"/>
          <w:szCs w:val="28"/>
          <w:rtl/>
        </w:rPr>
      </w:pPr>
    </w:p>
    <w:p w14:paraId="49C04AD7" w14:textId="77777777" w:rsidR="003B6B52" w:rsidRPr="003B6B52" w:rsidRDefault="003B6B52" w:rsidP="003B6B52">
      <w:pPr>
        <w:rPr>
          <w:rFonts w:eastAsia="Calibri" w:cs="FrankRuehl"/>
          <w:sz w:val="28"/>
          <w:szCs w:val="28"/>
          <w:rtl/>
        </w:rPr>
      </w:pPr>
      <w:r w:rsidRPr="0089297D">
        <w:rPr>
          <w:rFonts w:cs="FrankRuehl" w:hint="cs"/>
          <w:sz w:val="28"/>
          <w:szCs w:val="28"/>
          <w:rtl/>
        </w:rPr>
        <w:t xml:space="preserve">ביום 21.5.2017 התקבלו תסקירי שירות המבחן בעניינם של הנאשמים. </w:t>
      </w:r>
    </w:p>
    <w:p w14:paraId="710404F3" w14:textId="77777777" w:rsidR="003B6B52" w:rsidRPr="003B6B52" w:rsidRDefault="003B6B52" w:rsidP="003B6B52">
      <w:pPr>
        <w:rPr>
          <w:rFonts w:eastAsia="Calibri" w:cs="FrankRuehl"/>
          <w:sz w:val="28"/>
          <w:szCs w:val="28"/>
          <w:rtl/>
        </w:rPr>
      </w:pPr>
    </w:p>
    <w:p w14:paraId="423EDF3B" w14:textId="77777777" w:rsidR="003B6B52" w:rsidRPr="003B6B52" w:rsidRDefault="003B6B52" w:rsidP="003B6B52">
      <w:pPr>
        <w:pStyle w:val="aa"/>
        <w:rPr>
          <w:rFonts w:eastAsia="Calibri" w:cs="FrankRuehl"/>
          <w:b/>
          <w:bCs/>
          <w:sz w:val="28"/>
          <w:szCs w:val="28"/>
          <w:rtl/>
        </w:rPr>
      </w:pPr>
      <w:r w:rsidRPr="003B6B52">
        <w:rPr>
          <w:rFonts w:eastAsia="Calibri" w:cs="FrankRuehl" w:hint="cs"/>
          <w:b/>
          <w:bCs/>
          <w:sz w:val="28"/>
          <w:szCs w:val="28"/>
          <w:rtl/>
        </w:rPr>
        <w:t xml:space="preserve">הנאשם 1 – עומר </w:t>
      </w:r>
    </w:p>
    <w:p w14:paraId="0106A524" w14:textId="77777777" w:rsidR="003B6B52" w:rsidRPr="003B6B52" w:rsidRDefault="003B6B52" w:rsidP="003B6B52">
      <w:pPr>
        <w:tabs>
          <w:tab w:val="left" w:pos="1706"/>
        </w:tabs>
        <w:spacing w:line="360" w:lineRule="auto"/>
        <w:jc w:val="both"/>
        <w:rPr>
          <w:rFonts w:eastAsia="Calibri" w:cs="FrankRuehl"/>
          <w:sz w:val="28"/>
          <w:szCs w:val="28"/>
          <w:rtl/>
        </w:rPr>
      </w:pPr>
      <w:r w:rsidRPr="0089297D">
        <w:rPr>
          <w:rFonts w:cs="FrankRuehl" w:hint="cs"/>
          <w:sz w:val="28"/>
          <w:szCs w:val="28"/>
          <w:rtl/>
        </w:rPr>
        <w:t xml:space="preserve">עומר בן 32, נשוי ואב לשני ילדים קטינים. עם סיום לימודיו התיכוניים החל לעבוד בעבודות מזדמנות. </w:t>
      </w:r>
    </w:p>
    <w:p w14:paraId="76FA0D39" w14:textId="77777777" w:rsidR="003B6B52" w:rsidRPr="0089297D" w:rsidRDefault="003B6B52" w:rsidP="003B6B52">
      <w:pPr>
        <w:tabs>
          <w:tab w:val="left" w:pos="1706"/>
        </w:tabs>
        <w:spacing w:line="360" w:lineRule="auto"/>
        <w:jc w:val="both"/>
        <w:rPr>
          <w:rFonts w:cs="FrankRuehl"/>
          <w:sz w:val="28"/>
          <w:szCs w:val="28"/>
          <w:rtl/>
        </w:rPr>
      </w:pPr>
      <w:r w:rsidRPr="0089297D">
        <w:rPr>
          <w:rFonts w:cs="FrankRuehl" w:hint="cs"/>
          <w:sz w:val="28"/>
          <w:szCs w:val="28"/>
          <w:rtl/>
        </w:rPr>
        <w:t>עומר מסר לשירות המבחן כי ביום האירוע נסע עם קרובי משפחתו לבילוי. רק כשנעצר הרכב בו נסעו על ידי המשטרה, התוודה בפניו עתמאן כי הוא מחזיק נשק ברכב. עומר ציין באוזני שירות המבחן, כי מאחר ועתמאן הוא בן משפחתו, אינו יכול "מבחינה תרבותית" להסגיר אותו לגורמי החוק. עוד מסר כי הדבר יכול לגרום לסכסוך משפחתי.</w:t>
      </w:r>
    </w:p>
    <w:p w14:paraId="71DA37EB" w14:textId="77777777" w:rsidR="003B6B52" w:rsidRPr="0089297D" w:rsidRDefault="003B6B52" w:rsidP="003B6B52">
      <w:pPr>
        <w:tabs>
          <w:tab w:val="left" w:pos="1706"/>
        </w:tabs>
        <w:spacing w:line="360" w:lineRule="auto"/>
        <w:jc w:val="both"/>
        <w:rPr>
          <w:rFonts w:cs="FrankRuehl"/>
          <w:sz w:val="28"/>
          <w:szCs w:val="28"/>
          <w:rtl/>
        </w:rPr>
      </w:pPr>
    </w:p>
    <w:p w14:paraId="5BA0339F" w14:textId="77777777" w:rsidR="003B6B52" w:rsidRPr="0089297D" w:rsidRDefault="003B6B52" w:rsidP="003B6B52">
      <w:pPr>
        <w:tabs>
          <w:tab w:val="left" w:pos="1706"/>
        </w:tabs>
        <w:spacing w:line="360" w:lineRule="auto"/>
        <w:jc w:val="both"/>
        <w:rPr>
          <w:rFonts w:cs="FrankRuehl"/>
          <w:sz w:val="28"/>
          <w:szCs w:val="28"/>
          <w:rtl/>
        </w:rPr>
      </w:pPr>
      <w:r w:rsidRPr="0089297D">
        <w:rPr>
          <w:rFonts w:cs="FrankRuehl" w:hint="cs"/>
          <w:sz w:val="28"/>
          <w:szCs w:val="28"/>
          <w:rtl/>
        </w:rPr>
        <w:t xml:space="preserve">שירות המבחן ציין כי עומר נוקט בצמצום בנוגע לאחריותו לביצוע העבירה. במצבי לחץ עלול עומר לפעול באופן אקטיבי ואימפולסיבי למען ערכי שייכותו ומשפחתו. </w:t>
      </w:r>
    </w:p>
    <w:p w14:paraId="2BE94157" w14:textId="77777777" w:rsidR="003B6B52" w:rsidRPr="0089297D" w:rsidRDefault="003B6B52" w:rsidP="003B6B52">
      <w:pPr>
        <w:tabs>
          <w:tab w:val="left" w:pos="1706"/>
        </w:tabs>
        <w:spacing w:line="360" w:lineRule="auto"/>
        <w:jc w:val="both"/>
        <w:rPr>
          <w:rFonts w:cs="FrankRuehl"/>
          <w:sz w:val="28"/>
          <w:szCs w:val="28"/>
          <w:rtl/>
        </w:rPr>
      </w:pPr>
    </w:p>
    <w:p w14:paraId="2E7C73A2" w14:textId="77777777" w:rsidR="003B6B52" w:rsidRPr="0089297D" w:rsidRDefault="003B6B52" w:rsidP="003B6B52">
      <w:pPr>
        <w:tabs>
          <w:tab w:val="left" w:pos="1706"/>
        </w:tabs>
        <w:spacing w:line="360" w:lineRule="auto"/>
        <w:jc w:val="both"/>
        <w:rPr>
          <w:rFonts w:cs="FrankRuehl"/>
          <w:sz w:val="28"/>
          <w:szCs w:val="28"/>
          <w:rtl/>
        </w:rPr>
      </w:pPr>
      <w:r w:rsidRPr="0089297D">
        <w:rPr>
          <w:rFonts w:cs="FrankRuehl" w:hint="cs"/>
          <w:sz w:val="28"/>
          <w:szCs w:val="28"/>
          <w:rtl/>
        </w:rPr>
        <w:t xml:space="preserve">כגורמי סיכוי ציין שירות המבחן כי ההליך המשפטי המתנהל נגד עומר מהווה עבורו גורם מרתיע, וחידד עבורו גבולות של מותר ואסור. </w:t>
      </w:r>
    </w:p>
    <w:p w14:paraId="776CDD33" w14:textId="77777777" w:rsidR="003B6B52" w:rsidRPr="009F0362" w:rsidRDefault="003B6B52" w:rsidP="003B6B52">
      <w:pPr>
        <w:tabs>
          <w:tab w:val="left" w:pos="1706"/>
        </w:tabs>
        <w:spacing w:line="360" w:lineRule="auto"/>
        <w:jc w:val="both"/>
        <w:rPr>
          <w:rFonts w:cs="FrankRuehl"/>
          <w:sz w:val="16"/>
          <w:szCs w:val="16"/>
          <w:rtl/>
        </w:rPr>
      </w:pPr>
    </w:p>
    <w:p w14:paraId="266ED515" w14:textId="77777777" w:rsidR="003B6B52" w:rsidRPr="0089297D" w:rsidRDefault="003B6B52" w:rsidP="003B6B52">
      <w:pPr>
        <w:tabs>
          <w:tab w:val="left" w:pos="1706"/>
        </w:tabs>
        <w:spacing w:line="360" w:lineRule="auto"/>
        <w:jc w:val="both"/>
        <w:rPr>
          <w:rFonts w:cs="FrankRuehl"/>
          <w:sz w:val="28"/>
          <w:szCs w:val="28"/>
          <w:rtl/>
        </w:rPr>
      </w:pPr>
      <w:r w:rsidRPr="0089297D">
        <w:rPr>
          <w:rFonts w:cs="FrankRuehl" w:hint="cs"/>
          <w:sz w:val="28"/>
          <w:szCs w:val="28"/>
          <w:rtl/>
        </w:rPr>
        <w:t>שירות המבחן המליץ לדחות את הדיון בעניינו של עומר ב-4 חודשים, על מנת לבחון את התאמתו לשילוב בהליך טיפולי, כאשר בתום תקופה זו יוגש תסקיר משלים מטעם שירות המבחן.</w:t>
      </w:r>
    </w:p>
    <w:p w14:paraId="04F13B4F" w14:textId="77777777" w:rsidR="003B6B52" w:rsidRPr="003B6B52" w:rsidRDefault="003B6B52" w:rsidP="003B6B52">
      <w:pPr>
        <w:pStyle w:val="aa"/>
        <w:rPr>
          <w:rFonts w:eastAsia="Calibri" w:cs="FrankRuehl"/>
          <w:b/>
          <w:bCs/>
          <w:sz w:val="28"/>
          <w:szCs w:val="28"/>
          <w:rtl/>
        </w:rPr>
      </w:pPr>
      <w:r w:rsidRPr="003B6B52">
        <w:rPr>
          <w:rFonts w:eastAsia="Calibri" w:cs="FrankRuehl" w:hint="cs"/>
          <w:b/>
          <w:bCs/>
          <w:sz w:val="28"/>
          <w:szCs w:val="28"/>
          <w:rtl/>
        </w:rPr>
        <w:t xml:space="preserve">הנאשם 2 – עתמאן </w:t>
      </w:r>
    </w:p>
    <w:p w14:paraId="357CED6A" w14:textId="77777777" w:rsidR="003B6B52" w:rsidRPr="003B6B52" w:rsidRDefault="003B6B52" w:rsidP="003B6B52">
      <w:pPr>
        <w:tabs>
          <w:tab w:val="left" w:pos="1706"/>
        </w:tabs>
        <w:spacing w:line="360" w:lineRule="auto"/>
        <w:jc w:val="both"/>
        <w:rPr>
          <w:rFonts w:eastAsia="Calibri" w:cs="FrankRuehl"/>
          <w:sz w:val="28"/>
          <w:szCs w:val="28"/>
          <w:rtl/>
        </w:rPr>
      </w:pPr>
      <w:r w:rsidRPr="0089297D">
        <w:rPr>
          <w:rFonts w:cs="FrankRuehl" w:hint="cs"/>
          <w:sz w:val="28"/>
          <w:szCs w:val="28"/>
          <w:rtl/>
        </w:rPr>
        <w:t xml:space="preserve">עתמאן בן 28, נשוי ואב לשלושה ילדים קטינים. עם סיום לימודיו התיכוניים החל לעבוד בעבודות מזדמנות. בני משפחתו מנהלים אורח חיים נורמטיבי, למעט אחד מאחיו שהיה עצור בעבר בגין הסעת שבח"ים. </w:t>
      </w:r>
    </w:p>
    <w:p w14:paraId="14ACB954" w14:textId="77777777" w:rsidR="003B6B52" w:rsidRPr="003B6B52" w:rsidRDefault="003B6B52" w:rsidP="003B6B52">
      <w:pPr>
        <w:tabs>
          <w:tab w:val="left" w:pos="1706"/>
        </w:tabs>
        <w:spacing w:line="360" w:lineRule="auto"/>
        <w:jc w:val="both"/>
        <w:rPr>
          <w:rFonts w:eastAsia="Calibri" w:cs="FrankRuehl"/>
          <w:sz w:val="16"/>
          <w:szCs w:val="16"/>
          <w:rtl/>
        </w:rPr>
      </w:pPr>
    </w:p>
    <w:p w14:paraId="414E795F" w14:textId="77777777" w:rsidR="003B6B52" w:rsidRPr="0089297D" w:rsidRDefault="003B6B52" w:rsidP="003B6B52">
      <w:pPr>
        <w:tabs>
          <w:tab w:val="left" w:pos="1706"/>
        </w:tabs>
        <w:spacing w:line="360" w:lineRule="auto"/>
        <w:jc w:val="both"/>
        <w:rPr>
          <w:rFonts w:cs="FrankRuehl"/>
          <w:sz w:val="28"/>
          <w:szCs w:val="28"/>
          <w:rtl/>
        </w:rPr>
      </w:pPr>
      <w:r w:rsidRPr="0089297D">
        <w:rPr>
          <w:rFonts w:cs="FrankRuehl" w:hint="cs"/>
          <w:sz w:val="28"/>
          <w:szCs w:val="28"/>
          <w:rtl/>
        </w:rPr>
        <w:t>עתמאן נעדר עבר פלילי. הוא הודה בביצוע העבירה, וטען כי החזיק את הנשק על רקע איומים כלפיו.</w:t>
      </w:r>
    </w:p>
    <w:p w14:paraId="7A9311A4" w14:textId="77777777" w:rsidR="003B6B52" w:rsidRPr="0089297D" w:rsidRDefault="003B6B52" w:rsidP="003B6B52">
      <w:pPr>
        <w:tabs>
          <w:tab w:val="left" w:pos="1706"/>
        </w:tabs>
        <w:spacing w:line="360" w:lineRule="auto"/>
        <w:jc w:val="both"/>
        <w:rPr>
          <w:rFonts w:cs="FrankRuehl"/>
          <w:sz w:val="28"/>
          <w:szCs w:val="28"/>
          <w:rtl/>
        </w:rPr>
      </w:pPr>
      <w:r w:rsidRPr="0089297D">
        <w:rPr>
          <w:rFonts w:cs="FrankRuehl" w:hint="cs"/>
          <w:sz w:val="28"/>
          <w:szCs w:val="28"/>
          <w:rtl/>
        </w:rPr>
        <w:t>כגורמי סיכון, ציין שירות המבחן כי עתמאן נוטה לפעול באימפולסיביות במצבי לחץ, ואינו פונה לסביבה לקבלת עזרה. עתמאן מתפקד באופן תקין וחיובי במישורי חייו השונים, מבחינה משפחתית, חברתית ותעסוקתית. המעצר היווה עבורו גורם מרתיע.</w:t>
      </w:r>
    </w:p>
    <w:p w14:paraId="7718C280" w14:textId="77777777" w:rsidR="003B6B52" w:rsidRPr="0089297D" w:rsidRDefault="003B6B52" w:rsidP="003B6B52">
      <w:pPr>
        <w:tabs>
          <w:tab w:val="left" w:pos="1706"/>
        </w:tabs>
        <w:spacing w:line="360" w:lineRule="auto"/>
        <w:jc w:val="both"/>
        <w:rPr>
          <w:rFonts w:cs="FrankRuehl"/>
          <w:sz w:val="28"/>
          <w:szCs w:val="28"/>
          <w:rtl/>
        </w:rPr>
      </w:pPr>
    </w:p>
    <w:p w14:paraId="0BEAA782" w14:textId="77777777" w:rsidR="003B6B52" w:rsidRPr="0089297D" w:rsidRDefault="003B6B52" w:rsidP="003B6B52">
      <w:pPr>
        <w:tabs>
          <w:tab w:val="left" w:pos="1706"/>
        </w:tabs>
        <w:spacing w:line="360" w:lineRule="auto"/>
        <w:jc w:val="both"/>
        <w:rPr>
          <w:rFonts w:cs="FrankRuehl"/>
          <w:sz w:val="28"/>
          <w:szCs w:val="28"/>
          <w:rtl/>
        </w:rPr>
      </w:pPr>
      <w:r w:rsidRPr="0089297D">
        <w:rPr>
          <w:rFonts w:cs="FrankRuehl" w:hint="cs"/>
          <w:sz w:val="28"/>
          <w:szCs w:val="28"/>
          <w:rtl/>
        </w:rPr>
        <w:t>במסגרת ההמלצות המליץ שרות המבחן  לדחות את הדיון בעניינו של עתמאן ב-4 חודשים, על מנת לבחון את התאמתו לשילוב בהליך טיפולי, כאשר בתום תקופה זו יוגש תסקיר משלים.</w:t>
      </w:r>
    </w:p>
    <w:p w14:paraId="4428D535" w14:textId="77777777" w:rsidR="003B6B52" w:rsidRPr="0089297D" w:rsidRDefault="003B6B52" w:rsidP="003B6B52">
      <w:pPr>
        <w:tabs>
          <w:tab w:val="left" w:pos="1706"/>
        </w:tabs>
        <w:spacing w:line="360" w:lineRule="auto"/>
        <w:jc w:val="both"/>
        <w:rPr>
          <w:rFonts w:cs="FrankRuehl"/>
          <w:sz w:val="28"/>
          <w:szCs w:val="28"/>
          <w:rtl/>
        </w:rPr>
      </w:pPr>
    </w:p>
    <w:p w14:paraId="6D8827D2" w14:textId="77777777" w:rsidR="003B6B52" w:rsidRDefault="003B6B52" w:rsidP="003B6B52">
      <w:pPr>
        <w:tabs>
          <w:tab w:val="left" w:pos="1706"/>
        </w:tabs>
        <w:spacing w:line="360" w:lineRule="auto"/>
        <w:jc w:val="both"/>
        <w:rPr>
          <w:rFonts w:cs="FrankRuehl"/>
          <w:sz w:val="28"/>
          <w:szCs w:val="28"/>
          <w:rtl/>
        </w:rPr>
      </w:pPr>
      <w:r w:rsidRPr="0089297D">
        <w:rPr>
          <w:rFonts w:cs="FrankRuehl" w:hint="cs"/>
          <w:sz w:val="28"/>
          <w:szCs w:val="28"/>
          <w:rtl/>
        </w:rPr>
        <w:t xml:space="preserve">יצוין, כי לאור העובדה שמדובר בנאשמים בגירים, ולאור העובדה ששירות המבחן לא המליץ על הליך טיפולי אלא רק על בחינת התאמת הנאשמים להליך זה, לא מצאתי לדחות את הדיון לצורך קבלת תסקיר משלים (ראו החלטתי מיום 7.8.2017, עמ' 27 לפרוטוקול; לעניין זה ראו גם </w:t>
      </w:r>
      <w:hyperlink r:id="rId33" w:history="1">
        <w:r w:rsidR="007156D3" w:rsidRPr="007156D3">
          <w:rPr>
            <w:rFonts w:cs="FrankRuehl"/>
            <w:color w:val="0000FF"/>
            <w:sz w:val="28"/>
            <w:szCs w:val="28"/>
            <w:u w:val="single"/>
            <w:rtl/>
          </w:rPr>
          <w:t>רע"פ 4574/17</w:t>
        </w:r>
      </w:hyperlink>
      <w:r w:rsidRPr="0089297D">
        <w:rPr>
          <w:rFonts w:cs="FrankRuehl" w:hint="cs"/>
          <w:sz w:val="28"/>
          <w:szCs w:val="28"/>
          <w:rtl/>
        </w:rPr>
        <w:t xml:space="preserve"> </w:t>
      </w:r>
      <w:r w:rsidRPr="0089297D">
        <w:rPr>
          <w:rFonts w:cs="FrankRuehl" w:hint="cs"/>
          <w:b/>
          <w:bCs/>
          <w:sz w:val="28"/>
          <w:szCs w:val="28"/>
          <w:rtl/>
        </w:rPr>
        <w:t>חמד אבו עראר נ' מדינת ישראל</w:t>
      </w:r>
      <w:r w:rsidRPr="0089297D">
        <w:rPr>
          <w:rFonts w:cs="FrankRuehl" w:hint="cs"/>
          <w:sz w:val="28"/>
          <w:szCs w:val="28"/>
          <w:rtl/>
        </w:rPr>
        <w:t xml:space="preserve"> (פורסם בנבו,23.8.2017), פס' 12 להחלטת כב' השופט א' שוהם).</w:t>
      </w:r>
    </w:p>
    <w:p w14:paraId="1B6C8DC4" w14:textId="77777777" w:rsidR="003B6B52" w:rsidRPr="0089297D" w:rsidRDefault="003B6B52" w:rsidP="003B6B52">
      <w:pPr>
        <w:tabs>
          <w:tab w:val="left" w:pos="1706"/>
        </w:tabs>
        <w:spacing w:line="360" w:lineRule="auto"/>
        <w:jc w:val="both"/>
        <w:rPr>
          <w:rFonts w:cs="FrankRuehl"/>
          <w:sz w:val="28"/>
          <w:szCs w:val="28"/>
          <w:rtl/>
        </w:rPr>
      </w:pPr>
    </w:p>
    <w:p w14:paraId="2E875007" w14:textId="77777777" w:rsidR="003B6B52" w:rsidRPr="0089297D" w:rsidRDefault="003B6B52" w:rsidP="003B6B52">
      <w:pPr>
        <w:tabs>
          <w:tab w:val="left" w:pos="1706"/>
        </w:tabs>
        <w:spacing w:line="360" w:lineRule="auto"/>
        <w:jc w:val="both"/>
        <w:rPr>
          <w:rFonts w:cs="FrankRuehl"/>
          <w:sz w:val="28"/>
          <w:szCs w:val="28"/>
          <w:rtl/>
        </w:rPr>
      </w:pPr>
    </w:p>
    <w:p w14:paraId="1815DC62" w14:textId="77777777" w:rsidR="003B6B52" w:rsidRPr="003B6B52" w:rsidRDefault="003B6B52" w:rsidP="003B6B52">
      <w:pPr>
        <w:pStyle w:val="aa"/>
        <w:rPr>
          <w:rFonts w:eastAsia="Calibri" w:cs="FrankRuehl"/>
          <w:b/>
          <w:bCs/>
          <w:color w:val="auto"/>
          <w:sz w:val="28"/>
          <w:szCs w:val="28"/>
          <w:u w:val="single"/>
          <w:rtl/>
        </w:rPr>
      </w:pPr>
      <w:r w:rsidRPr="003B6B52">
        <w:rPr>
          <w:rFonts w:eastAsia="Calibri" w:cs="FrankRuehl" w:hint="cs"/>
          <w:b/>
          <w:bCs/>
          <w:color w:val="auto"/>
          <w:sz w:val="28"/>
          <w:szCs w:val="28"/>
          <w:u w:val="single"/>
          <w:rtl/>
        </w:rPr>
        <w:t>דיון והכרעה</w:t>
      </w:r>
    </w:p>
    <w:p w14:paraId="19B46C27" w14:textId="77777777" w:rsidR="003B6B52" w:rsidRPr="003B6B52" w:rsidRDefault="003B6B52" w:rsidP="003B6B52">
      <w:pPr>
        <w:rPr>
          <w:rFonts w:eastAsia="Calibri" w:cs="FrankRuehl"/>
          <w:sz w:val="18"/>
          <w:szCs w:val="18"/>
          <w:rtl/>
        </w:rPr>
      </w:pPr>
    </w:p>
    <w:p w14:paraId="39A5D1C2" w14:textId="77777777" w:rsidR="003B6B52" w:rsidRPr="003B6B52" w:rsidRDefault="003B6B52" w:rsidP="003B6B52">
      <w:pPr>
        <w:spacing w:after="120" w:line="360" w:lineRule="auto"/>
        <w:jc w:val="both"/>
        <w:rPr>
          <w:rFonts w:ascii="David" w:eastAsia="Calibri" w:hAnsi="David" w:cs="FrankRuehl"/>
          <w:sz w:val="28"/>
          <w:szCs w:val="28"/>
          <w:rtl/>
        </w:rPr>
      </w:pPr>
      <w:r w:rsidRPr="0089297D">
        <w:rPr>
          <w:rFonts w:ascii="David" w:hAnsi="David" w:cs="FrankRuehl" w:hint="cs"/>
          <w:sz w:val="28"/>
          <w:szCs w:val="28"/>
          <w:rtl/>
        </w:rPr>
        <w:t>ראשית, אתייחס לטענת ב"כ עומר לאכיפה בררנית מצד המאשימה, עקב העובדה שכנגד טלאל, ששהה אף הוא ברכב, לא הוגש כתב אישום.</w:t>
      </w:r>
    </w:p>
    <w:p w14:paraId="296CE528"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 xml:space="preserve">ההגנה מן הצדק מעוגנת </w:t>
      </w:r>
      <w:hyperlink r:id="rId34" w:history="1">
        <w:r w:rsidR="00E63136" w:rsidRPr="00E63136">
          <w:rPr>
            <w:rFonts w:ascii="David" w:hAnsi="David" w:cs="FrankRuehl"/>
            <w:color w:val="0000FF"/>
            <w:sz w:val="28"/>
            <w:szCs w:val="28"/>
            <w:u w:val="single"/>
            <w:rtl/>
          </w:rPr>
          <w:t>בס' 149(10)</w:t>
        </w:r>
      </w:hyperlink>
      <w:r w:rsidRPr="0089297D">
        <w:rPr>
          <w:rFonts w:ascii="David" w:hAnsi="David" w:cs="FrankRuehl" w:hint="cs"/>
          <w:sz w:val="28"/>
          <w:szCs w:val="28"/>
          <w:rtl/>
        </w:rPr>
        <w:t xml:space="preserve"> ל</w:t>
      </w:r>
      <w:hyperlink r:id="rId35" w:history="1">
        <w:r w:rsidR="007156D3" w:rsidRPr="007156D3">
          <w:rPr>
            <w:rFonts w:ascii="David" w:hAnsi="David" w:cs="FrankRuehl"/>
            <w:color w:val="0000FF"/>
            <w:sz w:val="28"/>
            <w:szCs w:val="28"/>
            <w:u w:val="single"/>
            <w:rtl/>
          </w:rPr>
          <w:t>חוק סדר הדין הפלילי</w:t>
        </w:r>
      </w:hyperlink>
      <w:r w:rsidRPr="0089297D">
        <w:rPr>
          <w:rFonts w:ascii="David" w:hAnsi="David" w:cs="FrankRuehl" w:hint="cs"/>
          <w:sz w:val="28"/>
          <w:szCs w:val="28"/>
          <w:rtl/>
        </w:rPr>
        <w:t xml:space="preserve"> [נוסח משולב], התשמ"ב-1982.  סעיף זה קובע כי נאשם יכול לטעון כטענה מקדמית את הטענה לפיה: </w:t>
      </w:r>
      <w:r w:rsidRPr="0089297D">
        <w:rPr>
          <w:rFonts w:ascii="David" w:hAnsi="David" w:cs="FrankRuehl" w:hint="cs"/>
          <w:b/>
          <w:bCs/>
          <w:sz w:val="28"/>
          <w:szCs w:val="28"/>
          <w:rtl/>
        </w:rPr>
        <w:t>"הגשת כתב האישום או ניהול ההליך הפלילי עומדים בסתירה מהותית לעקרונות של צדק והגינות משפטית".</w:t>
      </w:r>
    </w:p>
    <w:p w14:paraId="519FF5AA"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 xml:space="preserve">סתירה זו תיתכן גם במצב של אכיפה בררנית של החוק, והכוונה למקרים בהם הרשות אוכפת את החוק כנגד פלוני, אך לא כנגד אלמוני שעשה מעשה זהה או אף חמור יותר. אכיפה מעין זו נוגדת את עיקרון השוויון בפני החוק, באופן זה שהיא מבדילה לצורך אכיפה בין אנשים או מצבים דומים. </w:t>
      </w:r>
    </w:p>
    <w:p w14:paraId="00A05533"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לא שוכנעתי כי זה המצב בענייננו.</w:t>
      </w:r>
    </w:p>
    <w:p w14:paraId="21F14239"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 xml:space="preserve">בעניין </w:t>
      </w:r>
      <w:r w:rsidRPr="0089297D">
        <w:rPr>
          <w:rFonts w:ascii="David" w:hAnsi="David" w:cs="FrankRuehl" w:hint="cs"/>
          <w:b/>
          <w:bCs/>
          <w:sz w:val="28"/>
          <w:szCs w:val="28"/>
          <w:rtl/>
        </w:rPr>
        <w:t>זקין</w:t>
      </w:r>
      <w:r w:rsidRPr="0089297D">
        <w:rPr>
          <w:rFonts w:ascii="David" w:hAnsi="David" w:cs="FrankRuehl" w:hint="cs"/>
          <w:sz w:val="28"/>
          <w:szCs w:val="28"/>
          <w:rtl/>
        </w:rPr>
        <w:t xml:space="preserve"> (בג"צ </w:t>
      </w:r>
      <w:hyperlink r:id="rId36" w:history="1">
        <w:r w:rsidR="00C8078D" w:rsidRPr="00C8078D">
          <w:rPr>
            <w:rFonts w:ascii="David" w:hAnsi="David" w:cs="FrankRuehl"/>
            <w:color w:val="0000FF"/>
            <w:sz w:val="28"/>
            <w:szCs w:val="28"/>
            <w:u w:val="single"/>
            <w:rtl/>
          </w:rPr>
          <w:t xml:space="preserve">9396/96 </w:t>
        </w:r>
      </w:hyperlink>
      <w:r w:rsidRPr="0089297D">
        <w:rPr>
          <w:rFonts w:ascii="David" w:hAnsi="David" w:cs="FrankRuehl" w:hint="cs"/>
          <w:sz w:val="28"/>
          <w:szCs w:val="28"/>
          <w:rtl/>
        </w:rPr>
        <w:t xml:space="preserve"> סימונה זקין ואח' ראש עיריית באר שבע ואח', פ"ד נג (3) 289, 307), ציין כב' השופט א' ברק:</w:t>
      </w:r>
    </w:p>
    <w:p w14:paraId="3F863D21" w14:textId="77777777" w:rsidR="003B6B52" w:rsidRPr="0089297D" w:rsidRDefault="003B6B52" w:rsidP="003B6B52">
      <w:pPr>
        <w:pStyle w:val="11"/>
        <w:rPr>
          <w:rFonts w:cs="FrankRuehl"/>
          <w:sz w:val="28"/>
          <w:szCs w:val="28"/>
          <w:rtl/>
        </w:rPr>
      </w:pPr>
      <w:r>
        <w:rPr>
          <w:rFonts w:cs="FrankRuehl" w:hint="cs"/>
          <w:sz w:val="28"/>
          <w:szCs w:val="28"/>
          <w:rtl/>
        </w:rPr>
        <w:t>"</w:t>
      </w:r>
      <w:r w:rsidRPr="0089297D">
        <w:rPr>
          <w:rFonts w:cs="FrankRuehl" w:hint="cs"/>
          <w:sz w:val="28"/>
          <w:szCs w:val="28"/>
          <w:rtl/>
        </w:rPr>
        <w:t xml:space="preserve">אם לכאורה יש יסוד בראיות לטענה של אכיפה בררנית, מתערערת החזקה בדבר חוקיות ההחלטה המינהלית. כתוצאה עובר הנטל אל הרשות המינהלית להראות כי האכיפה, אף שהיא נראית בררנית, בפועל היא מתבססת על שיקולים ענייניים בלבד, שיש להם משקל מספיק כדי לבסס עליהם את החלטת הרשות. אם הרשות אינה מרימה נטל זה, עשוי בית-המשפט לפסול את ההחלטה בגין שיקול זר או בגין פגם אחר שנתגלה </w:t>
      </w:r>
      <w:r>
        <w:rPr>
          <w:rFonts w:cs="FrankRuehl" w:hint="cs"/>
          <w:sz w:val="28"/>
          <w:szCs w:val="28"/>
          <w:rtl/>
        </w:rPr>
        <w:t xml:space="preserve"> </w:t>
      </w:r>
      <w:r w:rsidRPr="0089297D">
        <w:rPr>
          <w:rFonts w:cs="FrankRuehl" w:hint="cs"/>
          <w:sz w:val="28"/>
          <w:szCs w:val="28"/>
          <w:rtl/>
        </w:rPr>
        <w:t>בה, או לתת סעד אחר כנגד הפגיעה בשוויון</w:t>
      </w:r>
      <w:r>
        <w:rPr>
          <w:rFonts w:cs="FrankRuehl" w:hint="cs"/>
          <w:sz w:val="28"/>
          <w:szCs w:val="28"/>
          <w:rtl/>
        </w:rPr>
        <w:t>"</w:t>
      </w:r>
      <w:r w:rsidRPr="0089297D">
        <w:rPr>
          <w:rFonts w:cs="FrankRuehl" w:hint="cs"/>
          <w:sz w:val="28"/>
          <w:szCs w:val="28"/>
          <w:rtl/>
        </w:rPr>
        <w:t>.</w:t>
      </w:r>
    </w:p>
    <w:p w14:paraId="1BE3F7B7"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בענייננו, אכן היה מקום לתהות מדוע, לא הוגש כתב אישום כנגד טלאל. אלא ששאלה זו קיבלה מענה מב"כ המאשימה, שהסביר כי לא נמצאו ראיות הקושרות את טלאל לעבירת ההחזקה או הסיוע לה (עמ' 36 שו' 29 ו-30). תימוכין לדברים אלה אני מוצא בעובדה שנאשם 3, ששוחרר ממעצר, נעצר שנית לאחר שנמצאה טביעת אצבע שלו על חפיסת התחמושת. הנה כי כן, אין לומר כי המאשימה הפעילה שיקול דעת שרירותי עת החליטה להגיש כתב אישום כנגד הנאשמים בתיק, בעוד טלאל שולח לדרכו. לכך יש לצרף את העובדה כי בניגוד לטלאל, פעל עומר באופן אקטיבי להסחת דעתו של השוטר אופק על מנת שעתמאן ייפטר מהאקדח והמחסנית, ומעשה זה קשור באופן הדוק לעבירת הסיוע להחזקה.</w:t>
      </w:r>
    </w:p>
    <w:p w14:paraId="13A2E5AD"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לא למותר לציין כי ההגנה מן הצדק טענה מקדמית היא, ועל אף שניתן להעלותה בכל שלב בהליך הפלילי, ראוי להעלותה מוקדם ככל הניתן. הטענה הועלתה ע"י סניגורו של עומר רק בשלב הטיעונים לעונש, וזאת – לאחר הודאתו של עומר במיוחס לו. במצב דברים זה, היפוך נטל הראיה אל המאשימה, כי פעלה משיקולים ענייניים בלבד, אינו מובן מאליו.</w:t>
      </w:r>
    </w:p>
    <w:p w14:paraId="6B51C82E"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סיכומו של דבר, אני דוחה את טענת עומר לאכיפה בררנית מצד המאשימה, ואפנה למלאכת גזירת הדין.</w:t>
      </w:r>
    </w:p>
    <w:p w14:paraId="3B797E9A" w14:textId="77777777" w:rsidR="003B6B52" w:rsidRPr="0089297D" w:rsidRDefault="006315F3" w:rsidP="003B6B52">
      <w:pPr>
        <w:spacing w:after="120" w:line="360" w:lineRule="auto"/>
        <w:jc w:val="both"/>
        <w:rPr>
          <w:rFonts w:ascii="David" w:hAnsi="David" w:cs="FrankRuehl"/>
          <w:sz w:val="28"/>
          <w:szCs w:val="28"/>
          <w:rtl/>
        </w:rPr>
      </w:pPr>
      <w:hyperlink r:id="rId37" w:history="1">
        <w:r w:rsidRPr="006315F3">
          <w:rPr>
            <w:rFonts w:ascii="David" w:hAnsi="David" w:cs="FrankRuehl"/>
            <w:color w:val="0000FF"/>
            <w:sz w:val="28"/>
            <w:szCs w:val="28"/>
            <w:u w:val="single"/>
            <w:rtl/>
          </w:rPr>
          <w:t>סימן א1</w:t>
        </w:r>
      </w:hyperlink>
      <w:r w:rsidR="003B6B52" w:rsidRPr="0089297D">
        <w:rPr>
          <w:rFonts w:ascii="David" w:hAnsi="David" w:cs="FrankRuehl" w:hint="cs"/>
          <w:sz w:val="28"/>
          <w:szCs w:val="28"/>
          <w:rtl/>
        </w:rPr>
        <w:t xml:space="preserve"> לחוק מנחה את בית המשפט לגזור עונש המבטא </w:t>
      </w:r>
      <w:r w:rsidR="003B6B52" w:rsidRPr="0089297D">
        <w:rPr>
          <w:rFonts w:ascii="David" w:hAnsi="David" w:cs="FrankRuehl" w:hint="cs"/>
          <w:b/>
          <w:bCs/>
          <w:sz w:val="28"/>
          <w:szCs w:val="28"/>
          <w:rtl/>
        </w:rPr>
        <w:t>"יחס הולם בין חומרת מעשה העברה</w:t>
      </w:r>
      <w:r w:rsidR="003B6B52" w:rsidRPr="0089297D">
        <w:rPr>
          <w:rFonts w:ascii="David" w:hAnsi="David" w:cs="FrankRuehl" w:hint="cs"/>
          <w:sz w:val="28"/>
          <w:szCs w:val="28"/>
          <w:rtl/>
        </w:rPr>
        <w:t xml:space="preserve"> </w:t>
      </w:r>
      <w:r w:rsidR="003B6B52" w:rsidRPr="0089297D">
        <w:rPr>
          <w:rFonts w:ascii="David" w:hAnsi="David" w:cs="FrankRuehl" w:hint="cs"/>
          <w:b/>
          <w:bCs/>
          <w:sz w:val="28"/>
          <w:szCs w:val="28"/>
          <w:rtl/>
        </w:rPr>
        <w:t>בנסיבותיו ומידת אשמו של הנאשם"</w:t>
      </w:r>
      <w:r w:rsidR="003B6B52" w:rsidRPr="0089297D">
        <w:rPr>
          <w:rFonts w:ascii="David" w:hAnsi="David" w:cs="FrankRuehl" w:hint="cs"/>
          <w:sz w:val="28"/>
          <w:szCs w:val="28"/>
          <w:rtl/>
        </w:rPr>
        <w:t xml:space="preserve"> (</w:t>
      </w:r>
      <w:hyperlink r:id="rId38" w:history="1">
        <w:r w:rsidRPr="006315F3">
          <w:rPr>
            <w:rFonts w:ascii="David" w:hAnsi="David" w:cs="FrankRuehl"/>
            <w:color w:val="0000FF"/>
            <w:sz w:val="28"/>
            <w:szCs w:val="28"/>
            <w:u w:val="single"/>
            <w:rtl/>
          </w:rPr>
          <w:t>סעיף 40ב</w:t>
        </w:r>
      </w:hyperlink>
      <w:r w:rsidR="003B6B52" w:rsidRPr="0089297D">
        <w:rPr>
          <w:rFonts w:ascii="David" w:hAnsi="David" w:cs="FrankRuehl" w:hint="cs"/>
          <w:sz w:val="28"/>
          <w:szCs w:val="28"/>
          <w:rtl/>
        </w:rPr>
        <w:t xml:space="preserve"> לחוק). לשם כך, על בית המשפט לקבוע 'מתחם עונש הולם', המבוסס על: (1) הערך החברתי שנפגע מביצוע העברה; (2) מידת הפגיעה בערך החברתי; (3) מדיניות הענישה הנהוגה; (4) נסיבות הקשורות בביצוע העברה (</w:t>
      </w:r>
      <w:hyperlink r:id="rId39" w:history="1">
        <w:r w:rsidRPr="006315F3">
          <w:rPr>
            <w:rFonts w:ascii="David" w:hAnsi="David" w:cs="FrankRuehl"/>
            <w:color w:val="0000FF"/>
            <w:sz w:val="28"/>
            <w:szCs w:val="28"/>
            <w:u w:val="single"/>
            <w:rtl/>
          </w:rPr>
          <w:t>סעיף 40ג</w:t>
        </w:r>
      </w:hyperlink>
      <w:r w:rsidR="003B6B52" w:rsidRPr="0089297D">
        <w:rPr>
          <w:rFonts w:ascii="David" w:hAnsi="David" w:cs="FrankRuehl" w:hint="cs"/>
          <w:sz w:val="28"/>
          <w:szCs w:val="28"/>
          <w:rtl/>
        </w:rPr>
        <w:t xml:space="preserve"> לחוק). בשלב הבא, על בית המשפט לקבוע את העונש בתוך מתחם העונש ההולם (</w:t>
      </w:r>
      <w:hyperlink r:id="rId40" w:history="1">
        <w:r w:rsidRPr="006315F3">
          <w:rPr>
            <w:rFonts w:ascii="David" w:hAnsi="David" w:cs="FrankRuehl"/>
            <w:color w:val="0000FF"/>
            <w:sz w:val="28"/>
            <w:szCs w:val="28"/>
            <w:u w:val="single"/>
            <w:rtl/>
          </w:rPr>
          <w:t>סעיף 40ג(ב)</w:t>
        </w:r>
      </w:hyperlink>
      <w:r w:rsidR="003B6B52" w:rsidRPr="0089297D">
        <w:rPr>
          <w:rFonts w:ascii="David" w:hAnsi="David" w:cs="FrankRuehl" w:hint="cs"/>
          <w:sz w:val="28"/>
          <w:szCs w:val="28"/>
          <w:rtl/>
        </w:rPr>
        <w:t xml:space="preserve"> לחוק). כשמדובר במי שהורשע בריבוי עבירות, הליך גזירת הדין כולל שלושה שלבים. בשלב הראשון על בית המשפט לקבוע בהתאם </w:t>
      </w:r>
      <w:hyperlink r:id="rId41" w:history="1">
        <w:r w:rsidRPr="006315F3">
          <w:rPr>
            <w:rFonts w:ascii="David" w:hAnsi="David" w:cs="FrankRuehl"/>
            <w:color w:val="0000FF"/>
            <w:sz w:val="28"/>
            <w:szCs w:val="28"/>
            <w:u w:val="single"/>
            <w:rtl/>
          </w:rPr>
          <w:t>לסעיף 40יג</w:t>
        </w:r>
      </w:hyperlink>
      <w:r w:rsidR="003B6B52" w:rsidRPr="0089297D">
        <w:rPr>
          <w:rFonts w:ascii="David" w:hAnsi="David" w:cs="FrankRuehl" w:hint="cs"/>
          <w:sz w:val="28"/>
          <w:szCs w:val="28"/>
          <w:rtl/>
        </w:rPr>
        <w:t xml:space="preserve"> לחוק, האם עבירות אלה מהוות אירוע אחד או כמה אירועים, על פי מבחן "הקשר ההדוק" שהתפתח בפסיקה (</w:t>
      </w:r>
      <w:hyperlink r:id="rId42" w:history="1">
        <w:r w:rsidR="007156D3" w:rsidRPr="007156D3">
          <w:rPr>
            <w:rFonts w:ascii="David" w:hAnsi="David" w:cs="FrankRuehl"/>
            <w:color w:val="0000FF"/>
            <w:sz w:val="28"/>
            <w:szCs w:val="28"/>
            <w:u w:val="single"/>
            <w:rtl/>
          </w:rPr>
          <w:t>ע"פ 4910/13</w:t>
        </w:r>
      </w:hyperlink>
      <w:r w:rsidR="003B6B52" w:rsidRPr="0089297D">
        <w:rPr>
          <w:rFonts w:ascii="David" w:hAnsi="David" w:cs="FrankRuehl" w:hint="cs"/>
          <w:sz w:val="28"/>
          <w:szCs w:val="28"/>
          <w:rtl/>
        </w:rPr>
        <w:t xml:space="preserve"> </w:t>
      </w:r>
      <w:r w:rsidR="003B6B52" w:rsidRPr="0089297D">
        <w:rPr>
          <w:rFonts w:ascii="David" w:hAnsi="David" w:cs="FrankRuehl" w:hint="cs"/>
          <w:b/>
          <w:bCs/>
          <w:sz w:val="28"/>
          <w:szCs w:val="28"/>
          <w:rtl/>
        </w:rPr>
        <w:t>ג'אבר נ' מדינת ישראל</w:t>
      </w:r>
      <w:r w:rsidR="003B6B52" w:rsidRPr="0089297D">
        <w:rPr>
          <w:rFonts w:ascii="David" w:hAnsi="David" w:cs="FrankRuehl" w:hint="cs"/>
          <w:sz w:val="28"/>
          <w:szCs w:val="28"/>
          <w:rtl/>
        </w:rPr>
        <w:t xml:space="preserve"> (פורסם בנבו, 29.10.2014) (להלן: עניין </w:t>
      </w:r>
      <w:r w:rsidR="003B6B52" w:rsidRPr="0089297D">
        <w:rPr>
          <w:rFonts w:ascii="David" w:hAnsi="David" w:cs="FrankRuehl" w:hint="cs"/>
          <w:b/>
          <w:bCs/>
          <w:sz w:val="28"/>
          <w:szCs w:val="28"/>
          <w:rtl/>
        </w:rPr>
        <w:t>ג'אבר</w:t>
      </w:r>
      <w:r w:rsidR="003B6B52" w:rsidRPr="0089297D">
        <w:rPr>
          <w:rFonts w:ascii="David" w:hAnsi="David" w:cs="FrankRuehl" w:hint="cs"/>
          <w:sz w:val="28"/>
          <w:szCs w:val="28"/>
          <w:rtl/>
        </w:rPr>
        <w:t xml:space="preserve">); וכן </w:t>
      </w:r>
      <w:hyperlink r:id="rId43" w:history="1">
        <w:r w:rsidR="007156D3" w:rsidRPr="007156D3">
          <w:rPr>
            <w:rFonts w:ascii="David" w:hAnsi="David" w:cs="FrankRuehl"/>
            <w:color w:val="0000FF"/>
            <w:sz w:val="28"/>
            <w:szCs w:val="28"/>
            <w:u w:val="single"/>
            <w:rtl/>
          </w:rPr>
          <w:t>ע"פ 1127/13</w:t>
        </w:r>
      </w:hyperlink>
      <w:r w:rsidR="003B6B52" w:rsidRPr="0089297D">
        <w:rPr>
          <w:rFonts w:ascii="David" w:hAnsi="David" w:cs="FrankRuehl" w:hint="cs"/>
          <w:sz w:val="28"/>
          <w:szCs w:val="28"/>
          <w:rtl/>
        </w:rPr>
        <w:t xml:space="preserve"> </w:t>
      </w:r>
      <w:r w:rsidR="003B6B52" w:rsidRPr="0089297D">
        <w:rPr>
          <w:rFonts w:ascii="David" w:hAnsi="David" w:cs="FrankRuehl" w:hint="cs"/>
          <w:b/>
          <w:bCs/>
          <w:sz w:val="28"/>
          <w:szCs w:val="28"/>
          <w:rtl/>
        </w:rPr>
        <w:t>גברזגיי נ' מדינת ישראל</w:t>
      </w:r>
      <w:r w:rsidR="003B6B52" w:rsidRPr="0089297D">
        <w:rPr>
          <w:rFonts w:ascii="David" w:hAnsi="David" w:cs="FrankRuehl" w:hint="cs"/>
          <w:sz w:val="28"/>
          <w:szCs w:val="28"/>
          <w:rtl/>
        </w:rPr>
        <w:t xml:space="preserve">  (פורסם בנבו, 15.1.2014) ו</w:t>
      </w:r>
      <w:hyperlink r:id="rId44" w:history="1">
        <w:r w:rsidR="007156D3" w:rsidRPr="007156D3">
          <w:rPr>
            <w:rFonts w:ascii="David" w:hAnsi="David" w:cs="FrankRuehl"/>
            <w:color w:val="0000FF"/>
            <w:sz w:val="28"/>
            <w:szCs w:val="28"/>
            <w:u w:val="single"/>
            <w:rtl/>
          </w:rPr>
          <w:t>ע"פ 4702/15</w:t>
        </w:r>
      </w:hyperlink>
      <w:r w:rsidR="003B6B52" w:rsidRPr="0089297D">
        <w:rPr>
          <w:rFonts w:ascii="David" w:hAnsi="David" w:cs="FrankRuehl" w:hint="cs"/>
          <w:sz w:val="28"/>
          <w:szCs w:val="28"/>
          <w:rtl/>
        </w:rPr>
        <w:t xml:space="preserve"> </w:t>
      </w:r>
      <w:r w:rsidR="003B6B52" w:rsidRPr="0089297D">
        <w:rPr>
          <w:rFonts w:ascii="David" w:hAnsi="David" w:cs="FrankRuehl" w:hint="cs"/>
          <w:b/>
          <w:bCs/>
          <w:sz w:val="28"/>
          <w:szCs w:val="28"/>
          <w:rtl/>
        </w:rPr>
        <w:t>עביד נ' מדינת ישראל</w:t>
      </w:r>
      <w:r w:rsidR="003B6B52" w:rsidRPr="0089297D">
        <w:rPr>
          <w:rFonts w:ascii="David" w:hAnsi="David" w:cs="FrankRuehl" w:hint="cs"/>
          <w:sz w:val="28"/>
          <w:szCs w:val="28"/>
          <w:rtl/>
        </w:rPr>
        <w:t xml:space="preserve"> (פורסם בנבו, 20.4.2016)). אם מדובר בכמה עבירות המהוות אירוע אחד, יקבע בית המשפט מתחם עונש הולם לאירוע כולו, ויגזור עונש כולל לכל העבירות בשל אותו אירוע.</w:t>
      </w:r>
    </w:p>
    <w:p w14:paraId="3EFAB762"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עבירות בנשק, טומנות בחובן פוטנציאל לפגיעה בגוף וברכוש, ופגיעה בביטחון אזרחים תמימים, העלולים להיקלע למצבים בהם ייעשה שימוש בנשק. הערכים הנפגעים אפוא, הם ביטחון הציבור ושלטון החוק. כב' השופטת ע' ארבל ציינה ב</w:t>
      </w:r>
      <w:hyperlink r:id="rId45" w:history="1">
        <w:r w:rsidR="007156D3" w:rsidRPr="007156D3">
          <w:rPr>
            <w:rFonts w:ascii="David" w:hAnsi="David" w:cs="FrankRuehl"/>
            <w:color w:val="0000FF"/>
            <w:sz w:val="28"/>
            <w:szCs w:val="28"/>
            <w:u w:val="single"/>
            <w:rtl/>
          </w:rPr>
          <w:t>ע"פ 5120/11</w:t>
        </w:r>
      </w:hyperlink>
      <w:r w:rsidRPr="0089297D">
        <w:rPr>
          <w:rFonts w:ascii="David" w:hAnsi="David" w:cs="FrankRuehl" w:hint="cs"/>
          <w:sz w:val="28"/>
          <w:szCs w:val="28"/>
          <w:rtl/>
        </w:rPr>
        <w:t xml:space="preserve"> </w:t>
      </w:r>
      <w:r w:rsidRPr="0089297D">
        <w:rPr>
          <w:rFonts w:ascii="David" w:hAnsi="David" w:cs="FrankRuehl" w:hint="cs"/>
          <w:b/>
          <w:bCs/>
          <w:sz w:val="28"/>
          <w:szCs w:val="28"/>
          <w:rtl/>
        </w:rPr>
        <w:t>שתיווי נ' מדינת ישראל</w:t>
      </w:r>
      <w:r w:rsidRPr="0089297D">
        <w:rPr>
          <w:rFonts w:ascii="David" w:hAnsi="David" w:cs="FrankRuehl" w:hint="cs"/>
          <w:sz w:val="28"/>
          <w:szCs w:val="28"/>
          <w:rtl/>
        </w:rPr>
        <w:t xml:space="preserve"> (פורסם בנבו, 18.12.2011) כי:</w:t>
      </w:r>
    </w:p>
    <w:p w14:paraId="3359F17C" w14:textId="77777777" w:rsidR="003B6B52" w:rsidRPr="0089297D" w:rsidRDefault="003B6B52" w:rsidP="003B6B52">
      <w:pPr>
        <w:pStyle w:val="11"/>
        <w:rPr>
          <w:rFonts w:cs="FrankRuehl"/>
          <w:sz w:val="28"/>
          <w:szCs w:val="28"/>
          <w:rtl/>
        </w:rPr>
      </w:pPr>
      <w:r>
        <w:rPr>
          <w:rFonts w:cs="FrankRuehl" w:hint="cs"/>
          <w:sz w:val="28"/>
          <w:szCs w:val="28"/>
          <w:rtl/>
        </w:rPr>
        <w:t>"</w:t>
      </w:r>
      <w:r w:rsidRPr="0089297D">
        <w:rPr>
          <w:rFonts w:cs="FrankRuehl" w:hint="cs"/>
          <w:sz w:val="28"/>
          <w:szCs w:val="28"/>
          <w:rtl/>
        </w:rPr>
        <w:t>לא אחת עמד בית משפט זה על החומרה היתרה הנודעת לעבירות נשק בכלל ולעבירת החזקת נשק שלא כדין בפרט המקימה סיכון ממשי וחמור לציבור ויוצרת פוטנציאל להסלמה עבריינית ולפיכך מחייבת ליתן ביטוי עונשי הולם ומרתיע באמצעות הרחקת מבצעי העבירה מן החברה לתקופת מאסר ממשית לריצוי  בפועל</w:t>
      </w:r>
      <w:r>
        <w:rPr>
          <w:rFonts w:cs="FrankRuehl" w:hint="cs"/>
          <w:sz w:val="28"/>
          <w:szCs w:val="28"/>
          <w:rtl/>
        </w:rPr>
        <w:t>"</w:t>
      </w:r>
      <w:r w:rsidRPr="0089297D">
        <w:rPr>
          <w:rFonts w:cs="FrankRuehl" w:hint="cs"/>
          <w:sz w:val="28"/>
          <w:szCs w:val="28"/>
          <w:rtl/>
        </w:rPr>
        <w:t>.</w:t>
      </w:r>
    </w:p>
    <w:p w14:paraId="1C91F572"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ובעניין אחר ציין כב' השופט א' א' לוי כי:</w:t>
      </w:r>
    </w:p>
    <w:p w14:paraId="2681D043" w14:textId="77777777" w:rsidR="003B6B52" w:rsidRPr="0089297D" w:rsidRDefault="003B6B52" w:rsidP="003B6B52">
      <w:pPr>
        <w:pStyle w:val="11"/>
        <w:rPr>
          <w:rFonts w:cs="FrankRuehl"/>
          <w:b w:val="0"/>
          <w:bCs w:val="0"/>
          <w:sz w:val="28"/>
          <w:szCs w:val="28"/>
          <w:rtl/>
        </w:rPr>
      </w:pPr>
      <w:r>
        <w:rPr>
          <w:rFonts w:cs="FrankRuehl" w:hint="cs"/>
          <w:sz w:val="28"/>
          <w:szCs w:val="28"/>
          <w:rtl/>
        </w:rPr>
        <w:t>"</w:t>
      </w:r>
      <w:r w:rsidRPr="0089297D">
        <w:rPr>
          <w:rFonts w:cs="FrankRuehl" w:hint="cs"/>
          <w:sz w:val="28"/>
          <w:szCs w:val="28"/>
          <w:rtl/>
        </w:rPr>
        <w:t>ניסיון השנים האחרונות מלמד שנשק המוחזק שלא כדין מוצא את דרכו לעתים לידיים עוינות, ולעתים נעשה בו שימוש למטרות פליליות, ואלה גם אלה כבר גרמו לא אחת לאובדן חיי אדם, ולפגיעה בחפים מפשע שכל "חטאם" נבע מכך שהם נקלעו בדרך מקרה לזירת הפשע. כדי להלחם בכל אלה צריך העונש לבטא את סלידתה של החברה ודעתה הנחרצת שלא להשלים עם עבריינות בכלל, ומסוג זה בפרט</w:t>
      </w:r>
      <w:r w:rsidRPr="0089297D">
        <w:rPr>
          <w:rFonts w:cs="FrankRuehl" w:hint="cs"/>
          <w:b w:val="0"/>
          <w:bCs w:val="0"/>
          <w:sz w:val="28"/>
          <w:szCs w:val="28"/>
          <w:rtl/>
        </w:rPr>
        <w:t xml:space="preserve"> (</w:t>
      </w:r>
      <w:hyperlink r:id="rId46" w:history="1">
        <w:r w:rsidR="007156D3" w:rsidRPr="007156D3">
          <w:rPr>
            <w:rFonts w:cs="FrankRuehl"/>
            <w:b w:val="0"/>
            <w:bCs w:val="0"/>
            <w:color w:val="0000FF"/>
            <w:sz w:val="28"/>
            <w:szCs w:val="28"/>
            <w:u w:val="single"/>
            <w:rtl/>
          </w:rPr>
          <w:t>ע"פ 761/07</w:t>
        </w:r>
      </w:hyperlink>
      <w:r w:rsidRPr="0089297D">
        <w:rPr>
          <w:rFonts w:cs="FrankRuehl" w:hint="cs"/>
          <w:b w:val="0"/>
          <w:bCs w:val="0"/>
          <w:sz w:val="28"/>
          <w:szCs w:val="28"/>
          <w:rtl/>
        </w:rPr>
        <w:t xml:space="preserve"> </w:t>
      </w:r>
      <w:r w:rsidRPr="0089297D">
        <w:rPr>
          <w:rFonts w:cs="FrankRuehl" w:hint="cs"/>
          <w:sz w:val="28"/>
          <w:szCs w:val="28"/>
          <w:rtl/>
        </w:rPr>
        <w:t>מדינת ישראל נ' אדרי</w:t>
      </w:r>
      <w:r w:rsidRPr="0089297D">
        <w:rPr>
          <w:rFonts w:cs="FrankRuehl" w:hint="cs"/>
          <w:b w:val="0"/>
          <w:bCs w:val="0"/>
          <w:sz w:val="28"/>
          <w:szCs w:val="28"/>
          <w:rtl/>
        </w:rPr>
        <w:t xml:space="preserve"> (פורסם בנבו, 22.2.2007))</w:t>
      </w:r>
      <w:r>
        <w:rPr>
          <w:rFonts w:cs="FrankRuehl" w:hint="cs"/>
          <w:b w:val="0"/>
          <w:bCs w:val="0"/>
          <w:sz w:val="28"/>
          <w:szCs w:val="28"/>
          <w:rtl/>
        </w:rPr>
        <w:t>"</w:t>
      </w:r>
      <w:r w:rsidRPr="0089297D">
        <w:rPr>
          <w:rFonts w:cs="FrankRuehl" w:hint="cs"/>
          <w:b w:val="0"/>
          <w:bCs w:val="0"/>
          <w:sz w:val="28"/>
          <w:szCs w:val="28"/>
          <w:rtl/>
        </w:rPr>
        <w:t>.</w:t>
      </w:r>
    </w:p>
    <w:p w14:paraId="5D1F5681"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הנאשמים הבינו היטב את הפסול בהחזקת והובלת הנשק, ועל כך תעיד העובדה כי לא עצרו את רכבם לבקשת השוטרים, וכי כאשר לבסוף עצרו, ניסו להעלים את הראיות נגדם. הפגיעה בערכים המצוינים לעיל, היא ברמה בינונית.</w:t>
      </w:r>
    </w:p>
    <w:p w14:paraId="16468D99" w14:textId="77777777" w:rsidR="003B6B52" w:rsidRPr="009F0362" w:rsidRDefault="003B6B52" w:rsidP="003B6B52">
      <w:pPr>
        <w:spacing w:after="120" w:line="360" w:lineRule="auto"/>
        <w:jc w:val="both"/>
        <w:rPr>
          <w:rFonts w:ascii="David" w:hAnsi="David" w:cs="FrankRuehl"/>
          <w:sz w:val="14"/>
          <w:szCs w:val="14"/>
          <w:u w:val="single"/>
          <w:rtl/>
        </w:rPr>
      </w:pPr>
    </w:p>
    <w:p w14:paraId="2BB2EE4A" w14:textId="77777777" w:rsidR="003B6B52" w:rsidRPr="000A5513" w:rsidRDefault="003B6B52" w:rsidP="003B6B52">
      <w:pPr>
        <w:spacing w:after="120" w:line="360" w:lineRule="auto"/>
        <w:jc w:val="both"/>
        <w:rPr>
          <w:rFonts w:ascii="David" w:hAnsi="David" w:cs="FrankRuehl"/>
          <w:b/>
          <w:bCs/>
          <w:sz w:val="28"/>
          <w:szCs w:val="28"/>
          <w:rtl/>
        </w:rPr>
      </w:pPr>
      <w:r w:rsidRPr="000A5513">
        <w:rPr>
          <w:rFonts w:ascii="David" w:hAnsi="David" w:cs="FrankRuehl" w:hint="cs"/>
          <w:b/>
          <w:bCs/>
          <w:sz w:val="28"/>
          <w:szCs w:val="28"/>
          <w:u w:val="single"/>
          <w:rtl/>
        </w:rPr>
        <w:t>מדיניות הענישה</w:t>
      </w:r>
      <w:r w:rsidRPr="000A5513">
        <w:rPr>
          <w:rFonts w:ascii="David" w:hAnsi="David" w:cs="FrankRuehl" w:hint="cs"/>
          <w:b/>
          <w:bCs/>
          <w:sz w:val="28"/>
          <w:szCs w:val="28"/>
          <w:rtl/>
        </w:rPr>
        <w:t xml:space="preserve"> </w:t>
      </w:r>
    </w:p>
    <w:p w14:paraId="0A6C6035"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 xml:space="preserve">בעניין </w:t>
      </w:r>
      <w:r w:rsidRPr="0089297D">
        <w:rPr>
          <w:rFonts w:ascii="David" w:hAnsi="David" w:cs="FrankRuehl" w:hint="cs"/>
          <w:b/>
          <w:bCs/>
          <w:sz w:val="28"/>
          <w:szCs w:val="28"/>
          <w:rtl/>
        </w:rPr>
        <w:t>ותד</w:t>
      </w:r>
      <w:r w:rsidRPr="0089297D">
        <w:rPr>
          <w:rFonts w:ascii="David" w:hAnsi="David" w:cs="FrankRuehl" w:hint="cs"/>
          <w:sz w:val="28"/>
          <w:szCs w:val="28"/>
          <w:rtl/>
        </w:rPr>
        <w:t xml:space="preserve"> גזר בית המשפט העליון 30 חודשי מאסר בפועל, על נאשם שנמצא מחזיק בביתו מתחת למזרון המיטה, אקדח ומחסנית בה היו 9 כדורים. 63 כדורים נוספים נמצאו מוטמנים בחצר. ב</w:t>
      </w:r>
      <w:hyperlink r:id="rId47" w:history="1">
        <w:r w:rsidR="007156D3" w:rsidRPr="007156D3">
          <w:rPr>
            <w:rFonts w:ascii="David" w:hAnsi="David" w:cs="FrankRuehl"/>
            <w:color w:val="0000FF"/>
            <w:sz w:val="28"/>
            <w:szCs w:val="28"/>
            <w:u w:val="single"/>
            <w:rtl/>
          </w:rPr>
          <w:t>ע"פ 4329/10</w:t>
        </w:r>
      </w:hyperlink>
      <w:r w:rsidRPr="0089297D">
        <w:rPr>
          <w:rFonts w:ascii="David" w:hAnsi="David" w:cs="FrankRuehl" w:hint="cs"/>
          <w:sz w:val="28"/>
          <w:szCs w:val="28"/>
          <w:rtl/>
        </w:rPr>
        <w:t xml:space="preserve"> </w:t>
      </w:r>
      <w:r w:rsidRPr="0089297D">
        <w:rPr>
          <w:rFonts w:ascii="David" w:hAnsi="David" w:cs="FrankRuehl" w:hint="cs"/>
          <w:b/>
          <w:bCs/>
          <w:sz w:val="28"/>
          <w:szCs w:val="28"/>
          <w:rtl/>
        </w:rPr>
        <w:t>פלוני נ' מדינת ישראל</w:t>
      </w:r>
      <w:r w:rsidRPr="0089297D">
        <w:rPr>
          <w:rFonts w:ascii="David" w:hAnsi="David" w:cs="FrankRuehl" w:hint="cs"/>
          <w:sz w:val="28"/>
          <w:szCs w:val="28"/>
          <w:rtl/>
        </w:rPr>
        <w:t xml:space="preserve"> (פורסם בנבו, 25.10.2010), נדחה ערעורו של נאשם שנתפס עם אקדח טעון ברכבו, מבלי שהיה מורשה לכך. גזר הדין שהוטל בבית המשפט המחוזי, 20 חודשי מאסר בפועל ו-16 חודשי מאסר על תנאי, נותר על כנו. </w:t>
      </w:r>
    </w:p>
    <w:p w14:paraId="7AB38421"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ב</w:t>
      </w:r>
      <w:hyperlink r:id="rId48" w:history="1">
        <w:r w:rsidR="007156D3" w:rsidRPr="007156D3">
          <w:rPr>
            <w:rFonts w:ascii="David" w:hAnsi="David" w:cs="FrankRuehl"/>
            <w:color w:val="0000FF"/>
            <w:sz w:val="28"/>
            <w:szCs w:val="28"/>
            <w:u w:val="single"/>
            <w:rtl/>
          </w:rPr>
          <w:t>ת"פ 12109-06-15</w:t>
        </w:r>
      </w:hyperlink>
      <w:r w:rsidRPr="0089297D">
        <w:rPr>
          <w:rFonts w:ascii="David" w:hAnsi="David" w:cs="FrankRuehl" w:hint="cs"/>
          <w:sz w:val="28"/>
          <w:szCs w:val="28"/>
          <w:rtl/>
        </w:rPr>
        <w:t xml:space="preserve"> </w:t>
      </w:r>
      <w:r w:rsidRPr="0089297D">
        <w:rPr>
          <w:rFonts w:ascii="David" w:hAnsi="David" w:cs="FrankRuehl" w:hint="cs"/>
          <w:b/>
          <w:bCs/>
          <w:sz w:val="28"/>
          <w:szCs w:val="28"/>
          <w:rtl/>
        </w:rPr>
        <w:t xml:space="preserve">מדינת ישראל נ' גראדאת </w:t>
      </w:r>
      <w:r w:rsidRPr="0089297D">
        <w:rPr>
          <w:rFonts w:ascii="David" w:hAnsi="David" w:cs="FrankRuehl" w:hint="cs"/>
          <w:sz w:val="28"/>
          <w:szCs w:val="28"/>
          <w:rtl/>
        </w:rPr>
        <w:t>(פורסם בנבו, 27.9.2016), דן כב' השופט א' כהן נאשם שהורשע על פי הודאתו בנשיאת נשק שלא כדין, לעונש של 9 חודשי מאסר בפועל, ומאסר על תנאי למשך 12 חודשים. ב</w:t>
      </w:r>
      <w:hyperlink r:id="rId49" w:history="1">
        <w:r w:rsidR="007156D3" w:rsidRPr="007156D3">
          <w:rPr>
            <w:rFonts w:ascii="David" w:hAnsi="David" w:cs="FrankRuehl"/>
            <w:color w:val="0000FF"/>
            <w:sz w:val="28"/>
            <w:szCs w:val="28"/>
            <w:u w:val="single"/>
            <w:rtl/>
          </w:rPr>
          <w:t>ת"פ (מחוזי י-ם) 53169-10-13</w:t>
        </w:r>
      </w:hyperlink>
      <w:r w:rsidRPr="0089297D">
        <w:rPr>
          <w:rFonts w:ascii="David" w:hAnsi="David" w:cs="FrankRuehl" w:hint="cs"/>
          <w:sz w:val="28"/>
          <w:szCs w:val="28"/>
          <w:rtl/>
        </w:rPr>
        <w:t xml:space="preserve"> </w:t>
      </w:r>
      <w:r w:rsidRPr="0089297D">
        <w:rPr>
          <w:rFonts w:ascii="David" w:hAnsi="David" w:cs="FrankRuehl" w:hint="cs"/>
          <w:b/>
          <w:bCs/>
          <w:sz w:val="28"/>
          <w:szCs w:val="28"/>
          <w:rtl/>
        </w:rPr>
        <w:t>מדינת ישראל נ' עבדו אל רחמן</w:t>
      </w:r>
      <w:r w:rsidRPr="0089297D">
        <w:rPr>
          <w:rFonts w:ascii="David" w:hAnsi="David" w:cs="FrankRuehl" w:hint="cs"/>
          <w:sz w:val="28"/>
          <w:szCs w:val="28"/>
          <w:rtl/>
        </w:rPr>
        <w:t xml:space="preserve"> (פורסם בנבו, 13.7.2014), גזר השופט א' כהן שישה חודשי מאסר שירוצו בעבודות שירות, על נאשם אשר נשא אקדח טעון במחסנית ריקה, כאשר זמן מה קודם לכן ירה באקדח 15 יריות לכיוון לא ידוע.</w:t>
      </w:r>
    </w:p>
    <w:p w14:paraId="53E0CCA4"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 xml:space="preserve">באשר לנסיבות הקשורות בביצוע העבירה, נתתי דעתי לכך שלמעשיהם של הנאשמים קדם תכנון, כאשר האקדח והמחסנית הוסלקו בתוך גרב, והועברו על יד הנאשמים ליעד לא ידוע. </w:t>
      </w:r>
    </w:p>
    <w:p w14:paraId="721783B8"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 xml:space="preserve">יש גם לתת את הדעת לעובדה שבסופו של יום לא נגרם נזק ממעשי הנאשמים, אם כי פוטנציאל הנזק כתוצאה משימוש בנשק בלתי חוקי, גבוה מאוד. נשק המוחזק שלא כדין עלול למצוא דרכו לידיים עוינות ועלול לשמש למטרות פליליות שונות: </w:t>
      </w:r>
      <w:r w:rsidRPr="0089297D">
        <w:rPr>
          <w:rFonts w:ascii="David" w:hAnsi="David" w:cs="FrankRuehl" w:hint="cs"/>
          <w:b/>
          <w:bCs/>
          <w:sz w:val="28"/>
          <w:szCs w:val="28"/>
          <w:rtl/>
        </w:rPr>
        <w:t>"עצם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r w:rsidRPr="0089297D">
        <w:rPr>
          <w:rFonts w:ascii="David" w:hAnsi="David" w:cs="FrankRuehl" w:hint="cs"/>
          <w:sz w:val="28"/>
          <w:szCs w:val="28"/>
          <w:rtl/>
        </w:rPr>
        <w:t xml:space="preserve"> (דברי כב' השופטת ע' ארבל ב</w:t>
      </w:r>
      <w:hyperlink r:id="rId50" w:history="1">
        <w:r w:rsidR="007156D3" w:rsidRPr="007156D3">
          <w:rPr>
            <w:rFonts w:ascii="David" w:hAnsi="David" w:cs="FrankRuehl"/>
            <w:color w:val="0000FF"/>
            <w:sz w:val="28"/>
            <w:szCs w:val="28"/>
            <w:u w:val="single"/>
            <w:rtl/>
          </w:rPr>
          <w:t>ע"פ 4945/13</w:t>
        </w:r>
      </w:hyperlink>
      <w:r w:rsidRPr="0089297D">
        <w:rPr>
          <w:rFonts w:ascii="David" w:hAnsi="David" w:cs="FrankRuehl" w:hint="cs"/>
          <w:sz w:val="28"/>
          <w:szCs w:val="28"/>
          <w:rtl/>
        </w:rPr>
        <w:t xml:space="preserve"> </w:t>
      </w:r>
      <w:r w:rsidRPr="0089297D">
        <w:rPr>
          <w:rFonts w:ascii="David" w:hAnsi="David" w:cs="FrankRuehl" w:hint="cs"/>
          <w:b/>
          <w:bCs/>
          <w:sz w:val="28"/>
          <w:szCs w:val="28"/>
          <w:rtl/>
        </w:rPr>
        <w:t>מדינת ישראל נ' סלימאן</w:t>
      </w:r>
      <w:r w:rsidRPr="0089297D">
        <w:rPr>
          <w:rFonts w:ascii="David" w:hAnsi="David" w:cs="FrankRuehl" w:hint="cs"/>
          <w:sz w:val="28"/>
          <w:szCs w:val="28"/>
          <w:rtl/>
        </w:rPr>
        <w:t xml:space="preserve"> (פורסם בנבו, 19.1.2014).</w:t>
      </w:r>
    </w:p>
    <w:p w14:paraId="0B252960"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 xml:space="preserve">עבירת השיבוש מהלכי משפט בה הורשע עומר, קשורה קשר הדוק לעבירת הסיוע לנשיאת נשק בה הורשע, ועל כן ייקבע מתחם עונש אחד לשתי העבירות. </w:t>
      </w:r>
    </w:p>
    <w:p w14:paraId="2BB10159" w14:textId="77777777" w:rsidR="003B6B52" w:rsidRDefault="003B6B52" w:rsidP="003B6B52">
      <w:pPr>
        <w:spacing w:after="120" w:line="360" w:lineRule="auto"/>
        <w:jc w:val="both"/>
        <w:rPr>
          <w:rFonts w:ascii="David" w:hAnsi="David" w:cs="FrankRuehl"/>
          <w:sz w:val="34"/>
          <w:szCs w:val="34"/>
          <w:rtl/>
        </w:rPr>
      </w:pPr>
      <w:r w:rsidRPr="0089297D">
        <w:rPr>
          <w:rFonts w:ascii="David" w:hAnsi="David" w:cs="FrankRuehl" w:hint="cs"/>
          <w:sz w:val="28"/>
          <w:szCs w:val="28"/>
          <w:rtl/>
        </w:rPr>
        <w:t>בחינת הערכים שנפגעו ומידת הפגיעה בהם, עיון במדיניות הענישה הנוהגת ובנסיבות הקשורות בביצוע העבירה, הובילו אותי לכלל מסקנה כי מתחם העונש בעבירות בהן הורשעו הנאשמים, הוא בין 6 חודשי מאסר ל-12 חודשי מאסר בפועל לעומר – הנאשם 1, ובין 10 ל-24 חודשי מאסר בפועל לעתמאן – הנאשם 2.</w:t>
      </w:r>
    </w:p>
    <w:p w14:paraId="408D7305" w14:textId="77777777" w:rsidR="003B6B52" w:rsidRPr="009F0362" w:rsidRDefault="003B6B52" w:rsidP="003B6B52">
      <w:pPr>
        <w:spacing w:after="120" w:line="360" w:lineRule="auto"/>
        <w:jc w:val="both"/>
        <w:rPr>
          <w:rFonts w:ascii="David" w:hAnsi="David" w:cs="FrankRuehl"/>
          <w:sz w:val="12"/>
          <w:szCs w:val="12"/>
          <w:rtl/>
        </w:rPr>
      </w:pPr>
    </w:p>
    <w:p w14:paraId="0D826FCB" w14:textId="77777777" w:rsidR="003B6B52" w:rsidRPr="003B6B52" w:rsidRDefault="003B6B52" w:rsidP="003B6B52">
      <w:pPr>
        <w:pStyle w:val="aa"/>
        <w:rPr>
          <w:rFonts w:ascii="David" w:eastAsia="Calibri" w:hAnsi="David" w:cs="FrankRuehl"/>
          <w:b/>
          <w:bCs/>
          <w:sz w:val="28"/>
          <w:szCs w:val="28"/>
          <w:u w:val="single"/>
          <w:rtl/>
        </w:rPr>
      </w:pPr>
      <w:r w:rsidRPr="003B6B52">
        <w:rPr>
          <w:rFonts w:eastAsia="Calibri" w:cs="FrankRuehl" w:hint="cs"/>
          <w:b/>
          <w:bCs/>
          <w:sz w:val="28"/>
          <w:szCs w:val="28"/>
          <w:u w:val="single"/>
          <w:rtl/>
        </w:rPr>
        <w:t>בחינת הנסיבות שאינן קשורות בביצוע העבירה</w:t>
      </w:r>
    </w:p>
    <w:p w14:paraId="60078494" w14:textId="77777777" w:rsidR="003B6B52" w:rsidRPr="003B6B52" w:rsidRDefault="003B6B52" w:rsidP="003B6B52">
      <w:pPr>
        <w:rPr>
          <w:rFonts w:eastAsia="Calibri" w:cs="FrankRuehl"/>
          <w:sz w:val="28"/>
          <w:szCs w:val="28"/>
          <w:rtl/>
        </w:rPr>
      </w:pPr>
    </w:p>
    <w:p w14:paraId="1B7606B2" w14:textId="77777777" w:rsidR="003B6B52" w:rsidRPr="003B6B52" w:rsidRDefault="003B6B52" w:rsidP="003B6B52">
      <w:pPr>
        <w:spacing w:after="120" w:line="360" w:lineRule="auto"/>
        <w:jc w:val="both"/>
        <w:rPr>
          <w:rFonts w:ascii="David" w:eastAsia="Calibri" w:hAnsi="David" w:cs="FrankRuehl"/>
          <w:sz w:val="28"/>
          <w:szCs w:val="28"/>
          <w:rtl/>
        </w:rPr>
      </w:pPr>
      <w:r w:rsidRPr="0089297D">
        <w:rPr>
          <w:rFonts w:ascii="David" w:hAnsi="David" w:cs="FrankRuehl" w:hint="cs"/>
          <w:sz w:val="28"/>
          <w:szCs w:val="28"/>
          <w:rtl/>
        </w:rPr>
        <w:t xml:space="preserve">כמצוות </w:t>
      </w:r>
      <w:hyperlink r:id="rId51" w:history="1">
        <w:r w:rsidR="006315F3" w:rsidRPr="006315F3">
          <w:rPr>
            <w:rFonts w:ascii="David" w:hAnsi="David" w:cs="FrankRuehl"/>
            <w:color w:val="0000FF"/>
            <w:sz w:val="28"/>
            <w:szCs w:val="28"/>
            <w:u w:val="single"/>
            <w:rtl/>
          </w:rPr>
          <w:t>סעיף 40יא</w:t>
        </w:r>
      </w:hyperlink>
      <w:r w:rsidRPr="0089297D">
        <w:rPr>
          <w:rFonts w:ascii="David" w:hAnsi="David" w:cs="FrankRuehl" w:hint="cs"/>
          <w:sz w:val="28"/>
          <w:szCs w:val="28"/>
          <w:rtl/>
        </w:rPr>
        <w:t xml:space="preserve"> לחוק, אבחן את הנסיבות שאינן קשורות בביצוע העבירה, לצורך קביעת העונש בתוך המתחם. </w:t>
      </w:r>
    </w:p>
    <w:p w14:paraId="19EBA7D8"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הנאשמים הודו בביצוע המיוחס להם, ובכך חסכו זמן שיפוטי יקר. נסיבה זו בהכרח תיזקף לזכותם של הנאשמים.</w:t>
      </w:r>
    </w:p>
    <w:p w14:paraId="0092C065"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 xml:space="preserve">הפגיעה בנאשמים ובמשפחותיהם כתוצאה מהעונש שיושת עליהם, אינה פשוטה. הנאשמים מטופלים בילדים קטנים, ומצבם הכלכלי אינו מן המשופרים. </w:t>
      </w:r>
    </w:p>
    <w:p w14:paraId="18EB9BA4"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כפי שצוין לעיל, לעומר עבר פלילי הכולל הרשעה בעבירת שימוש במסמך מזויף, והרשעה בעבירות תעבורה בגינן אף ריצה עונשי מאסר מאחורי סורג ובריח.</w:t>
      </w:r>
    </w:p>
    <w:p w14:paraId="21BE97DB"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 xml:space="preserve"> עתמאן נעדר עבר פלילי.</w:t>
      </w:r>
    </w:p>
    <w:p w14:paraId="27D47128"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בשקלול הנתונים והאיזונים, ותוך שנתתי דעתי לאופי האירוע בגינו הורשעו הנאשמים, לעבירות שהורשעו בהן, למצבם המשפחתי של הנאשמים ולכך שהנאשמים הודו במיוחס להם, מצאתי לגזור את עונשם של הנאשמים בתחתית מתחם העונש.</w:t>
      </w:r>
    </w:p>
    <w:p w14:paraId="1C05DD65" w14:textId="77777777" w:rsidR="003B6B52" w:rsidRPr="0089297D" w:rsidRDefault="003B6B52" w:rsidP="003B6B52">
      <w:pPr>
        <w:spacing w:after="120" w:line="360" w:lineRule="auto"/>
        <w:jc w:val="both"/>
        <w:rPr>
          <w:rFonts w:ascii="David" w:hAnsi="David" w:cs="FrankRuehl"/>
          <w:sz w:val="28"/>
          <w:szCs w:val="28"/>
          <w:rtl/>
        </w:rPr>
      </w:pPr>
      <w:r w:rsidRPr="0089297D">
        <w:rPr>
          <w:rFonts w:ascii="David" w:hAnsi="David" w:cs="FrankRuehl" w:hint="cs"/>
          <w:sz w:val="28"/>
          <w:szCs w:val="28"/>
          <w:rtl/>
        </w:rPr>
        <w:t>סוף דבר, אני גוזר על הנאשמים את העונשים הבאים:</w:t>
      </w:r>
    </w:p>
    <w:p w14:paraId="280B1CF5" w14:textId="77777777" w:rsidR="003B6B52" w:rsidRPr="000A5513" w:rsidRDefault="003B6B52" w:rsidP="003B6B52">
      <w:pPr>
        <w:pStyle w:val="aa"/>
        <w:rPr>
          <w:rStyle w:val="12"/>
          <w:rFonts w:cs="FrankRuehl"/>
          <w:b/>
          <w:bCs/>
          <w:sz w:val="28"/>
          <w:szCs w:val="28"/>
          <w:u w:val="single"/>
          <w:rtl/>
        </w:rPr>
      </w:pPr>
      <w:r w:rsidRPr="000A5513">
        <w:rPr>
          <w:rStyle w:val="12"/>
          <w:rFonts w:cs="FrankRuehl" w:hint="cs"/>
          <w:b/>
          <w:bCs/>
          <w:sz w:val="28"/>
          <w:szCs w:val="28"/>
          <w:u w:val="single"/>
          <w:rtl/>
        </w:rPr>
        <w:t xml:space="preserve">הנאשם 1 – עומר </w:t>
      </w:r>
    </w:p>
    <w:p w14:paraId="4D62BA1C" w14:textId="77777777" w:rsidR="003B6B52" w:rsidRPr="003B6B52" w:rsidRDefault="003B6B52" w:rsidP="003B6B52">
      <w:pPr>
        <w:numPr>
          <w:ilvl w:val="0"/>
          <w:numId w:val="1"/>
        </w:numPr>
        <w:spacing w:after="120" w:line="360" w:lineRule="auto"/>
        <w:jc w:val="both"/>
        <w:rPr>
          <w:rFonts w:ascii="David" w:eastAsia="Calibri" w:hAnsi="David" w:cs="FrankRuehl"/>
          <w:sz w:val="28"/>
          <w:szCs w:val="28"/>
        </w:rPr>
      </w:pPr>
      <w:r w:rsidRPr="0089297D">
        <w:rPr>
          <w:rFonts w:ascii="David" w:hAnsi="David" w:cs="FrankRuehl" w:hint="cs"/>
          <w:sz w:val="28"/>
          <w:szCs w:val="28"/>
          <w:rtl/>
        </w:rPr>
        <w:t>7 חודשי מאסר בפועל, בניכוי ימי מעצרו.</w:t>
      </w:r>
      <w:r w:rsidRPr="00C270B9">
        <w:rPr>
          <w:rFonts w:ascii="David" w:hAnsi="David" w:cs="FrankRuehl" w:hint="cs"/>
          <w:sz w:val="28"/>
          <w:szCs w:val="28"/>
          <w:rtl/>
        </w:rPr>
        <w:t xml:space="preserve"> </w:t>
      </w:r>
      <w:r w:rsidRPr="0089297D">
        <w:rPr>
          <w:rFonts w:ascii="David" w:hAnsi="David" w:cs="FrankRuehl" w:hint="cs"/>
          <w:sz w:val="28"/>
          <w:szCs w:val="28"/>
          <w:rtl/>
        </w:rPr>
        <w:t>.</w:t>
      </w:r>
      <w:r w:rsidRPr="003B6B52">
        <w:rPr>
          <w:rFonts w:ascii="David" w:eastAsia="Calibri" w:hAnsi="David" w:cs="FrankRuehl" w:hint="cs"/>
          <w:sz w:val="28"/>
          <w:szCs w:val="28"/>
          <w:rtl/>
        </w:rPr>
        <w:t>(</w:t>
      </w:r>
      <w:r w:rsidRPr="003B6B52">
        <w:rPr>
          <w:rFonts w:ascii="David" w:eastAsia="Calibri" w:hAnsi="David" w:cs="FrankRuehl" w:hint="cs"/>
          <w:b/>
          <w:bCs/>
          <w:sz w:val="28"/>
          <w:szCs w:val="28"/>
          <w:rtl/>
        </w:rPr>
        <w:t>13.2.17 -14.3.17)</w:t>
      </w:r>
    </w:p>
    <w:p w14:paraId="5F8A90DC" w14:textId="77777777" w:rsidR="003B6B52" w:rsidRDefault="003B6B52" w:rsidP="003B6B52">
      <w:pPr>
        <w:spacing w:after="120" w:line="360" w:lineRule="auto"/>
        <w:ind w:left="366"/>
        <w:jc w:val="both"/>
        <w:rPr>
          <w:rFonts w:ascii="David" w:hAnsi="David" w:cs="FrankRuehl"/>
          <w:sz w:val="28"/>
          <w:szCs w:val="28"/>
          <w:rtl/>
        </w:rPr>
      </w:pPr>
      <w:r>
        <w:rPr>
          <w:rFonts w:ascii="David" w:hAnsi="David" w:cs="FrankRuehl" w:hint="cs"/>
          <w:sz w:val="28"/>
          <w:szCs w:val="28"/>
          <w:rtl/>
        </w:rPr>
        <w:t xml:space="preserve">ב.  </w:t>
      </w:r>
      <w:r w:rsidRPr="0089297D">
        <w:rPr>
          <w:rFonts w:ascii="David" w:hAnsi="David" w:cs="FrankRuehl" w:hint="cs"/>
          <w:sz w:val="28"/>
          <w:szCs w:val="28"/>
          <w:rtl/>
        </w:rPr>
        <w:t xml:space="preserve"> חודשי מאסר על תנאי, והתנאי הוא שלא יעבור הנאשם עבירה בה הורשע, במשך 3 שנים </w:t>
      </w:r>
    </w:p>
    <w:p w14:paraId="61E4316B" w14:textId="77777777" w:rsidR="003B6B52" w:rsidRPr="009F0362" w:rsidRDefault="003B6B52" w:rsidP="003B6B52">
      <w:pPr>
        <w:spacing w:after="120" w:line="360" w:lineRule="auto"/>
        <w:ind w:left="366"/>
        <w:jc w:val="both"/>
        <w:rPr>
          <w:rStyle w:val="12"/>
          <w:rFonts w:ascii="David" w:hAnsi="David" w:cs="FrankRuehl"/>
          <w:i w:val="0"/>
          <w:iCs w:val="0"/>
          <w:color w:val="auto"/>
          <w:sz w:val="28"/>
          <w:szCs w:val="28"/>
          <w:rtl/>
        </w:rPr>
      </w:pPr>
      <w:r>
        <w:rPr>
          <w:rFonts w:ascii="David" w:hAnsi="David" w:cs="FrankRuehl" w:hint="cs"/>
          <w:sz w:val="28"/>
          <w:szCs w:val="28"/>
          <w:rtl/>
        </w:rPr>
        <w:t xml:space="preserve">       </w:t>
      </w:r>
      <w:r w:rsidRPr="0089297D">
        <w:rPr>
          <w:rFonts w:ascii="David" w:hAnsi="David" w:cs="FrankRuehl" w:hint="cs"/>
          <w:sz w:val="28"/>
          <w:szCs w:val="28"/>
          <w:rtl/>
        </w:rPr>
        <w:t>מיום שחרורו.</w:t>
      </w:r>
    </w:p>
    <w:p w14:paraId="0A48CC7C" w14:textId="77777777" w:rsidR="003B6B52" w:rsidRPr="009F0362" w:rsidRDefault="003B6B52" w:rsidP="003B6B52">
      <w:pPr>
        <w:pStyle w:val="2"/>
        <w:rPr>
          <w:rStyle w:val="12"/>
          <w:rFonts w:cs="FrankRuehl"/>
          <w:b/>
          <w:bCs/>
          <w:sz w:val="14"/>
          <w:szCs w:val="14"/>
          <w:u w:val="single"/>
          <w:rtl/>
        </w:rPr>
      </w:pPr>
    </w:p>
    <w:p w14:paraId="25D97921" w14:textId="77777777" w:rsidR="003B6B52" w:rsidRPr="000A5513" w:rsidRDefault="003B6B52" w:rsidP="003B6B52">
      <w:pPr>
        <w:pStyle w:val="2"/>
        <w:rPr>
          <w:rStyle w:val="12"/>
          <w:rFonts w:cs="FrankRuehl"/>
          <w:b/>
          <w:bCs/>
          <w:sz w:val="28"/>
          <w:szCs w:val="28"/>
          <w:u w:val="single"/>
          <w:rtl/>
        </w:rPr>
      </w:pPr>
      <w:r w:rsidRPr="000A5513">
        <w:rPr>
          <w:rStyle w:val="12"/>
          <w:rFonts w:cs="FrankRuehl" w:hint="cs"/>
          <w:b/>
          <w:bCs/>
          <w:sz w:val="28"/>
          <w:szCs w:val="28"/>
          <w:u w:val="single"/>
          <w:rtl/>
        </w:rPr>
        <w:t>הנאשם 2 – עתמאן</w:t>
      </w:r>
    </w:p>
    <w:p w14:paraId="2308B6CA" w14:textId="77777777" w:rsidR="003B6B52" w:rsidRPr="003B6B52" w:rsidRDefault="003B6B52" w:rsidP="003B6B52">
      <w:pPr>
        <w:rPr>
          <w:rFonts w:eastAsia="Calibri" w:cs="FrankRuehl"/>
          <w:sz w:val="28"/>
          <w:szCs w:val="28"/>
        </w:rPr>
      </w:pPr>
    </w:p>
    <w:p w14:paraId="20592805" w14:textId="77777777" w:rsidR="003B6B52" w:rsidRPr="003B6B52" w:rsidRDefault="003B6B52" w:rsidP="003B6B52">
      <w:pPr>
        <w:spacing w:after="120" w:line="360" w:lineRule="auto"/>
        <w:ind w:left="360"/>
        <w:jc w:val="both"/>
        <w:rPr>
          <w:rFonts w:ascii="David" w:eastAsia="Calibri" w:hAnsi="David" w:cs="FrankRuehl"/>
          <w:sz w:val="28"/>
          <w:szCs w:val="28"/>
          <w:rtl/>
        </w:rPr>
      </w:pPr>
      <w:r>
        <w:rPr>
          <w:rFonts w:ascii="David" w:hAnsi="David" w:cs="FrankRuehl" w:hint="cs"/>
          <w:sz w:val="28"/>
          <w:szCs w:val="28"/>
          <w:rtl/>
        </w:rPr>
        <w:t xml:space="preserve">א.    </w:t>
      </w:r>
      <w:r w:rsidRPr="0089297D">
        <w:rPr>
          <w:rFonts w:ascii="David" w:hAnsi="David" w:cs="FrankRuehl" w:hint="cs"/>
          <w:sz w:val="28"/>
          <w:szCs w:val="28"/>
          <w:rtl/>
        </w:rPr>
        <w:t>10 חודשי מאסר בפועל, בניכוי ימי מעצרו.</w:t>
      </w:r>
      <w:r w:rsidRPr="003B6B52">
        <w:rPr>
          <w:rFonts w:ascii="David" w:eastAsia="Calibri" w:hAnsi="David" w:cs="FrankRuehl" w:hint="cs"/>
          <w:sz w:val="28"/>
          <w:szCs w:val="28"/>
          <w:rtl/>
        </w:rPr>
        <w:t>(</w:t>
      </w:r>
      <w:r w:rsidRPr="003B6B52">
        <w:rPr>
          <w:rFonts w:ascii="David" w:eastAsia="Calibri" w:hAnsi="David" w:cs="FrankRuehl" w:hint="cs"/>
          <w:b/>
          <w:bCs/>
          <w:sz w:val="28"/>
          <w:szCs w:val="28"/>
          <w:rtl/>
        </w:rPr>
        <w:t>13.2.17 -14.3.17)</w:t>
      </w:r>
    </w:p>
    <w:p w14:paraId="176109FB" w14:textId="77777777" w:rsidR="003B6B52" w:rsidRPr="0089297D" w:rsidRDefault="003B6B52" w:rsidP="003B6B52">
      <w:pPr>
        <w:numPr>
          <w:ilvl w:val="0"/>
          <w:numId w:val="1"/>
        </w:numPr>
        <w:spacing w:after="120" w:line="360" w:lineRule="auto"/>
        <w:jc w:val="both"/>
        <w:rPr>
          <w:rFonts w:ascii="David" w:hAnsi="David" w:cs="FrankRuehl"/>
          <w:sz w:val="28"/>
          <w:szCs w:val="28"/>
          <w:rtl/>
        </w:rPr>
      </w:pPr>
      <w:r w:rsidRPr="0089297D">
        <w:rPr>
          <w:rFonts w:ascii="David" w:hAnsi="David" w:cs="FrankRuehl" w:hint="cs"/>
          <w:sz w:val="28"/>
          <w:szCs w:val="28"/>
          <w:rtl/>
        </w:rPr>
        <w:t xml:space="preserve">10 חודשי מאסר על תנאי, והתנאי הוא שלא יעבור הנאשם עבירה בה הורשע, במשך 3 שנים מיום שחרורו. </w:t>
      </w:r>
    </w:p>
    <w:p w14:paraId="00C8A493" w14:textId="77777777" w:rsidR="003B6B52" w:rsidRPr="00D34F63" w:rsidRDefault="003B6B52" w:rsidP="003B6B52">
      <w:pPr>
        <w:rPr>
          <w:rFonts w:cs="FrankRuehl"/>
          <w:sz w:val="18"/>
          <w:szCs w:val="18"/>
          <w:rtl/>
        </w:rPr>
      </w:pPr>
    </w:p>
    <w:p w14:paraId="2C5E4C55" w14:textId="77777777" w:rsidR="003B6B52" w:rsidRDefault="003B6B52" w:rsidP="003B6B52">
      <w:pPr>
        <w:rPr>
          <w:rFonts w:cs="FrankRuehl"/>
          <w:sz w:val="28"/>
          <w:szCs w:val="28"/>
          <w:rtl/>
        </w:rPr>
      </w:pPr>
      <w:r>
        <w:rPr>
          <w:rFonts w:cs="FrankRuehl" w:hint="cs"/>
          <w:sz w:val="28"/>
          <w:szCs w:val="28"/>
          <w:rtl/>
        </w:rPr>
        <w:t xml:space="preserve">הנאשמים יחלו בריצוי מאסרם ביום 10.1.2018. </w:t>
      </w:r>
    </w:p>
    <w:p w14:paraId="38A323CF" w14:textId="77777777" w:rsidR="003B6B52" w:rsidRDefault="003B6B52" w:rsidP="003B6B52">
      <w:pPr>
        <w:rPr>
          <w:rFonts w:cs="FrankRuehl"/>
          <w:sz w:val="28"/>
          <w:szCs w:val="28"/>
          <w:rtl/>
        </w:rPr>
      </w:pPr>
    </w:p>
    <w:p w14:paraId="65A193C0" w14:textId="77777777" w:rsidR="003B6B52" w:rsidRDefault="003B6B52" w:rsidP="003B6B52">
      <w:pPr>
        <w:rPr>
          <w:rFonts w:cs="FrankRuehl"/>
          <w:sz w:val="28"/>
          <w:szCs w:val="28"/>
          <w:rtl/>
        </w:rPr>
      </w:pPr>
      <w:r>
        <w:rPr>
          <w:rFonts w:cs="FrankRuehl" w:hint="cs"/>
          <w:sz w:val="28"/>
          <w:szCs w:val="28"/>
          <w:rtl/>
        </w:rPr>
        <w:t xml:space="preserve">זכות ערעור לבית המשפט העליון בתוך 45 יום מהיום. </w:t>
      </w:r>
    </w:p>
    <w:p w14:paraId="02AE234A" w14:textId="77777777" w:rsidR="003B6B52" w:rsidRDefault="003B6B52" w:rsidP="003B6B52">
      <w:pPr>
        <w:rPr>
          <w:rFonts w:cs="FrankRuehl"/>
          <w:sz w:val="28"/>
          <w:szCs w:val="28"/>
          <w:rtl/>
        </w:rPr>
      </w:pPr>
    </w:p>
    <w:p w14:paraId="6D8C8EFE" w14:textId="77777777" w:rsidR="003B6B52" w:rsidRDefault="003B6B52" w:rsidP="003B6B52">
      <w:pPr>
        <w:rPr>
          <w:rFonts w:cs="FrankRuehl"/>
          <w:sz w:val="28"/>
          <w:szCs w:val="28"/>
          <w:rtl/>
        </w:rPr>
      </w:pPr>
      <w:r>
        <w:rPr>
          <w:rFonts w:cs="FrankRuehl" w:hint="cs"/>
          <w:b/>
          <w:bCs/>
          <w:sz w:val="28"/>
          <w:szCs w:val="28"/>
          <w:u w:val="single"/>
          <w:rtl/>
        </w:rPr>
        <w:t>העתק גזר הדין יישלח לשירות המבחן</w:t>
      </w:r>
      <w:r>
        <w:rPr>
          <w:rFonts w:cs="FrankRuehl" w:hint="cs"/>
          <w:sz w:val="28"/>
          <w:szCs w:val="28"/>
          <w:rtl/>
        </w:rPr>
        <w:t xml:space="preserve">. </w:t>
      </w:r>
    </w:p>
    <w:p w14:paraId="4456A08F" w14:textId="77777777" w:rsidR="003B6B52" w:rsidRPr="000A5513" w:rsidRDefault="003B6B52" w:rsidP="003B6B52">
      <w:pPr>
        <w:rPr>
          <w:rFonts w:cs="FrankRuehl"/>
          <w:sz w:val="28"/>
          <w:szCs w:val="28"/>
          <w:rtl/>
        </w:rPr>
      </w:pPr>
    </w:p>
    <w:p w14:paraId="4A5A6949" w14:textId="77777777" w:rsidR="003B6B52" w:rsidRPr="007156D3" w:rsidRDefault="007156D3" w:rsidP="003B6B52">
      <w:pPr>
        <w:rPr>
          <w:rFonts w:cs="FrankRuehl"/>
          <w:color w:val="FFFFFF"/>
          <w:sz w:val="2"/>
          <w:szCs w:val="2"/>
          <w:rtl/>
        </w:rPr>
      </w:pPr>
      <w:r w:rsidRPr="007156D3">
        <w:rPr>
          <w:rFonts w:cs="FrankRuehl"/>
          <w:color w:val="FFFFFF"/>
          <w:sz w:val="2"/>
          <w:szCs w:val="2"/>
          <w:rtl/>
        </w:rPr>
        <w:t>5129371</w:t>
      </w:r>
    </w:p>
    <w:p w14:paraId="0985FF79" w14:textId="77777777" w:rsidR="003B6B52" w:rsidRDefault="007156D3" w:rsidP="003B6B52">
      <w:pPr>
        <w:spacing w:line="360" w:lineRule="auto"/>
        <w:jc w:val="both"/>
        <w:rPr>
          <w:rFonts w:ascii="Arial" w:hAnsi="Arial" w:cs="FrankRuehl"/>
          <w:sz w:val="28"/>
          <w:szCs w:val="28"/>
          <w:rtl/>
        </w:rPr>
      </w:pPr>
      <w:r w:rsidRPr="007156D3">
        <w:rPr>
          <w:rFonts w:ascii="Arial" w:hAnsi="Arial" w:cs="FrankRuehl"/>
          <w:b/>
          <w:bCs/>
          <w:color w:val="FFFFFF"/>
          <w:sz w:val="2"/>
          <w:szCs w:val="2"/>
          <w:rtl/>
        </w:rPr>
        <w:t>54678313</w:t>
      </w:r>
      <w:r>
        <w:rPr>
          <w:rFonts w:ascii="Arial" w:hAnsi="Arial" w:cs="FrankRuehl"/>
          <w:b/>
          <w:bCs/>
          <w:sz w:val="28"/>
          <w:szCs w:val="28"/>
          <w:rtl/>
        </w:rPr>
        <w:t xml:space="preserve">ניתן היום,  י"ט כסלו תשע"ח, 07 דצמבר 2017, בהעדר הצדדים. </w:t>
      </w:r>
    </w:p>
    <w:p w14:paraId="74A67249" w14:textId="77777777" w:rsidR="003B6B52" w:rsidRPr="0089297D" w:rsidRDefault="003B6B52" w:rsidP="003B6B52">
      <w:pPr>
        <w:spacing w:line="360" w:lineRule="auto"/>
      </w:pPr>
      <w:r>
        <w:rPr>
          <w:rFonts w:hint="cs"/>
          <w:b/>
          <w:bCs/>
          <w:sz w:val="26"/>
          <w:szCs w:val="26"/>
          <w:rtl/>
        </w:rPr>
        <w:t xml:space="preserve"> </w:t>
      </w:r>
      <w:r>
        <w:rPr>
          <w:rFonts w:cs="FrankRuehl"/>
          <w:sz w:val="28"/>
          <w:szCs w:val="28"/>
          <w:rtl/>
        </w:rPr>
        <w:tab/>
      </w:r>
      <w:r>
        <w:rPr>
          <w:rFonts w:cs="FrankRuehl"/>
          <w:sz w:val="28"/>
          <w:szCs w:val="28"/>
          <w:rtl/>
        </w:rPr>
        <w:tab/>
      </w:r>
      <w:r w:rsidRPr="0089297D">
        <w:rPr>
          <w:rFonts w:cs="FrankRuehl" w:hint="cs"/>
          <w:sz w:val="28"/>
          <w:szCs w:val="28"/>
          <w:rtl/>
        </w:rPr>
        <w:t xml:space="preserve">   </w:t>
      </w:r>
      <w:r w:rsidRPr="0089297D">
        <w:rPr>
          <w:rFonts w:cs="FrankRuehl" w:hint="cs"/>
          <w:sz w:val="28"/>
          <w:szCs w:val="28"/>
          <w:rtl/>
        </w:rPr>
        <w:tab/>
      </w:r>
      <w:r w:rsidRPr="0089297D">
        <w:rPr>
          <w:rFonts w:cs="FrankRuehl" w:hint="cs"/>
          <w:sz w:val="28"/>
          <w:szCs w:val="28"/>
          <w:rtl/>
        </w:rPr>
        <w:tab/>
      </w:r>
      <w:r w:rsidRPr="0089297D">
        <w:rPr>
          <w:rFonts w:cs="FrankRuehl" w:hint="cs"/>
          <w:sz w:val="28"/>
          <w:szCs w:val="28"/>
          <w:rtl/>
        </w:rPr>
        <w:tab/>
      </w:r>
      <w:r w:rsidRPr="0089297D">
        <w:rPr>
          <w:rFonts w:cs="FrankRuehl" w:hint="cs"/>
          <w:sz w:val="28"/>
          <w:szCs w:val="28"/>
          <w:rtl/>
        </w:rPr>
        <w:tab/>
      </w:r>
      <w:r w:rsidRPr="0089297D">
        <w:rPr>
          <w:rFonts w:cs="FrankRuehl" w:hint="cs"/>
          <w:sz w:val="28"/>
          <w:szCs w:val="28"/>
          <w:rtl/>
        </w:rPr>
        <w:tab/>
      </w:r>
      <w:r>
        <w:rPr>
          <w:rtl/>
        </w:rPr>
        <w:t xml:space="preserve">     </w:t>
      </w:r>
    </w:p>
    <w:p w14:paraId="307B569A" w14:textId="77777777" w:rsidR="003B6B52" w:rsidRPr="0089297D" w:rsidRDefault="003B6B52" w:rsidP="003B6B52">
      <w:pPr>
        <w:spacing w:line="360" w:lineRule="auto"/>
        <w:rPr>
          <w:rFonts w:ascii="Arial" w:hAnsi="Arial" w:cs="FrankRuehl"/>
          <w:sz w:val="28"/>
          <w:szCs w:val="28"/>
          <w:rtl/>
        </w:rPr>
      </w:pPr>
    </w:p>
    <w:p w14:paraId="06B623FF" w14:textId="77777777" w:rsidR="003B6B52" w:rsidRPr="0089297D" w:rsidRDefault="003B6B52" w:rsidP="003B6B52">
      <w:pPr>
        <w:rPr>
          <w:rFonts w:cs="FrankRuehl"/>
          <w:sz w:val="28"/>
          <w:szCs w:val="28"/>
          <w:rtl/>
        </w:rPr>
      </w:pPr>
    </w:p>
    <w:p w14:paraId="148F9D25" w14:textId="77777777" w:rsidR="003B6B52" w:rsidRPr="00E63136" w:rsidRDefault="00E63136" w:rsidP="003B6B52">
      <w:pPr>
        <w:pStyle w:val="a3"/>
        <w:jc w:val="center"/>
        <w:rPr>
          <w:rFonts w:cs="FrankRuehl"/>
          <w:color w:val="FFFFFF"/>
          <w:sz w:val="2"/>
          <w:szCs w:val="2"/>
          <w:rtl/>
        </w:rPr>
      </w:pPr>
      <w:r w:rsidRPr="00E63136">
        <w:rPr>
          <w:rFonts w:cs="FrankRuehl"/>
          <w:color w:val="FFFFFF"/>
          <w:sz w:val="2"/>
          <w:szCs w:val="2"/>
          <w:rtl/>
        </w:rPr>
        <w:t>5129371</w:t>
      </w:r>
    </w:p>
    <w:p w14:paraId="648C4E0F" w14:textId="77777777" w:rsidR="002D7B2F" w:rsidRPr="00E63136" w:rsidRDefault="00E63136" w:rsidP="007156D3">
      <w:pPr>
        <w:keepNext/>
        <w:rPr>
          <w:rFonts w:ascii="David" w:hAnsi="David"/>
          <w:color w:val="FFFFFF"/>
          <w:sz w:val="2"/>
          <w:szCs w:val="2"/>
          <w:rtl/>
        </w:rPr>
      </w:pPr>
      <w:r w:rsidRPr="00E63136">
        <w:rPr>
          <w:rFonts w:ascii="David" w:hAnsi="David"/>
          <w:color w:val="FFFFFF"/>
          <w:sz w:val="2"/>
          <w:szCs w:val="2"/>
          <w:rtl/>
        </w:rPr>
        <w:t>54678313</w:t>
      </w:r>
    </w:p>
    <w:p w14:paraId="759B896F" w14:textId="77777777" w:rsidR="007156D3" w:rsidRPr="007156D3" w:rsidRDefault="007156D3" w:rsidP="007156D3">
      <w:pPr>
        <w:keepNext/>
        <w:rPr>
          <w:rFonts w:ascii="David" w:hAnsi="David"/>
          <w:color w:val="000000"/>
          <w:sz w:val="22"/>
          <w:szCs w:val="22"/>
          <w:rtl/>
        </w:rPr>
      </w:pPr>
      <w:r w:rsidRPr="007156D3">
        <w:rPr>
          <w:rFonts w:ascii="David" w:hAnsi="David"/>
          <w:color w:val="000000"/>
          <w:sz w:val="22"/>
          <w:szCs w:val="22"/>
          <w:rtl/>
        </w:rPr>
        <w:t>בית המשפט המחוזי בירושלים 54678313</w:t>
      </w:r>
    </w:p>
    <w:p w14:paraId="6AF46E6B" w14:textId="77777777" w:rsidR="007156D3" w:rsidRDefault="007156D3" w:rsidP="007156D3">
      <w:r w:rsidRPr="007156D3">
        <w:rPr>
          <w:color w:val="000000"/>
          <w:rtl/>
        </w:rPr>
        <w:t>נוסח מסמך זה כפוף לשינויי ניסוח ועריכה</w:t>
      </w:r>
    </w:p>
    <w:p w14:paraId="3E3CEBE4" w14:textId="77777777" w:rsidR="007156D3" w:rsidRDefault="007156D3" w:rsidP="007156D3">
      <w:pPr>
        <w:rPr>
          <w:rtl/>
        </w:rPr>
      </w:pPr>
    </w:p>
    <w:p w14:paraId="42326EC2" w14:textId="77777777" w:rsidR="007156D3" w:rsidRDefault="007156D3" w:rsidP="007156D3">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23CFD5A8" w14:textId="77777777" w:rsidR="00E63136" w:rsidRPr="00E63136" w:rsidRDefault="00E63136" w:rsidP="00E63136">
      <w:pPr>
        <w:keepNext/>
        <w:rPr>
          <w:rFonts w:ascii="David" w:hAnsi="David"/>
          <w:color w:val="000000"/>
          <w:sz w:val="22"/>
          <w:szCs w:val="22"/>
          <w:rtl/>
        </w:rPr>
      </w:pPr>
    </w:p>
    <w:p w14:paraId="774444F3" w14:textId="77777777" w:rsidR="007156D3" w:rsidRPr="007156D3" w:rsidRDefault="007156D3" w:rsidP="00E63136">
      <w:pPr>
        <w:rPr>
          <w:color w:val="0000FF"/>
          <w:u w:val="single"/>
        </w:rPr>
      </w:pPr>
    </w:p>
    <w:sectPr w:rsidR="007156D3" w:rsidRPr="007156D3" w:rsidSect="00E63136">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FB950D" w14:textId="77777777" w:rsidR="00226DBF" w:rsidRDefault="00226DBF" w:rsidP="00C0537E">
      <w:r>
        <w:separator/>
      </w:r>
    </w:p>
  </w:endnote>
  <w:endnote w:type="continuationSeparator" w:id="0">
    <w:p w14:paraId="6C23D1C0" w14:textId="77777777" w:rsidR="00226DBF" w:rsidRDefault="00226DBF" w:rsidP="00C05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8A2CE" w14:textId="77777777" w:rsidR="00AA2949" w:rsidRDefault="00AA2949" w:rsidP="00E6313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37A7048" w14:textId="77777777" w:rsidR="00AA2949" w:rsidRPr="00E63136" w:rsidRDefault="00AA2949" w:rsidP="00E63136">
    <w:pPr>
      <w:pStyle w:val="a5"/>
      <w:pBdr>
        <w:top w:val="single" w:sz="4" w:space="1" w:color="auto"/>
        <w:between w:val="single" w:sz="4" w:space="0" w:color="auto"/>
      </w:pBdr>
      <w:spacing w:after="60"/>
      <w:jc w:val="center"/>
      <w:rPr>
        <w:rFonts w:ascii="FrankRuehl" w:hAnsi="FrankRuehl" w:cs="FrankRuehl"/>
        <w:color w:val="000000"/>
      </w:rPr>
    </w:pPr>
    <w:r w:rsidRPr="00E6313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E93E3" w14:textId="77777777" w:rsidR="00AA2949" w:rsidRDefault="00AA2949" w:rsidP="00E6313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82A59">
      <w:rPr>
        <w:rFonts w:ascii="FrankRuehl" w:hAnsi="FrankRuehl" w:cs="FrankRuehl"/>
        <w:noProof/>
        <w:rtl/>
      </w:rPr>
      <w:t>1</w:t>
    </w:r>
    <w:r>
      <w:rPr>
        <w:rFonts w:ascii="FrankRuehl" w:hAnsi="FrankRuehl" w:cs="FrankRuehl"/>
        <w:rtl/>
      </w:rPr>
      <w:fldChar w:fldCharType="end"/>
    </w:r>
  </w:p>
  <w:p w14:paraId="50EC73E9" w14:textId="77777777" w:rsidR="00AA2949" w:rsidRPr="00E63136" w:rsidRDefault="00AA2949" w:rsidP="00E63136">
    <w:pPr>
      <w:pStyle w:val="a5"/>
      <w:pBdr>
        <w:top w:val="single" w:sz="4" w:space="1" w:color="auto"/>
        <w:between w:val="single" w:sz="4" w:space="0" w:color="auto"/>
      </w:pBdr>
      <w:spacing w:after="60"/>
      <w:jc w:val="center"/>
      <w:rPr>
        <w:rFonts w:ascii="FrankRuehl" w:hAnsi="FrankRuehl" w:cs="FrankRuehl"/>
        <w:color w:val="000000"/>
      </w:rPr>
    </w:pPr>
    <w:r w:rsidRPr="00E63136">
      <w:rPr>
        <w:rFonts w:ascii="FrankRuehl" w:hAnsi="FrankRuehl" w:cs="FrankRuehl"/>
        <w:color w:val="000000"/>
      </w:rPr>
      <w:pict w14:anchorId="39EACE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6DFCEB" w14:textId="77777777" w:rsidR="00226DBF" w:rsidRDefault="00226DBF" w:rsidP="00C0537E">
      <w:r>
        <w:separator/>
      </w:r>
    </w:p>
  </w:footnote>
  <w:footnote w:type="continuationSeparator" w:id="0">
    <w:p w14:paraId="478FCACE" w14:textId="77777777" w:rsidR="00226DBF" w:rsidRDefault="00226DBF" w:rsidP="00C053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6DDB7" w14:textId="77777777" w:rsidR="00AA2949" w:rsidRPr="00E63136" w:rsidRDefault="00AA2949" w:rsidP="00E6313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49331-02-16</w:t>
    </w:r>
    <w:r>
      <w:rPr>
        <w:rFonts w:ascii="David" w:hAnsi="David"/>
        <w:color w:val="000000"/>
        <w:sz w:val="22"/>
        <w:szCs w:val="22"/>
        <w:rtl/>
      </w:rPr>
      <w:tab/>
      <w:t xml:space="preserve"> מדינת ישראל נ' עומר אלקצאצי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9C917" w14:textId="77777777" w:rsidR="00AA2949" w:rsidRPr="00E63136" w:rsidRDefault="00AA2949" w:rsidP="00E6313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49331-02-16</w:t>
    </w:r>
    <w:r>
      <w:rPr>
        <w:rFonts w:ascii="David" w:hAnsi="David"/>
        <w:color w:val="000000"/>
        <w:sz w:val="22"/>
        <w:szCs w:val="22"/>
        <w:rtl/>
      </w:rPr>
      <w:tab/>
      <w:t xml:space="preserve"> מדינת ישראל נ' עומר אלקצאצי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09741A"/>
    <w:multiLevelType w:val="hybridMultilevel"/>
    <w:tmpl w:val="A132971C"/>
    <w:lvl w:ilvl="0" w:tplc="49F6ED20">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696982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B6B52"/>
    <w:rsid w:val="00082A59"/>
    <w:rsid w:val="00226DBF"/>
    <w:rsid w:val="002D7B2F"/>
    <w:rsid w:val="00375193"/>
    <w:rsid w:val="003A342E"/>
    <w:rsid w:val="003B6B52"/>
    <w:rsid w:val="0047734C"/>
    <w:rsid w:val="005108B8"/>
    <w:rsid w:val="00560C20"/>
    <w:rsid w:val="006315F3"/>
    <w:rsid w:val="006C6720"/>
    <w:rsid w:val="007156D3"/>
    <w:rsid w:val="00913004"/>
    <w:rsid w:val="00AA2949"/>
    <w:rsid w:val="00BA16A0"/>
    <w:rsid w:val="00C0537E"/>
    <w:rsid w:val="00C522A3"/>
    <w:rsid w:val="00C8078D"/>
    <w:rsid w:val="00E63136"/>
    <w:rsid w:val="00F516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31BAD43"/>
  <w15:chartTrackingRefBased/>
  <w15:docId w15:val="{87207B60-8DF9-4791-B443-18C0A764E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B6B52"/>
    <w:pPr>
      <w:bidi/>
    </w:pPr>
    <w:rPr>
      <w:rFonts w:ascii="Times New Roman" w:eastAsia="Times New Roman" w:hAnsi="Times New Roman" w:cs="David"/>
      <w:sz w:val="24"/>
      <w:szCs w:val="24"/>
    </w:rPr>
  </w:style>
  <w:style w:type="paragraph" w:styleId="1">
    <w:name w:val="heading 1"/>
    <w:basedOn w:val="a"/>
    <w:next w:val="a"/>
    <w:link w:val="10"/>
    <w:qFormat/>
    <w:rsid w:val="003B6B52"/>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3B6B52"/>
    <w:pPr>
      <w:keepNext/>
      <w:keepLines/>
      <w:spacing w:before="40"/>
      <w:outlineLvl w:val="1"/>
    </w:pPr>
    <w:rPr>
      <w:rFonts w:ascii="Cambria" w:hAnsi="Cambria" w:cs="Times New Roman"/>
      <w:color w:val="365F9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3B6B52"/>
    <w:rPr>
      <w:rFonts w:ascii="Arial" w:eastAsia="Times New Roman" w:hAnsi="Arial" w:cs="Arial"/>
      <w:b/>
      <w:bCs/>
      <w:kern w:val="32"/>
      <w:sz w:val="32"/>
      <w:szCs w:val="32"/>
    </w:rPr>
  </w:style>
  <w:style w:type="character" w:customStyle="1" w:styleId="20">
    <w:name w:val="כותרת 2 תו"/>
    <w:link w:val="2"/>
    <w:rsid w:val="003B6B52"/>
    <w:rPr>
      <w:rFonts w:ascii="Cambria" w:eastAsia="Times New Roman" w:hAnsi="Cambria" w:cs="Times New Roman"/>
      <w:color w:val="365F91"/>
      <w:sz w:val="26"/>
      <w:szCs w:val="26"/>
    </w:rPr>
  </w:style>
  <w:style w:type="paragraph" w:styleId="a3">
    <w:name w:val="header"/>
    <w:basedOn w:val="a"/>
    <w:link w:val="a4"/>
    <w:rsid w:val="003B6B52"/>
    <w:pPr>
      <w:tabs>
        <w:tab w:val="center" w:pos="4153"/>
        <w:tab w:val="right" w:pos="8306"/>
      </w:tabs>
    </w:pPr>
  </w:style>
  <w:style w:type="character" w:customStyle="1" w:styleId="a4">
    <w:name w:val="כותרת עליונה תו"/>
    <w:link w:val="a3"/>
    <w:rsid w:val="003B6B52"/>
    <w:rPr>
      <w:rFonts w:ascii="Times New Roman" w:eastAsia="Times New Roman" w:hAnsi="Times New Roman" w:cs="David"/>
      <w:sz w:val="24"/>
      <w:szCs w:val="24"/>
    </w:rPr>
  </w:style>
  <w:style w:type="paragraph" w:styleId="a5">
    <w:name w:val="footer"/>
    <w:basedOn w:val="a"/>
    <w:link w:val="a6"/>
    <w:rsid w:val="003B6B52"/>
    <w:pPr>
      <w:tabs>
        <w:tab w:val="center" w:pos="4153"/>
        <w:tab w:val="right" w:pos="8306"/>
      </w:tabs>
    </w:pPr>
  </w:style>
  <w:style w:type="character" w:customStyle="1" w:styleId="a6">
    <w:name w:val="כותרת תחתונה תו"/>
    <w:link w:val="a5"/>
    <w:rsid w:val="003B6B52"/>
    <w:rPr>
      <w:rFonts w:ascii="Times New Roman" w:eastAsia="Times New Roman" w:hAnsi="Times New Roman" w:cs="David"/>
      <w:sz w:val="24"/>
      <w:szCs w:val="24"/>
    </w:rPr>
  </w:style>
  <w:style w:type="table" w:styleId="a7">
    <w:name w:val="Table Grid"/>
    <w:basedOn w:val="a1"/>
    <w:rsid w:val="003B6B5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B6B52"/>
  </w:style>
  <w:style w:type="paragraph" w:customStyle="1" w:styleId="11">
    <w:name w:val="ציטוט1"/>
    <w:basedOn w:val="a"/>
    <w:next w:val="a"/>
    <w:link w:val="a9"/>
    <w:qFormat/>
    <w:rsid w:val="003B6B52"/>
    <w:pPr>
      <w:spacing w:after="120" w:line="360" w:lineRule="auto"/>
      <w:ind w:left="1134" w:right="1134"/>
      <w:jc w:val="both"/>
    </w:pPr>
    <w:rPr>
      <w:rFonts w:ascii="David" w:eastAsia="Calibri" w:hAnsi="David"/>
      <w:b/>
      <w:bCs/>
    </w:rPr>
  </w:style>
  <w:style w:type="character" w:customStyle="1" w:styleId="a9">
    <w:name w:val="ציטוט תו"/>
    <w:link w:val="11"/>
    <w:rsid w:val="003B6B52"/>
    <w:rPr>
      <w:rFonts w:ascii="David" w:hAnsi="David" w:cs="David"/>
      <w:b/>
      <w:bCs/>
      <w:sz w:val="24"/>
      <w:szCs w:val="24"/>
    </w:rPr>
  </w:style>
  <w:style w:type="paragraph" w:styleId="aa">
    <w:name w:val="Subtitle"/>
    <w:basedOn w:val="a"/>
    <w:next w:val="a"/>
    <w:link w:val="ab"/>
    <w:qFormat/>
    <w:rsid w:val="003B6B52"/>
    <w:pPr>
      <w:numPr>
        <w:ilvl w:val="1"/>
      </w:numPr>
      <w:spacing w:after="160"/>
    </w:pPr>
    <w:rPr>
      <w:rFonts w:ascii="Calibri" w:hAnsi="Calibri" w:cs="Arial"/>
      <w:color w:val="5A5A5A"/>
      <w:spacing w:val="15"/>
      <w:sz w:val="22"/>
      <w:szCs w:val="22"/>
    </w:rPr>
  </w:style>
  <w:style w:type="character" w:customStyle="1" w:styleId="ab">
    <w:name w:val="כותרת משנה תו"/>
    <w:link w:val="aa"/>
    <w:rsid w:val="003B6B52"/>
    <w:rPr>
      <w:rFonts w:eastAsia="Times New Roman"/>
      <w:color w:val="5A5A5A"/>
      <w:spacing w:val="15"/>
    </w:rPr>
  </w:style>
  <w:style w:type="character" w:customStyle="1" w:styleId="12">
    <w:name w:val="הדגשה עדינה1"/>
    <w:qFormat/>
    <w:rsid w:val="003B6B52"/>
    <w:rPr>
      <w:i/>
      <w:iCs/>
      <w:color w:val="404040"/>
    </w:rPr>
  </w:style>
  <w:style w:type="character" w:styleId="Hyperlink">
    <w:name w:val="Hyperlink"/>
    <w:rsid w:val="007156D3"/>
    <w:rPr>
      <w:color w:val="0563C1"/>
      <w:u w:val="single"/>
    </w:rPr>
  </w:style>
  <w:style w:type="character" w:styleId="ac">
    <w:name w:val="Unresolved Mention"/>
    <w:rsid w:val="007156D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4903" TargetMode="External"/><Relationship Id="rId26" Type="http://schemas.openxmlformats.org/officeDocument/2006/relationships/hyperlink" Target="http://www.nevo.co.il/case/5724364" TargetMode="External"/><Relationship Id="rId39" Type="http://schemas.openxmlformats.org/officeDocument/2006/relationships/hyperlink" Target="http://www.nevo.co.il/law/70301/40c" TargetMode="External"/><Relationship Id="rId21" Type="http://schemas.openxmlformats.org/officeDocument/2006/relationships/hyperlink" Target="http://www.nevo.co.il/law/70301/31" TargetMode="External"/><Relationship Id="rId34" Type="http://schemas.openxmlformats.org/officeDocument/2006/relationships/hyperlink" Target="http://www.nevo.co.il/law/74903/149.10" TargetMode="External"/><Relationship Id="rId42" Type="http://schemas.openxmlformats.org/officeDocument/2006/relationships/hyperlink" Target="http://www.nevo.co.il/case/13093721" TargetMode="External"/><Relationship Id="rId47" Type="http://schemas.openxmlformats.org/officeDocument/2006/relationships/hyperlink" Target="http://www.nevo.co.il/case/5950172" TargetMode="External"/><Relationship Id="rId50" Type="http://schemas.openxmlformats.org/officeDocument/2006/relationships/hyperlink" Target="http://www.nevo.co.il/case/7791493" TargetMode="External"/><Relationship Id="rId55"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jc" TargetMode="External"/><Relationship Id="rId29" Type="http://schemas.openxmlformats.org/officeDocument/2006/relationships/hyperlink" Target="http://www.nevo.co.il/case/17015235" TargetMode="External"/><Relationship Id="rId11" Type="http://schemas.openxmlformats.org/officeDocument/2006/relationships/hyperlink" Target="http://www.nevo.co.il/law/70301/40c.b" TargetMode="External"/><Relationship Id="rId24" Type="http://schemas.openxmlformats.org/officeDocument/2006/relationships/hyperlink" Target="http://www.nevo.co.il/law/70301/144.b" TargetMode="External"/><Relationship Id="rId32" Type="http://schemas.openxmlformats.org/officeDocument/2006/relationships/hyperlink" Target="http://www.nevo.co.il/case/20009419" TargetMode="External"/><Relationship Id="rId37" Type="http://schemas.openxmlformats.org/officeDocument/2006/relationships/hyperlink" Target="http://www.nevo.co.il/law/70301/a1S" TargetMode="External"/><Relationship Id="rId40" Type="http://schemas.openxmlformats.org/officeDocument/2006/relationships/hyperlink" Target="http://www.nevo.co.il/law/70301/40c.b" TargetMode="External"/><Relationship Id="rId45" Type="http://schemas.openxmlformats.org/officeDocument/2006/relationships/hyperlink" Target="http://www.nevo.co.il/case/5995135"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74903/149.10" TargetMode="External"/><Relationship Id="rId4" Type="http://schemas.openxmlformats.org/officeDocument/2006/relationships/webSettings" Target="webSettings.xml"/><Relationship Id="rId9" Type="http://schemas.openxmlformats.org/officeDocument/2006/relationships/hyperlink" Target="http://www.nevo.co.il/law/70301/40b" TargetMode="External"/><Relationship Id="rId14" Type="http://schemas.openxmlformats.org/officeDocument/2006/relationships/hyperlink" Target="http://www.nevo.co.il/law/70301/244.a"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5821327" TargetMode="External"/><Relationship Id="rId30" Type="http://schemas.openxmlformats.org/officeDocument/2006/relationships/hyperlink" Target="http://www.nevo.co.il/case/10507558" TargetMode="External"/><Relationship Id="rId35" Type="http://schemas.openxmlformats.org/officeDocument/2006/relationships/hyperlink" Target="http://www.nevo.co.il/law/74903" TargetMode="External"/><Relationship Id="rId43" Type="http://schemas.openxmlformats.org/officeDocument/2006/relationships/hyperlink" Target="http://www.nevo.co.il/case/6018516" TargetMode="External"/><Relationship Id="rId48" Type="http://schemas.openxmlformats.org/officeDocument/2006/relationships/hyperlink" Target="http://www.nevo.co.il/case/20334652" TargetMode="External"/><Relationship Id="rId56" Type="http://schemas.openxmlformats.org/officeDocument/2006/relationships/footer" Target="footer2.xml"/><Relationship Id="rId8" Type="http://schemas.openxmlformats.org/officeDocument/2006/relationships/hyperlink" Target="http://www.nevo.co.il/law/70301/31" TargetMode="External"/><Relationship Id="rId51" Type="http://schemas.openxmlformats.org/officeDocument/2006/relationships/hyperlink" Target="http://www.nevo.co.il/law/70301/40ja"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a1S" TargetMode="External"/><Relationship Id="rId25" Type="http://schemas.openxmlformats.org/officeDocument/2006/relationships/hyperlink" Target="http://www.nevo.co.il/law/70301/144.a" TargetMode="External"/><Relationship Id="rId33" Type="http://schemas.openxmlformats.org/officeDocument/2006/relationships/hyperlink" Target="http://www.nevo.co.il/case/22712731" TargetMode="External"/><Relationship Id="rId38" Type="http://schemas.openxmlformats.org/officeDocument/2006/relationships/hyperlink" Target="http://www.nevo.co.il/law/70301/40b" TargetMode="External"/><Relationship Id="rId46" Type="http://schemas.openxmlformats.org/officeDocument/2006/relationships/hyperlink" Target="http://www.nevo.co.il/case/5724364" TargetMode="External"/><Relationship Id="rId20" Type="http://schemas.openxmlformats.org/officeDocument/2006/relationships/hyperlink" Target="http://www.nevo.co.il/law/70301/144.b" TargetMode="External"/><Relationship Id="rId41" Type="http://schemas.openxmlformats.org/officeDocument/2006/relationships/hyperlink" Target="http://www.nevo.co.il/law/70301/40jc"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law/70301/244.a" TargetMode="External"/><Relationship Id="rId28" Type="http://schemas.openxmlformats.org/officeDocument/2006/relationships/hyperlink" Target="http://www.nevo.co.il/case/6151556" TargetMode="External"/><Relationship Id="rId36" Type="http://schemas.openxmlformats.org/officeDocument/2006/relationships/hyperlink" Target="http://www.nevo.co.il/case/6063901" TargetMode="External"/><Relationship Id="rId49" Type="http://schemas.openxmlformats.org/officeDocument/2006/relationships/hyperlink" Target="http://www.nevo.co.il/case/8465630" TargetMode="External"/><Relationship Id="rId57" Type="http://schemas.openxmlformats.org/officeDocument/2006/relationships/fontTable" Target="fontTable.xml"/><Relationship Id="rId10" Type="http://schemas.openxmlformats.org/officeDocument/2006/relationships/hyperlink" Target="http://www.nevo.co.il/law/70301/40c" TargetMode="External"/><Relationship Id="rId31" Type="http://schemas.openxmlformats.org/officeDocument/2006/relationships/hyperlink" Target="http://www.nevo.co.il/case/20772444" TargetMode="External"/><Relationship Id="rId44" Type="http://schemas.openxmlformats.org/officeDocument/2006/relationships/hyperlink" Target="http://www.nevo.co.il/case/20420489"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3267</Words>
  <Characters>16335</Characters>
  <Application>Microsoft Office Word</Application>
  <DocSecurity>0</DocSecurity>
  <Lines>136</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19563</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262155</vt:i4>
      </vt:variant>
      <vt:variant>
        <vt:i4>132</vt:i4>
      </vt:variant>
      <vt:variant>
        <vt:i4>0</vt:i4>
      </vt:variant>
      <vt:variant>
        <vt:i4>5</vt:i4>
      </vt:variant>
      <vt:variant>
        <vt:lpwstr>http://www.nevo.co.il/law/70301/40ja</vt:lpwstr>
      </vt:variant>
      <vt:variant>
        <vt:lpwstr/>
      </vt:variant>
      <vt:variant>
        <vt:i4>3735675</vt:i4>
      </vt:variant>
      <vt:variant>
        <vt:i4>129</vt:i4>
      </vt:variant>
      <vt:variant>
        <vt:i4>0</vt:i4>
      </vt:variant>
      <vt:variant>
        <vt:i4>5</vt:i4>
      </vt:variant>
      <vt:variant>
        <vt:lpwstr>http://www.nevo.co.il/case/7791493</vt:lpwstr>
      </vt:variant>
      <vt:variant>
        <vt:lpwstr/>
      </vt:variant>
      <vt:variant>
        <vt:i4>3670134</vt:i4>
      </vt:variant>
      <vt:variant>
        <vt:i4>126</vt:i4>
      </vt:variant>
      <vt:variant>
        <vt:i4>0</vt:i4>
      </vt:variant>
      <vt:variant>
        <vt:i4>5</vt:i4>
      </vt:variant>
      <vt:variant>
        <vt:lpwstr>http://www.nevo.co.il/case/8465630</vt:lpwstr>
      </vt:variant>
      <vt:variant>
        <vt:lpwstr/>
      </vt:variant>
      <vt:variant>
        <vt:i4>3145841</vt:i4>
      </vt:variant>
      <vt:variant>
        <vt:i4>123</vt:i4>
      </vt:variant>
      <vt:variant>
        <vt:i4>0</vt:i4>
      </vt:variant>
      <vt:variant>
        <vt:i4>5</vt:i4>
      </vt:variant>
      <vt:variant>
        <vt:lpwstr>http://www.nevo.co.il/case/20334652</vt:lpwstr>
      </vt:variant>
      <vt:variant>
        <vt:lpwstr/>
      </vt:variant>
      <vt:variant>
        <vt:i4>3342458</vt:i4>
      </vt:variant>
      <vt:variant>
        <vt:i4>120</vt:i4>
      </vt:variant>
      <vt:variant>
        <vt:i4>0</vt:i4>
      </vt:variant>
      <vt:variant>
        <vt:i4>5</vt:i4>
      </vt:variant>
      <vt:variant>
        <vt:lpwstr>http://www.nevo.co.il/case/5950172</vt:lpwstr>
      </vt:variant>
      <vt:variant>
        <vt:lpwstr/>
      </vt:variant>
      <vt:variant>
        <vt:i4>3145841</vt:i4>
      </vt:variant>
      <vt:variant>
        <vt:i4>117</vt:i4>
      </vt:variant>
      <vt:variant>
        <vt:i4>0</vt:i4>
      </vt:variant>
      <vt:variant>
        <vt:i4>5</vt:i4>
      </vt:variant>
      <vt:variant>
        <vt:lpwstr>http://www.nevo.co.il/case/5724364</vt:lpwstr>
      </vt:variant>
      <vt:variant>
        <vt:lpwstr/>
      </vt:variant>
      <vt:variant>
        <vt:i4>3670139</vt:i4>
      </vt:variant>
      <vt:variant>
        <vt:i4>114</vt:i4>
      </vt:variant>
      <vt:variant>
        <vt:i4>0</vt:i4>
      </vt:variant>
      <vt:variant>
        <vt:i4>5</vt:i4>
      </vt:variant>
      <vt:variant>
        <vt:lpwstr>http://www.nevo.co.il/case/5995135</vt:lpwstr>
      </vt:variant>
      <vt:variant>
        <vt:lpwstr/>
      </vt:variant>
      <vt:variant>
        <vt:i4>4063346</vt:i4>
      </vt:variant>
      <vt:variant>
        <vt:i4>111</vt:i4>
      </vt:variant>
      <vt:variant>
        <vt:i4>0</vt:i4>
      </vt:variant>
      <vt:variant>
        <vt:i4>5</vt:i4>
      </vt:variant>
      <vt:variant>
        <vt:lpwstr>http://www.nevo.co.il/case/20420489</vt:lpwstr>
      </vt:variant>
      <vt:variant>
        <vt:lpwstr/>
      </vt:variant>
      <vt:variant>
        <vt:i4>3407997</vt:i4>
      </vt:variant>
      <vt:variant>
        <vt:i4>108</vt:i4>
      </vt:variant>
      <vt:variant>
        <vt:i4>0</vt:i4>
      </vt:variant>
      <vt:variant>
        <vt:i4>5</vt:i4>
      </vt:variant>
      <vt:variant>
        <vt:lpwstr>http://www.nevo.co.il/case/6018516</vt:lpwstr>
      </vt:variant>
      <vt:variant>
        <vt:lpwstr/>
      </vt:variant>
      <vt:variant>
        <vt:i4>3145849</vt:i4>
      </vt:variant>
      <vt:variant>
        <vt:i4>105</vt:i4>
      </vt:variant>
      <vt:variant>
        <vt:i4>0</vt:i4>
      </vt:variant>
      <vt:variant>
        <vt:i4>5</vt:i4>
      </vt:variant>
      <vt:variant>
        <vt:lpwstr>http://www.nevo.co.il/case/13093721</vt:lpwstr>
      </vt:variant>
      <vt:variant>
        <vt:lpwstr/>
      </vt:variant>
      <vt:variant>
        <vt:i4>393227</vt:i4>
      </vt:variant>
      <vt:variant>
        <vt:i4>102</vt:i4>
      </vt:variant>
      <vt:variant>
        <vt:i4>0</vt:i4>
      </vt:variant>
      <vt:variant>
        <vt:i4>5</vt:i4>
      </vt:variant>
      <vt:variant>
        <vt:lpwstr>http://www.nevo.co.il/law/70301/40jc</vt:lpwstr>
      </vt:variant>
      <vt:variant>
        <vt:lpwstr/>
      </vt:variant>
      <vt:variant>
        <vt:i4>4915202</vt:i4>
      </vt:variant>
      <vt:variant>
        <vt:i4>99</vt:i4>
      </vt:variant>
      <vt:variant>
        <vt:i4>0</vt:i4>
      </vt:variant>
      <vt:variant>
        <vt:i4>5</vt:i4>
      </vt:variant>
      <vt:variant>
        <vt:lpwstr>http://www.nevo.co.il/law/70301/40c.b</vt:lpwstr>
      </vt:variant>
      <vt:variant>
        <vt:lpwstr/>
      </vt:variant>
      <vt:variant>
        <vt:i4>6619233</vt:i4>
      </vt:variant>
      <vt:variant>
        <vt:i4>96</vt:i4>
      </vt:variant>
      <vt:variant>
        <vt:i4>0</vt:i4>
      </vt:variant>
      <vt:variant>
        <vt:i4>5</vt:i4>
      </vt:variant>
      <vt:variant>
        <vt:lpwstr>http://www.nevo.co.il/law/70301/40c</vt:lpwstr>
      </vt:variant>
      <vt:variant>
        <vt:lpwstr/>
      </vt:variant>
      <vt:variant>
        <vt:i4>6619233</vt:i4>
      </vt:variant>
      <vt:variant>
        <vt:i4>93</vt:i4>
      </vt:variant>
      <vt:variant>
        <vt:i4>0</vt:i4>
      </vt:variant>
      <vt:variant>
        <vt:i4>5</vt:i4>
      </vt:variant>
      <vt:variant>
        <vt:lpwstr>http://www.nevo.co.il/law/70301/40b</vt:lpwstr>
      </vt:variant>
      <vt:variant>
        <vt:lpwstr/>
      </vt:variant>
      <vt:variant>
        <vt:i4>6553652</vt:i4>
      </vt:variant>
      <vt:variant>
        <vt:i4>90</vt:i4>
      </vt:variant>
      <vt:variant>
        <vt:i4>0</vt:i4>
      </vt:variant>
      <vt:variant>
        <vt:i4>5</vt:i4>
      </vt:variant>
      <vt:variant>
        <vt:lpwstr>http://www.nevo.co.il/law/70301/a1S</vt:lpwstr>
      </vt:variant>
      <vt:variant>
        <vt:lpwstr/>
      </vt:variant>
      <vt:variant>
        <vt:i4>3670135</vt:i4>
      </vt:variant>
      <vt:variant>
        <vt:i4>87</vt:i4>
      </vt:variant>
      <vt:variant>
        <vt:i4>0</vt:i4>
      </vt:variant>
      <vt:variant>
        <vt:i4>5</vt:i4>
      </vt:variant>
      <vt:variant>
        <vt:lpwstr>http://www.nevo.co.il/case/6063901</vt:lpwstr>
      </vt:variant>
      <vt:variant>
        <vt:lpwstr/>
      </vt:variant>
      <vt:variant>
        <vt:i4>8257646</vt:i4>
      </vt:variant>
      <vt:variant>
        <vt:i4>84</vt:i4>
      </vt:variant>
      <vt:variant>
        <vt:i4>0</vt:i4>
      </vt:variant>
      <vt:variant>
        <vt:i4>5</vt:i4>
      </vt:variant>
      <vt:variant>
        <vt:lpwstr>http://www.nevo.co.il/law/74903</vt:lpwstr>
      </vt:variant>
      <vt:variant>
        <vt:lpwstr/>
      </vt:variant>
      <vt:variant>
        <vt:i4>8061028</vt:i4>
      </vt:variant>
      <vt:variant>
        <vt:i4>81</vt:i4>
      </vt:variant>
      <vt:variant>
        <vt:i4>0</vt:i4>
      </vt:variant>
      <vt:variant>
        <vt:i4>5</vt:i4>
      </vt:variant>
      <vt:variant>
        <vt:lpwstr>http://www.nevo.co.il/law/74903/149.10</vt:lpwstr>
      </vt:variant>
      <vt:variant>
        <vt:lpwstr/>
      </vt:variant>
      <vt:variant>
        <vt:i4>3407984</vt:i4>
      </vt:variant>
      <vt:variant>
        <vt:i4>78</vt:i4>
      </vt:variant>
      <vt:variant>
        <vt:i4>0</vt:i4>
      </vt:variant>
      <vt:variant>
        <vt:i4>5</vt:i4>
      </vt:variant>
      <vt:variant>
        <vt:lpwstr>http://www.nevo.co.il/case/22712731</vt:lpwstr>
      </vt:variant>
      <vt:variant>
        <vt:lpwstr/>
      </vt:variant>
      <vt:variant>
        <vt:i4>3801200</vt:i4>
      </vt:variant>
      <vt:variant>
        <vt:i4>75</vt:i4>
      </vt:variant>
      <vt:variant>
        <vt:i4>0</vt:i4>
      </vt:variant>
      <vt:variant>
        <vt:i4>5</vt:i4>
      </vt:variant>
      <vt:variant>
        <vt:lpwstr>http://www.nevo.co.il/case/20009419</vt:lpwstr>
      </vt:variant>
      <vt:variant>
        <vt:lpwstr/>
      </vt:variant>
      <vt:variant>
        <vt:i4>3342455</vt:i4>
      </vt:variant>
      <vt:variant>
        <vt:i4>72</vt:i4>
      </vt:variant>
      <vt:variant>
        <vt:i4>0</vt:i4>
      </vt:variant>
      <vt:variant>
        <vt:i4>5</vt:i4>
      </vt:variant>
      <vt:variant>
        <vt:lpwstr>http://www.nevo.co.il/case/20772444</vt:lpwstr>
      </vt:variant>
      <vt:variant>
        <vt:lpwstr/>
      </vt:variant>
      <vt:variant>
        <vt:i4>3539057</vt:i4>
      </vt:variant>
      <vt:variant>
        <vt:i4>69</vt:i4>
      </vt:variant>
      <vt:variant>
        <vt:i4>0</vt:i4>
      </vt:variant>
      <vt:variant>
        <vt:i4>5</vt:i4>
      </vt:variant>
      <vt:variant>
        <vt:lpwstr>http://www.nevo.co.il/case/10507558</vt:lpwstr>
      </vt:variant>
      <vt:variant>
        <vt:lpwstr/>
      </vt:variant>
      <vt:variant>
        <vt:i4>3604592</vt:i4>
      </vt:variant>
      <vt:variant>
        <vt:i4>66</vt:i4>
      </vt:variant>
      <vt:variant>
        <vt:i4>0</vt:i4>
      </vt:variant>
      <vt:variant>
        <vt:i4>5</vt:i4>
      </vt:variant>
      <vt:variant>
        <vt:lpwstr>http://www.nevo.co.il/case/17015235</vt:lpwstr>
      </vt:variant>
      <vt:variant>
        <vt:lpwstr/>
      </vt:variant>
      <vt:variant>
        <vt:i4>3145841</vt:i4>
      </vt:variant>
      <vt:variant>
        <vt:i4>63</vt:i4>
      </vt:variant>
      <vt:variant>
        <vt:i4>0</vt:i4>
      </vt:variant>
      <vt:variant>
        <vt:i4>5</vt:i4>
      </vt:variant>
      <vt:variant>
        <vt:lpwstr>http://www.nevo.co.il/case/6151556</vt:lpwstr>
      </vt:variant>
      <vt:variant>
        <vt:lpwstr/>
      </vt:variant>
      <vt:variant>
        <vt:i4>3342463</vt:i4>
      </vt:variant>
      <vt:variant>
        <vt:i4>60</vt:i4>
      </vt:variant>
      <vt:variant>
        <vt:i4>0</vt:i4>
      </vt:variant>
      <vt:variant>
        <vt:i4>5</vt:i4>
      </vt:variant>
      <vt:variant>
        <vt:lpwstr>http://www.nevo.co.il/case/5821327</vt:lpwstr>
      </vt:variant>
      <vt:variant>
        <vt:lpwstr/>
      </vt:variant>
      <vt:variant>
        <vt:i4>3145841</vt:i4>
      </vt:variant>
      <vt:variant>
        <vt:i4>57</vt:i4>
      </vt:variant>
      <vt:variant>
        <vt:i4>0</vt:i4>
      </vt:variant>
      <vt:variant>
        <vt:i4>5</vt:i4>
      </vt:variant>
      <vt:variant>
        <vt:lpwstr>http://www.nevo.co.il/case/5724364</vt:lpwstr>
      </vt:variant>
      <vt:variant>
        <vt:lpwstr/>
      </vt:variant>
      <vt:variant>
        <vt:i4>5177424</vt:i4>
      </vt:variant>
      <vt:variant>
        <vt:i4>54</vt:i4>
      </vt:variant>
      <vt:variant>
        <vt:i4>0</vt:i4>
      </vt:variant>
      <vt:variant>
        <vt:i4>5</vt:i4>
      </vt:variant>
      <vt:variant>
        <vt:lpwstr>http://www.nevo.co.il/law/70301/144.a</vt:lpwstr>
      </vt:variant>
      <vt:variant>
        <vt:lpwstr/>
      </vt:variant>
      <vt:variant>
        <vt:i4>5177424</vt:i4>
      </vt:variant>
      <vt:variant>
        <vt:i4>51</vt:i4>
      </vt:variant>
      <vt:variant>
        <vt:i4>0</vt:i4>
      </vt:variant>
      <vt:variant>
        <vt:i4>5</vt:i4>
      </vt:variant>
      <vt:variant>
        <vt:lpwstr>http://www.nevo.co.il/law/70301/144.b</vt:lpwstr>
      </vt:variant>
      <vt:variant>
        <vt:lpwstr/>
      </vt:variant>
      <vt:variant>
        <vt:i4>5177427</vt:i4>
      </vt:variant>
      <vt:variant>
        <vt:i4>48</vt:i4>
      </vt:variant>
      <vt:variant>
        <vt:i4>0</vt:i4>
      </vt:variant>
      <vt:variant>
        <vt:i4>5</vt:i4>
      </vt:variant>
      <vt:variant>
        <vt:lpwstr>http://www.nevo.co.il/law/70301/244.a</vt:lpwstr>
      </vt:variant>
      <vt:variant>
        <vt:lpwstr/>
      </vt:variant>
      <vt:variant>
        <vt:i4>7995492</vt:i4>
      </vt:variant>
      <vt:variant>
        <vt:i4>45</vt:i4>
      </vt:variant>
      <vt:variant>
        <vt:i4>0</vt:i4>
      </vt:variant>
      <vt:variant>
        <vt:i4>5</vt:i4>
      </vt:variant>
      <vt:variant>
        <vt:lpwstr>http://www.nevo.co.il/law/70301</vt:lpwstr>
      </vt:variant>
      <vt:variant>
        <vt:lpwstr/>
      </vt:variant>
      <vt:variant>
        <vt:i4>6553702</vt:i4>
      </vt:variant>
      <vt:variant>
        <vt:i4>42</vt:i4>
      </vt:variant>
      <vt:variant>
        <vt:i4>0</vt:i4>
      </vt:variant>
      <vt:variant>
        <vt:i4>5</vt:i4>
      </vt:variant>
      <vt:variant>
        <vt:lpwstr>http://www.nevo.co.il/law/70301/31</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8061028</vt:i4>
      </vt:variant>
      <vt:variant>
        <vt:i4>36</vt:i4>
      </vt:variant>
      <vt:variant>
        <vt:i4>0</vt:i4>
      </vt:variant>
      <vt:variant>
        <vt:i4>5</vt:i4>
      </vt:variant>
      <vt:variant>
        <vt:lpwstr>http://www.nevo.co.il/law/74903/149.10</vt:lpwstr>
      </vt:variant>
      <vt:variant>
        <vt:lpwstr/>
      </vt:variant>
      <vt:variant>
        <vt:i4>8257646</vt:i4>
      </vt:variant>
      <vt:variant>
        <vt:i4>33</vt:i4>
      </vt:variant>
      <vt:variant>
        <vt:i4>0</vt:i4>
      </vt:variant>
      <vt:variant>
        <vt:i4>5</vt:i4>
      </vt:variant>
      <vt:variant>
        <vt:lpwstr>http://www.nevo.co.il/law/74903</vt:lpwstr>
      </vt:variant>
      <vt:variant>
        <vt:lpwstr/>
      </vt:variant>
      <vt:variant>
        <vt:i4>6553652</vt:i4>
      </vt:variant>
      <vt:variant>
        <vt:i4>30</vt:i4>
      </vt:variant>
      <vt:variant>
        <vt:i4>0</vt:i4>
      </vt:variant>
      <vt:variant>
        <vt:i4>5</vt:i4>
      </vt:variant>
      <vt:variant>
        <vt:lpwstr>http://www.nevo.co.il/law/70301/a1S</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5177427</vt:i4>
      </vt:variant>
      <vt:variant>
        <vt:i4>21</vt:i4>
      </vt:variant>
      <vt:variant>
        <vt:i4>0</vt:i4>
      </vt:variant>
      <vt:variant>
        <vt:i4>5</vt:i4>
      </vt:variant>
      <vt:variant>
        <vt:lpwstr>http://www.nevo.co.il/law/70301/244.a</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4915202</vt:i4>
      </vt:variant>
      <vt:variant>
        <vt:i4>12</vt:i4>
      </vt:variant>
      <vt:variant>
        <vt:i4>0</vt:i4>
      </vt:variant>
      <vt:variant>
        <vt:i4>5</vt:i4>
      </vt:variant>
      <vt:variant>
        <vt:lpwstr>http://www.nevo.co.il/law/70301/40c.b</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2025-04-25T10:38:00Z</dcterms:created>
  <dcterms:modified xsi:type="dcterms:W3CDTF">2025-04-25T10:38:00Z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49331</vt:lpwstr>
  </property>
  <property fmtid="{D5CDD505-2E9C-101B-9397-08002B2CF9AE}" pid="6" name="NEWPARTB">
    <vt:lpwstr>02</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עומר אלקצאצי;עתמאן אלקסאסי;מאג'ד אל קדאדי </vt:lpwstr>
  </property>
  <property fmtid="{D5CDD505-2E9C-101B-9397-08002B2CF9AE}" pid="10" name="LAWYER">
    <vt:lpwstr>חן בן שלום;חאלד סואלחי;אהוד בן יהודה</vt:lpwstr>
  </property>
  <property fmtid="{D5CDD505-2E9C-101B-9397-08002B2CF9AE}" pid="11" name="JUDGE">
    <vt:lpwstr>דניאל טפרברג</vt:lpwstr>
  </property>
  <property fmtid="{D5CDD505-2E9C-101B-9397-08002B2CF9AE}" pid="12" name="CITY">
    <vt:lpwstr>י-ם</vt:lpwstr>
  </property>
  <property fmtid="{D5CDD505-2E9C-101B-9397-08002B2CF9AE}" pid="13" name="DATE">
    <vt:lpwstr>20171207</vt:lpwstr>
  </property>
  <property fmtid="{D5CDD505-2E9C-101B-9397-08002B2CF9AE}" pid="14" name="TYPE_N_DATE">
    <vt:lpwstr>39020171207</vt:lpwstr>
  </property>
  <property fmtid="{D5CDD505-2E9C-101B-9397-08002B2CF9AE}" pid="15" name="WORDNUMPAGES">
    <vt:lpwstr>11</vt:lpwstr>
  </property>
  <property fmtid="{D5CDD505-2E9C-101B-9397-08002B2CF9AE}" pid="16" name="TYPE_ABS_DATE">
    <vt:lpwstr>390020171207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5724364:2;5821327;6151556;17015235;10507558;20772444;20009419;22712731;6063901;13093721;6018516;20420489;5995135;5950172;20334652;8465630;7791493</vt:lpwstr>
  </property>
  <property fmtid="{D5CDD505-2E9C-101B-9397-08002B2CF9AE}" pid="36" name="LAWLISTTMP1">
    <vt:lpwstr>70301/031;040b;040c;040c.b;144.a;144.b;244.a;40ja;40jc;a1S</vt:lpwstr>
  </property>
  <property fmtid="{D5CDD505-2E9C-101B-9397-08002B2CF9AE}" pid="37" name="LAWLISTTMP2">
    <vt:lpwstr>74903/149.10</vt:lpwstr>
  </property>
</Properties>
</file>