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9506D2" w:rsidRPr="009506D2" w14:paraId="3D6CE708" w14:textId="77777777" w:rsidTr="009506D2">
        <w:trPr>
          <w:trHeight w:hRule="exact" w:val="418"/>
          <w:jc w:val="center"/>
        </w:trPr>
        <w:tc>
          <w:tcPr>
            <w:tcW w:w="8720" w:type="dxa"/>
            <w:gridSpan w:val="3"/>
          </w:tcPr>
          <w:p w14:paraId="2C330C55" w14:textId="77777777" w:rsidR="009506D2" w:rsidRPr="00F15005" w:rsidRDefault="009506D2" w:rsidP="009506D2">
            <w:pPr>
              <w:pStyle w:val="a3"/>
              <w:tabs>
                <w:tab w:val="clear" w:pos="8306"/>
              </w:tabs>
              <w:jc w:val="center"/>
              <w:rPr>
                <w:rFonts w:ascii="Tahoma" w:hAnsi="Tahoma" w:cs="Tahoma"/>
                <w:b/>
                <w:bCs/>
                <w:color w:val="000080"/>
                <w:rtl/>
              </w:rPr>
            </w:pPr>
            <w:r w:rsidRPr="00F15005">
              <w:rPr>
                <w:rFonts w:ascii="Tahoma" w:hAnsi="Tahoma" w:cs="Tahoma"/>
                <w:b/>
                <w:bCs/>
                <w:color w:val="000080"/>
                <w:rtl/>
              </w:rPr>
              <w:t>בית המשפט המחוזי בנצרת</w:t>
            </w:r>
          </w:p>
        </w:tc>
      </w:tr>
      <w:tr w:rsidR="009506D2" w:rsidRPr="00F15005" w14:paraId="04EB415B" w14:textId="77777777" w:rsidTr="009506D2">
        <w:trPr>
          <w:trHeight w:val="337"/>
          <w:jc w:val="center"/>
        </w:trPr>
        <w:tc>
          <w:tcPr>
            <w:tcW w:w="6396" w:type="dxa"/>
          </w:tcPr>
          <w:p w14:paraId="15E7E2B1" w14:textId="77777777" w:rsidR="009506D2" w:rsidRPr="00F15005" w:rsidRDefault="009506D2" w:rsidP="009506D2">
            <w:pPr>
              <w:spacing w:line="360" w:lineRule="auto"/>
              <w:rPr>
                <w:rFonts w:cs="David"/>
                <w:b/>
                <w:bCs/>
                <w:rtl/>
              </w:rPr>
            </w:pPr>
            <w:r w:rsidRPr="00F15005">
              <w:rPr>
                <w:rFonts w:cs="David" w:hint="eastAsia"/>
                <w:b/>
                <w:bCs/>
                <w:rtl/>
              </w:rPr>
              <w:t>תפ</w:t>
            </w:r>
            <w:r w:rsidRPr="00F15005">
              <w:rPr>
                <w:rFonts w:cs="David"/>
                <w:b/>
                <w:bCs/>
                <w:rtl/>
              </w:rPr>
              <w:t>"</w:t>
            </w:r>
            <w:r w:rsidRPr="00F15005">
              <w:rPr>
                <w:rFonts w:cs="David" w:hint="eastAsia"/>
                <w:b/>
                <w:bCs/>
                <w:rtl/>
              </w:rPr>
              <w:t>ח</w:t>
            </w:r>
            <w:r w:rsidRPr="00F15005">
              <w:rPr>
                <w:rFonts w:cs="David"/>
                <w:b/>
                <w:bCs/>
                <w:rtl/>
              </w:rPr>
              <w:t xml:space="preserve"> 41585-03-16 </w:t>
            </w:r>
            <w:r w:rsidRPr="00F15005">
              <w:rPr>
                <w:rFonts w:cs="David" w:hint="eastAsia"/>
                <w:b/>
                <w:bCs/>
                <w:rtl/>
              </w:rPr>
              <w:t>מדינת</w:t>
            </w:r>
            <w:r w:rsidRPr="00F15005">
              <w:rPr>
                <w:rFonts w:cs="David"/>
                <w:b/>
                <w:bCs/>
                <w:rtl/>
              </w:rPr>
              <w:t xml:space="preserve"> </w:t>
            </w:r>
            <w:r w:rsidRPr="00F15005">
              <w:rPr>
                <w:rFonts w:cs="David" w:hint="eastAsia"/>
                <w:b/>
                <w:bCs/>
                <w:rtl/>
              </w:rPr>
              <w:t>ישראל</w:t>
            </w:r>
            <w:r w:rsidRPr="00F15005">
              <w:rPr>
                <w:rFonts w:cs="David"/>
                <w:b/>
                <w:bCs/>
                <w:rtl/>
              </w:rPr>
              <w:t xml:space="preserve"> </w:t>
            </w:r>
            <w:r w:rsidRPr="00F15005">
              <w:rPr>
                <w:rFonts w:cs="David" w:hint="eastAsia"/>
                <w:b/>
                <w:bCs/>
                <w:rtl/>
              </w:rPr>
              <w:t>נ</w:t>
            </w:r>
            <w:r w:rsidRPr="00F15005">
              <w:rPr>
                <w:rFonts w:cs="David"/>
                <w:b/>
                <w:bCs/>
                <w:rtl/>
              </w:rPr>
              <w:t xml:space="preserve">' </w:t>
            </w:r>
            <w:r w:rsidRPr="00F15005">
              <w:rPr>
                <w:rFonts w:cs="David" w:hint="eastAsia"/>
                <w:b/>
                <w:bCs/>
                <w:rtl/>
              </w:rPr>
              <w:t>היב</w:t>
            </w:r>
          </w:p>
        </w:tc>
        <w:tc>
          <w:tcPr>
            <w:tcW w:w="236" w:type="dxa"/>
          </w:tcPr>
          <w:p w14:paraId="7BF07065" w14:textId="77777777" w:rsidR="009506D2" w:rsidRPr="00F15005" w:rsidRDefault="009506D2" w:rsidP="009506D2">
            <w:pPr>
              <w:pStyle w:val="a3"/>
              <w:spacing w:line="360" w:lineRule="auto"/>
              <w:jc w:val="right"/>
              <w:rPr>
                <w:b/>
                <w:bCs/>
                <w:rtl/>
              </w:rPr>
            </w:pPr>
          </w:p>
        </w:tc>
        <w:tc>
          <w:tcPr>
            <w:tcW w:w="2088" w:type="dxa"/>
          </w:tcPr>
          <w:p w14:paraId="5214D990" w14:textId="77777777" w:rsidR="009506D2" w:rsidRPr="00F15005" w:rsidRDefault="009506D2" w:rsidP="009506D2">
            <w:pPr>
              <w:pStyle w:val="a3"/>
              <w:tabs>
                <w:tab w:val="clear" w:pos="4153"/>
              </w:tabs>
              <w:spacing w:line="360" w:lineRule="auto"/>
              <w:jc w:val="right"/>
              <w:rPr>
                <w:b/>
                <w:bCs/>
                <w:rtl/>
              </w:rPr>
            </w:pPr>
            <w:r w:rsidRPr="00F15005">
              <w:rPr>
                <w:b/>
                <w:bCs/>
                <w:rtl/>
              </w:rPr>
              <w:t>21 מרץ 2017</w:t>
            </w:r>
          </w:p>
        </w:tc>
      </w:tr>
    </w:tbl>
    <w:p w14:paraId="503703F1" w14:textId="77777777" w:rsidR="009506D2" w:rsidRPr="00F15005" w:rsidRDefault="009506D2" w:rsidP="009506D2">
      <w:pPr>
        <w:pStyle w:val="a3"/>
        <w:spacing w:line="360" w:lineRule="auto"/>
        <w:jc w:val="center"/>
        <w:rPr>
          <w:rFonts w:ascii="Tahoma" w:hAnsi="Tahoma" w:hint="cs"/>
          <w:b/>
          <w:bCs/>
          <w:color w:val="000080"/>
          <w:rtl/>
        </w:rPr>
      </w:pPr>
    </w:p>
    <w:tbl>
      <w:tblPr>
        <w:bidiVisual/>
        <w:tblW w:w="0" w:type="auto"/>
        <w:tblLook w:val="01E0" w:firstRow="1" w:lastRow="1" w:firstColumn="1" w:lastColumn="1" w:noHBand="0" w:noVBand="0"/>
      </w:tblPr>
      <w:tblGrid>
        <w:gridCol w:w="2858"/>
        <w:gridCol w:w="5779"/>
        <w:gridCol w:w="83"/>
      </w:tblGrid>
      <w:tr w:rsidR="009506D2" w:rsidRPr="00F15005" w14:paraId="72657E5A" w14:textId="77777777" w:rsidTr="00F15005">
        <w:trPr>
          <w:gridAfter w:val="1"/>
          <w:wAfter w:w="83" w:type="dxa"/>
        </w:trPr>
        <w:tc>
          <w:tcPr>
            <w:tcW w:w="8637" w:type="dxa"/>
            <w:gridSpan w:val="2"/>
          </w:tcPr>
          <w:p w14:paraId="699F241E" w14:textId="77777777" w:rsidR="009506D2" w:rsidRPr="00F15005" w:rsidRDefault="009506D2" w:rsidP="009506D2">
            <w:pPr>
              <w:bidi w:val="0"/>
              <w:spacing w:after="0" w:line="360" w:lineRule="auto"/>
              <w:jc w:val="right"/>
              <w:rPr>
                <w:rFonts w:ascii="Times New Roman" w:hAnsi="Times New Roman" w:cs="David"/>
                <w:b/>
                <w:bCs/>
                <w:sz w:val="24"/>
                <w:szCs w:val="24"/>
                <w:rtl/>
              </w:rPr>
            </w:pPr>
            <w:r w:rsidRPr="00F15005">
              <w:rPr>
                <w:rFonts w:ascii="Times New Roman" w:hAnsi="Times New Roman" w:cs="David"/>
                <w:b/>
                <w:bCs/>
                <w:sz w:val="24"/>
                <w:szCs w:val="24"/>
                <w:rtl/>
              </w:rPr>
              <w:t xml:space="preserve">כבוד השופטת אסתר הלמן, ס. נשיא, אב"ד </w:t>
            </w:r>
          </w:p>
          <w:p w14:paraId="19397E80" w14:textId="77777777" w:rsidR="009506D2" w:rsidRPr="00F15005" w:rsidRDefault="009506D2" w:rsidP="009506D2">
            <w:pPr>
              <w:bidi w:val="0"/>
              <w:spacing w:after="0" w:line="360" w:lineRule="auto"/>
              <w:jc w:val="right"/>
              <w:rPr>
                <w:rFonts w:ascii="Times New Roman" w:hAnsi="Times New Roman" w:cs="David"/>
                <w:b/>
                <w:bCs/>
                <w:sz w:val="24"/>
                <w:szCs w:val="24"/>
                <w:rtl/>
              </w:rPr>
            </w:pPr>
            <w:r w:rsidRPr="00F15005">
              <w:rPr>
                <w:rFonts w:ascii="Times New Roman" w:hAnsi="Times New Roman" w:cs="David"/>
                <w:b/>
                <w:bCs/>
                <w:sz w:val="24"/>
                <w:szCs w:val="24"/>
                <w:rtl/>
              </w:rPr>
              <w:t>כבוד השופטת יפעת שטרית</w:t>
            </w:r>
          </w:p>
          <w:p w14:paraId="4DB6A1AE" w14:textId="77777777" w:rsidR="009506D2" w:rsidRPr="00F15005" w:rsidRDefault="009506D2" w:rsidP="009506D2">
            <w:pPr>
              <w:bidi w:val="0"/>
              <w:spacing w:after="0" w:line="360" w:lineRule="auto"/>
              <w:jc w:val="right"/>
              <w:rPr>
                <w:rFonts w:ascii="Times New Roman" w:hAnsi="Times New Roman" w:cs="David"/>
                <w:sz w:val="24"/>
                <w:szCs w:val="24"/>
                <w:rtl/>
              </w:rPr>
            </w:pPr>
            <w:r w:rsidRPr="00F15005">
              <w:rPr>
                <w:rFonts w:ascii="Times New Roman" w:hAnsi="Times New Roman" w:cs="David"/>
                <w:b/>
                <w:bCs/>
                <w:sz w:val="24"/>
                <w:szCs w:val="24"/>
                <w:rtl/>
              </w:rPr>
              <w:t xml:space="preserve">כבוד השופט סאאב דבור  </w:t>
            </w:r>
          </w:p>
        </w:tc>
      </w:tr>
      <w:tr w:rsidR="009506D2" w:rsidRPr="00F15005" w14:paraId="4F853CAC" w14:textId="77777777" w:rsidTr="00F15005">
        <w:trPr>
          <w:cantSplit/>
          <w:trHeight w:val="352"/>
        </w:trPr>
        <w:tc>
          <w:tcPr>
            <w:tcW w:w="2858" w:type="dxa"/>
          </w:tcPr>
          <w:p w14:paraId="3AAD4359" w14:textId="77777777" w:rsidR="009506D2" w:rsidRPr="00F15005" w:rsidRDefault="009506D2" w:rsidP="00F15005">
            <w:pPr>
              <w:bidi w:val="0"/>
              <w:spacing w:before="240" w:after="240" w:line="240" w:lineRule="exact"/>
              <w:ind w:left="26"/>
              <w:jc w:val="right"/>
              <w:rPr>
                <w:rFonts w:ascii="Times New Roman" w:hAnsi="Times New Roman" w:cs="David"/>
                <w:b/>
                <w:bCs/>
                <w:sz w:val="24"/>
                <w:szCs w:val="24"/>
                <w:rtl/>
              </w:rPr>
            </w:pPr>
            <w:bookmarkStart w:id="0" w:name="FirstAppellant"/>
            <w:bookmarkStart w:id="1" w:name="LastJudge"/>
            <w:bookmarkEnd w:id="1"/>
            <w:r w:rsidRPr="00F15005">
              <w:rPr>
                <w:rFonts w:ascii="Times New Roman" w:hAnsi="Times New Roman" w:cs="David"/>
                <w:b/>
                <w:bCs/>
                <w:sz w:val="24"/>
                <w:szCs w:val="24"/>
                <w:rtl/>
              </w:rPr>
              <w:t>המאשימה</w:t>
            </w:r>
          </w:p>
        </w:tc>
        <w:tc>
          <w:tcPr>
            <w:tcW w:w="5862" w:type="dxa"/>
            <w:gridSpan w:val="2"/>
          </w:tcPr>
          <w:p w14:paraId="23FD8287" w14:textId="77777777" w:rsidR="009506D2" w:rsidRPr="00F15005" w:rsidRDefault="009506D2" w:rsidP="00F15005">
            <w:pPr>
              <w:bidi w:val="0"/>
              <w:spacing w:before="240" w:after="240" w:line="240" w:lineRule="exact"/>
              <w:jc w:val="right"/>
              <w:rPr>
                <w:rFonts w:ascii="Times New Roman" w:hAnsi="Times New Roman" w:cs="David"/>
                <w:b/>
                <w:bCs/>
                <w:sz w:val="24"/>
                <w:szCs w:val="24"/>
              </w:rPr>
            </w:pPr>
            <w:r w:rsidRPr="00F15005">
              <w:rPr>
                <w:rFonts w:ascii="Times New Roman" w:hAnsi="Times New Roman" w:cs="David"/>
                <w:b/>
                <w:bCs/>
                <w:sz w:val="24"/>
                <w:szCs w:val="24"/>
                <w:rtl/>
              </w:rPr>
              <w:t>מדינת ישראל</w:t>
            </w:r>
          </w:p>
        </w:tc>
      </w:tr>
      <w:bookmarkEnd w:id="0"/>
      <w:tr w:rsidR="009506D2" w:rsidRPr="00F15005" w14:paraId="4883D2E3" w14:textId="77777777" w:rsidTr="00F15005">
        <w:tc>
          <w:tcPr>
            <w:tcW w:w="8720" w:type="dxa"/>
            <w:gridSpan w:val="3"/>
            <w:vAlign w:val="center"/>
          </w:tcPr>
          <w:p w14:paraId="45758533" w14:textId="77777777" w:rsidR="009506D2" w:rsidRPr="00F15005" w:rsidRDefault="009506D2" w:rsidP="00F15005">
            <w:pPr>
              <w:bidi w:val="0"/>
              <w:spacing w:before="240" w:after="240" w:line="240" w:lineRule="exact"/>
              <w:ind w:left="110"/>
              <w:jc w:val="center"/>
              <w:rPr>
                <w:rFonts w:ascii="Arial" w:hAnsi="Arial" w:cs="David"/>
                <w:b/>
                <w:bCs/>
                <w:sz w:val="24"/>
                <w:szCs w:val="24"/>
                <w:rtl/>
              </w:rPr>
            </w:pPr>
            <w:r w:rsidRPr="00F15005">
              <w:rPr>
                <w:rFonts w:ascii="Arial" w:hAnsi="Arial" w:cs="David"/>
                <w:b/>
                <w:bCs/>
                <w:sz w:val="24"/>
                <w:szCs w:val="24"/>
                <w:rtl/>
              </w:rPr>
              <w:t>נגד</w:t>
            </w:r>
          </w:p>
        </w:tc>
      </w:tr>
      <w:tr w:rsidR="009506D2" w:rsidRPr="00F15005" w14:paraId="283E71F8" w14:textId="77777777" w:rsidTr="00F15005">
        <w:tc>
          <w:tcPr>
            <w:tcW w:w="2858" w:type="dxa"/>
          </w:tcPr>
          <w:p w14:paraId="043E34BF" w14:textId="77777777" w:rsidR="009506D2" w:rsidRPr="00F15005" w:rsidRDefault="009506D2" w:rsidP="00F15005">
            <w:pPr>
              <w:bidi w:val="0"/>
              <w:spacing w:before="240" w:after="240" w:line="240" w:lineRule="exact"/>
              <w:ind w:left="26"/>
              <w:jc w:val="right"/>
              <w:rPr>
                <w:rFonts w:ascii="Times New Roman" w:hAnsi="Times New Roman" w:cs="David"/>
                <w:b/>
                <w:bCs/>
                <w:sz w:val="24"/>
                <w:szCs w:val="24"/>
                <w:rtl/>
              </w:rPr>
            </w:pPr>
            <w:r w:rsidRPr="00F15005">
              <w:rPr>
                <w:rFonts w:ascii="Times New Roman" w:hAnsi="Times New Roman" w:cs="David"/>
                <w:b/>
                <w:bCs/>
                <w:sz w:val="24"/>
                <w:szCs w:val="24"/>
                <w:rtl/>
              </w:rPr>
              <w:t xml:space="preserve">הנאשם </w:t>
            </w:r>
          </w:p>
        </w:tc>
        <w:tc>
          <w:tcPr>
            <w:tcW w:w="5862" w:type="dxa"/>
            <w:gridSpan w:val="2"/>
          </w:tcPr>
          <w:p w14:paraId="617A348A" w14:textId="77777777" w:rsidR="009506D2" w:rsidRPr="00F15005" w:rsidRDefault="009506D2" w:rsidP="00F15005">
            <w:pPr>
              <w:bidi w:val="0"/>
              <w:spacing w:before="240" w:after="240" w:line="240" w:lineRule="exact"/>
              <w:jc w:val="right"/>
              <w:rPr>
                <w:rFonts w:ascii="Times New Roman" w:hAnsi="Times New Roman" w:cs="David"/>
                <w:b/>
                <w:bCs/>
                <w:sz w:val="24"/>
                <w:szCs w:val="24"/>
                <w:rtl/>
              </w:rPr>
            </w:pPr>
            <w:r w:rsidRPr="00F15005">
              <w:rPr>
                <w:rFonts w:ascii="Times New Roman" w:hAnsi="Times New Roman" w:cs="David"/>
                <w:sz w:val="24"/>
                <w:szCs w:val="24"/>
                <w:rtl/>
              </w:rPr>
              <w:t xml:space="preserve"> </w:t>
            </w:r>
            <w:r w:rsidRPr="00F15005">
              <w:rPr>
                <w:rFonts w:ascii="Times New Roman" w:hAnsi="Times New Roman" w:cs="David"/>
                <w:b/>
                <w:bCs/>
                <w:sz w:val="24"/>
                <w:szCs w:val="24"/>
                <w:rtl/>
              </w:rPr>
              <w:t>מועאד בן עלי הייב</w:t>
            </w:r>
          </w:p>
        </w:tc>
      </w:tr>
    </w:tbl>
    <w:p w14:paraId="7EA6F6C8" w14:textId="77777777" w:rsidR="00A24187" w:rsidRPr="009506D2" w:rsidRDefault="00A24187" w:rsidP="00A53A5A">
      <w:pPr>
        <w:spacing w:after="0" w:line="360" w:lineRule="auto"/>
        <w:jc w:val="both"/>
        <w:rPr>
          <w:rFonts w:ascii="David" w:hAnsi="David" w:cs="David"/>
          <w:b/>
          <w:bCs/>
          <w:sz w:val="24"/>
          <w:szCs w:val="24"/>
        </w:rPr>
      </w:pPr>
      <w:r w:rsidRPr="009506D2">
        <w:rPr>
          <w:rFonts w:ascii="David" w:hAnsi="David" w:cs="David" w:hint="eastAsia"/>
          <w:b/>
          <w:bCs/>
          <w:sz w:val="24"/>
          <w:szCs w:val="24"/>
          <w:rtl/>
        </w:rPr>
        <w:t>נוכחים</w:t>
      </w:r>
      <w:r w:rsidRPr="009506D2">
        <w:rPr>
          <w:rFonts w:ascii="David" w:hAnsi="David" w:cs="David"/>
          <w:b/>
          <w:bCs/>
          <w:sz w:val="24"/>
          <w:szCs w:val="24"/>
          <w:rtl/>
        </w:rPr>
        <w:t xml:space="preserve">: </w:t>
      </w:r>
      <w:r w:rsidRPr="009506D2">
        <w:rPr>
          <w:rFonts w:ascii="David" w:hAnsi="David" w:cs="David"/>
          <w:b/>
          <w:bCs/>
          <w:sz w:val="24"/>
          <w:szCs w:val="24"/>
          <w:rtl/>
        </w:rPr>
        <w:tab/>
      </w:r>
      <w:bookmarkStart w:id="2" w:name="FirstLawyer"/>
      <w:r w:rsidRPr="009506D2">
        <w:rPr>
          <w:rFonts w:ascii="David" w:hAnsi="David" w:cs="David" w:hint="eastAsia"/>
          <w:b/>
          <w:bCs/>
          <w:sz w:val="24"/>
          <w:szCs w:val="24"/>
          <w:rtl/>
        </w:rPr>
        <w:t>בשם</w:t>
      </w:r>
      <w:bookmarkEnd w:id="2"/>
      <w:r w:rsidRPr="009506D2">
        <w:rPr>
          <w:rFonts w:ascii="David" w:hAnsi="David" w:cs="David"/>
          <w:b/>
          <w:bCs/>
          <w:sz w:val="24"/>
          <w:szCs w:val="24"/>
          <w:rtl/>
        </w:rPr>
        <w:t xml:space="preserve"> המאשימה עו"ד מייסא זועבי. </w:t>
      </w:r>
    </w:p>
    <w:p w14:paraId="66563FA1" w14:textId="77777777" w:rsidR="00A24187" w:rsidRPr="009506D2" w:rsidRDefault="00A24187" w:rsidP="00A53A5A">
      <w:pPr>
        <w:spacing w:after="0" w:line="360" w:lineRule="auto"/>
        <w:jc w:val="both"/>
        <w:rPr>
          <w:rFonts w:ascii="David" w:hAnsi="David" w:cs="David"/>
          <w:b/>
          <w:bCs/>
          <w:sz w:val="24"/>
          <w:szCs w:val="24"/>
          <w:rtl/>
        </w:rPr>
      </w:pPr>
      <w:r w:rsidRPr="009506D2">
        <w:rPr>
          <w:rFonts w:ascii="David" w:hAnsi="David" w:cs="David"/>
          <w:b/>
          <w:bCs/>
          <w:sz w:val="24"/>
          <w:szCs w:val="24"/>
          <w:rtl/>
        </w:rPr>
        <w:tab/>
      </w:r>
      <w:r w:rsidRPr="009506D2">
        <w:rPr>
          <w:rFonts w:ascii="David" w:hAnsi="David" w:cs="David"/>
          <w:b/>
          <w:bCs/>
          <w:sz w:val="24"/>
          <w:szCs w:val="24"/>
          <w:rtl/>
        </w:rPr>
        <w:tab/>
      </w:r>
      <w:r w:rsidRPr="009506D2">
        <w:rPr>
          <w:rFonts w:ascii="David" w:hAnsi="David" w:cs="David" w:hint="eastAsia"/>
          <w:b/>
          <w:bCs/>
          <w:sz w:val="24"/>
          <w:szCs w:val="24"/>
          <w:rtl/>
        </w:rPr>
        <w:t>בשם</w:t>
      </w:r>
      <w:r w:rsidRPr="009506D2">
        <w:rPr>
          <w:rFonts w:ascii="David" w:hAnsi="David" w:cs="David"/>
          <w:b/>
          <w:bCs/>
          <w:sz w:val="24"/>
          <w:szCs w:val="24"/>
          <w:rtl/>
        </w:rPr>
        <w:t xml:space="preserve"> הנאשם עו"ד ראיד עומרי, מטעם הסניגוריה הציבורית.</w:t>
      </w:r>
    </w:p>
    <w:p w14:paraId="15D3EFC3" w14:textId="77777777" w:rsidR="00A24187" w:rsidRPr="009506D2" w:rsidRDefault="00A24187" w:rsidP="00A53A5A">
      <w:pPr>
        <w:spacing w:after="0" w:line="360" w:lineRule="auto"/>
        <w:jc w:val="both"/>
        <w:rPr>
          <w:rFonts w:ascii="David" w:hAnsi="David" w:cs="David"/>
          <w:b/>
          <w:bCs/>
          <w:sz w:val="24"/>
          <w:szCs w:val="24"/>
          <w:rtl/>
        </w:rPr>
      </w:pPr>
      <w:r w:rsidRPr="009506D2">
        <w:rPr>
          <w:rFonts w:ascii="David" w:hAnsi="David" w:cs="David"/>
          <w:b/>
          <w:bCs/>
          <w:sz w:val="24"/>
          <w:szCs w:val="24"/>
          <w:rtl/>
        </w:rPr>
        <w:tab/>
      </w:r>
      <w:r w:rsidRPr="009506D2">
        <w:rPr>
          <w:rFonts w:ascii="David" w:hAnsi="David" w:cs="David"/>
          <w:b/>
          <w:bCs/>
          <w:sz w:val="24"/>
          <w:szCs w:val="24"/>
          <w:rtl/>
        </w:rPr>
        <w:tab/>
      </w:r>
      <w:r w:rsidRPr="009506D2">
        <w:rPr>
          <w:rFonts w:ascii="David" w:hAnsi="David" w:cs="David" w:hint="eastAsia"/>
          <w:b/>
          <w:bCs/>
          <w:sz w:val="24"/>
          <w:szCs w:val="24"/>
          <w:rtl/>
        </w:rPr>
        <w:t>הנאשם</w:t>
      </w:r>
      <w:r w:rsidRPr="009506D2">
        <w:rPr>
          <w:rFonts w:ascii="David" w:hAnsi="David" w:cs="David"/>
          <w:b/>
          <w:bCs/>
          <w:sz w:val="24"/>
          <w:szCs w:val="24"/>
          <w:rtl/>
        </w:rPr>
        <w:t xml:space="preserve"> בעצמו, הובא על ידי הליווי. </w:t>
      </w:r>
    </w:p>
    <w:p w14:paraId="7EA1D15F" w14:textId="77777777" w:rsidR="00B66733" w:rsidRPr="00B66733" w:rsidRDefault="00B66733" w:rsidP="00B66733">
      <w:pPr>
        <w:spacing w:after="120" w:line="240" w:lineRule="exact"/>
        <w:ind w:left="283" w:hanging="283"/>
        <w:jc w:val="both"/>
        <w:rPr>
          <w:rFonts w:ascii="FrankRuehl" w:hAnsi="FrankRuehl" w:cs="FrankRuehl"/>
          <w:sz w:val="24"/>
          <w:szCs w:val="24"/>
          <w:rtl/>
        </w:rPr>
      </w:pPr>
      <w:bookmarkStart w:id="3" w:name="LawTable"/>
      <w:bookmarkEnd w:id="3"/>
    </w:p>
    <w:p w14:paraId="20EA18EF" w14:textId="77777777" w:rsidR="00B66733" w:rsidRPr="00B66733" w:rsidRDefault="00B66733" w:rsidP="00B66733">
      <w:pPr>
        <w:spacing w:after="120" w:line="240" w:lineRule="exact"/>
        <w:ind w:left="283" w:hanging="283"/>
        <w:jc w:val="both"/>
        <w:rPr>
          <w:rFonts w:ascii="FrankRuehl" w:hAnsi="FrankRuehl" w:cs="FrankRuehl"/>
          <w:sz w:val="24"/>
          <w:szCs w:val="24"/>
          <w:rtl/>
        </w:rPr>
      </w:pPr>
      <w:r w:rsidRPr="00B66733">
        <w:rPr>
          <w:rFonts w:ascii="FrankRuehl" w:hAnsi="FrankRuehl" w:cs="FrankRuehl"/>
          <w:sz w:val="24"/>
          <w:szCs w:val="24"/>
          <w:rtl/>
        </w:rPr>
        <w:t xml:space="preserve">חקיקה שאוזכרה: </w:t>
      </w:r>
    </w:p>
    <w:p w14:paraId="4FCB4032" w14:textId="77777777" w:rsidR="00B66733" w:rsidRPr="00B66733" w:rsidRDefault="00B66733" w:rsidP="00B66733">
      <w:pPr>
        <w:spacing w:after="120" w:line="240" w:lineRule="exact"/>
        <w:ind w:left="283" w:hanging="283"/>
        <w:jc w:val="both"/>
        <w:rPr>
          <w:rFonts w:ascii="FrankRuehl" w:hAnsi="FrankRuehl" w:cs="FrankRuehl"/>
          <w:sz w:val="24"/>
          <w:szCs w:val="24"/>
          <w:rtl/>
        </w:rPr>
      </w:pPr>
      <w:hyperlink r:id="rId6" w:history="1">
        <w:r w:rsidRPr="00B66733">
          <w:rPr>
            <w:rFonts w:ascii="FrankRuehl" w:hAnsi="FrankRuehl" w:cs="FrankRuehl"/>
            <w:color w:val="0000FF"/>
            <w:sz w:val="24"/>
            <w:szCs w:val="24"/>
            <w:u w:val="single"/>
            <w:rtl/>
          </w:rPr>
          <w:t>חוק העונשין, תשל"ז-1977</w:t>
        </w:r>
      </w:hyperlink>
      <w:r w:rsidRPr="00B66733">
        <w:rPr>
          <w:rFonts w:ascii="FrankRuehl" w:hAnsi="FrankRuehl" w:cs="FrankRuehl"/>
          <w:sz w:val="24"/>
          <w:szCs w:val="24"/>
          <w:rtl/>
        </w:rPr>
        <w:t xml:space="preserve">: סע'  </w:t>
      </w:r>
      <w:hyperlink r:id="rId7" w:history="1">
        <w:r w:rsidRPr="00B66733">
          <w:rPr>
            <w:rFonts w:ascii="FrankRuehl" w:hAnsi="FrankRuehl" w:cs="FrankRuehl"/>
            <w:color w:val="0000FF"/>
            <w:sz w:val="24"/>
            <w:szCs w:val="24"/>
            <w:u w:val="single"/>
            <w:rtl/>
          </w:rPr>
          <w:t>40ב'</w:t>
        </w:r>
      </w:hyperlink>
      <w:r w:rsidRPr="00B66733">
        <w:rPr>
          <w:rFonts w:ascii="FrankRuehl" w:hAnsi="FrankRuehl" w:cs="FrankRuehl"/>
          <w:sz w:val="24"/>
          <w:szCs w:val="24"/>
          <w:rtl/>
        </w:rPr>
        <w:t xml:space="preserve">, </w:t>
      </w:r>
      <w:hyperlink r:id="rId8" w:history="1">
        <w:r w:rsidRPr="00B66733">
          <w:rPr>
            <w:rFonts w:ascii="FrankRuehl" w:hAnsi="FrankRuehl" w:cs="FrankRuehl"/>
            <w:color w:val="0000FF"/>
            <w:sz w:val="24"/>
            <w:szCs w:val="24"/>
            <w:u w:val="single"/>
            <w:rtl/>
          </w:rPr>
          <w:t>40ג'</w:t>
        </w:r>
      </w:hyperlink>
      <w:r w:rsidRPr="00B66733">
        <w:rPr>
          <w:rFonts w:ascii="FrankRuehl" w:hAnsi="FrankRuehl" w:cs="FrankRuehl"/>
          <w:sz w:val="24"/>
          <w:szCs w:val="24"/>
          <w:rtl/>
        </w:rPr>
        <w:t xml:space="preserve">, </w:t>
      </w:r>
      <w:hyperlink r:id="rId9" w:history="1">
        <w:r w:rsidRPr="00B66733">
          <w:rPr>
            <w:rFonts w:ascii="FrankRuehl" w:hAnsi="FrankRuehl" w:cs="FrankRuehl"/>
            <w:color w:val="0000FF"/>
            <w:sz w:val="24"/>
            <w:szCs w:val="24"/>
            <w:u w:val="single"/>
            <w:rtl/>
          </w:rPr>
          <w:t>40ד'</w:t>
        </w:r>
      </w:hyperlink>
      <w:r w:rsidRPr="00B66733">
        <w:rPr>
          <w:rFonts w:ascii="FrankRuehl" w:hAnsi="FrankRuehl" w:cs="FrankRuehl"/>
          <w:sz w:val="24"/>
          <w:szCs w:val="24"/>
          <w:rtl/>
        </w:rPr>
        <w:t xml:space="preserve">, </w:t>
      </w:r>
      <w:hyperlink r:id="rId10" w:history="1">
        <w:r w:rsidRPr="00B66733">
          <w:rPr>
            <w:rFonts w:ascii="FrankRuehl" w:hAnsi="FrankRuehl" w:cs="FrankRuehl"/>
            <w:color w:val="0000FF"/>
            <w:sz w:val="24"/>
            <w:szCs w:val="24"/>
            <w:u w:val="single"/>
            <w:rtl/>
          </w:rPr>
          <w:t>40ה'</w:t>
        </w:r>
      </w:hyperlink>
      <w:r w:rsidRPr="00B66733">
        <w:rPr>
          <w:rFonts w:ascii="FrankRuehl" w:hAnsi="FrankRuehl" w:cs="FrankRuehl"/>
          <w:sz w:val="24"/>
          <w:szCs w:val="24"/>
          <w:rtl/>
        </w:rPr>
        <w:t xml:space="preserve">, </w:t>
      </w:r>
      <w:hyperlink r:id="rId11" w:history="1">
        <w:r w:rsidRPr="00B66733">
          <w:rPr>
            <w:rFonts w:ascii="FrankRuehl" w:hAnsi="FrankRuehl" w:cs="FrankRuehl"/>
            <w:color w:val="0000FF"/>
            <w:sz w:val="24"/>
            <w:szCs w:val="24"/>
            <w:u w:val="single"/>
            <w:rtl/>
          </w:rPr>
          <w:t>40ט'</w:t>
        </w:r>
      </w:hyperlink>
      <w:r w:rsidRPr="00B66733">
        <w:rPr>
          <w:rFonts w:ascii="FrankRuehl" w:hAnsi="FrankRuehl" w:cs="FrankRuehl"/>
          <w:sz w:val="24"/>
          <w:szCs w:val="24"/>
          <w:rtl/>
        </w:rPr>
        <w:t xml:space="preserve">, </w:t>
      </w:r>
      <w:hyperlink r:id="rId12" w:history="1">
        <w:r w:rsidRPr="00B66733">
          <w:rPr>
            <w:rFonts w:ascii="FrankRuehl" w:hAnsi="FrankRuehl" w:cs="FrankRuehl"/>
            <w:color w:val="0000FF"/>
            <w:sz w:val="24"/>
            <w:szCs w:val="24"/>
            <w:u w:val="single"/>
            <w:rtl/>
          </w:rPr>
          <w:t>144(ב)</w:t>
        </w:r>
      </w:hyperlink>
      <w:r w:rsidRPr="00B66733">
        <w:rPr>
          <w:rFonts w:ascii="FrankRuehl" w:hAnsi="FrankRuehl" w:cs="FrankRuehl"/>
          <w:sz w:val="24"/>
          <w:szCs w:val="24"/>
          <w:rtl/>
        </w:rPr>
        <w:t xml:space="preserve">, </w:t>
      </w:r>
      <w:hyperlink r:id="rId13" w:history="1">
        <w:r w:rsidRPr="00B66733">
          <w:rPr>
            <w:rFonts w:ascii="FrankRuehl" w:hAnsi="FrankRuehl" w:cs="FrankRuehl"/>
            <w:color w:val="0000FF"/>
            <w:sz w:val="24"/>
            <w:szCs w:val="24"/>
            <w:u w:val="single"/>
            <w:rtl/>
          </w:rPr>
          <w:t>329(2)</w:t>
        </w:r>
      </w:hyperlink>
      <w:r w:rsidRPr="00B66733">
        <w:rPr>
          <w:rFonts w:ascii="FrankRuehl" w:hAnsi="FrankRuehl" w:cs="FrankRuehl"/>
          <w:sz w:val="24"/>
          <w:szCs w:val="24"/>
          <w:rtl/>
        </w:rPr>
        <w:t xml:space="preserve">, </w:t>
      </w:r>
      <w:hyperlink r:id="rId14" w:history="1">
        <w:r w:rsidRPr="00B66733">
          <w:rPr>
            <w:rFonts w:ascii="FrankRuehl" w:hAnsi="FrankRuehl" w:cs="FrankRuehl"/>
            <w:color w:val="0000FF"/>
            <w:sz w:val="24"/>
            <w:szCs w:val="24"/>
            <w:u w:val="single"/>
            <w:rtl/>
          </w:rPr>
          <w:t>329(א)(2)</w:t>
        </w:r>
      </w:hyperlink>
      <w:r w:rsidRPr="00B66733">
        <w:rPr>
          <w:rFonts w:ascii="FrankRuehl" w:hAnsi="FrankRuehl" w:cs="FrankRuehl"/>
          <w:sz w:val="24"/>
          <w:szCs w:val="24"/>
          <w:rtl/>
        </w:rPr>
        <w:t xml:space="preserve">, </w:t>
      </w:r>
      <w:hyperlink r:id="rId15" w:history="1">
        <w:r w:rsidRPr="00B66733">
          <w:rPr>
            <w:rFonts w:ascii="FrankRuehl" w:hAnsi="FrankRuehl" w:cs="FrankRuehl"/>
            <w:color w:val="0000FF"/>
            <w:sz w:val="24"/>
            <w:szCs w:val="24"/>
            <w:u w:val="single"/>
            <w:rtl/>
          </w:rPr>
          <w:t>340א</w:t>
        </w:r>
      </w:hyperlink>
      <w:r w:rsidRPr="00B66733">
        <w:rPr>
          <w:rFonts w:ascii="FrankRuehl" w:hAnsi="FrankRuehl" w:cs="FrankRuehl"/>
          <w:sz w:val="24"/>
          <w:szCs w:val="24"/>
          <w:rtl/>
        </w:rPr>
        <w:t xml:space="preserve">, </w:t>
      </w:r>
      <w:hyperlink r:id="rId16" w:history="1">
        <w:r w:rsidRPr="00B66733">
          <w:rPr>
            <w:rFonts w:ascii="FrankRuehl" w:hAnsi="FrankRuehl" w:cs="FrankRuehl"/>
            <w:color w:val="0000FF"/>
            <w:sz w:val="24"/>
            <w:szCs w:val="24"/>
            <w:u w:val="single"/>
            <w:rtl/>
          </w:rPr>
          <w:t>40יא'</w:t>
        </w:r>
      </w:hyperlink>
      <w:r w:rsidRPr="00B66733">
        <w:rPr>
          <w:rFonts w:ascii="FrankRuehl" w:hAnsi="FrankRuehl" w:cs="FrankRuehl"/>
          <w:sz w:val="24"/>
          <w:szCs w:val="24"/>
          <w:rtl/>
        </w:rPr>
        <w:t xml:space="preserve">, </w:t>
      </w:r>
      <w:hyperlink r:id="rId17" w:history="1">
        <w:r w:rsidRPr="00B66733">
          <w:rPr>
            <w:rFonts w:ascii="FrankRuehl" w:hAnsi="FrankRuehl" w:cs="FrankRuehl"/>
            <w:color w:val="0000FF"/>
            <w:sz w:val="24"/>
            <w:szCs w:val="24"/>
            <w:u w:val="single"/>
            <w:rtl/>
          </w:rPr>
          <w:t>40יב'</w:t>
        </w:r>
      </w:hyperlink>
      <w:r w:rsidRPr="00B66733">
        <w:rPr>
          <w:rFonts w:ascii="FrankRuehl" w:hAnsi="FrankRuehl" w:cs="FrankRuehl"/>
          <w:sz w:val="24"/>
          <w:szCs w:val="24"/>
          <w:rtl/>
        </w:rPr>
        <w:t xml:space="preserve">, </w:t>
      </w:r>
      <w:hyperlink r:id="rId18" w:history="1">
        <w:r w:rsidRPr="00B66733">
          <w:rPr>
            <w:rFonts w:ascii="FrankRuehl" w:hAnsi="FrankRuehl" w:cs="FrankRuehl"/>
            <w:color w:val="0000FF"/>
            <w:sz w:val="24"/>
            <w:szCs w:val="24"/>
            <w:u w:val="single"/>
            <w:rtl/>
          </w:rPr>
          <w:t>40יג</w:t>
        </w:r>
      </w:hyperlink>
    </w:p>
    <w:p w14:paraId="436AA0EB" w14:textId="77777777" w:rsidR="00B66733" w:rsidRPr="00B66733" w:rsidRDefault="00B66733" w:rsidP="00B66733">
      <w:pPr>
        <w:spacing w:after="120" w:line="240" w:lineRule="exact"/>
        <w:ind w:left="283" w:hanging="283"/>
        <w:jc w:val="both"/>
        <w:rPr>
          <w:rFonts w:ascii="FrankRuehl" w:hAnsi="FrankRuehl" w:cs="FrankRuehl"/>
          <w:sz w:val="24"/>
          <w:szCs w:val="24"/>
          <w:rtl/>
        </w:rPr>
      </w:pPr>
      <w:hyperlink r:id="rId19" w:history="1">
        <w:r w:rsidRPr="00B66733">
          <w:rPr>
            <w:rFonts w:ascii="FrankRuehl" w:hAnsi="FrankRuehl" w:cs="FrankRuehl"/>
            <w:color w:val="0000FF"/>
            <w:sz w:val="24"/>
            <w:szCs w:val="24"/>
            <w:u w:val="single"/>
            <w:rtl/>
          </w:rPr>
          <w:t>פקודת התעבורה [נוסח חדש]</w:t>
        </w:r>
      </w:hyperlink>
      <w:r w:rsidRPr="00B66733">
        <w:rPr>
          <w:rFonts w:ascii="FrankRuehl" w:hAnsi="FrankRuehl" w:cs="FrankRuehl"/>
          <w:sz w:val="24"/>
          <w:szCs w:val="24"/>
          <w:rtl/>
        </w:rPr>
        <w:t xml:space="preserve">: סע'  </w:t>
      </w:r>
      <w:hyperlink r:id="rId20" w:history="1">
        <w:r w:rsidRPr="00B66733">
          <w:rPr>
            <w:rFonts w:ascii="FrankRuehl" w:hAnsi="FrankRuehl" w:cs="FrankRuehl"/>
            <w:color w:val="0000FF"/>
            <w:sz w:val="24"/>
            <w:szCs w:val="24"/>
            <w:u w:val="single"/>
            <w:rtl/>
          </w:rPr>
          <w:t>2</w:t>
        </w:r>
      </w:hyperlink>
      <w:r w:rsidRPr="00B66733">
        <w:rPr>
          <w:rFonts w:ascii="FrankRuehl" w:hAnsi="FrankRuehl" w:cs="FrankRuehl"/>
          <w:sz w:val="24"/>
          <w:szCs w:val="24"/>
          <w:rtl/>
        </w:rPr>
        <w:t xml:space="preserve">, </w:t>
      </w:r>
      <w:hyperlink r:id="rId21" w:history="1">
        <w:r w:rsidRPr="00B66733">
          <w:rPr>
            <w:rFonts w:ascii="FrankRuehl" w:hAnsi="FrankRuehl" w:cs="FrankRuehl"/>
            <w:color w:val="0000FF"/>
            <w:sz w:val="24"/>
            <w:szCs w:val="24"/>
            <w:u w:val="single"/>
            <w:rtl/>
          </w:rPr>
          <w:t>10(א)</w:t>
        </w:r>
      </w:hyperlink>
      <w:r w:rsidRPr="00B66733">
        <w:rPr>
          <w:rFonts w:ascii="FrankRuehl" w:hAnsi="FrankRuehl" w:cs="FrankRuehl"/>
          <w:sz w:val="24"/>
          <w:szCs w:val="24"/>
          <w:rtl/>
        </w:rPr>
        <w:t xml:space="preserve">, </w:t>
      </w:r>
      <w:hyperlink r:id="rId22" w:history="1">
        <w:r w:rsidRPr="00B66733">
          <w:rPr>
            <w:rFonts w:ascii="FrankRuehl" w:hAnsi="FrankRuehl" w:cs="FrankRuehl"/>
            <w:color w:val="0000FF"/>
            <w:sz w:val="24"/>
            <w:szCs w:val="24"/>
            <w:u w:val="single"/>
            <w:rtl/>
          </w:rPr>
          <w:t>43</w:t>
        </w:r>
      </w:hyperlink>
    </w:p>
    <w:p w14:paraId="6CAC40A5" w14:textId="77777777" w:rsidR="00B66733" w:rsidRPr="00B66733" w:rsidRDefault="00B66733" w:rsidP="00B66733">
      <w:pPr>
        <w:spacing w:after="120" w:line="240" w:lineRule="exact"/>
        <w:ind w:left="283" w:hanging="283"/>
        <w:jc w:val="both"/>
        <w:rPr>
          <w:rFonts w:ascii="FrankRuehl" w:hAnsi="FrankRuehl" w:cs="FrankRuehl"/>
          <w:sz w:val="24"/>
          <w:szCs w:val="24"/>
          <w:rtl/>
        </w:rPr>
      </w:pPr>
      <w:hyperlink r:id="rId23" w:history="1">
        <w:r w:rsidRPr="00B66733">
          <w:rPr>
            <w:rFonts w:ascii="FrankRuehl" w:hAnsi="FrankRuehl" w:cs="FrankRuehl"/>
            <w:color w:val="0000FF"/>
            <w:sz w:val="24"/>
            <w:szCs w:val="24"/>
            <w:u w:val="single"/>
            <w:rtl/>
          </w:rPr>
          <w:t>פקודת ביטוח רכב מנועי [נוסח חדש], תש"ל-1970</w:t>
        </w:r>
      </w:hyperlink>
      <w:r w:rsidRPr="00B66733">
        <w:rPr>
          <w:rFonts w:ascii="FrankRuehl" w:hAnsi="FrankRuehl" w:cs="FrankRuehl"/>
          <w:sz w:val="24"/>
          <w:szCs w:val="24"/>
          <w:rtl/>
        </w:rPr>
        <w:t xml:space="preserve">: סע'  </w:t>
      </w:r>
      <w:hyperlink r:id="rId24" w:history="1">
        <w:r w:rsidRPr="00B66733">
          <w:rPr>
            <w:rFonts w:ascii="FrankRuehl" w:hAnsi="FrankRuehl" w:cs="FrankRuehl"/>
            <w:color w:val="0000FF"/>
            <w:sz w:val="24"/>
            <w:szCs w:val="24"/>
            <w:u w:val="single"/>
            <w:rtl/>
          </w:rPr>
          <w:t>2</w:t>
        </w:r>
      </w:hyperlink>
    </w:p>
    <w:p w14:paraId="2738DBA6" w14:textId="77777777" w:rsidR="00B66733" w:rsidRPr="00B66733" w:rsidRDefault="00B66733" w:rsidP="00B66733">
      <w:pPr>
        <w:spacing w:after="120" w:line="240" w:lineRule="exact"/>
        <w:ind w:left="283" w:hanging="283"/>
        <w:jc w:val="both"/>
        <w:rPr>
          <w:rFonts w:ascii="FrankRuehl" w:hAnsi="FrankRuehl" w:cs="FrankRuehl"/>
          <w:sz w:val="24"/>
          <w:szCs w:val="24"/>
          <w:rtl/>
        </w:rPr>
      </w:pPr>
    </w:p>
    <w:p w14:paraId="4B4F43C0" w14:textId="77777777" w:rsidR="00F15005" w:rsidRDefault="00F15005" w:rsidP="00F15005">
      <w:pPr>
        <w:pBdr>
          <w:top w:val="single" w:sz="4" w:space="1" w:color="auto"/>
          <w:bottom w:val="single" w:sz="4" w:space="1" w:color="auto"/>
        </w:pBdr>
        <w:spacing w:after="120" w:line="320" w:lineRule="exact"/>
        <w:jc w:val="both"/>
        <w:rPr>
          <w:rFonts w:ascii="Times New Roman" w:hAnsi="Times New Roman" w:cs="FrankRuehl" w:hint="cs"/>
          <w:sz w:val="24"/>
          <w:szCs w:val="26"/>
          <w:rtl/>
        </w:rPr>
      </w:pPr>
      <w:bookmarkStart w:id="4" w:name="LawTable_End"/>
      <w:bookmarkStart w:id="5" w:name="ABSTRACT_START"/>
      <w:bookmarkEnd w:id="4"/>
      <w:bookmarkEnd w:id="5"/>
      <w:r>
        <w:rPr>
          <w:rFonts w:ascii="Times New Roman" w:hAnsi="Times New Roman" w:cs="FrankRuehl"/>
          <w:sz w:val="24"/>
          <w:szCs w:val="26"/>
          <w:rtl/>
        </w:rPr>
        <w:t>מיני-רציו:</w:t>
      </w:r>
    </w:p>
    <w:p w14:paraId="3AE6EB6D" w14:textId="77777777" w:rsidR="00F15005" w:rsidRPr="00F15005" w:rsidRDefault="00F15005" w:rsidP="00F15005">
      <w:pPr>
        <w:pBdr>
          <w:top w:val="single" w:sz="4" w:space="1" w:color="auto"/>
          <w:bottom w:val="single" w:sz="4" w:space="1" w:color="auto"/>
        </w:pBdr>
        <w:spacing w:after="120" w:line="320" w:lineRule="exact"/>
        <w:jc w:val="both"/>
        <w:rPr>
          <w:rFonts w:ascii="Times New Roman" w:hAnsi="Times New Roman" w:cs="FrankRuehl"/>
          <w:sz w:val="24"/>
          <w:szCs w:val="26"/>
          <w:rtl/>
        </w:rPr>
      </w:pPr>
      <w:r>
        <w:rPr>
          <w:rFonts w:ascii="Times New Roman" w:hAnsi="Times New Roman" w:cs="FrankRuehl" w:hint="cs"/>
          <w:sz w:val="24"/>
          <w:szCs w:val="26"/>
          <w:rtl/>
        </w:rPr>
        <w:t xml:space="preserve">* </w:t>
      </w:r>
      <w:r w:rsidRPr="00F15005">
        <w:rPr>
          <w:rFonts w:ascii="Times New Roman" w:hAnsi="Times New Roman" w:cs="FrankRuehl"/>
          <w:sz w:val="24"/>
          <w:szCs w:val="26"/>
          <w:rtl/>
        </w:rPr>
        <w:t>בית המשפט גזר על הנאשם שהורשע, בין היתר, בביצוע עבירות אלימות באמצעות נשק חם עונש של 5 שנות מאסר בפועל; מאסר על תנאי, פסילה מלקבל רישיון נהיגה ופיצוי למתלוננים. בנוסף לעונשים שהושתו על הנאשם הורה בית המשפט על חילוט הרכב באמצעותו בוצעה העבירה, זאת משנמצא, כי הרכב היה כלי ישיר לביצוע העבירות כולן.</w:t>
      </w:r>
    </w:p>
    <w:p w14:paraId="47E283CC" w14:textId="77777777" w:rsidR="00E36699" w:rsidRDefault="00F15005" w:rsidP="00F15005">
      <w:pPr>
        <w:pBdr>
          <w:top w:val="single" w:sz="4" w:space="1" w:color="auto"/>
          <w:bottom w:val="single" w:sz="4" w:space="1" w:color="auto"/>
        </w:pBdr>
        <w:spacing w:after="120" w:line="320" w:lineRule="exact"/>
        <w:jc w:val="both"/>
        <w:rPr>
          <w:rFonts w:ascii="Times New Roman" w:hAnsi="Times New Roman" w:cs="FrankRuehl" w:hint="cs"/>
          <w:sz w:val="24"/>
          <w:szCs w:val="26"/>
          <w:rtl/>
        </w:rPr>
      </w:pPr>
      <w:r>
        <w:rPr>
          <w:rFonts w:ascii="Times New Roman" w:hAnsi="Times New Roman" w:cs="FrankRuehl"/>
          <w:sz w:val="24"/>
          <w:szCs w:val="26"/>
          <w:rtl/>
        </w:rPr>
        <w:t>* עונשין – ענישה – מדיניות ענישה: עבירות נשק</w:t>
      </w:r>
    </w:p>
    <w:p w14:paraId="57E702B9" w14:textId="77777777" w:rsidR="00F15005" w:rsidRDefault="00F15005" w:rsidP="00F15005">
      <w:pPr>
        <w:pBdr>
          <w:top w:val="single" w:sz="4" w:space="1" w:color="auto"/>
          <w:bottom w:val="single" w:sz="4" w:space="1" w:color="auto"/>
        </w:pBdr>
        <w:spacing w:after="120" w:line="320" w:lineRule="exact"/>
        <w:jc w:val="both"/>
        <w:rPr>
          <w:rFonts w:ascii="Times New Roman" w:hAnsi="Times New Roman" w:cs="FrankRuehl" w:hint="cs"/>
          <w:sz w:val="24"/>
          <w:szCs w:val="26"/>
          <w:rtl/>
        </w:rPr>
      </w:pPr>
      <w:r>
        <w:rPr>
          <w:rFonts w:ascii="Times New Roman" w:hAnsi="Times New Roman" w:cs="FrankRuehl" w:hint="cs"/>
          <w:sz w:val="24"/>
          <w:szCs w:val="26"/>
          <w:rtl/>
        </w:rPr>
        <w:t>.</w:t>
      </w:r>
    </w:p>
    <w:p w14:paraId="54605656" w14:textId="77777777" w:rsidR="00E36699" w:rsidRPr="00F15005" w:rsidRDefault="00E36699" w:rsidP="00F15005">
      <w:pPr>
        <w:pBdr>
          <w:top w:val="single" w:sz="4" w:space="1" w:color="auto"/>
          <w:bottom w:val="single" w:sz="4" w:space="1" w:color="auto"/>
        </w:pBdr>
        <w:spacing w:after="120" w:line="320" w:lineRule="exact"/>
        <w:jc w:val="both"/>
        <w:rPr>
          <w:rFonts w:ascii="Times New Roman" w:hAnsi="Times New Roman" w:cs="FrankRuehl"/>
          <w:sz w:val="24"/>
          <w:szCs w:val="26"/>
          <w:rtl/>
        </w:rPr>
      </w:pPr>
      <w:r w:rsidRPr="00F15005">
        <w:rPr>
          <w:rFonts w:ascii="Times New Roman" w:hAnsi="Times New Roman" w:cs="FrankRuehl"/>
          <w:sz w:val="24"/>
          <w:szCs w:val="26"/>
          <w:rtl/>
        </w:rPr>
        <w:t>בית המשפט נדרש לגזור את דינו של הנאשם שהורשע, על פי הודאתו ובמסגרת הסדר טיעון, בעבירות שיוחסו לו בכתב אישום מתוקן שעניינן: חבלה בכוונה מחמירה; נשיאה והובלה של נשק שלא כדין; יריות בנשק חם באזור מגורים; הסתייעות ברכב לביצוע פשע; נהיגה בלא רישיון נהיגה; נהיגה בלא רישיון רכב; שימוש ברכב בלא פוליסת ביטוח בת תוקף.</w:t>
      </w:r>
    </w:p>
    <w:p w14:paraId="0EDD0700" w14:textId="77777777" w:rsidR="00E36699" w:rsidRPr="00F15005" w:rsidRDefault="00F15005" w:rsidP="00F15005">
      <w:pPr>
        <w:pBdr>
          <w:top w:val="single" w:sz="4" w:space="1" w:color="auto"/>
          <w:bottom w:val="single" w:sz="4" w:space="1" w:color="auto"/>
        </w:pBdr>
        <w:spacing w:after="120" w:line="320" w:lineRule="exact"/>
        <w:jc w:val="both"/>
        <w:rPr>
          <w:rFonts w:ascii="Times New Roman" w:hAnsi="Times New Roman" w:cs="FrankRuehl" w:hint="cs"/>
          <w:sz w:val="24"/>
          <w:szCs w:val="26"/>
          <w:rtl/>
        </w:rPr>
      </w:pPr>
      <w:r>
        <w:rPr>
          <w:rFonts w:ascii="Times New Roman" w:hAnsi="Times New Roman" w:cs="FrankRuehl" w:hint="cs"/>
          <w:sz w:val="24"/>
          <w:szCs w:val="26"/>
          <w:rtl/>
        </w:rPr>
        <w:t>.</w:t>
      </w:r>
    </w:p>
    <w:p w14:paraId="506231BD" w14:textId="77777777" w:rsidR="00E36699" w:rsidRPr="00F15005" w:rsidRDefault="00E36699" w:rsidP="00F15005">
      <w:pPr>
        <w:pBdr>
          <w:top w:val="single" w:sz="4" w:space="1" w:color="auto"/>
          <w:bottom w:val="single" w:sz="4" w:space="1" w:color="auto"/>
        </w:pBdr>
        <w:spacing w:after="120" w:line="320" w:lineRule="exact"/>
        <w:jc w:val="both"/>
        <w:rPr>
          <w:rFonts w:ascii="Times New Roman" w:hAnsi="Times New Roman" w:cs="FrankRuehl"/>
          <w:sz w:val="24"/>
          <w:szCs w:val="26"/>
          <w:rtl/>
        </w:rPr>
      </w:pPr>
      <w:r w:rsidRPr="00F15005">
        <w:rPr>
          <w:rFonts w:ascii="Times New Roman" w:hAnsi="Times New Roman" w:cs="FrankRuehl"/>
          <w:sz w:val="24"/>
          <w:szCs w:val="26"/>
          <w:rtl/>
        </w:rPr>
        <w:t>בית המשפט פסק כלהלן:</w:t>
      </w:r>
    </w:p>
    <w:p w14:paraId="621AF5FA" w14:textId="77777777" w:rsidR="00E36699" w:rsidRPr="00F15005" w:rsidRDefault="00E36699" w:rsidP="00F15005">
      <w:pPr>
        <w:pBdr>
          <w:top w:val="single" w:sz="4" w:space="1" w:color="auto"/>
          <w:bottom w:val="single" w:sz="4" w:space="1" w:color="auto"/>
        </w:pBdr>
        <w:spacing w:after="120" w:line="320" w:lineRule="exact"/>
        <w:jc w:val="both"/>
        <w:rPr>
          <w:rFonts w:ascii="Times New Roman" w:hAnsi="Times New Roman" w:cs="FrankRuehl"/>
          <w:sz w:val="24"/>
          <w:szCs w:val="26"/>
          <w:rtl/>
        </w:rPr>
      </w:pPr>
      <w:r w:rsidRPr="00F15005">
        <w:rPr>
          <w:rFonts w:ascii="Times New Roman" w:hAnsi="Times New Roman" w:cs="FrankRuehl"/>
          <w:sz w:val="24"/>
          <w:szCs w:val="26"/>
          <w:rtl/>
        </w:rPr>
        <w:lastRenderedPageBreak/>
        <w:t xml:space="preserve">גזירת עונשו של נאשם בגיר מחייבת קביעת מתחם העונש ההולם, בהתאם לעיקרון המנחה, וקביעת העונש המתאים לנאשם בתוך המתחם. במקרים יוצאי דופן, ניתן לסטות מן המתחם לקולא בהסתמך על שיקולי שיקום, או לחומרא, בשל שיקולי הגנה על שלום הציבור. </w:t>
      </w:r>
    </w:p>
    <w:p w14:paraId="3F5B5B40" w14:textId="77777777" w:rsidR="00E36699" w:rsidRPr="00F15005" w:rsidRDefault="00E36699" w:rsidP="00F15005">
      <w:pPr>
        <w:pBdr>
          <w:top w:val="single" w:sz="4" w:space="1" w:color="auto"/>
          <w:bottom w:val="single" w:sz="4" w:space="1" w:color="auto"/>
        </w:pBdr>
        <w:spacing w:after="120" w:line="320" w:lineRule="exact"/>
        <w:jc w:val="both"/>
        <w:rPr>
          <w:rFonts w:ascii="Times New Roman" w:hAnsi="Times New Roman" w:cs="FrankRuehl"/>
          <w:sz w:val="24"/>
          <w:szCs w:val="26"/>
          <w:rtl/>
        </w:rPr>
      </w:pPr>
      <w:r w:rsidRPr="00F15005">
        <w:rPr>
          <w:rFonts w:ascii="Times New Roman" w:hAnsi="Times New Roman" w:cs="FrankRuehl"/>
          <w:sz w:val="24"/>
          <w:szCs w:val="26"/>
          <w:rtl/>
        </w:rPr>
        <w:t>מדובר במספר עבירות, המהוות אירוע אחד לצורך קביעת המתחם ויש לקבוע לגביהן מתחם אחד. מתחם העונש ההולם נקבע על פי הערך החברתי שנפגע מביצוע העבירה, במידת הפגיעה בו, במדיניות הענישה הנהוגה ובנסיבות הקשורות בביצוע העבירה.</w:t>
      </w:r>
    </w:p>
    <w:p w14:paraId="2EC88184" w14:textId="77777777" w:rsidR="00E36699" w:rsidRPr="00F15005" w:rsidRDefault="00E36699" w:rsidP="00F15005">
      <w:pPr>
        <w:pBdr>
          <w:top w:val="single" w:sz="4" w:space="1" w:color="auto"/>
          <w:bottom w:val="single" w:sz="4" w:space="1" w:color="auto"/>
        </w:pBdr>
        <w:spacing w:after="120" w:line="320" w:lineRule="exact"/>
        <w:jc w:val="both"/>
        <w:rPr>
          <w:rFonts w:ascii="Times New Roman" w:hAnsi="Times New Roman" w:cs="FrankRuehl"/>
          <w:sz w:val="24"/>
          <w:szCs w:val="26"/>
          <w:rtl/>
        </w:rPr>
      </w:pPr>
      <w:r w:rsidRPr="00F15005">
        <w:rPr>
          <w:rFonts w:ascii="Times New Roman" w:hAnsi="Times New Roman" w:cs="FrankRuehl"/>
          <w:sz w:val="24"/>
          <w:szCs w:val="26"/>
          <w:rtl/>
        </w:rPr>
        <w:t>בית המשפט העליון עמד לא אחת על חומרת התופעה של שימוש בנשק לפתרון סכסוכים. חומרה יתרה מיוחסת לאותם מקרים שבהם השימוש בנשק חם נעשה בתוך שטח עירוני ובסביבת בתי מגורים. בנסיבותיו של מקרה זה, מתחם העונש ההולם את העבירות שביצע הנאשם, נע בין 4 ל-7 שנות מאסר בפועל.</w:t>
      </w:r>
    </w:p>
    <w:p w14:paraId="5D1D6192" w14:textId="77777777" w:rsidR="00E36699" w:rsidRPr="0037284E" w:rsidRDefault="00E36699" w:rsidP="0037284E">
      <w:pPr>
        <w:spacing w:after="120" w:line="240" w:lineRule="exact"/>
        <w:ind w:left="283" w:hanging="283"/>
        <w:jc w:val="both"/>
        <w:rPr>
          <w:rFonts w:ascii="FrankRuehl" w:hAnsi="FrankRuehl" w:cs="FrankRuehl" w:hint="cs"/>
          <w:sz w:val="24"/>
          <w:szCs w:val="24"/>
          <w:rtl/>
        </w:rPr>
      </w:pPr>
      <w:bookmarkStart w:id="6" w:name="ABSTRACT_END"/>
      <w:bookmarkEnd w:id="6"/>
    </w:p>
    <w:p w14:paraId="4B34F5DB" w14:textId="77777777" w:rsidR="009506D2" w:rsidRPr="009506D2" w:rsidRDefault="009506D2" w:rsidP="009506D2">
      <w:pPr>
        <w:spacing w:after="0" w:line="360" w:lineRule="auto"/>
        <w:jc w:val="center"/>
        <w:rPr>
          <w:rFonts w:ascii="Arial" w:hAnsi="Arial" w:cs="David"/>
          <w:b/>
          <w:bCs/>
          <w:sz w:val="28"/>
          <w:szCs w:val="28"/>
          <w:u w:val="single"/>
          <w:rtl/>
        </w:rPr>
      </w:pPr>
      <w:bookmarkStart w:id="7" w:name="PsakDin"/>
      <w:r w:rsidRPr="009506D2">
        <w:rPr>
          <w:rFonts w:ascii="Arial" w:hAnsi="Arial" w:cs="David"/>
          <w:b/>
          <w:bCs/>
          <w:sz w:val="28"/>
          <w:szCs w:val="28"/>
          <w:u w:val="single"/>
          <w:rtl/>
        </w:rPr>
        <w:t>גזר דין</w:t>
      </w:r>
    </w:p>
    <w:bookmarkEnd w:id="7"/>
    <w:p w14:paraId="49C8A7E7" w14:textId="77777777" w:rsidR="00A24187" w:rsidRPr="00A53A5A" w:rsidRDefault="00A24187" w:rsidP="00A53A5A">
      <w:pPr>
        <w:spacing w:after="0" w:line="360" w:lineRule="auto"/>
        <w:jc w:val="both"/>
        <w:rPr>
          <w:rFonts w:ascii="Arial" w:hAnsi="Arial" w:cs="David"/>
          <w:sz w:val="24"/>
          <w:szCs w:val="24"/>
        </w:rPr>
      </w:pPr>
    </w:p>
    <w:p w14:paraId="31DE1E7D" w14:textId="77777777" w:rsidR="00A24187" w:rsidRPr="00A53A5A" w:rsidRDefault="00A24187" w:rsidP="00A53A5A">
      <w:pPr>
        <w:spacing w:after="0" w:line="360" w:lineRule="auto"/>
        <w:ind w:left="720" w:hanging="720"/>
        <w:jc w:val="both"/>
        <w:rPr>
          <w:rFonts w:ascii="David" w:hAnsi="David" w:cs="David"/>
          <w:sz w:val="24"/>
          <w:szCs w:val="24"/>
        </w:rPr>
      </w:pPr>
      <w:r w:rsidRPr="00A53A5A">
        <w:rPr>
          <w:rFonts w:ascii="David" w:hAnsi="David" w:cs="David"/>
          <w:b/>
          <w:bCs/>
          <w:sz w:val="24"/>
          <w:szCs w:val="24"/>
          <w:rtl/>
        </w:rPr>
        <w:t xml:space="preserve">1. </w:t>
      </w:r>
      <w:r w:rsidRPr="00A53A5A">
        <w:rPr>
          <w:rFonts w:ascii="David" w:hAnsi="David" w:cs="David"/>
          <w:b/>
          <w:bCs/>
          <w:sz w:val="24"/>
          <w:szCs w:val="24"/>
          <w:rtl/>
        </w:rPr>
        <w:tab/>
      </w:r>
      <w:r w:rsidRPr="00A53A5A">
        <w:rPr>
          <w:rFonts w:ascii="David" w:hAnsi="David" w:cs="David" w:hint="eastAsia"/>
          <w:sz w:val="24"/>
          <w:szCs w:val="24"/>
          <w:rtl/>
        </w:rPr>
        <w:t>הנאשם</w:t>
      </w:r>
      <w:r w:rsidRPr="00A53A5A">
        <w:rPr>
          <w:rFonts w:ascii="David" w:hAnsi="David" w:cs="David"/>
          <w:sz w:val="24"/>
          <w:szCs w:val="24"/>
          <w:rtl/>
        </w:rPr>
        <w:t xml:space="preserve"> הורשע</w:t>
      </w:r>
      <w:r w:rsidRPr="00A53A5A">
        <w:rPr>
          <w:rFonts w:ascii="David" w:hAnsi="David" w:cs="David"/>
          <w:b/>
          <w:bCs/>
          <w:sz w:val="24"/>
          <w:szCs w:val="24"/>
          <w:rtl/>
        </w:rPr>
        <w:t xml:space="preserve">, </w:t>
      </w:r>
      <w:r w:rsidRPr="00A53A5A">
        <w:rPr>
          <w:rFonts w:ascii="David" w:hAnsi="David" w:cs="David" w:hint="eastAsia"/>
          <w:sz w:val="24"/>
          <w:szCs w:val="24"/>
          <w:rtl/>
        </w:rPr>
        <w:t>על</w:t>
      </w:r>
      <w:r w:rsidRPr="00A53A5A">
        <w:rPr>
          <w:rFonts w:ascii="David" w:hAnsi="David" w:cs="David"/>
          <w:sz w:val="24"/>
          <w:szCs w:val="24"/>
          <w:rtl/>
        </w:rPr>
        <w:t xml:space="preserve"> פי הודאתו ובמסגרת הסדר טיעון, בעבירות שיוחסו לו בכתב אישום מתוקן (</w:t>
      </w:r>
      <w:r w:rsidRPr="00A53A5A">
        <w:rPr>
          <w:rFonts w:ascii="David" w:hAnsi="David" w:cs="David" w:hint="eastAsia"/>
          <w:b/>
          <w:bCs/>
          <w:sz w:val="24"/>
          <w:szCs w:val="24"/>
          <w:rtl/>
        </w:rPr>
        <w:t>כא</w:t>
      </w:r>
      <w:r w:rsidRPr="00A53A5A">
        <w:rPr>
          <w:rFonts w:ascii="David" w:hAnsi="David" w:cs="David"/>
          <w:b/>
          <w:bCs/>
          <w:sz w:val="24"/>
          <w:szCs w:val="24"/>
          <w:rtl/>
        </w:rPr>
        <w:t>/1</w:t>
      </w:r>
      <w:r w:rsidRPr="00A53A5A">
        <w:rPr>
          <w:rFonts w:ascii="David" w:hAnsi="David" w:cs="David"/>
          <w:sz w:val="24"/>
          <w:szCs w:val="24"/>
          <w:rtl/>
        </w:rPr>
        <w:t xml:space="preserve">), שעניינן: </w:t>
      </w:r>
    </w:p>
    <w:p w14:paraId="31446585" w14:textId="77777777" w:rsidR="00A24187" w:rsidRPr="00A53A5A" w:rsidRDefault="00A24187" w:rsidP="00A53A5A">
      <w:pPr>
        <w:spacing w:after="0" w:line="360" w:lineRule="auto"/>
        <w:contextualSpacing/>
        <w:jc w:val="both"/>
        <w:rPr>
          <w:rFonts w:ascii="David" w:hAnsi="David" w:cs="David"/>
          <w:sz w:val="24"/>
          <w:szCs w:val="24"/>
          <w:rtl/>
        </w:rPr>
      </w:pPr>
    </w:p>
    <w:p w14:paraId="27F77D6E" w14:textId="77777777" w:rsidR="00A24187" w:rsidRPr="00A53A5A" w:rsidRDefault="00A24187" w:rsidP="00A53A5A">
      <w:pPr>
        <w:spacing w:after="0" w:line="360" w:lineRule="auto"/>
        <w:ind w:left="1440" w:hanging="720"/>
        <w:contextualSpacing/>
        <w:jc w:val="both"/>
        <w:rPr>
          <w:rFonts w:ascii="David" w:hAnsi="David" w:cs="David"/>
          <w:sz w:val="24"/>
          <w:szCs w:val="24"/>
          <w:rtl/>
        </w:rPr>
      </w:pPr>
      <w:r w:rsidRPr="00A53A5A">
        <w:rPr>
          <w:rFonts w:ascii="David" w:hAnsi="David" w:cs="David" w:hint="eastAsia"/>
          <w:b/>
          <w:bCs/>
          <w:sz w:val="24"/>
          <w:szCs w:val="24"/>
          <w:rtl/>
        </w:rPr>
        <w:t>א</w:t>
      </w:r>
      <w:r w:rsidRPr="00A53A5A">
        <w:rPr>
          <w:rFonts w:ascii="David" w:hAnsi="David" w:cs="David"/>
          <w:b/>
          <w:bCs/>
          <w:sz w:val="24"/>
          <w:szCs w:val="24"/>
          <w:rtl/>
        </w:rPr>
        <w:t>.</w:t>
      </w:r>
      <w:r w:rsidRPr="00A53A5A">
        <w:rPr>
          <w:rFonts w:ascii="David" w:hAnsi="David" w:cs="David"/>
          <w:sz w:val="24"/>
          <w:szCs w:val="24"/>
          <w:rtl/>
        </w:rPr>
        <w:tab/>
      </w:r>
      <w:bookmarkStart w:id="8" w:name="_GoBack"/>
      <w:r w:rsidRPr="00A53A5A">
        <w:rPr>
          <w:rFonts w:ascii="David" w:hAnsi="David" w:cs="David" w:hint="eastAsia"/>
          <w:sz w:val="24"/>
          <w:szCs w:val="24"/>
          <w:rtl/>
        </w:rPr>
        <w:t>חבלה</w:t>
      </w:r>
      <w:r w:rsidRPr="00A53A5A">
        <w:rPr>
          <w:rFonts w:ascii="David" w:hAnsi="David" w:cs="David"/>
          <w:sz w:val="24"/>
          <w:szCs w:val="24"/>
          <w:rtl/>
        </w:rPr>
        <w:t xml:space="preserve"> </w:t>
      </w:r>
      <w:r w:rsidRPr="00A53A5A">
        <w:rPr>
          <w:rFonts w:ascii="David" w:hAnsi="David" w:cs="David" w:hint="eastAsia"/>
          <w:sz w:val="24"/>
          <w:szCs w:val="24"/>
          <w:rtl/>
        </w:rPr>
        <w:t>בכוונה</w:t>
      </w:r>
      <w:r w:rsidRPr="00A53A5A">
        <w:rPr>
          <w:rFonts w:ascii="David" w:hAnsi="David" w:cs="David"/>
          <w:sz w:val="24"/>
          <w:szCs w:val="24"/>
          <w:rtl/>
        </w:rPr>
        <w:t xml:space="preserve"> </w:t>
      </w:r>
      <w:r w:rsidRPr="00A53A5A">
        <w:rPr>
          <w:rFonts w:ascii="David" w:hAnsi="David" w:cs="David" w:hint="eastAsia"/>
          <w:sz w:val="24"/>
          <w:szCs w:val="24"/>
          <w:rtl/>
        </w:rPr>
        <w:t>מחמירה</w:t>
      </w:r>
      <w:r w:rsidRPr="00A53A5A">
        <w:rPr>
          <w:rFonts w:ascii="David" w:hAnsi="David" w:cs="David"/>
          <w:sz w:val="24"/>
          <w:szCs w:val="24"/>
          <w:rtl/>
        </w:rPr>
        <w:t xml:space="preserve"> </w:t>
      </w:r>
      <w:bookmarkEnd w:id="8"/>
      <w:r w:rsidRPr="00A53A5A">
        <w:rPr>
          <w:rFonts w:ascii="David" w:hAnsi="David" w:cs="David"/>
          <w:sz w:val="24"/>
          <w:szCs w:val="24"/>
          <w:rtl/>
        </w:rPr>
        <w:t xml:space="preserve">- </w:t>
      </w:r>
      <w:r w:rsidRPr="00A53A5A">
        <w:rPr>
          <w:rFonts w:ascii="David" w:hAnsi="David" w:cs="David" w:hint="eastAsia"/>
          <w:sz w:val="24"/>
          <w:szCs w:val="24"/>
          <w:rtl/>
        </w:rPr>
        <w:t>עבירה</w:t>
      </w:r>
      <w:r w:rsidRPr="00A53A5A">
        <w:rPr>
          <w:rFonts w:ascii="David" w:hAnsi="David" w:cs="David"/>
          <w:sz w:val="24"/>
          <w:szCs w:val="24"/>
          <w:rtl/>
        </w:rPr>
        <w:t xml:space="preserve"> </w:t>
      </w:r>
      <w:r w:rsidRPr="00A53A5A">
        <w:rPr>
          <w:rFonts w:ascii="David" w:hAnsi="David" w:cs="David" w:hint="eastAsia"/>
          <w:sz w:val="24"/>
          <w:szCs w:val="24"/>
          <w:rtl/>
        </w:rPr>
        <w:t>לפי</w:t>
      </w:r>
      <w:r w:rsidRPr="00A53A5A">
        <w:rPr>
          <w:rFonts w:ascii="David" w:hAnsi="David" w:cs="David"/>
          <w:sz w:val="24"/>
          <w:szCs w:val="24"/>
          <w:rtl/>
        </w:rPr>
        <w:t xml:space="preserve"> </w:t>
      </w:r>
      <w:hyperlink r:id="rId25" w:history="1">
        <w:r w:rsidR="0037284E" w:rsidRPr="0037284E">
          <w:rPr>
            <w:rFonts w:ascii="David" w:hAnsi="David" w:cs="David"/>
            <w:color w:val="0000FF"/>
            <w:sz w:val="24"/>
            <w:szCs w:val="24"/>
            <w:u w:val="single"/>
            <w:rtl/>
          </w:rPr>
          <w:t>סעיף 329(א)(2)</w:t>
        </w:r>
      </w:hyperlink>
      <w:r w:rsidRPr="00A53A5A">
        <w:rPr>
          <w:rFonts w:ascii="David" w:hAnsi="David" w:cs="David"/>
          <w:sz w:val="24"/>
          <w:szCs w:val="24"/>
          <w:rtl/>
        </w:rPr>
        <w:t xml:space="preserve"> </w:t>
      </w:r>
      <w:r w:rsidRPr="00A53A5A">
        <w:rPr>
          <w:rFonts w:ascii="David" w:hAnsi="David" w:cs="David" w:hint="eastAsia"/>
          <w:sz w:val="24"/>
          <w:szCs w:val="24"/>
          <w:rtl/>
        </w:rPr>
        <w:t>ל</w:t>
      </w:r>
      <w:hyperlink r:id="rId26" w:history="1">
        <w:r w:rsidR="009506D2" w:rsidRPr="009506D2">
          <w:rPr>
            <w:rFonts w:ascii="David" w:hAnsi="David" w:cs="David"/>
            <w:color w:val="0000FF"/>
            <w:sz w:val="24"/>
            <w:szCs w:val="24"/>
            <w:u w:val="single"/>
            <w:rtl/>
          </w:rPr>
          <w:t>חוק העונשין</w:t>
        </w:r>
      </w:hyperlink>
      <w:r w:rsidRPr="00A53A5A">
        <w:rPr>
          <w:rFonts w:ascii="David" w:hAnsi="David" w:cs="David"/>
          <w:sz w:val="24"/>
          <w:szCs w:val="24"/>
          <w:rtl/>
        </w:rPr>
        <w:t xml:space="preserve">, </w:t>
      </w:r>
      <w:r w:rsidRPr="00A53A5A">
        <w:rPr>
          <w:rFonts w:ascii="David" w:hAnsi="David" w:cs="David" w:hint="eastAsia"/>
          <w:sz w:val="24"/>
          <w:szCs w:val="24"/>
          <w:rtl/>
        </w:rPr>
        <w:t>התשל</w:t>
      </w:r>
      <w:r w:rsidRPr="00A53A5A">
        <w:rPr>
          <w:rFonts w:ascii="David" w:hAnsi="David" w:cs="David"/>
          <w:sz w:val="24"/>
          <w:szCs w:val="24"/>
          <w:rtl/>
        </w:rPr>
        <w:t>"</w:t>
      </w:r>
      <w:r w:rsidRPr="00A53A5A">
        <w:rPr>
          <w:rFonts w:ascii="David" w:hAnsi="David" w:cs="David" w:hint="eastAsia"/>
          <w:sz w:val="24"/>
          <w:szCs w:val="24"/>
          <w:rtl/>
        </w:rPr>
        <w:t>ז</w:t>
      </w:r>
      <w:r w:rsidRPr="00A53A5A">
        <w:rPr>
          <w:rFonts w:ascii="David" w:hAnsi="David" w:cs="David"/>
          <w:sz w:val="24"/>
          <w:szCs w:val="24"/>
          <w:rtl/>
        </w:rPr>
        <w:t xml:space="preserve"> - 1977 (</w:t>
      </w:r>
      <w:r w:rsidRPr="00A53A5A">
        <w:rPr>
          <w:rFonts w:ascii="David" w:hAnsi="David" w:cs="David" w:hint="eastAsia"/>
          <w:b/>
          <w:bCs/>
          <w:sz w:val="24"/>
          <w:szCs w:val="24"/>
          <w:rtl/>
        </w:rPr>
        <w:t>להלן</w:t>
      </w:r>
      <w:r w:rsidRPr="00A53A5A">
        <w:rPr>
          <w:rFonts w:ascii="David" w:hAnsi="David" w:cs="David"/>
          <w:b/>
          <w:bCs/>
          <w:sz w:val="24"/>
          <w:szCs w:val="24"/>
          <w:rtl/>
        </w:rPr>
        <w:t>: "</w:t>
      </w:r>
      <w:r w:rsidRPr="00A53A5A">
        <w:rPr>
          <w:rFonts w:ascii="David" w:hAnsi="David" w:cs="David" w:hint="eastAsia"/>
          <w:b/>
          <w:bCs/>
          <w:sz w:val="24"/>
          <w:szCs w:val="24"/>
          <w:rtl/>
        </w:rPr>
        <w:t>חוק</w:t>
      </w:r>
      <w:r w:rsidRPr="00A53A5A">
        <w:rPr>
          <w:rFonts w:ascii="David" w:hAnsi="David" w:cs="David"/>
          <w:b/>
          <w:bCs/>
          <w:sz w:val="24"/>
          <w:szCs w:val="24"/>
          <w:rtl/>
        </w:rPr>
        <w:t xml:space="preserve"> </w:t>
      </w:r>
      <w:r w:rsidRPr="00A53A5A">
        <w:rPr>
          <w:rFonts w:ascii="David" w:hAnsi="David" w:cs="David" w:hint="eastAsia"/>
          <w:b/>
          <w:bCs/>
          <w:sz w:val="24"/>
          <w:szCs w:val="24"/>
          <w:rtl/>
        </w:rPr>
        <w:t>העונשין</w:t>
      </w:r>
      <w:r w:rsidRPr="00A53A5A">
        <w:rPr>
          <w:rFonts w:ascii="David" w:hAnsi="David" w:cs="David"/>
          <w:b/>
          <w:bCs/>
          <w:sz w:val="24"/>
          <w:szCs w:val="24"/>
          <w:rtl/>
        </w:rPr>
        <w:t>"</w:t>
      </w:r>
      <w:r w:rsidRPr="00A53A5A">
        <w:rPr>
          <w:rFonts w:ascii="David" w:hAnsi="David" w:cs="David"/>
          <w:sz w:val="24"/>
          <w:szCs w:val="24"/>
          <w:rtl/>
        </w:rPr>
        <w:t>);</w:t>
      </w:r>
    </w:p>
    <w:p w14:paraId="5C939DD5" w14:textId="77777777" w:rsidR="00A24187" w:rsidRPr="00A53A5A" w:rsidRDefault="00A24187" w:rsidP="00A53A5A">
      <w:pPr>
        <w:spacing w:after="0" w:line="360" w:lineRule="auto"/>
        <w:contextualSpacing/>
        <w:jc w:val="both"/>
        <w:rPr>
          <w:rFonts w:ascii="David" w:hAnsi="David" w:cs="David"/>
          <w:sz w:val="24"/>
          <w:szCs w:val="24"/>
        </w:rPr>
      </w:pPr>
    </w:p>
    <w:p w14:paraId="261AC90D" w14:textId="77777777" w:rsidR="00A24187" w:rsidRPr="00A53A5A" w:rsidRDefault="00A24187" w:rsidP="00A53A5A">
      <w:pPr>
        <w:spacing w:after="0" w:line="360" w:lineRule="auto"/>
        <w:ind w:firstLine="720"/>
        <w:contextualSpacing/>
        <w:jc w:val="both"/>
        <w:rPr>
          <w:rFonts w:ascii="David" w:hAnsi="David" w:cs="David"/>
          <w:sz w:val="24"/>
          <w:szCs w:val="24"/>
          <w:rtl/>
        </w:rPr>
      </w:pPr>
      <w:r w:rsidRPr="00A53A5A">
        <w:rPr>
          <w:rFonts w:ascii="David" w:hAnsi="David" w:cs="David" w:hint="eastAsia"/>
          <w:b/>
          <w:bCs/>
          <w:sz w:val="24"/>
          <w:szCs w:val="24"/>
          <w:rtl/>
        </w:rPr>
        <w:t>ב</w:t>
      </w:r>
      <w:r w:rsidRPr="00A53A5A">
        <w:rPr>
          <w:rFonts w:ascii="David" w:hAnsi="David" w:cs="David"/>
          <w:sz w:val="24"/>
          <w:szCs w:val="24"/>
          <w:rtl/>
        </w:rPr>
        <w:t>.</w:t>
      </w:r>
      <w:r w:rsidRPr="00A53A5A">
        <w:rPr>
          <w:rFonts w:ascii="David" w:hAnsi="David" w:cs="David"/>
          <w:sz w:val="24"/>
          <w:szCs w:val="24"/>
          <w:rtl/>
        </w:rPr>
        <w:tab/>
      </w:r>
      <w:r w:rsidRPr="00A53A5A">
        <w:rPr>
          <w:rFonts w:ascii="David" w:hAnsi="David" w:cs="David" w:hint="eastAsia"/>
          <w:sz w:val="24"/>
          <w:szCs w:val="24"/>
          <w:rtl/>
        </w:rPr>
        <w:t>נשיאה</w:t>
      </w:r>
      <w:r w:rsidRPr="00A53A5A">
        <w:rPr>
          <w:rFonts w:ascii="David" w:hAnsi="David" w:cs="David"/>
          <w:sz w:val="24"/>
          <w:szCs w:val="24"/>
          <w:rtl/>
        </w:rPr>
        <w:t xml:space="preserve"> </w:t>
      </w:r>
      <w:r w:rsidRPr="00A53A5A">
        <w:rPr>
          <w:rFonts w:ascii="David" w:hAnsi="David" w:cs="David" w:hint="eastAsia"/>
          <w:sz w:val="24"/>
          <w:szCs w:val="24"/>
          <w:rtl/>
        </w:rPr>
        <w:t>והובלה</w:t>
      </w:r>
      <w:r w:rsidRPr="00A53A5A">
        <w:rPr>
          <w:rFonts w:ascii="David" w:hAnsi="David" w:cs="David"/>
          <w:sz w:val="24"/>
          <w:szCs w:val="24"/>
          <w:rtl/>
        </w:rPr>
        <w:t xml:space="preserve"> </w:t>
      </w:r>
      <w:r w:rsidRPr="00A53A5A">
        <w:rPr>
          <w:rFonts w:ascii="David" w:hAnsi="David" w:cs="David" w:hint="eastAsia"/>
          <w:sz w:val="24"/>
          <w:szCs w:val="24"/>
          <w:rtl/>
        </w:rPr>
        <w:t>של</w:t>
      </w:r>
      <w:r w:rsidRPr="00A53A5A">
        <w:rPr>
          <w:rFonts w:ascii="David" w:hAnsi="David" w:cs="David"/>
          <w:sz w:val="24"/>
          <w:szCs w:val="24"/>
          <w:rtl/>
        </w:rPr>
        <w:t xml:space="preserve"> </w:t>
      </w:r>
      <w:r w:rsidRPr="00A53A5A">
        <w:rPr>
          <w:rFonts w:ascii="David" w:hAnsi="David" w:cs="David" w:hint="eastAsia"/>
          <w:sz w:val="24"/>
          <w:szCs w:val="24"/>
          <w:rtl/>
        </w:rPr>
        <w:t>נשק</w:t>
      </w:r>
      <w:r w:rsidRPr="00A53A5A">
        <w:rPr>
          <w:rFonts w:ascii="David" w:hAnsi="David" w:cs="David"/>
          <w:sz w:val="24"/>
          <w:szCs w:val="24"/>
          <w:rtl/>
        </w:rPr>
        <w:t xml:space="preserve"> </w:t>
      </w:r>
      <w:r w:rsidRPr="00A53A5A">
        <w:rPr>
          <w:rFonts w:ascii="David" w:hAnsi="David" w:cs="David" w:hint="eastAsia"/>
          <w:sz w:val="24"/>
          <w:szCs w:val="24"/>
          <w:rtl/>
        </w:rPr>
        <w:t>שלא</w:t>
      </w:r>
      <w:r w:rsidRPr="00A53A5A">
        <w:rPr>
          <w:rFonts w:ascii="David" w:hAnsi="David" w:cs="David"/>
          <w:sz w:val="24"/>
          <w:szCs w:val="24"/>
          <w:rtl/>
        </w:rPr>
        <w:t xml:space="preserve"> </w:t>
      </w:r>
      <w:r w:rsidRPr="00A53A5A">
        <w:rPr>
          <w:rFonts w:ascii="David" w:hAnsi="David" w:cs="David" w:hint="eastAsia"/>
          <w:sz w:val="24"/>
          <w:szCs w:val="24"/>
          <w:rtl/>
        </w:rPr>
        <w:t>כדין</w:t>
      </w:r>
      <w:r w:rsidRPr="00A53A5A">
        <w:rPr>
          <w:rFonts w:ascii="David" w:hAnsi="David" w:cs="David"/>
          <w:b/>
          <w:bCs/>
          <w:sz w:val="24"/>
          <w:szCs w:val="24"/>
          <w:rtl/>
        </w:rPr>
        <w:t xml:space="preserve"> </w:t>
      </w:r>
      <w:r w:rsidRPr="00A53A5A">
        <w:rPr>
          <w:rFonts w:ascii="David" w:hAnsi="David" w:cs="David"/>
          <w:sz w:val="24"/>
          <w:szCs w:val="24"/>
          <w:rtl/>
        </w:rPr>
        <w:t xml:space="preserve">- </w:t>
      </w:r>
      <w:r w:rsidRPr="00A53A5A">
        <w:rPr>
          <w:rFonts w:ascii="David" w:hAnsi="David" w:cs="David" w:hint="eastAsia"/>
          <w:sz w:val="24"/>
          <w:szCs w:val="24"/>
          <w:rtl/>
        </w:rPr>
        <w:t>עבירה</w:t>
      </w:r>
      <w:r w:rsidRPr="00A53A5A">
        <w:rPr>
          <w:rFonts w:ascii="David" w:hAnsi="David" w:cs="David"/>
          <w:sz w:val="24"/>
          <w:szCs w:val="24"/>
          <w:rtl/>
        </w:rPr>
        <w:t xml:space="preserve"> </w:t>
      </w:r>
      <w:r w:rsidRPr="00A53A5A">
        <w:rPr>
          <w:rFonts w:ascii="David" w:hAnsi="David" w:cs="David" w:hint="eastAsia"/>
          <w:sz w:val="24"/>
          <w:szCs w:val="24"/>
          <w:rtl/>
        </w:rPr>
        <w:t>לפי</w:t>
      </w:r>
      <w:r w:rsidRPr="00A53A5A">
        <w:rPr>
          <w:rFonts w:ascii="David" w:hAnsi="David" w:cs="David"/>
          <w:sz w:val="24"/>
          <w:szCs w:val="24"/>
          <w:rtl/>
        </w:rPr>
        <w:t xml:space="preserve"> </w:t>
      </w:r>
      <w:hyperlink r:id="rId27" w:history="1">
        <w:r w:rsidR="0037284E" w:rsidRPr="0037284E">
          <w:rPr>
            <w:rFonts w:ascii="David" w:hAnsi="David" w:cs="David"/>
            <w:color w:val="0000FF"/>
            <w:sz w:val="24"/>
            <w:szCs w:val="24"/>
            <w:u w:val="single"/>
            <w:rtl/>
          </w:rPr>
          <w:t>סעיף 144(ב)</w:t>
        </w:r>
      </w:hyperlink>
      <w:r w:rsidRPr="00A53A5A">
        <w:rPr>
          <w:rFonts w:ascii="David" w:hAnsi="David" w:cs="David"/>
          <w:sz w:val="24"/>
          <w:szCs w:val="24"/>
          <w:rtl/>
        </w:rPr>
        <w:t xml:space="preserve"> </w:t>
      </w:r>
      <w:r w:rsidRPr="00A53A5A">
        <w:rPr>
          <w:rFonts w:ascii="David" w:hAnsi="David" w:cs="David" w:hint="eastAsia"/>
          <w:sz w:val="24"/>
          <w:szCs w:val="24"/>
          <w:rtl/>
        </w:rPr>
        <w:t>רישא</w:t>
      </w:r>
      <w:r w:rsidRPr="00A53A5A">
        <w:rPr>
          <w:rFonts w:ascii="David" w:hAnsi="David" w:cs="David"/>
          <w:sz w:val="24"/>
          <w:szCs w:val="24"/>
          <w:rtl/>
        </w:rPr>
        <w:t xml:space="preserve"> </w:t>
      </w:r>
      <w:r w:rsidRPr="00A53A5A">
        <w:rPr>
          <w:rFonts w:ascii="David" w:hAnsi="David" w:cs="David" w:hint="eastAsia"/>
          <w:sz w:val="24"/>
          <w:szCs w:val="24"/>
          <w:rtl/>
        </w:rPr>
        <w:t>ל</w:t>
      </w:r>
      <w:hyperlink r:id="rId28" w:history="1">
        <w:r w:rsidR="009506D2" w:rsidRPr="009506D2">
          <w:rPr>
            <w:rFonts w:ascii="David" w:hAnsi="David" w:cs="David"/>
            <w:color w:val="0000FF"/>
            <w:sz w:val="24"/>
            <w:szCs w:val="24"/>
            <w:u w:val="single"/>
            <w:rtl/>
          </w:rPr>
          <w:t>חוק העונשין</w:t>
        </w:r>
      </w:hyperlink>
      <w:r w:rsidRPr="00A53A5A">
        <w:rPr>
          <w:rFonts w:ascii="David" w:hAnsi="David" w:cs="David"/>
          <w:sz w:val="24"/>
          <w:szCs w:val="24"/>
          <w:rtl/>
        </w:rPr>
        <w:t xml:space="preserve">; </w:t>
      </w:r>
    </w:p>
    <w:p w14:paraId="6C9FB4F0" w14:textId="77777777" w:rsidR="00A24187" w:rsidRPr="00A53A5A" w:rsidRDefault="00A24187" w:rsidP="00A53A5A">
      <w:pPr>
        <w:spacing w:after="0" w:line="360" w:lineRule="auto"/>
        <w:contextualSpacing/>
        <w:jc w:val="both"/>
        <w:rPr>
          <w:rFonts w:ascii="David" w:hAnsi="David" w:cs="David"/>
          <w:sz w:val="24"/>
          <w:szCs w:val="24"/>
        </w:rPr>
      </w:pPr>
    </w:p>
    <w:p w14:paraId="45ED4463" w14:textId="77777777" w:rsidR="00A24187" w:rsidRPr="00A53A5A" w:rsidRDefault="00A24187" w:rsidP="00A53A5A">
      <w:pPr>
        <w:spacing w:after="0" w:line="360" w:lineRule="auto"/>
        <w:ind w:firstLine="720"/>
        <w:contextualSpacing/>
        <w:jc w:val="both"/>
        <w:rPr>
          <w:rFonts w:ascii="David" w:hAnsi="David" w:cs="David"/>
          <w:sz w:val="24"/>
          <w:szCs w:val="24"/>
          <w:rtl/>
        </w:rPr>
      </w:pPr>
      <w:r w:rsidRPr="00A53A5A">
        <w:rPr>
          <w:rFonts w:ascii="David" w:hAnsi="David" w:cs="David" w:hint="eastAsia"/>
          <w:b/>
          <w:bCs/>
          <w:sz w:val="24"/>
          <w:szCs w:val="24"/>
          <w:rtl/>
        </w:rPr>
        <w:t>ג</w:t>
      </w:r>
      <w:r w:rsidRPr="00A53A5A">
        <w:rPr>
          <w:rFonts w:ascii="David" w:hAnsi="David" w:cs="David"/>
          <w:sz w:val="24"/>
          <w:szCs w:val="24"/>
          <w:rtl/>
        </w:rPr>
        <w:t>.</w:t>
      </w:r>
      <w:r w:rsidRPr="00A53A5A">
        <w:rPr>
          <w:rFonts w:ascii="David" w:hAnsi="David" w:cs="David"/>
          <w:sz w:val="24"/>
          <w:szCs w:val="24"/>
          <w:rtl/>
        </w:rPr>
        <w:tab/>
      </w:r>
      <w:r w:rsidRPr="00A53A5A">
        <w:rPr>
          <w:rFonts w:ascii="David" w:hAnsi="David" w:cs="David" w:hint="eastAsia"/>
          <w:sz w:val="24"/>
          <w:szCs w:val="24"/>
          <w:rtl/>
        </w:rPr>
        <w:t>יריות</w:t>
      </w:r>
      <w:r w:rsidRPr="00A53A5A">
        <w:rPr>
          <w:rFonts w:ascii="David" w:hAnsi="David" w:cs="David"/>
          <w:sz w:val="24"/>
          <w:szCs w:val="24"/>
          <w:rtl/>
        </w:rPr>
        <w:t xml:space="preserve"> </w:t>
      </w:r>
      <w:r w:rsidRPr="00A53A5A">
        <w:rPr>
          <w:rFonts w:ascii="David" w:hAnsi="David" w:cs="David" w:hint="eastAsia"/>
          <w:sz w:val="24"/>
          <w:szCs w:val="24"/>
          <w:rtl/>
        </w:rPr>
        <w:t>בנשק</w:t>
      </w:r>
      <w:r w:rsidRPr="00A53A5A">
        <w:rPr>
          <w:rFonts w:ascii="David" w:hAnsi="David" w:cs="David"/>
          <w:sz w:val="24"/>
          <w:szCs w:val="24"/>
          <w:rtl/>
        </w:rPr>
        <w:t xml:space="preserve"> </w:t>
      </w:r>
      <w:r w:rsidRPr="00A53A5A">
        <w:rPr>
          <w:rFonts w:ascii="David" w:hAnsi="David" w:cs="David" w:hint="eastAsia"/>
          <w:sz w:val="24"/>
          <w:szCs w:val="24"/>
          <w:rtl/>
        </w:rPr>
        <w:t>חם</w:t>
      </w:r>
      <w:r w:rsidRPr="00A53A5A">
        <w:rPr>
          <w:rFonts w:ascii="David" w:hAnsi="David" w:cs="David"/>
          <w:sz w:val="24"/>
          <w:szCs w:val="24"/>
          <w:rtl/>
        </w:rPr>
        <w:t xml:space="preserve"> </w:t>
      </w:r>
      <w:r w:rsidRPr="00A53A5A">
        <w:rPr>
          <w:rFonts w:ascii="David" w:hAnsi="David" w:cs="David" w:hint="eastAsia"/>
          <w:sz w:val="24"/>
          <w:szCs w:val="24"/>
          <w:rtl/>
        </w:rPr>
        <w:t>באזור</w:t>
      </w:r>
      <w:r w:rsidRPr="00A53A5A">
        <w:rPr>
          <w:rFonts w:ascii="David" w:hAnsi="David" w:cs="David"/>
          <w:sz w:val="24"/>
          <w:szCs w:val="24"/>
          <w:rtl/>
        </w:rPr>
        <w:t xml:space="preserve"> </w:t>
      </w:r>
      <w:r w:rsidRPr="00A53A5A">
        <w:rPr>
          <w:rFonts w:ascii="David" w:hAnsi="David" w:cs="David" w:hint="eastAsia"/>
          <w:sz w:val="24"/>
          <w:szCs w:val="24"/>
          <w:rtl/>
        </w:rPr>
        <w:t>מגורים</w:t>
      </w:r>
      <w:r w:rsidRPr="00A53A5A">
        <w:rPr>
          <w:rFonts w:ascii="David" w:hAnsi="David" w:cs="David"/>
          <w:sz w:val="24"/>
          <w:szCs w:val="24"/>
          <w:rtl/>
        </w:rPr>
        <w:t xml:space="preserve"> - </w:t>
      </w:r>
      <w:r w:rsidRPr="00A53A5A">
        <w:rPr>
          <w:rFonts w:ascii="David" w:hAnsi="David" w:cs="David" w:hint="eastAsia"/>
          <w:sz w:val="24"/>
          <w:szCs w:val="24"/>
          <w:rtl/>
        </w:rPr>
        <w:t>עבירה</w:t>
      </w:r>
      <w:r w:rsidRPr="00A53A5A">
        <w:rPr>
          <w:rFonts w:ascii="David" w:hAnsi="David" w:cs="David"/>
          <w:sz w:val="24"/>
          <w:szCs w:val="24"/>
          <w:rtl/>
        </w:rPr>
        <w:t xml:space="preserve"> </w:t>
      </w:r>
      <w:r w:rsidRPr="00A53A5A">
        <w:rPr>
          <w:rFonts w:ascii="David" w:hAnsi="David" w:cs="David" w:hint="eastAsia"/>
          <w:sz w:val="24"/>
          <w:szCs w:val="24"/>
          <w:rtl/>
        </w:rPr>
        <w:t>לפי</w:t>
      </w:r>
      <w:r w:rsidRPr="00A53A5A">
        <w:rPr>
          <w:rFonts w:ascii="David" w:hAnsi="David" w:cs="David"/>
          <w:sz w:val="24"/>
          <w:szCs w:val="24"/>
          <w:rtl/>
        </w:rPr>
        <w:t xml:space="preserve"> </w:t>
      </w:r>
      <w:hyperlink r:id="rId29" w:history="1">
        <w:r w:rsidR="0037284E" w:rsidRPr="0037284E">
          <w:rPr>
            <w:rFonts w:ascii="David" w:hAnsi="David" w:cs="David"/>
            <w:color w:val="0000FF"/>
            <w:sz w:val="24"/>
            <w:szCs w:val="24"/>
            <w:u w:val="single"/>
            <w:rtl/>
          </w:rPr>
          <w:t>סעיף 340א</w:t>
        </w:r>
      </w:hyperlink>
      <w:r w:rsidRPr="00A53A5A">
        <w:rPr>
          <w:rFonts w:ascii="David" w:hAnsi="David" w:cs="David"/>
          <w:sz w:val="24"/>
          <w:szCs w:val="24"/>
          <w:rtl/>
        </w:rPr>
        <w:t xml:space="preserve"> </w:t>
      </w:r>
      <w:r w:rsidRPr="00A53A5A">
        <w:rPr>
          <w:rFonts w:ascii="David" w:hAnsi="David" w:cs="David" w:hint="eastAsia"/>
          <w:sz w:val="24"/>
          <w:szCs w:val="24"/>
          <w:rtl/>
        </w:rPr>
        <w:t>ל</w:t>
      </w:r>
      <w:hyperlink r:id="rId30" w:history="1">
        <w:r w:rsidR="009506D2" w:rsidRPr="009506D2">
          <w:rPr>
            <w:rFonts w:ascii="David" w:hAnsi="David" w:cs="David"/>
            <w:color w:val="0000FF"/>
            <w:sz w:val="24"/>
            <w:szCs w:val="24"/>
            <w:u w:val="single"/>
            <w:rtl/>
          </w:rPr>
          <w:t>חוק העונשין</w:t>
        </w:r>
      </w:hyperlink>
      <w:r w:rsidRPr="00A53A5A">
        <w:rPr>
          <w:rFonts w:ascii="David" w:hAnsi="David" w:cs="David"/>
          <w:sz w:val="24"/>
          <w:szCs w:val="24"/>
          <w:rtl/>
        </w:rPr>
        <w:t>;</w:t>
      </w:r>
    </w:p>
    <w:p w14:paraId="3A6564B4" w14:textId="77777777" w:rsidR="00A24187" w:rsidRPr="00A53A5A" w:rsidRDefault="00A24187" w:rsidP="00A53A5A">
      <w:pPr>
        <w:spacing w:after="0" w:line="360" w:lineRule="auto"/>
        <w:contextualSpacing/>
        <w:jc w:val="both"/>
        <w:rPr>
          <w:rFonts w:ascii="David" w:hAnsi="David" w:cs="David"/>
          <w:sz w:val="24"/>
          <w:szCs w:val="24"/>
        </w:rPr>
      </w:pPr>
    </w:p>
    <w:p w14:paraId="5ED525F4" w14:textId="77777777" w:rsidR="00A24187" w:rsidRPr="00A53A5A" w:rsidRDefault="00A24187" w:rsidP="00A53A5A">
      <w:pPr>
        <w:spacing w:after="0" w:line="360" w:lineRule="auto"/>
        <w:ind w:left="1440" w:hanging="720"/>
        <w:contextualSpacing/>
        <w:jc w:val="both"/>
        <w:rPr>
          <w:rFonts w:ascii="David" w:hAnsi="David" w:cs="David"/>
          <w:sz w:val="24"/>
          <w:szCs w:val="24"/>
          <w:rtl/>
        </w:rPr>
      </w:pPr>
      <w:r w:rsidRPr="00A53A5A">
        <w:rPr>
          <w:rFonts w:ascii="David" w:hAnsi="David" w:cs="David" w:hint="eastAsia"/>
          <w:b/>
          <w:bCs/>
          <w:sz w:val="24"/>
          <w:szCs w:val="24"/>
          <w:rtl/>
        </w:rPr>
        <w:t>ד</w:t>
      </w:r>
      <w:r w:rsidRPr="00A53A5A">
        <w:rPr>
          <w:rFonts w:ascii="David" w:hAnsi="David" w:cs="David"/>
          <w:sz w:val="24"/>
          <w:szCs w:val="24"/>
          <w:rtl/>
        </w:rPr>
        <w:t>.</w:t>
      </w:r>
      <w:r w:rsidRPr="00A53A5A">
        <w:rPr>
          <w:rFonts w:ascii="David" w:hAnsi="David" w:cs="David"/>
          <w:sz w:val="24"/>
          <w:szCs w:val="24"/>
          <w:rtl/>
        </w:rPr>
        <w:tab/>
      </w:r>
      <w:r w:rsidRPr="00A53A5A">
        <w:rPr>
          <w:rFonts w:ascii="David" w:hAnsi="David" w:cs="David" w:hint="eastAsia"/>
          <w:sz w:val="24"/>
          <w:szCs w:val="24"/>
          <w:rtl/>
        </w:rPr>
        <w:t>הסתייעות</w:t>
      </w:r>
      <w:r w:rsidRPr="00A53A5A">
        <w:rPr>
          <w:rFonts w:ascii="David" w:hAnsi="David" w:cs="David"/>
          <w:sz w:val="24"/>
          <w:szCs w:val="24"/>
          <w:rtl/>
        </w:rPr>
        <w:t xml:space="preserve"> </w:t>
      </w:r>
      <w:r w:rsidRPr="00A53A5A">
        <w:rPr>
          <w:rFonts w:ascii="David" w:hAnsi="David" w:cs="David" w:hint="eastAsia"/>
          <w:sz w:val="24"/>
          <w:szCs w:val="24"/>
          <w:rtl/>
        </w:rPr>
        <w:t>ברכב</w:t>
      </w:r>
      <w:r w:rsidRPr="00A53A5A">
        <w:rPr>
          <w:rFonts w:ascii="David" w:hAnsi="David" w:cs="David"/>
          <w:sz w:val="24"/>
          <w:szCs w:val="24"/>
          <w:rtl/>
        </w:rPr>
        <w:t xml:space="preserve"> </w:t>
      </w:r>
      <w:r w:rsidRPr="00A53A5A">
        <w:rPr>
          <w:rFonts w:ascii="David" w:hAnsi="David" w:cs="David" w:hint="eastAsia"/>
          <w:sz w:val="24"/>
          <w:szCs w:val="24"/>
          <w:rtl/>
        </w:rPr>
        <w:t>לביצוע</w:t>
      </w:r>
      <w:r w:rsidRPr="00A53A5A">
        <w:rPr>
          <w:rFonts w:ascii="David" w:hAnsi="David" w:cs="David"/>
          <w:sz w:val="24"/>
          <w:szCs w:val="24"/>
          <w:rtl/>
        </w:rPr>
        <w:t xml:space="preserve"> </w:t>
      </w:r>
      <w:r w:rsidRPr="00A53A5A">
        <w:rPr>
          <w:rFonts w:ascii="David" w:hAnsi="David" w:cs="David" w:hint="eastAsia"/>
          <w:sz w:val="24"/>
          <w:szCs w:val="24"/>
          <w:rtl/>
        </w:rPr>
        <w:t>פשע</w:t>
      </w:r>
      <w:r w:rsidRPr="00A53A5A">
        <w:rPr>
          <w:rFonts w:ascii="David" w:hAnsi="David" w:cs="David"/>
          <w:sz w:val="24"/>
          <w:szCs w:val="24"/>
          <w:rtl/>
        </w:rPr>
        <w:t xml:space="preserve"> - </w:t>
      </w:r>
      <w:r w:rsidRPr="00A53A5A">
        <w:rPr>
          <w:rFonts w:ascii="David" w:hAnsi="David" w:cs="David" w:hint="eastAsia"/>
          <w:sz w:val="24"/>
          <w:szCs w:val="24"/>
          <w:rtl/>
        </w:rPr>
        <w:t>עבירה</w:t>
      </w:r>
      <w:r w:rsidRPr="00A53A5A">
        <w:rPr>
          <w:rFonts w:ascii="David" w:hAnsi="David" w:cs="David"/>
          <w:sz w:val="24"/>
          <w:szCs w:val="24"/>
          <w:rtl/>
        </w:rPr>
        <w:t xml:space="preserve"> </w:t>
      </w:r>
      <w:r w:rsidRPr="00A53A5A">
        <w:rPr>
          <w:rFonts w:ascii="David" w:hAnsi="David" w:cs="David" w:hint="eastAsia"/>
          <w:sz w:val="24"/>
          <w:szCs w:val="24"/>
          <w:rtl/>
        </w:rPr>
        <w:t>לפי</w:t>
      </w:r>
      <w:r w:rsidRPr="00A53A5A">
        <w:rPr>
          <w:rFonts w:ascii="David" w:hAnsi="David" w:cs="David"/>
          <w:sz w:val="24"/>
          <w:szCs w:val="24"/>
          <w:rtl/>
        </w:rPr>
        <w:t xml:space="preserve"> </w:t>
      </w:r>
      <w:hyperlink r:id="rId31" w:history="1">
        <w:r w:rsidR="0037284E" w:rsidRPr="0037284E">
          <w:rPr>
            <w:rFonts w:ascii="David" w:hAnsi="David" w:cs="David"/>
            <w:color w:val="0000FF"/>
            <w:sz w:val="24"/>
            <w:szCs w:val="24"/>
            <w:u w:val="single"/>
            <w:rtl/>
          </w:rPr>
          <w:t>סעיף 43</w:t>
        </w:r>
      </w:hyperlink>
      <w:r w:rsidRPr="00A53A5A">
        <w:rPr>
          <w:rFonts w:ascii="David" w:hAnsi="David" w:cs="David"/>
          <w:sz w:val="24"/>
          <w:szCs w:val="24"/>
          <w:rtl/>
        </w:rPr>
        <w:t xml:space="preserve"> </w:t>
      </w:r>
      <w:r w:rsidRPr="00A53A5A">
        <w:rPr>
          <w:rFonts w:ascii="David" w:hAnsi="David" w:cs="David" w:hint="eastAsia"/>
          <w:sz w:val="24"/>
          <w:szCs w:val="24"/>
          <w:rtl/>
        </w:rPr>
        <w:t>ל</w:t>
      </w:r>
      <w:hyperlink r:id="rId32" w:history="1">
        <w:r w:rsidR="009506D2" w:rsidRPr="009506D2">
          <w:rPr>
            <w:rFonts w:ascii="David" w:hAnsi="David" w:cs="David"/>
            <w:color w:val="0000FF"/>
            <w:sz w:val="24"/>
            <w:szCs w:val="24"/>
            <w:u w:val="single"/>
            <w:rtl/>
          </w:rPr>
          <w:t>פקודת התעבורה</w:t>
        </w:r>
      </w:hyperlink>
      <w:r w:rsidRPr="00A53A5A">
        <w:rPr>
          <w:rFonts w:ascii="David" w:hAnsi="David" w:cs="David"/>
          <w:sz w:val="24"/>
          <w:szCs w:val="24"/>
          <w:rtl/>
        </w:rPr>
        <w:t xml:space="preserve"> (</w:t>
      </w:r>
      <w:r w:rsidRPr="00A53A5A">
        <w:rPr>
          <w:rFonts w:ascii="David" w:hAnsi="David" w:cs="David" w:hint="eastAsia"/>
          <w:sz w:val="24"/>
          <w:szCs w:val="24"/>
          <w:rtl/>
        </w:rPr>
        <w:t>נוסח</w:t>
      </w:r>
      <w:r w:rsidRPr="00A53A5A">
        <w:rPr>
          <w:rFonts w:ascii="David" w:hAnsi="David" w:cs="David"/>
          <w:sz w:val="24"/>
          <w:szCs w:val="24"/>
          <w:rtl/>
        </w:rPr>
        <w:t xml:space="preserve"> </w:t>
      </w:r>
      <w:r w:rsidRPr="00A53A5A">
        <w:rPr>
          <w:rFonts w:ascii="David" w:hAnsi="David" w:cs="David" w:hint="eastAsia"/>
          <w:sz w:val="24"/>
          <w:szCs w:val="24"/>
          <w:rtl/>
        </w:rPr>
        <w:t>חדש</w:t>
      </w:r>
      <w:r w:rsidRPr="00A53A5A">
        <w:rPr>
          <w:rFonts w:ascii="David" w:hAnsi="David" w:cs="David"/>
          <w:sz w:val="24"/>
          <w:szCs w:val="24"/>
          <w:rtl/>
        </w:rPr>
        <w:t xml:space="preserve">), </w:t>
      </w:r>
      <w:r w:rsidRPr="00A53A5A">
        <w:rPr>
          <w:rFonts w:ascii="David" w:hAnsi="David" w:cs="David" w:hint="eastAsia"/>
          <w:sz w:val="24"/>
          <w:szCs w:val="24"/>
          <w:rtl/>
        </w:rPr>
        <w:t>תשכ</w:t>
      </w:r>
      <w:r w:rsidRPr="00A53A5A">
        <w:rPr>
          <w:rFonts w:ascii="David" w:hAnsi="David" w:cs="David"/>
          <w:sz w:val="24"/>
          <w:szCs w:val="24"/>
          <w:rtl/>
        </w:rPr>
        <w:t>"</w:t>
      </w:r>
      <w:r w:rsidRPr="00A53A5A">
        <w:rPr>
          <w:rFonts w:ascii="David" w:hAnsi="David" w:cs="David" w:hint="eastAsia"/>
          <w:sz w:val="24"/>
          <w:szCs w:val="24"/>
          <w:rtl/>
        </w:rPr>
        <w:t>א</w:t>
      </w:r>
      <w:r w:rsidRPr="00A53A5A">
        <w:rPr>
          <w:rFonts w:ascii="David" w:hAnsi="David" w:cs="David"/>
          <w:sz w:val="24"/>
          <w:szCs w:val="24"/>
          <w:rtl/>
        </w:rPr>
        <w:t>-1961 (</w:t>
      </w:r>
      <w:r w:rsidRPr="00A53A5A">
        <w:rPr>
          <w:rFonts w:ascii="David" w:hAnsi="David" w:cs="David" w:hint="eastAsia"/>
          <w:b/>
          <w:bCs/>
          <w:sz w:val="24"/>
          <w:szCs w:val="24"/>
          <w:rtl/>
        </w:rPr>
        <w:t>להלן</w:t>
      </w:r>
      <w:r w:rsidRPr="00A53A5A">
        <w:rPr>
          <w:rFonts w:ascii="David" w:hAnsi="David" w:cs="David"/>
          <w:b/>
          <w:bCs/>
          <w:sz w:val="24"/>
          <w:szCs w:val="24"/>
          <w:rtl/>
        </w:rPr>
        <w:t>: "</w:t>
      </w:r>
      <w:r w:rsidRPr="00A53A5A">
        <w:rPr>
          <w:rFonts w:ascii="David" w:hAnsi="David" w:cs="David" w:hint="eastAsia"/>
          <w:b/>
          <w:bCs/>
          <w:sz w:val="24"/>
          <w:szCs w:val="24"/>
          <w:rtl/>
        </w:rPr>
        <w:t>פקודת</w:t>
      </w:r>
      <w:r w:rsidRPr="00A53A5A">
        <w:rPr>
          <w:rFonts w:ascii="David" w:hAnsi="David" w:cs="David"/>
          <w:b/>
          <w:bCs/>
          <w:sz w:val="24"/>
          <w:szCs w:val="24"/>
          <w:rtl/>
        </w:rPr>
        <w:t xml:space="preserve"> </w:t>
      </w:r>
      <w:r w:rsidRPr="00A53A5A">
        <w:rPr>
          <w:rFonts w:ascii="David" w:hAnsi="David" w:cs="David" w:hint="eastAsia"/>
          <w:b/>
          <w:bCs/>
          <w:sz w:val="24"/>
          <w:szCs w:val="24"/>
          <w:rtl/>
        </w:rPr>
        <w:t>התעבורה</w:t>
      </w:r>
      <w:r w:rsidRPr="00A53A5A">
        <w:rPr>
          <w:rFonts w:ascii="David" w:hAnsi="David" w:cs="David"/>
          <w:b/>
          <w:bCs/>
          <w:sz w:val="24"/>
          <w:szCs w:val="24"/>
          <w:rtl/>
        </w:rPr>
        <w:t>"</w:t>
      </w:r>
      <w:r w:rsidRPr="00A53A5A">
        <w:rPr>
          <w:rFonts w:ascii="David" w:hAnsi="David" w:cs="David"/>
          <w:sz w:val="24"/>
          <w:szCs w:val="24"/>
          <w:rtl/>
        </w:rPr>
        <w:t xml:space="preserve">); </w:t>
      </w:r>
    </w:p>
    <w:p w14:paraId="321DF64E" w14:textId="77777777" w:rsidR="00A24187" w:rsidRPr="00A53A5A" w:rsidRDefault="00A24187" w:rsidP="00A53A5A">
      <w:pPr>
        <w:spacing w:after="0" w:line="360" w:lineRule="auto"/>
        <w:contextualSpacing/>
        <w:jc w:val="both"/>
        <w:rPr>
          <w:rFonts w:ascii="David" w:hAnsi="David" w:cs="David"/>
          <w:sz w:val="24"/>
          <w:szCs w:val="24"/>
        </w:rPr>
      </w:pPr>
    </w:p>
    <w:p w14:paraId="427EE10F" w14:textId="77777777" w:rsidR="00A24187" w:rsidRPr="00A53A5A" w:rsidRDefault="00A24187" w:rsidP="00A53A5A">
      <w:pPr>
        <w:spacing w:after="0" w:line="360" w:lineRule="auto"/>
        <w:ind w:firstLine="720"/>
        <w:contextualSpacing/>
        <w:jc w:val="both"/>
        <w:rPr>
          <w:rFonts w:ascii="David" w:hAnsi="David" w:cs="David"/>
          <w:sz w:val="24"/>
          <w:szCs w:val="24"/>
          <w:rtl/>
        </w:rPr>
      </w:pPr>
      <w:r w:rsidRPr="00A53A5A">
        <w:rPr>
          <w:rFonts w:ascii="David" w:hAnsi="David" w:cs="David" w:hint="eastAsia"/>
          <w:b/>
          <w:bCs/>
          <w:sz w:val="24"/>
          <w:szCs w:val="24"/>
          <w:rtl/>
        </w:rPr>
        <w:t>ה</w:t>
      </w:r>
      <w:r w:rsidRPr="00A53A5A">
        <w:rPr>
          <w:rFonts w:ascii="David" w:hAnsi="David" w:cs="David"/>
          <w:sz w:val="24"/>
          <w:szCs w:val="24"/>
          <w:rtl/>
        </w:rPr>
        <w:t>.</w:t>
      </w:r>
      <w:r w:rsidRPr="00A53A5A">
        <w:rPr>
          <w:rFonts w:ascii="David" w:hAnsi="David" w:cs="David"/>
          <w:sz w:val="24"/>
          <w:szCs w:val="24"/>
          <w:rtl/>
        </w:rPr>
        <w:tab/>
      </w:r>
      <w:r w:rsidRPr="00A53A5A">
        <w:rPr>
          <w:rFonts w:ascii="David" w:hAnsi="David" w:cs="David" w:hint="eastAsia"/>
          <w:sz w:val="24"/>
          <w:szCs w:val="24"/>
          <w:rtl/>
        </w:rPr>
        <w:t>נהיגה</w:t>
      </w:r>
      <w:r w:rsidRPr="00A53A5A">
        <w:rPr>
          <w:rFonts w:ascii="David" w:hAnsi="David" w:cs="David"/>
          <w:sz w:val="24"/>
          <w:szCs w:val="24"/>
          <w:rtl/>
        </w:rPr>
        <w:t xml:space="preserve"> </w:t>
      </w:r>
      <w:r w:rsidRPr="00A53A5A">
        <w:rPr>
          <w:rFonts w:ascii="David" w:hAnsi="David" w:cs="David" w:hint="eastAsia"/>
          <w:sz w:val="24"/>
          <w:szCs w:val="24"/>
          <w:rtl/>
        </w:rPr>
        <w:t>בלא</w:t>
      </w:r>
      <w:r w:rsidRPr="00A53A5A">
        <w:rPr>
          <w:rFonts w:ascii="David" w:hAnsi="David" w:cs="David"/>
          <w:sz w:val="24"/>
          <w:szCs w:val="24"/>
          <w:rtl/>
        </w:rPr>
        <w:t xml:space="preserve"> </w:t>
      </w:r>
      <w:r w:rsidRPr="00A53A5A">
        <w:rPr>
          <w:rFonts w:ascii="David" w:hAnsi="David" w:cs="David" w:hint="eastAsia"/>
          <w:sz w:val="24"/>
          <w:szCs w:val="24"/>
          <w:rtl/>
        </w:rPr>
        <w:t>רישיון</w:t>
      </w:r>
      <w:r w:rsidRPr="00A53A5A">
        <w:rPr>
          <w:rFonts w:ascii="David" w:hAnsi="David" w:cs="David"/>
          <w:sz w:val="24"/>
          <w:szCs w:val="24"/>
          <w:rtl/>
        </w:rPr>
        <w:t xml:space="preserve"> </w:t>
      </w:r>
      <w:r w:rsidRPr="00A53A5A">
        <w:rPr>
          <w:rFonts w:ascii="David" w:hAnsi="David" w:cs="David" w:hint="eastAsia"/>
          <w:sz w:val="24"/>
          <w:szCs w:val="24"/>
          <w:rtl/>
        </w:rPr>
        <w:t>נהיגה</w:t>
      </w:r>
      <w:r w:rsidRPr="00A53A5A">
        <w:rPr>
          <w:rFonts w:ascii="David" w:hAnsi="David" w:cs="David"/>
          <w:sz w:val="24"/>
          <w:szCs w:val="24"/>
          <w:rtl/>
        </w:rPr>
        <w:t xml:space="preserve"> - </w:t>
      </w:r>
      <w:r w:rsidRPr="00A53A5A">
        <w:rPr>
          <w:rFonts w:ascii="David" w:hAnsi="David" w:cs="David" w:hint="eastAsia"/>
          <w:sz w:val="24"/>
          <w:szCs w:val="24"/>
          <w:rtl/>
        </w:rPr>
        <w:t>עבירה</w:t>
      </w:r>
      <w:r w:rsidRPr="00A53A5A">
        <w:rPr>
          <w:rFonts w:ascii="David" w:hAnsi="David" w:cs="David"/>
          <w:sz w:val="24"/>
          <w:szCs w:val="24"/>
          <w:rtl/>
        </w:rPr>
        <w:t xml:space="preserve"> </w:t>
      </w:r>
      <w:r w:rsidRPr="00A53A5A">
        <w:rPr>
          <w:rFonts w:ascii="David" w:hAnsi="David" w:cs="David" w:hint="eastAsia"/>
          <w:sz w:val="24"/>
          <w:szCs w:val="24"/>
          <w:rtl/>
        </w:rPr>
        <w:t>לפי</w:t>
      </w:r>
      <w:r w:rsidRPr="00A53A5A">
        <w:rPr>
          <w:rFonts w:ascii="David" w:hAnsi="David" w:cs="David"/>
          <w:sz w:val="24"/>
          <w:szCs w:val="24"/>
          <w:rtl/>
        </w:rPr>
        <w:t xml:space="preserve"> </w:t>
      </w:r>
      <w:hyperlink r:id="rId33" w:history="1">
        <w:r w:rsidR="0037284E" w:rsidRPr="0037284E">
          <w:rPr>
            <w:rFonts w:ascii="David" w:hAnsi="David" w:cs="David"/>
            <w:color w:val="0000FF"/>
            <w:sz w:val="24"/>
            <w:szCs w:val="24"/>
            <w:u w:val="single"/>
            <w:rtl/>
          </w:rPr>
          <w:t>סעיף 10(א)</w:t>
        </w:r>
      </w:hyperlink>
      <w:r w:rsidRPr="00A53A5A">
        <w:rPr>
          <w:rFonts w:ascii="David" w:hAnsi="David" w:cs="David"/>
          <w:sz w:val="24"/>
          <w:szCs w:val="24"/>
          <w:rtl/>
        </w:rPr>
        <w:t xml:space="preserve"> </w:t>
      </w:r>
      <w:r w:rsidRPr="00A53A5A">
        <w:rPr>
          <w:rFonts w:ascii="David" w:hAnsi="David" w:cs="David" w:hint="eastAsia"/>
          <w:sz w:val="24"/>
          <w:szCs w:val="24"/>
          <w:rtl/>
        </w:rPr>
        <w:t>ל</w:t>
      </w:r>
      <w:hyperlink r:id="rId34" w:history="1">
        <w:r w:rsidR="009506D2" w:rsidRPr="009506D2">
          <w:rPr>
            <w:rFonts w:ascii="David" w:hAnsi="David" w:cs="David"/>
            <w:color w:val="0000FF"/>
            <w:sz w:val="24"/>
            <w:szCs w:val="24"/>
            <w:u w:val="single"/>
            <w:rtl/>
          </w:rPr>
          <w:t>פקודת התעבורה</w:t>
        </w:r>
      </w:hyperlink>
      <w:r w:rsidRPr="00A53A5A">
        <w:rPr>
          <w:rFonts w:ascii="David" w:hAnsi="David" w:cs="David"/>
          <w:sz w:val="24"/>
          <w:szCs w:val="24"/>
          <w:rtl/>
        </w:rPr>
        <w:t xml:space="preserve">; </w:t>
      </w:r>
    </w:p>
    <w:p w14:paraId="188CC44F" w14:textId="77777777" w:rsidR="00A24187" w:rsidRPr="00A53A5A" w:rsidRDefault="00A24187" w:rsidP="00A53A5A">
      <w:pPr>
        <w:spacing w:after="0" w:line="360" w:lineRule="auto"/>
        <w:contextualSpacing/>
        <w:jc w:val="both"/>
        <w:rPr>
          <w:rFonts w:ascii="David" w:hAnsi="David" w:cs="David"/>
          <w:sz w:val="24"/>
          <w:szCs w:val="24"/>
        </w:rPr>
      </w:pPr>
    </w:p>
    <w:p w14:paraId="6B53C597" w14:textId="77777777" w:rsidR="00A24187" w:rsidRPr="00A53A5A" w:rsidRDefault="00A24187" w:rsidP="00A53A5A">
      <w:pPr>
        <w:spacing w:after="0" w:line="360" w:lineRule="auto"/>
        <w:ind w:firstLine="720"/>
        <w:contextualSpacing/>
        <w:jc w:val="both"/>
        <w:rPr>
          <w:rFonts w:ascii="David" w:hAnsi="David" w:cs="David"/>
          <w:sz w:val="24"/>
          <w:szCs w:val="24"/>
          <w:rtl/>
        </w:rPr>
      </w:pPr>
      <w:r w:rsidRPr="00A53A5A">
        <w:rPr>
          <w:rFonts w:ascii="David" w:hAnsi="David" w:cs="David" w:hint="eastAsia"/>
          <w:b/>
          <w:bCs/>
          <w:sz w:val="24"/>
          <w:szCs w:val="24"/>
          <w:rtl/>
        </w:rPr>
        <w:t>ו</w:t>
      </w:r>
      <w:r w:rsidRPr="00A53A5A">
        <w:rPr>
          <w:rFonts w:ascii="David" w:hAnsi="David" w:cs="David"/>
          <w:sz w:val="24"/>
          <w:szCs w:val="24"/>
          <w:rtl/>
        </w:rPr>
        <w:t>.</w:t>
      </w:r>
      <w:r w:rsidRPr="00A53A5A">
        <w:rPr>
          <w:rFonts w:ascii="David" w:hAnsi="David" w:cs="David"/>
          <w:sz w:val="24"/>
          <w:szCs w:val="24"/>
          <w:rtl/>
        </w:rPr>
        <w:tab/>
      </w:r>
      <w:r w:rsidRPr="00A53A5A">
        <w:rPr>
          <w:rFonts w:ascii="David" w:hAnsi="David" w:cs="David" w:hint="eastAsia"/>
          <w:sz w:val="24"/>
          <w:szCs w:val="24"/>
          <w:rtl/>
        </w:rPr>
        <w:t>נהיגה</w:t>
      </w:r>
      <w:r w:rsidRPr="00A53A5A">
        <w:rPr>
          <w:rFonts w:ascii="David" w:hAnsi="David" w:cs="David"/>
          <w:sz w:val="24"/>
          <w:szCs w:val="24"/>
          <w:rtl/>
        </w:rPr>
        <w:t xml:space="preserve"> </w:t>
      </w:r>
      <w:r w:rsidRPr="00A53A5A">
        <w:rPr>
          <w:rFonts w:ascii="David" w:hAnsi="David" w:cs="David" w:hint="eastAsia"/>
          <w:sz w:val="24"/>
          <w:szCs w:val="24"/>
          <w:rtl/>
        </w:rPr>
        <w:t>בלא</w:t>
      </w:r>
      <w:r w:rsidRPr="00A53A5A">
        <w:rPr>
          <w:rFonts w:ascii="David" w:hAnsi="David" w:cs="David"/>
          <w:sz w:val="24"/>
          <w:szCs w:val="24"/>
          <w:rtl/>
        </w:rPr>
        <w:t xml:space="preserve"> </w:t>
      </w:r>
      <w:r w:rsidRPr="00A53A5A">
        <w:rPr>
          <w:rFonts w:ascii="David" w:hAnsi="David" w:cs="David" w:hint="eastAsia"/>
          <w:sz w:val="24"/>
          <w:szCs w:val="24"/>
          <w:rtl/>
        </w:rPr>
        <w:t>רישיון</w:t>
      </w:r>
      <w:r w:rsidRPr="00A53A5A">
        <w:rPr>
          <w:rFonts w:ascii="David" w:hAnsi="David" w:cs="David"/>
          <w:sz w:val="24"/>
          <w:szCs w:val="24"/>
          <w:rtl/>
        </w:rPr>
        <w:t xml:space="preserve"> </w:t>
      </w:r>
      <w:r w:rsidRPr="00A53A5A">
        <w:rPr>
          <w:rFonts w:ascii="David" w:hAnsi="David" w:cs="David" w:hint="eastAsia"/>
          <w:sz w:val="24"/>
          <w:szCs w:val="24"/>
          <w:rtl/>
        </w:rPr>
        <w:t>רכב</w:t>
      </w:r>
      <w:r w:rsidRPr="00A53A5A">
        <w:rPr>
          <w:rFonts w:ascii="David" w:hAnsi="David" w:cs="David"/>
          <w:sz w:val="24"/>
          <w:szCs w:val="24"/>
          <w:rtl/>
        </w:rPr>
        <w:t xml:space="preserve"> - </w:t>
      </w:r>
      <w:r w:rsidRPr="00A53A5A">
        <w:rPr>
          <w:rFonts w:ascii="David" w:hAnsi="David" w:cs="David" w:hint="eastAsia"/>
          <w:sz w:val="24"/>
          <w:szCs w:val="24"/>
          <w:rtl/>
        </w:rPr>
        <w:t>עבירה</w:t>
      </w:r>
      <w:r w:rsidRPr="00A53A5A">
        <w:rPr>
          <w:rFonts w:ascii="David" w:hAnsi="David" w:cs="David"/>
          <w:sz w:val="24"/>
          <w:szCs w:val="24"/>
          <w:rtl/>
        </w:rPr>
        <w:t xml:space="preserve"> </w:t>
      </w:r>
      <w:r w:rsidRPr="00A53A5A">
        <w:rPr>
          <w:rFonts w:ascii="David" w:hAnsi="David" w:cs="David" w:hint="eastAsia"/>
          <w:sz w:val="24"/>
          <w:szCs w:val="24"/>
          <w:rtl/>
        </w:rPr>
        <w:t>לפי</w:t>
      </w:r>
      <w:r w:rsidRPr="00A53A5A">
        <w:rPr>
          <w:rFonts w:ascii="David" w:hAnsi="David" w:cs="David"/>
          <w:sz w:val="24"/>
          <w:szCs w:val="24"/>
          <w:rtl/>
        </w:rPr>
        <w:t xml:space="preserve"> </w:t>
      </w:r>
      <w:hyperlink r:id="rId35" w:history="1">
        <w:r w:rsidR="0037284E" w:rsidRPr="0037284E">
          <w:rPr>
            <w:rFonts w:ascii="David" w:hAnsi="David" w:cs="David"/>
            <w:color w:val="0000FF"/>
            <w:sz w:val="24"/>
            <w:szCs w:val="24"/>
            <w:u w:val="single"/>
            <w:rtl/>
          </w:rPr>
          <w:t>סעיף 2</w:t>
        </w:r>
      </w:hyperlink>
      <w:r w:rsidRPr="00A53A5A">
        <w:rPr>
          <w:rFonts w:ascii="David" w:hAnsi="David" w:cs="David"/>
          <w:sz w:val="24"/>
          <w:szCs w:val="24"/>
          <w:rtl/>
        </w:rPr>
        <w:t xml:space="preserve"> </w:t>
      </w:r>
      <w:r w:rsidRPr="00A53A5A">
        <w:rPr>
          <w:rFonts w:ascii="David" w:hAnsi="David" w:cs="David" w:hint="eastAsia"/>
          <w:sz w:val="24"/>
          <w:szCs w:val="24"/>
          <w:rtl/>
        </w:rPr>
        <w:t>ל</w:t>
      </w:r>
      <w:hyperlink r:id="rId36" w:history="1">
        <w:r w:rsidR="009506D2" w:rsidRPr="009506D2">
          <w:rPr>
            <w:rFonts w:ascii="David" w:hAnsi="David" w:cs="David"/>
            <w:color w:val="0000FF"/>
            <w:sz w:val="24"/>
            <w:szCs w:val="24"/>
            <w:u w:val="single"/>
            <w:rtl/>
          </w:rPr>
          <w:t>פקודת התעבורה</w:t>
        </w:r>
      </w:hyperlink>
      <w:r w:rsidRPr="00A53A5A">
        <w:rPr>
          <w:rFonts w:ascii="David" w:hAnsi="David" w:cs="David"/>
          <w:sz w:val="24"/>
          <w:szCs w:val="24"/>
          <w:rtl/>
        </w:rPr>
        <w:t>;</w:t>
      </w:r>
    </w:p>
    <w:p w14:paraId="07D02938" w14:textId="77777777" w:rsidR="00A24187" w:rsidRPr="00A53A5A" w:rsidRDefault="00A24187" w:rsidP="00A53A5A">
      <w:pPr>
        <w:spacing w:after="0" w:line="360" w:lineRule="auto"/>
        <w:contextualSpacing/>
        <w:jc w:val="both"/>
        <w:rPr>
          <w:rFonts w:ascii="David" w:hAnsi="David" w:cs="David"/>
          <w:sz w:val="24"/>
          <w:szCs w:val="24"/>
        </w:rPr>
      </w:pPr>
    </w:p>
    <w:p w14:paraId="57CA0A75" w14:textId="77777777" w:rsidR="00A24187" w:rsidRPr="00A53A5A" w:rsidRDefault="00A24187" w:rsidP="00A53A5A">
      <w:pPr>
        <w:spacing w:after="0" w:line="360" w:lineRule="auto"/>
        <w:ind w:left="1440" w:hanging="720"/>
        <w:contextualSpacing/>
        <w:jc w:val="both"/>
        <w:rPr>
          <w:rFonts w:ascii="David" w:hAnsi="David" w:cs="David"/>
          <w:sz w:val="24"/>
          <w:szCs w:val="24"/>
          <w:rtl/>
        </w:rPr>
      </w:pPr>
      <w:r w:rsidRPr="00A53A5A">
        <w:rPr>
          <w:rFonts w:ascii="David" w:hAnsi="David" w:cs="David" w:hint="eastAsia"/>
          <w:b/>
          <w:bCs/>
          <w:sz w:val="24"/>
          <w:szCs w:val="24"/>
          <w:rtl/>
        </w:rPr>
        <w:t>ז</w:t>
      </w:r>
      <w:r w:rsidRPr="00A53A5A">
        <w:rPr>
          <w:rFonts w:ascii="David" w:hAnsi="David" w:cs="David"/>
          <w:b/>
          <w:bCs/>
          <w:sz w:val="24"/>
          <w:szCs w:val="24"/>
          <w:rtl/>
        </w:rPr>
        <w:t>.</w:t>
      </w:r>
      <w:r w:rsidRPr="00A53A5A">
        <w:rPr>
          <w:rFonts w:ascii="David" w:hAnsi="David" w:cs="David"/>
          <w:sz w:val="24"/>
          <w:szCs w:val="24"/>
          <w:rtl/>
        </w:rPr>
        <w:tab/>
      </w:r>
      <w:r w:rsidRPr="00A53A5A">
        <w:rPr>
          <w:rFonts w:ascii="David" w:hAnsi="David" w:cs="David" w:hint="eastAsia"/>
          <w:sz w:val="24"/>
          <w:szCs w:val="24"/>
          <w:rtl/>
        </w:rPr>
        <w:t>שימוש</w:t>
      </w:r>
      <w:r w:rsidRPr="00A53A5A">
        <w:rPr>
          <w:rFonts w:ascii="David" w:hAnsi="David" w:cs="David"/>
          <w:sz w:val="24"/>
          <w:szCs w:val="24"/>
          <w:rtl/>
        </w:rPr>
        <w:t xml:space="preserve"> </w:t>
      </w:r>
      <w:r w:rsidRPr="00A53A5A">
        <w:rPr>
          <w:rFonts w:ascii="David" w:hAnsi="David" w:cs="David" w:hint="eastAsia"/>
          <w:sz w:val="24"/>
          <w:szCs w:val="24"/>
          <w:rtl/>
        </w:rPr>
        <w:t>ברכב</w:t>
      </w:r>
      <w:r w:rsidRPr="00A53A5A">
        <w:rPr>
          <w:rFonts w:ascii="David" w:hAnsi="David" w:cs="David"/>
          <w:sz w:val="24"/>
          <w:szCs w:val="24"/>
          <w:rtl/>
        </w:rPr>
        <w:t xml:space="preserve"> </w:t>
      </w:r>
      <w:r w:rsidRPr="00A53A5A">
        <w:rPr>
          <w:rFonts w:ascii="David" w:hAnsi="David" w:cs="David" w:hint="eastAsia"/>
          <w:sz w:val="24"/>
          <w:szCs w:val="24"/>
          <w:rtl/>
        </w:rPr>
        <w:t>בלא</w:t>
      </w:r>
      <w:r w:rsidRPr="00A53A5A">
        <w:rPr>
          <w:rFonts w:ascii="David" w:hAnsi="David" w:cs="David"/>
          <w:sz w:val="24"/>
          <w:szCs w:val="24"/>
          <w:rtl/>
        </w:rPr>
        <w:t xml:space="preserve"> </w:t>
      </w:r>
      <w:r w:rsidRPr="00A53A5A">
        <w:rPr>
          <w:rFonts w:ascii="David" w:hAnsi="David" w:cs="David" w:hint="eastAsia"/>
          <w:sz w:val="24"/>
          <w:szCs w:val="24"/>
          <w:rtl/>
        </w:rPr>
        <w:t>פוליסת</w:t>
      </w:r>
      <w:r w:rsidRPr="00A53A5A">
        <w:rPr>
          <w:rFonts w:ascii="David" w:hAnsi="David" w:cs="David"/>
          <w:sz w:val="24"/>
          <w:szCs w:val="24"/>
          <w:rtl/>
        </w:rPr>
        <w:t xml:space="preserve"> </w:t>
      </w:r>
      <w:r w:rsidRPr="00A53A5A">
        <w:rPr>
          <w:rFonts w:ascii="David" w:hAnsi="David" w:cs="David" w:hint="eastAsia"/>
          <w:sz w:val="24"/>
          <w:szCs w:val="24"/>
          <w:rtl/>
        </w:rPr>
        <w:t>ביטוח</w:t>
      </w:r>
      <w:r w:rsidRPr="00A53A5A">
        <w:rPr>
          <w:rFonts w:ascii="David" w:hAnsi="David" w:cs="David"/>
          <w:sz w:val="24"/>
          <w:szCs w:val="24"/>
          <w:rtl/>
        </w:rPr>
        <w:t xml:space="preserve"> </w:t>
      </w:r>
      <w:r w:rsidRPr="00A53A5A">
        <w:rPr>
          <w:rFonts w:ascii="David" w:hAnsi="David" w:cs="David" w:hint="eastAsia"/>
          <w:sz w:val="24"/>
          <w:szCs w:val="24"/>
          <w:rtl/>
        </w:rPr>
        <w:t>בת</w:t>
      </w:r>
      <w:r w:rsidRPr="00A53A5A">
        <w:rPr>
          <w:rFonts w:ascii="David" w:hAnsi="David" w:cs="David"/>
          <w:sz w:val="24"/>
          <w:szCs w:val="24"/>
          <w:rtl/>
        </w:rPr>
        <w:t xml:space="preserve"> </w:t>
      </w:r>
      <w:r w:rsidRPr="00A53A5A">
        <w:rPr>
          <w:rFonts w:ascii="David" w:hAnsi="David" w:cs="David" w:hint="eastAsia"/>
          <w:sz w:val="24"/>
          <w:szCs w:val="24"/>
          <w:rtl/>
        </w:rPr>
        <w:t>תוקף</w:t>
      </w:r>
      <w:r w:rsidRPr="00A53A5A">
        <w:rPr>
          <w:rFonts w:ascii="David" w:hAnsi="David" w:cs="David"/>
          <w:sz w:val="24"/>
          <w:szCs w:val="24"/>
          <w:rtl/>
        </w:rPr>
        <w:t xml:space="preserve"> - </w:t>
      </w:r>
      <w:r w:rsidRPr="00A53A5A">
        <w:rPr>
          <w:rFonts w:ascii="David" w:hAnsi="David" w:cs="David" w:hint="eastAsia"/>
          <w:sz w:val="24"/>
          <w:szCs w:val="24"/>
          <w:rtl/>
        </w:rPr>
        <w:t>עבירה</w:t>
      </w:r>
      <w:r w:rsidRPr="00A53A5A">
        <w:rPr>
          <w:rFonts w:ascii="David" w:hAnsi="David" w:cs="David"/>
          <w:sz w:val="24"/>
          <w:szCs w:val="24"/>
          <w:rtl/>
        </w:rPr>
        <w:t xml:space="preserve"> </w:t>
      </w:r>
      <w:r w:rsidRPr="00A53A5A">
        <w:rPr>
          <w:rFonts w:ascii="David" w:hAnsi="David" w:cs="David" w:hint="eastAsia"/>
          <w:sz w:val="24"/>
          <w:szCs w:val="24"/>
          <w:rtl/>
        </w:rPr>
        <w:t>לפי</w:t>
      </w:r>
      <w:r w:rsidRPr="00A53A5A">
        <w:rPr>
          <w:rFonts w:ascii="David" w:hAnsi="David" w:cs="David"/>
          <w:sz w:val="24"/>
          <w:szCs w:val="24"/>
          <w:rtl/>
        </w:rPr>
        <w:t xml:space="preserve"> </w:t>
      </w:r>
      <w:hyperlink r:id="rId37" w:history="1">
        <w:r w:rsidR="0037284E" w:rsidRPr="0037284E">
          <w:rPr>
            <w:rFonts w:ascii="David" w:hAnsi="David" w:cs="David"/>
            <w:color w:val="0000FF"/>
            <w:sz w:val="24"/>
            <w:szCs w:val="24"/>
            <w:u w:val="single"/>
            <w:rtl/>
          </w:rPr>
          <w:t>סעיף 2</w:t>
        </w:r>
      </w:hyperlink>
      <w:r w:rsidRPr="00A53A5A">
        <w:rPr>
          <w:rFonts w:ascii="David" w:hAnsi="David" w:cs="David"/>
          <w:sz w:val="24"/>
          <w:szCs w:val="24"/>
          <w:rtl/>
        </w:rPr>
        <w:t xml:space="preserve"> </w:t>
      </w:r>
      <w:r w:rsidRPr="00A53A5A">
        <w:rPr>
          <w:rFonts w:ascii="David" w:hAnsi="David" w:cs="David" w:hint="eastAsia"/>
          <w:sz w:val="24"/>
          <w:szCs w:val="24"/>
          <w:rtl/>
        </w:rPr>
        <w:t>ל</w:t>
      </w:r>
      <w:hyperlink r:id="rId38" w:history="1">
        <w:r w:rsidR="009506D2" w:rsidRPr="009506D2">
          <w:rPr>
            <w:rFonts w:ascii="David" w:hAnsi="David" w:cs="David"/>
            <w:color w:val="0000FF"/>
            <w:sz w:val="24"/>
            <w:szCs w:val="24"/>
            <w:u w:val="single"/>
            <w:rtl/>
          </w:rPr>
          <w:t>פקודת ביטוח רכב מנועי</w:t>
        </w:r>
      </w:hyperlink>
      <w:r w:rsidRPr="00A53A5A">
        <w:rPr>
          <w:rFonts w:ascii="David" w:hAnsi="David" w:cs="David"/>
          <w:sz w:val="24"/>
          <w:szCs w:val="24"/>
          <w:rtl/>
        </w:rPr>
        <w:t xml:space="preserve"> [</w:t>
      </w:r>
      <w:r w:rsidRPr="00A53A5A">
        <w:rPr>
          <w:rFonts w:ascii="David" w:hAnsi="David" w:cs="David" w:hint="eastAsia"/>
          <w:sz w:val="24"/>
          <w:szCs w:val="24"/>
          <w:rtl/>
        </w:rPr>
        <w:t>נוסח</w:t>
      </w:r>
      <w:r w:rsidRPr="00A53A5A">
        <w:rPr>
          <w:rFonts w:ascii="David" w:hAnsi="David" w:cs="David"/>
          <w:sz w:val="24"/>
          <w:szCs w:val="24"/>
          <w:rtl/>
        </w:rPr>
        <w:t xml:space="preserve"> </w:t>
      </w:r>
      <w:r w:rsidRPr="00A53A5A">
        <w:rPr>
          <w:rFonts w:ascii="David" w:hAnsi="David" w:cs="David" w:hint="eastAsia"/>
          <w:sz w:val="24"/>
          <w:szCs w:val="24"/>
          <w:rtl/>
        </w:rPr>
        <w:t>חדש</w:t>
      </w:r>
      <w:r w:rsidRPr="00A53A5A">
        <w:rPr>
          <w:rFonts w:ascii="David" w:hAnsi="David" w:cs="David"/>
          <w:sz w:val="24"/>
          <w:szCs w:val="24"/>
          <w:rtl/>
        </w:rPr>
        <w:t xml:space="preserve">], </w:t>
      </w:r>
      <w:r w:rsidRPr="00A53A5A">
        <w:rPr>
          <w:rFonts w:ascii="David" w:hAnsi="David" w:cs="David" w:hint="eastAsia"/>
          <w:sz w:val="24"/>
          <w:szCs w:val="24"/>
          <w:rtl/>
        </w:rPr>
        <w:t>התש</w:t>
      </w:r>
      <w:r w:rsidRPr="00A53A5A">
        <w:rPr>
          <w:rFonts w:ascii="David" w:hAnsi="David" w:cs="David"/>
          <w:sz w:val="24"/>
          <w:szCs w:val="24"/>
          <w:rtl/>
        </w:rPr>
        <w:t>"</w:t>
      </w:r>
      <w:r w:rsidRPr="00A53A5A">
        <w:rPr>
          <w:rFonts w:ascii="David" w:hAnsi="David" w:cs="David" w:hint="eastAsia"/>
          <w:sz w:val="24"/>
          <w:szCs w:val="24"/>
          <w:rtl/>
        </w:rPr>
        <w:t>ל</w:t>
      </w:r>
      <w:r w:rsidRPr="00A53A5A">
        <w:rPr>
          <w:rFonts w:ascii="David" w:hAnsi="David" w:cs="David"/>
          <w:sz w:val="24"/>
          <w:szCs w:val="24"/>
          <w:rtl/>
        </w:rPr>
        <w:t xml:space="preserve">-1970.  </w:t>
      </w:r>
    </w:p>
    <w:p w14:paraId="7CFFFE6C" w14:textId="77777777" w:rsidR="00A24187" w:rsidRPr="00A53A5A" w:rsidRDefault="00A24187" w:rsidP="00A53A5A">
      <w:pPr>
        <w:spacing w:after="0" w:line="360" w:lineRule="auto"/>
        <w:ind w:hanging="720"/>
        <w:jc w:val="both"/>
        <w:rPr>
          <w:rFonts w:ascii="David" w:hAnsi="David" w:cs="David"/>
          <w:sz w:val="24"/>
          <w:szCs w:val="24"/>
          <w:rtl/>
        </w:rPr>
      </w:pPr>
    </w:p>
    <w:p w14:paraId="03D05FDD" w14:textId="77777777" w:rsidR="00A24187" w:rsidRPr="00A53A5A" w:rsidRDefault="00A24187" w:rsidP="00A53A5A">
      <w:pPr>
        <w:spacing w:after="0" w:line="360" w:lineRule="auto"/>
        <w:ind w:left="720" w:hanging="720"/>
        <w:jc w:val="both"/>
        <w:rPr>
          <w:rFonts w:ascii="David" w:hAnsi="David" w:cs="David"/>
          <w:sz w:val="24"/>
          <w:szCs w:val="24"/>
        </w:rPr>
      </w:pPr>
      <w:r w:rsidRPr="00A53A5A">
        <w:rPr>
          <w:rFonts w:ascii="David" w:hAnsi="David" w:cs="David"/>
          <w:b/>
          <w:bCs/>
          <w:sz w:val="24"/>
          <w:szCs w:val="24"/>
          <w:rtl/>
        </w:rPr>
        <w:t>2.</w:t>
      </w:r>
      <w:r w:rsidRPr="00A53A5A">
        <w:rPr>
          <w:rFonts w:ascii="David" w:hAnsi="David" w:cs="David"/>
          <w:sz w:val="24"/>
          <w:szCs w:val="24"/>
          <w:rtl/>
        </w:rPr>
        <w:tab/>
      </w:r>
      <w:r w:rsidRPr="00A53A5A">
        <w:rPr>
          <w:rFonts w:ascii="David" w:hAnsi="David" w:cs="David" w:hint="eastAsia"/>
          <w:sz w:val="24"/>
          <w:szCs w:val="24"/>
          <w:rtl/>
        </w:rPr>
        <w:t>על</w:t>
      </w:r>
      <w:r w:rsidRPr="00A53A5A">
        <w:rPr>
          <w:rFonts w:ascii="David" w:hAnsi="David" w:cs="David"/>
          <w:sz w:val="24"/>
          <w:szCs w:val="24"/>
          <w:rtl/>
        </w:rPr>
        <w:t xml:space="preserve"> פי עובדות כתב האישום המתוקן, ביום 7.1.2016 בוצע שוד בתחנת דלק בבית זרזיר, במהלכו ירה אחד השודדים בלינא בשיר (</w:t>
      </w:r>
      <w:r w:rsidRPr="00A53A5A">
        <w:rPr>
          <w:rFonts w:ascii="David" w:hAnsi="David" w:cs="David" w:hint="eastAsia"/>
          <w:b/>
          <w:bCs/>
          <w:sz w:val="24"/>
          <w:szCs w:val="24"/>
          <w:rtl/>
        </w:rPr>
        <w:t>להלן</w:t>
      </w:r>
      <w:r w:rsidRPr="00A53A5A">
        <w:rPr>
          <w:rFonts w:ascii="David" w:hAnsi="David" w:cs="David"/>
          <w:b/>
          <w:bCs/>
          <w:sz w:val="24"/>
          <w:szCs w:val="24"/>
          <w:rtl/>
        </w:rPr>
        <w:t>: "לינא"</w:t>
      </w:r>
      <w:r w:rsidRPr="00A53A5A">
        <w:rPr>
          <w:rFonts w:ascii="David" w:hAnsi="David" w:cs="David"/>
          <w:sz w:val="24"/>
          <w:szCs w:val="24"/>
          <w:rtl/>
        </w:rPr>
        <w:t xml:space="preserve">), שעבדה בתחנה, באותה עת, ופצע אותה. על רקע אירוע זה התעורר סכסוך בין הנאשם ומשפחתה של לינא, שכן חלק מבני </w:t>
      </w:r>
      <w:r w:rsidRPr="00A53A5A">
        <w:rPr>
          <w:rFonts w:ascii="David" w:hAnsi="David" w:cs="David"/>
          <w:sz w:val="24"/>
          <w:szCs w:val="24"/>
          <w:rtl/>
        </w:rPr>
        <w:lastRenderedPageBreak/>
        <w:t>משפחתה חשדו בנאשם ובחברו אדהם רחאל (</w:t>
      </w:r>
      <w:r w:rsidRPr="00A53A5A">
        <w:rPr>
          <w:rFonts w:ascii="David" w:hAnsi="David" w:cs="David" w:hint="eastAsia"/>
          <w:b/>
          <w:bCs/>
          <w:sz w:val="24"/>
          <w:szCs w:val="24"/>
          <w:rtl/>
        </w:rPr>
        <w:t>להלן</w:t>
      </w:r>
      <w:r w:rsidRPr="00A53A5A">
        <w:rPr>
          <w:rFonts w:ascii="David" w:hAnsi="David" w:cs="David"/>
          <w:b/>
          <w:bCs/>
          <w:sz w:val="24"/>
          <w:szCs w:val="24"/>
          <w:rtl/>
        </w:rPr>
        <w:t>: "אדהם"</w:t>
      </w:r>
      <w:r w:rsidRPr="00A53A5A">
        <w:rPr>
          <w:rFonts w:ascii="David" w:hAnsi="David" w:cs="David"/>
          <w:sz w:val="24"/>
          <w:szCs w:val="24"/>
          <w:rtl/>
        </w:rPr>
        <w:t xml:space="preserve">) שהם אלה שביצעו את השוד. </w:t>
      </w:r>
    </w:p>
    <w:p w14:paraId="6BFA40AE" w14:textId="77777777" w:rsidR="00A24187" w:rsidRPr="00A53A5A" w:rsidRDefault="00A24187" w:rsidP="00A53A5A">
      <w:pPr>
        <w:spacing w:after="0" w:line="360" w:lineRule="auto"/>
        <w:ind w:hanging="720"/>
        <w:jc w:val="both"/>
        <w:rPr>
          <w:rFonts w:ascii="David" w:hAnsi="David" w:cs="David"/>
          <w:sz w:val="24"/>
          <w:szCs w:val="24"/>
          <w:rtl/>
        </w:rPr>
      </w:pPr>
    </w:p>
    <w:p w14:paraId="7A90312B" w14:textId="77777777" w:rsidR="00A24187" w:rsidRPr="00A53A5A" w:rsidRDefault="00A24187" w:rsidP="00A53A5A">
      <w:pPr>
        <w:spacing w:after="0" w:line="360" w:lineRule="auto"/>
        <w:ind w:left="720"/>
        <w:jc w:val="both"/>
        <w:rPr>
          <w:rFonts w:ascii="David" w:hAnsi="David" w:cs="David"/>
          <w:sz w:val="24"/>
          <w:szCs w:val="24"/>
          <w:rtl/>
        </w:rPr>
      </w:pPr>
      <w:r w:rsidRPr="00A53A5A">
        <w:rPr>
          <w:rFonts w:ascii="David" w:hAnsi="David" w:cs="David" w:hint="eastAsia"/>
          <w:sz w:val="24"/>
          <w:szCs w:val="24"/>
          <w:rtl/>
        </w:rPr>
        <w:t>ביום</w:t>
      </w:r>
      <w:r w:rsidRPr="00A53A5A">
        <w:rPr>
          <w:rFonts w:ascii="David" w:hAnsi="David" w:cs="David"/>
          <w:sz w:val="24"/>
          <w:szCs w:val="24"/>
          <w:rtl/>
        </w:rPr>
        <w:t xml:space="preserve"> 2.3.2016, בשעה 16:20 בק</w:t>
      </w:r>
      <w:r w:rsidRPr="00A53A5A">
        <w:rPr>
          <w:rFonts w:ascii="David" w:hAnsi="David" w:cs="David" w:hint="eastAsia"/>
          <w:sz w:val="24"/>
          <w:szCs w:val="24"/>
          <w:rtl/>
        </w:rPr>
        <w:t>ירוב</w:t>
      </w:r>
      <w:r w:rsidRPr="00A53A5A">
        <w:rPr>
          <w:rFonts w:ascii="David" w:hAnsi="David" w:cs="David"/>
          <w:sz w:val="24"/>
          <w:szCs w:val="24"/>
          <w:rtl/>
        </w:rPr>
        <w:t>, נהג הנאשם ברכבו, כשעמו אדהם. בצומת הכניסה לשכונת הייב שבבית זרזיר, הבחין הנאשם ברכב בו נסעו איהאב בשיר (</w:t>
      </w:r>
      <w:r w:rsidRPr="00A53A5A">
        <w:rPr>
          <w:rFonts w:ascii="David" w:hAnsi="David" w:cs="David" w:hint="eastAsia"/>
          <w:b/>
          <w:bCs/>
          <w:sz w:val="24"/>
          <w:szCs w:val="24"/>
          <w:rtl/>
        </w:rPr>
        <w:t>להלן</w:t>
      </w:r>
      <w:r w:rsidRPr="00A53A5A">
        <w:rPr>
          <w:rFonts w:ascii="David" w:hAnsi="David" w:cs="David"/>
          <w:b/>
          <w:bCs/>
          <w:sz w:val="24"/>
          <w:szCs w:val="24"/>
          <w:rtl/>
        </w:rPr>
        <w:t>: "איהאב"</w:t>
      </w:r>
      <w:r w:rsidRPr="00A53A5A">
        <w:rPr>
          <w:rFonts w:ascii="David" w:hAnsi="David" w:cs="David"/>
          <w:sz w:val="24"/>
          <w:szCs w:val="24"/>
          <w:rtl/>
        </w:rPr>
        <w:t>) ומוחמד בשיר (</w:t>
      </w:r>
      <w:r w:rsidRPr="00A53A5A">
        <w:rPr>
          <w:rFonts w:ascii="David" w:hAnsi="David" w:cs="David" w:hint="eastAsia"/>
          <w:b/>
          <w:bCs/>
          <w:sz w:val="24"/>
          <w:szCs w:val="24"/>
          <w:rtl/>
        </w:rPr>
        <w:t>להלן</w:t>
      </w:r>
      <w:r w:rsidRPr="00A53A5A">
        <w:rPr>
          <w:rFonts w:ascii="David" w:hAnsi="David" w:cs="David"/>
          <w:b/>
          <w:bCs/>
          <w:sz w:val="24"/>
          <w:szCs w:val="24"/>
          <w:rtl/>
        </w:rPr>
        <w:t>: "מוחמד"</w:t>
      </w:r>
      <w:r w:rsidRPr="00A53A5A">
        <w:rPr>
          <w:rFonts w:ascii="David" w:hAnsi="David" w:cs="David"/>
          <w:sz w:val="24"/>
          <w:szCs w:val="24"/>
          <w:rtl/>
        </w:rPr>
        <w:t xml:space="preserve">), אחיה של לינא, בעת שהמתינו בצומת. הנאשם קרא לעברו של מוחמד "מה אתה מסתכל עליי" ובהמשך קילל אותו, עצר את רכבו, וירד ממנו כשהוא מתקדם לעבר מוחמד. מוחמד ירד מהרכב בו נסע והתעמת פיזית עם הנאשם. חלק מהנוכחים במקום הפרידו בין הנאשם ומוחמד ושני כלי הרכב נסעו מהמקום. </w:t>
      </w:r>
    </w:p>
    <w:p w14:paraId="08BB366F" w14:textId="77777777" w:rsidR="00A24187" w:rsidRPr="00A53A5A" w:rsidRDefault="00A24187" w:rsidP="00A53A5A">
      <w:pPr>
        <w:spacing w:after="0" w:line="360" w:lineRule="auto"/>
        <w:jc w:val="both"/>
        <w:rPr>
          <w:rFonts w:ascii="David" w:hAnsi="David" w:cs="David"/>
          <w:sz w:val="24"/>
          <w:szCs w:val="24"/>
          <w:rtl/>
        </w:rPr>
      </w:pPr>
    </w:p>
    <w:p w14:paraId="112404E3" w14:textId="77777777" w:rsidR="00A24187" w:rsidRPr="00A53A5A" w:rsidRDefault="00A24187" w:rsidP="00A53A5A">
      <w:pPr>
        <w:spacing w:after="0" w:line="360" w:lineRule="auto"/>
        <w:ind w:left="720"/>
        <w:jc w:val="both"/>
        <w:rPr>
          <w:rFonts w:ascii="David" w:hAnsi="David" w:cs="David"/>
          <w:sz w:val="24"/>
          <w:szCs w:val="24"/>
          <w:rtl/>
        </w:rPr>
      </w:pPr>
      <w:r w:rsidRPr="00A53A5A">
        <w:rPr>
          <w:rFonts w:ascii="David" w:hAnsi="David" w:cs="David" w:hint="eastAsia"/>
          <w:sz w:val="24"/>
          <w:szCs w:val="24"/>
          <w:rtl/>
        </w:rPr>
        <w:t>על</w:t>
      </w:r>
      <w:r w:rsidRPr="00A53A5A">
        <w:rPr>
          <w:rFonts w:ascii="David" w:hAnsi="David" w:cs="David"/>
          <w:sz w:val="24"/>
          <w:szCs w:val="24"/>
          <w:rtl/>
        </w:rPr>
        <w:t xml:space="preserve"> רקע הדברים לעיל, החליט הנאשם לפגוע בבני משפחתה של לינא בירי בנשק חם. הנאשם נהג לביתם של איהאב ומוחמד, כשהוא נושא עמו רובה מסוג 16</w:t>
      </w:r>
      <w:r w:rsidRPr="00A53A5A">
        <w:rPr>
          <w:rFonts w:ascii="David" w:hAnsi="David" w:cs="David"/>
          <w:sz w:val="24"/>
          <w:szCs w:val="24"/>
        </w:rPr>
        <w:t>M</w:t>
      </w:r>
      <w:r w:rsidRPr="00A53A5A">
        <w:rPr>
          <w:rFonts w:ascii="David" w:hAnsi="David" w:cs="David"/>
          <w:sz w:val="24"/>
          <w:szCs w:val="24"/>
          <w:rtl/>
        </w:rPr>
        <w:t xml:space="preserve"> קצר (</w:t>
      </w:r>
      <w:r w:rsidRPr="00A53A5A">
        <w:rPr>
          <w:rFonts w:ascii="David" w:hAnsi="David" w:cs="David" w:hint="eastAsia"/>
          <w:b/>
          <w:bCs/>
          <w:sz w:val="24"/>
          <w:szCs w:val="24"/>
          <w:rtl/>
        </w:rPr>
        <w:t>להלן</w:t>
      </w:r>
      <w:r w:rsidRPr="00A53A5A">
        <w:rPr>
          <w:rFonts w:ascii="David" w:hAnsi="David" w:cs="David"/>
          <w:b/>
          <w:bCs/>
          <w:sz w:val="24"/>
          <w:szCs w:val="24"/>
          <w:rtl/>
        </w:rPr>
        <w:t>: "הרובה"</w:t>
      </w:r>
      <w:r w:rsidRPr="00A53A5A">
        <w:rPr>
          <w:rFonts w:ascii="David" w:hAnsi="David" w:cs="David"/>
          <w:sz w:val="24"/>
          <w:szCs w:val="24"/>
          <w:rtl/>
        </w:rPr>
        <w:t>) וזאת בלא היתר כדין. בשעה 16:50 בקירוב הגיע הנאשם ברכב לביתם של האחים, כשעמו ברכב אדם נוסף, הוא חנה מול הבית וצפר מספר פעמים. המתלוננים, איהאב, אחיו ערד בשיר ובנו בן ה-6 של איהאב, שהיו בבית,  יצאו למרפסת, הכוללת מעקה בטון נמוך. כשראה הנאשם את המתלוננ</w:t>
      </w:r>
      <w:r w:rsidRPr="00A53A5A">
        <w:rPr>
          <w:rFonts w:ascii="David" w:hAnsi="David" w:cs="David" w:hint="eastAsia"/>
          <w:sz w:val="24"/>
          <w:szCs w:val="24"/>
          <w:rtl/>
        </w:rPr>
        <w:t>ים</w:t>
      </w:r>
      <w:r w:rsidRPr="00A53A5A">
        <w:rPr>
          <w:rFonts w:ascii="David" w:hAnsi="David" w:cs="David"/>
          <w:sz w:val="24"/>
          <w:szCs w:val="24"/>
          <w:rtl/>
        </w:rPr>
        <w:t xml:space="preserve"> במרפסת, יצא מהרכב, קילל אותם, הוציא מהרכב את הרובה, כיוון אותו לעבר המתלוננים וירה לעברם 29 יריות בכוונה לגרום להם לחבלה חמורה. </w:t>
      </w:r>
    </w:p>
    <w:p w14:paraId="2DDC33A9" w14:textId="77777777" w:rsidR="00A24187" w:rsidRPr="00A53A5A" w:rsidRDefault="00A24187" w:rsidP="00A53A5A">
      <w:pPr>
        <w:spacing w:after="0" w:line="360" w:lineRule="auto"/>
        <w:jc w:val="both"/>
        <w:rPr>
          <w:rFonts w:ascii="David" w:hAnsi="David" w:cs="David"/>
          <w:sz w:val="24"/>
          <w:szCs w:val="24"/>
          <w:rtl/>
        </w:rPr>
      </w:pPr>
    </w:p>
    <w:p w14:paraId="73B6A0E6" w14:textId="77777777" w:rsidR="00A24187" w:rsidRPr="00A53A5A" w:rsidRDefault="00A24187" w:rsidP="00A53A5A">
      <w:pPr>
        <w:spacing w:after="0" w:line="360" w:lineRule="auto"/>
        <w:ind w:left="720"/>
        <w:jc w:val="both"/>
        <w:rPr>
          <w:rFonts w:ascii="David" w:hAnsi="David" w:cs="David"/>
          <w:sz w:val="24"/>
          <w:szCs w:val="24"/>
          <w:rtl/>
        </w:rPr>
      </w:pPr>
      <w:r w:rsidRPr="00A53A5A">
        <w:rPr>
          <w:rFonts w:ascii="David" w:hAnsi="David" w:cs="David" w:hint="eastAsia"/>
          <w:sz w:val="24"/>
          <w:szCs w:val="24"/>
          <w:rtl/>
        </w:rPr>
        <w:t>עם</w:t>
      </w:r>
      <w:r w:rsidRPr="00A53A5A">
        <w:rPr>
          <w:rFonts w:ascii="David" w:hAnsi="David" w:cs="David"/>
          <w:sz w:val="24"/>
          <w:szCs w:val="24"/>
          <w:rtl/>
        </w:rPr>
        <w:t xml:space="preserve"> תחילת הירי, המתלוננים נשכבו במרפסת, כשאיהאב נשכב על בנו כדי להגן עליו, ולא נפגעו. 17 מהיריות שירה הנאשם פגעו בבית, לרבות במעקה הבטון של המרפסת, וחלק מהיריות חדרו לתוך הבית.</w:t>
      </w:r>
    </w:p>
    <w:p w14:paraId="404794D6" w14:textId="77777777" w:rsidR="00A24187" w:rsidRPr="00A53A5A" w:rsidRDefault="00A24187" w:rsidP="00A53A5A">
      <w:pPr>
        <w:spacing w:after="0" w:line="360" w:lineRule="auto"/>
        <w:jc w:val="both"/>
        <w:rPr>
          <w:rFonts w:ascii="David" w:hAnsi="David" w:cs="David"/>
          <w:sz w:val="24"/>
          <w:szCs w:val="24"/>
          <w:rtl/>
        </w:rPr>
      </w:pPr>
    </w:p>
    <w:p w14:paraId="1525A432" w14:textId="77777777" w:rsidR="00A24187" w:rsidRPr="00A53A5A" w:rsidRDefault="00A24187" w:rsidP="00A53A5A">
      <w:pPr>
        <w:spacing w:after="0" w:line="360" w:lineRule="auto"/>
        <w:ind w:left="720"/>
        <w:jc w:val="both"/>
        <w:rPr>
          <w:rFonts w:ascii="David" w:hAnsi="David" w:cs="David"/>
          <w:sz w:val="24"/>
          <w:szCs w:val="24"/>
          <w:rtl/>
        </w:rPr>
      </w:pPr>
      <w:r w:rsidRPr="00A53A5A">
        <w:rPr>
          <w:rFonts w:ascii="David" w:hAnsi="David" w:cs="David" w:hint="eastAsia"/>
          <w:sz w:val="24"/>
          <w:szCs w:val="24"/>
          <w:rtl/>
        </w:rPr>
        <w:t>הנאשם</w:t>
      </w:r>
      <w:r w:rsidRPr="00A53A5A">
        <w:rPr>
          <w:rFonts w:ascii="David" w:hAnsi="David" w:cs="David"/>
          <w:sz w:val="24"/>
          <w:szCs w:val="24"/>
          <w:rtl/>
        </w:rPr>
        <w:t xml:space="preserve"> נהג ברכב, כפי שפורט לעיל, אף שאינו בעל רישיון נהיגה והרכב שבו נהג היה בלא רישיון רכב תקף ובלא ביטוח תקף. </w:t>
      </w:r>
    </w:p>
    <w:p w14:paraId="6018CC75" w14:textId="77777777" w:rsidR="00A24187" w:rsidRPr="00A53A5A" w:rsidRDefault="00A24187" w:rsidP="00A53A5A">
      <w:pPr>
        <w:spacing w:after="0" w:line="360" w:lineRule="auto"/>
        <w:jc w:val="both"/>
        <w:rPr>
          <w:rFonts w:ascii="David" w:hAnsi="David" w:cs="David"/>
          <w:sz w:val="24"/>
          <w:szCs w:val="24"/>
          <w:rtl/>
        </w:rPr>
      </w:pPr>
    </w:p>
    <w:p w14:paraId="32688A7C" w14:textId="77777777" w:rsidR="00A24187" w:rsidRPr="00A53A5A" w:rsidRDefault="00A24187" w:rsidP="00A53A5A">
      <w:pPr>
        <w:spacing w:after="0" w:line="360" w:lineRule="auto"/>
        <w:ind w:left="720"/>
        <w:jc w:val="both"/>
        <w:rPr>
          <w:rFonts w:ascii="David" w:hAnsi="David" w:cs="David"/>
          <w:sz w:val="24"/>
          <w:szCs w:val="24"/>
          <w:rtl/>
        </w:rPr>
      </w:pPr>
      <w:r w:rsidRPr="00A53A5A">
        <w:rPr>
          <w:rFonts w:ascii="David" w:hAnsi="David" w:cs="David" w:hint="eastAsia"/>
          <w:sz w:val="24"/>
          <w:szCs w:val="24"/>
          <w:rtl/>
        </w:rPr>
        <w:t>על</w:t>
      </w:r>
      <w:r w:rsidRPr="00A53A5A">
        <w:rPr>
          <w:rFonts w:ascii="David" w:hAnsi="David" w:cs="David"/>
          <w:sz w:val="24"/>
          <w:szCs w:val="24"/>
          <w:rtl/>
        </w:rPr>
        <w:t xml:space="preserve"> פי כתב האישום, במעשיו שתוארו לעיל ניסה הנאשם לפגוע, שלא כדין, במתלוננים בקליע ולגרום להם לחבלה חמורה; נשא והוביל נשק בלא רשות כדין לנשיאתו והובלתו; ירה בנשק חם באזור מגורים ללא הסבר סביר; הסתייע ב</w:t>
      </w:r>
      <w:r w:rsidRPr="00A53A5A">
        <w:rPr>
          <w:rFonts w:ascii="David" w:hAnsi="David" w:cs="David" w:hint="eastAsia"/>
          <w:sz w:val="24"/>
          <w:szCs w:val="24"/>
          <w:rtl/>
        </w:rPr>
        <w:t>רכב</w:t>
      </w:r>
      <w:r w:rsidRPr="00A53A5A">
        <w:rPr>
          <w:rFonts w:ascii="David" w:hAnsi="David" w:cs="David"/>
          <w:sz w:val="24"/>
          <w:szCs w:val="24"/>
          <w:rtl/>
        </w:rPr>
        <w:t xml:space="preserve"> לביצוע פשע ונהג ברכב ללא רישיון נהיגה תקף, ללא רישיון רכב תקף ובלא פוליסת ביטוח תקפה.</w:t>
      </w:r>
    </w:p>
    <w:p w14:paraId="6F9572B0" w14:textId="77777777" w:rsidR="00A24187" w:rsidRPr="00A53A5A" w:rsidRDefault="00A24187" w:rsidP="00A53A5A">
      <w:pPr>
        <w:spacing w:after="0" w:line="360" w:lineRule="auto"/>
        <w:ind w:hanging="720"/>
        <w:jc w:val="both"/>
        <w:rPr>
          <w:rFonts w:ascii="David" w:hAnsi="David" w:cs="David"/>
          <w:sz w:val="24"/>
          <w:szCs w:val="24"/>
          <w:rtl/>
        </w:rPr>
      </w:pPr>
    </w:p>
    <w:p w14:paraId="535DBA41" w14:textId="77777777" w:rsidR="00A24187" w:rsidRPr="00A53A5A" w:rsidRDefault="00A24187" w:rsidP="00A53A5A">
      <w:pPr>
        <w:spacing w:after="0" w:line="360" w:lineRule="auto"/>
        <w:ind w:left="651" w:hanging="651"/>
        <w:jc w:val="both"/>
        <w:rPr>
          <w:rFonts w:ascii="David" w:hAnsi="David" w:cs="David"/>
          <w:sz w:val="24"/>
          <w:szCs w:val="24"/>
          <w:rtl/>
          <w:lang w:eastAsia="he-IL"/>
        </w:rPr>
      </w:pPr>
      <w:r w:rsidRPr="00A53A5A">
        <w:rPr>
          <w:rFonts w:ascii="David" w:hAnsi="David" w:cs="David"/>
          <w:b/>
          <w:bCs/>
          <w:sz w:val="24"/>
          <w:szCs w:val="24"/>
          <w:rtl/>
          <w:lang w:eastAsia="he-IL"/>
        </w:rPr>
        <w:t>3</w:t>
      </w:r>
      <w:r w:rsidRPr="00A53A5A">
        <w:rPr>
          <w:rFonts w:ascii="David" w:hAnsi="David" w:cs="David"/>
          <w:sz w:val="24"/>
          <w:szCs w:val="24"/>
          <w:rtl/>
          <w:lang w:eastAsia="he-IL"/>
        </w:rPr>
        <w:t>.</w:t>
      </w:r>
      <w:r w:rsidRPr="00A53A5A">
        <w:rPr>
          <w:rFonts w:ascii="David" w:hAnsi="David" w:cs="David"/>
          <w:sz w:val="24"/>
          <w:szCs w:val="24"/>
          <w:rtl/>
          <w:lang w:eastAsia="he-IL"/>
        </w:rPr>
        <w:tab/>
      </w:r>
      <w:r w:rsidRPr="00A53A5A">
        <w:rPr>
          <w:rFonts w:ascii="David" w:hAnsi="David" w:cs="David" w:hint="eastAsia"/>
          <w:sz w:val="24"/>
          <w:szCs w:val="24"/>
          <w:rtl/>
          <w:lang w:eastAsia="he-IL"/>
        </w:rPr>
        <w:t>כאמור</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הודאת</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הנאשם</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באה</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במסגרת</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הסדר</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טיעון</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אשר</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כלל</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תיקון</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כתב</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האישום</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ההסדר</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איננו</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כולל</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הסכמה</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לגבי</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העונש</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פרט</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לכך</w:t>
      </w:r>
      <w:r w:rsidRPr="00A53A5A">
        <w:rPr>
          <w:rFonts w:ascii="David" w:hAnsi="David" w:cs="David"/>
          <w:sz w:val="24"/>
          <w:szCs w:val="24"/>
          <w:rtl/>
          <w:lang w:eastAsia="he-IL"/>
        </w:rPr>
        <w:t xml:space="preserve"> </w:t>
      </w:r>
      <w:r w:rsidRPr="00A53A5A">
        <w:rPr>
          <w:rFonts w:ascii="Arial" w:hAnsi="Arial" w:cs="David"/>
          <w:sz w:val="24"/>
          <w:szCs w:val="24"/>
          <w:rtl/>
          <w:lang w:eastAsia="he-IL"/>
        </w:rPr>
        <w:t xml:space="preserve">שהוצהר כי העונשים יכללו מאסר בפועל, מאסר על תנאי ופסילת רישיון נהיגה וכי הצדדים יטענו באשר לסוגיית הטלתם של רכיבים נוספים, שהם פיצוי למתלוננים וחילוט הרכב. </w:t>
      </w:r>
      <w:r w:rsidRPr="00A53A5A">
        <w:rPr>
          <w:rFonts w:ascii="David" w:hAnsi="David" w:cs="David"/>
          <w:b/>
          <w:bCs/>
          <w:sz w:val="24"/>
          <w:szCs w:val="24"/>
          <w:rtl/>
          <w:lang w:eastAsia="he-IL"/>
        </w:rPr>
        <w:t xml:space="preserve"> </w:t>
      </w:r>
      <w:r w:rsidRPr="00A53A5A">
        <w:rPr>
          <w:rFonts w:ascii="David" w:hAnsi="David" w:cs="David" w:hint="eastAsia"/>
          <w:sz w:val="24"/>
          <w:szCs w:val="24"/>
          <w:rtl/>
          <w:lang w:eastAsia="he-IL"/>
        </w:rPr>
        <w:t>לצד</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זאת</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המאשימה</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לא</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התנגדה</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לבקשת</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הנאשם</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להורות</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על</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הזמנת</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תסקיר</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שירות</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המבחן</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בעניינו</w:t>
      </w:r>
      <w:r w:rsidRPr="00A53A5A">
        <w:rPr>
          <w:rFonts w:ascii="David" w:hAnsi="David" w:cs="David"/>
          <w:sz w:val="24"/>
          <w:szCs w:val="24"/>
          <w:rtl/>
          <w:lang w:eastAsia="he-IL"/>
        </w:rPr>
        <w:t xml:space="preserve">. </w:t>
      </w:r>
    </w:p>
    <w:p w14:paraId="4DBF343E" w14:textId="77777777" w:rsidR="00A24187" w:rsidRPr="00A53A5A" w:rsidRDefault="00A24187" w:rsidP="00A53A5A">
      <w:pPr>
        <w:spacing w:after="0" w:line="360" w:lineRule="auto"/>
        <w:ind w:left="651" w:hanging="651"/>
        <w:jc w:val="both"/>
        <w:rPr>
          <w:rFonts w:ascii="David" w:hAnsi="David" w:cs="David"/>
          <w:sz w:val="24"/>
          <w:szCs w:val="24"/>
          <w:rtl/>
        </w:rPr>
      </w:pPr>
    </w:p>
    <w:p w14:paraId="3B440631" w14:textId="77777777" w:rsidR="00A24187" w:rsidRPr="00A53A5A" w:rsidRDefault="00A24187" w:rsidP="00A53A5A">
      <w:pPr>
        <w:spacing w:after="0" w:line="360" w:lineRule="auto"/>
        <w:jc w:val="both"/>
        <w:rPr>
          <w:rFonts w:ascii="David" w:hAnsi="David" w:cs="David"/>
          <w:b/>
          <w:bCs/>
          <w:sz w:val="24"/>
          <w:szCs w:val="24"/>
          <w:u w:val="single"/>
          <w:rtl/>
        </w:rPr>
      </w:pPr>
      <w:r w:rsidRPr="00A53A5A">
        <w:rPr>
          <w:rFonts w:ascii="David" w:hAnsi="David" w:cs="David" w:hint="eastAsia"/>
          <w:b/>
          <w:bCs/>
          <w:sz w:val="24"/>
          <w:szCs w:val="24"/>
          <w:u w:val="single"/>
          <w:rtl/>
        </w:rPr>
        <w:t>הראיות</w:t>
      </w:r>
      <w:r w:rsidRPr="00A53A5A">
        <w:rPr>
          <w:rFonts w:ascii="David" w:hAnsi="David" w:cs="David"/>
          <w:b/>
          <w:bCs/>
          <w:sz w:val="24"/>
          <w:szCs w:val="24"/>
          <w:u w:val="single"/>
          <w:rtl/>
        </w:rPr>
        <w:t xml:space="preserve"> לעונש</w:t>
      </w:r>
      <w:r w:rsidRPr="00A53A5A">
        <w:rPr>
          <w:rFonts w:ascii="David" w:hAnsi="David" w:cs="David"/>
          <w:b/>
          <w:bCs/>
          <w:sz w:val="24"/>
          <w:szCs w:val="24"/>
          <w:rtl/>
        </w:rPr>
        <w:t>:</w:t>
      </w:r>
    </w:p>
    <w:p w14:paraId="3BAE4D35" w14:textId="77777777" w:rsidR="00A24187" w:rsidRPr="00A53A5A" w:rsidRDefault="00A24187" w:rsidP="00A53A5A">
      <w:pPr>
        <w:spacing w:after="0" w:line="360" w:lineRule="auto"/>
        <w:jc w:val="both"/>
        <w:rPr>
          <w:rFonts w:ascii="David" w:hAnsi="David" w:cs="David"/>
          <w:sz w:val="24"/>
          <w:szCs w:val="24"/>
          <w:rtl/>
        </w:rPr>
      </w:pPr>
    </w:p>
    <w:p w14:paraId="28D4C811" w14:textId="77777777"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4.</w:t>
      </w:r>
      <w:r w:rsidRPr="00A53A5A">
        <w:rPr>
          <w:rFonts w:ascii="David" w:hAnsi="David" w:cs="David"/>
          <w:sz w:val="24"/>
          <w:szCs w:val="24"/>
          <w:rtl/>
        </w:rPr>
        <w:tab/>
      </w:r>
      <w:r w:rsidRPr="00A53A5A">
        <w:rPr>
          <w:rFonts w:ascii="David" w:hAnsi="David" w:cs="David" w:hint="eastAsia"/>
          <w:sz w:val="24"/>
          <w:szCs w:val="24"/>
          <w:rtl/>
        </w:rPr>
        <w:t>בטרם</w:t>
      </w:r>
      <w:r w:rsidRPr="00A53A5A">
        <w:rPr>
          <w:rFonts w:ascii="David" w:hAnsi="David" w:cs="David"/>
          <w:sz w:val="24"/>
          <w:szCs w:val="24"/>
          <w:rtl/>
        </w:rPr>
        <w:t xml:space="preserve"> נשמעו טיעוני הצדדים לעונש, הגישה המאשימה כראיה מטעמה, את גיליון הרישום הפלילי של הנאשם (</w:t>
      </w:r>
      <w:r w:rsidRPr="00A53A5A">
        <w:rPr>
          <w:rFonts w:ascii="David" w:hAnsi="David" w:cs="David" w:hint="eastAsia"/>
          <w:b/>
          <w:bCs/>
          <w:sz w:val="24"/>
          <w:szCs w:val="24"/>
          <w:rtl/>
        </w:rPr>
        <w:t>ענ</w:t>
      </w:r>
      <w:r w:rsidRPr="00A53A5A">
        <w:rPr>
          <w:rFonts w:ascii="David" w:hAnsi="David" w:cs="David"/>
          <w:b/>
          <w:bCs/>
          <w:sz w:val="24"/>
          <w:szCs w:val="24"/>
          <w:rtl/>
        </w:rPr>
        <w:t>/1</w:t>
      </w:r>
      <w:r w:rsidRPr="00A53A5A">
        <w:rPr>
          <w:rFonts w:ascii="David" w:hAnsi="David" w:cs="David"/>
          <w:sz w:val="24"/>
          <w:szCs w:val="24"/>
          <w:rtl/>
        </w:rPr>
        <w:t xml:space="preserve">). </w:t>
      </w:r>
    </w:p>
    <w:p w14:paraId="060BF78A" w14:textId="77777777" w:rsidR="00A24187" w:rsidRPr="00A53A5A" w:rsidRDefault="00A24187" w:rsidP="00A53A5A">
      <w:pPr>
        <w:spacing w:after="0" w:line="360" w:lineRule="auto"/>
        <w:ind w:hanging="720"/>
        <w:jc w:val="both"/>
        <w:rPr>
          <w:rFonts w:ascii="David" w:hAnsi="David" w:cs="David"/>
          <w:sz w:val="24"/>
          <w:szCs w:val="24"/>
          <w:rtl/>
        </w:rPr>
      </w:pPr>
    </w:p>
    <w:p w14:paraId="142427ED" w14:textId="77777777" w:rsidR="00A24187" w:rsidRPr="00A53A5A" w:rsidRDefault="00A24187" w:rsidP="00A53A5A">
      <w:pPr>
        <w:spacing w:after="0" w:line="360" w:lineRule="auto"/>
        <w:ind w:firstLine="720"/>
        <w:jc w:val="both"/>
        <w:rPr>
          <w:rFonts w:ascii="David" w:hAnsi="David" w:cs="David"/>
          <w:sz w:val="24"/>
          <w:szCs w:val="24"/>
          <w:rtl/>
        </w:rPr>
      </w:pPr>
      <w:r w:rsidRPr="00A53A5A">
        <w:rPr>
          <w:rFonts w:ascii="David" w:hAnsi="David" w:cs="David" w:hint="eastAsia"/>
          <w:sz w:val="24"/>
          <w:szCs w:val="24"/>
          <w:rtl/>
        </w:rPr>
        <w:t>מטעמו</w:t>
      </w:r>
      <w:r w:rsidRPr="00A53A5A">
        <w:rPr>
          <w:rFonts w:ascii="David" w:hAnsi="David" w:cs="David"/>
          <w:sz w:val="24"/>
          <w:szCs w:val="24"/>
          <w:rtl/>
        </w:rPr>
        <w:t xml:space="preserve"> של הנאשם לא הוגשו ראיות לעונש.</w:t>
      </w:r>
    </w:p>
    <w:p w14:paraId="4A1C6AD1" w14:textId="77777777" w:rsidR="00A24187" w:rsidRPr="00A53A5A" w:rsidRDefault="00A24187" w:rsidP="00A53A5A">
      <w:pPr>
        <w:spacing w:after="0" w:line="360" w:lineRule="auto"/>
        <w:jc w:val="both"/>
        <w:rPr>
          <w:rFonts w:ascii="David" w:hAnsi="David" w:cs="David"/>
          <w:sz w:val="24"/>
          <w:szCs w:val="24"/>
          <w:rtl/>
        </w:rPr>
      </w:pPr>
    </w:p>
    <w:p w14:paraId="3F3AA4D9" w14:textId="77777777" w:rsidR="00A24187" w:rsidRPr="00A53A5A" w:rsidRDefault="00A24187" w:rsidP="00A53A5A">
      <w:pPr>
        <w:spacing w:after="0" w:line="360" w:lineRule="auto"/>
        <w:jc w:val="both"/>
        <w:rPr>
          <w:rFonts w:ascii="David" w:hAnsi="David" w:cs="David"/>
          <w:b/>
          <w:bCs/>
          <w:sz w:val="24"/>
          <w:szCs w:val="24"/>
          <w:u w:val="single"/>
          <w:rtl/>
        </w:rPr>
      </w:pPr>
      <w:r w:rsidRPr="00A53A5A">
        <w:rPr>
          <w:rFonts w:ascii="David" w:hAnsi="David" w:cs="David" w:hint="eastAsia"/>
          <w:b/>
          <w:bCs/>
          <w:sz w:val="24"/>
          <w:szCs w:val="24"/>
          <w:u w:val="single"/>
          <w:rtl/>
        </w:rPr>
        <w:t>תסקיר</w:t>
      </w:r>
      <w:r w:rsidRPr="00A53A5A">
        <w:rPr>
          <w:rFonts w:ascii="David" w:hAnsi="David" w:cs="David"/>
          <w:b/>
          <w:bCs/>
          <w:sz w:val="24"/>
          <w:szCs w:val="24"/>
          <w:u w:val="single"/>
          <w:rtl/>
        </w:rPr>
        <w:t xml:space="preserve"> שירות המבחן</w:t>
      </w:r>
      <w:r w:rsidRPr="00A53A5A">
        <w:rPr>
          <w:rFonts w:ascii="David" w:hAnsi="David" w:cs="David"/>
          <w:b/>
          <w:bCs/>
          <w:i/>
          <w:iCs/>
          <w:sz w:val="24"/>
          <w:szCs w:val="24"/>
          <w:rtl/>
        </w:rPr>
        <w:t>:</w:t>
      </w:r>
    </w:p>
    <w:p w14:paraId="47D2F944" w14:textId="77777777" w:rsidR="00A24187" w:rsidRPr="00A53A5A" w:rsidRDefault="00A24187" w:rsidP="00A53A5A">
      <w:pPr>
        <w:spacing w:after="0" w:line="360" w:lineRule="auto"/>
        <w:jc w:val="both"/>
        <w:rPr>
          <w:rFonts w:ascii="David" w:hAnsi="David" w:cs="David"/>
          <w:sz w:val="24"/>
          <w:szCs w:val="24"/>
          <w:rtl/>
        </w:rPr>
      </w:pPr>
    </w:p>
    <w:p w14:paraId="03B176C8" w14:textId="77777777"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5.</w:t>
      </w:r>
      <w:r w:rsidRPr="00A53A5A">
        <w:rPr>
          <w:rFonts w:ascii="David" w:hAnsi="David" w:cs="David"/>
          <w:sz w:val="24"/>
          <w:szCs w:val="24"/>
          <w:rtl/>
        </w:rPr>
        <w:tab/>
      </w:r>
      <w:r w:rsidRPr="00A53A5A">
        <w:rPr>
          <w:rFonts w:ascii="David" w:hAnsi="David" w:cs="David" w:hint="eastAsia"/>
          <w:sz w:val="24"/>
          <w:szCs w:val="24"/>
          <w:rtl/>
        </w:rPr>
        <w:t>הנאשם</w:t>
      </w:r>
      <w:r w:rsidRPr="00A53A5A">
        <w:rPr>
          <w:rFonts w:ascii="David" w:hAnsi="David" w:cs="David"/>
          <w:sz w:val="24"/>
          <w:szCs w:val="24"/>
          <w:rtl/>
        </w:rPr>
        <w:t xml:space="preserve"> הינו כבן 23, מוסלמי, רווק. טרם מעצרו התגורר עם אביו, אחיו ואמו החורגת בבית זרזיר ועבד כשכיר בתחום המזגנים. התסקיר מפרט את נסיבות חייו של הנאשם והרקע המשפחתי שלו. בתמצית יאמר, כי בעבר היה אביו של הנאשם מעורב בפלילים וריצה מספר עונשי מאסר, האחרון בהם לתקופה של 12 שנים. אמו של הנאשם עזבה את בית המשפחה לפני כ-11 שנים, ככל הנראה על רקע מערכת יחסים אלימה ומורכבת עם האב ומשפחתו, והנאשם מצוי עימה בקשר לא רציף. היעדרותו של האב לתקופות מאסר שונות הביאה לכך כי במהלך השנים גדל הנאשם בבית סבו וסבתו, אותם תיאר כדמויות משמעותיות בחייו.</w:t>
      </w:r>
    </w:p>
    <w:p w14:paraId="4A26784C" w14:textId="77777777" w:rsidR="00A24187" w:rsidRPr="00A53A5A" w:rsidRDefault="00A24187" w:rsidP="00A53A5A">
      <w:pPr>
        <w:spacing w:after="0" w:line="360" w:lineRule="auto"/>
        <w:ind w:hanging="720"/>
        <w:jc w:val="both"/>
        <w:rPr>
          <w:rFonts w:ascii="David" w:hAnsi="David" w:cs="David"/>
          <w:sz w:val="24"/>
          <w:szCs w:val="24"/>
          <w:rtl/>
        </w:rPr>
      </w:pPr>
    </w:p>
    <w:p w14:paraId="40E1EACE" w14:textId="77777777" w:rsidR="00A24187" w:rsidRPr="00A53A5A" w:rsidRDefault="00A24187" w:rsidP="00A53A5A">
      <w:pPr>
        <w:spacing w:after="0" w:line="360" w:lineRule="auto"/>
        <w:ind w:left="720"/>
        <w:jc w:val="both"/>
        <w:rPr>
          <w:rFonts w:ascii="David" w:hAnsi="David" w:cs="David"/>
          <w:sz w:val="24"/>
          <w:szCs w:val="24"/>
          <w:rtl/>
        </w:rPr>
      </w:pPr>
      <w:r w:rsidRPr="00A53A5A">
        <w:rPr>
          <w:rFonts w:ascii="David" w:hAnsi="David" w:cs="David" w:hint="eastAsia"/>
          <w:sz w:val="24"/>
          <w:szCs w:val="24"/>
          <w:rtl/>
        </w:rPr>
        <w:t>הנאשם</w:t>
      </w:r>
      <w:r w:rsidRPr="00A53A5A">
        <w:rPr>
          <w:rFonts w:ascii="David" w:hAnsi="David" w:cs="David"/>
          <w:sz w:val="24"/>
          <w:szCs w:val="24"/>
          <w:rtl/>
        </w:rPr>
        <w:t xml:space="preserve"> השלים 9 שנות לימוד. לטענתו, הפסיק ללמוד על רקע רצונו להשתלב בשוק העבודה ולסייע בפרנסת המשפחה. הנאשם דיווח כי בגיל 16 החל לעבוד בעבודות מזדמנות תוך שמירה על תפק</w:t>
      </w:r>
      <w:r w:rsidRPr="00A53A5A">
        <w:rPr>
          <w:rFonts w:ascii="David" w:hAnsi="David" w:cs="David" w:hint="eastAsia"/>
          <w:sz w:val="24"/>
          <w:szCs w:val="24"/>
          <w:rtl/>
        </w:rPr>
        <w:t>וד</w:t>
      </w:r>
      <w:r w:rsidRPr="00A53A5A">
        <w:rPr>
          <w:rFonts w:ascii="David" w:hAnsi="David" w:cs="David"/>
          <w:sz w:val="24"/>
          <w:szCs w:val="24"/>
          <w:rtl/>
        </w:rPr>
        <w:t xml:space="preserve"> תעסוקתי רציף ויציב. הנאשם דיווח כי שירת שירות חלקי בצבא, למשך כתשעה חודשים בגדוד הגששים, אך נאלץ לעזוב בשל מצוקתה הכלכלית של משפחתו.</w:t>
      </w:r>
    </w:p>
    <w:p w14:paraId="35F9A998" w14:textId="77777777" w:rsidR="00A24187" w:rsidRPr="00A53A5A" w:rsidRDefault="00A24187" w:rsidP="00A53A5A">
      <w:pPr>
        <w:spacing w:after="0" w:line="360" w:lineRule="auto"/>
        <w:ind w:hanging="720"/>
        <w:jc w:val="both"/>
        <w:rPr>
          <w:rFonts w:ascii="David" w:hAnsi="David" w:cs="David"/>
          <w:sz w:val="24"/>
          <w:szCs w:val="24"/>
          <w:rtl/>
        </w:rPr>
      </w:pPr>
    </w:p>
    <w:p w14:paraId="45EBEE01" w14:textId="77777777"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6.</w:t>
      </w:r>
      <w:r w:rsidRPr="00A53A5A">
        <w:rPr>
          <w:rFonts w:ascii="David" w:hAnsi="David" w:cs="David"/>
          <w:sz w:val="24"/>
          <w:szCs w:val="24"/>
          <w:rtl/>
        </w:rPr>
        <w:tab/>
      </w:r>
      <w:r w:rsidRPr="00A53A5A">
        <w:rPr>
          <w:rFonts w:ascii="David" w:hAnsi="David" w:cs="David" w:hint="eastAsia"/>
          <w:sz w:val="24"/>
          <w:szCs w:val="24"/>
          <w:rtl/>
        </w:rPr>
        <w:t>שירות</w:t>
      </w:r>
      <w:r w:rsidRPr="00A53A5A">
        <w:rPr>
          <w:rFonts w:ascii="David" w:hAnsi="David" w:cs="David"/>
          <w:sz w:val="24"/>
          <w:szCs w:val="24"/>
          <w:rtl/>
        </w:rPr>
        <w:t xml:space="preserve"> המבחן התייחס לעברו הפלילי של הנאשם: לחובתו הרשעה משנת 2015, בעבירת רכוש והפרת הוראה חוקית, בגינה נדון לעונשים שכללו 8 חודשי מאסר בפועל וציין, כי במסגרת ההליך הקודם הוכן תסקיר, בו נקבע כי קיימת נזקקות טיפולית, אך הנאשם שלל כל צורך לקבל טיפול ועל כן נמנע אז שירות המבחן מלבוא בהמלצה טיפו</w:t>
      </w:r>
      <w:r w:rsidRPr="00A53A5A">
        <w:rPr>
          <w:rFonts w:ascii="David" w:hAnsi="David" w:cs="David" w:hint="eastAsia"/>
          <w:sz w:val="24"/>
          <w:szCs w:val="24"/>
          <w:rtl/>
        </w:rPr>
        <w:t>לית</w:t>
      </w:r>
      <w:r w:rsidRPr="00A53A5A">
        <w:rPr>
          <w:rFonts w:ascii="David" w:hAnsi="David" w:cs="David"/>
          <w:sz w:val="24"/>
          <w:szCs w:val="24"/>
          <w:rtl/>
        </w:rPr>
        <w:t xml:space="preserve"> לגביו.</w:t>
      </w:r>
    </w:p>
    <w:p w14:paraId="071688A3" w14:textId="77777777" w:rsidR="00A24187" w:rsidRPr="00A53A5A" w:rsidRDefault="00A24187" w:rsidP="00A53A5A">
      <w:pPr>
        <w:spacing w:after="0" w:line="360" w:lineRule="auto"/>
        <w:ind w:hanging="720"/>
        <w:jc w:val="both"/>
        <w:rPr>
          <w:rFonts w:ascii="David" w:hAnsi="David" w:cs="David"/>
          <w:sz w:val="24"/>
          <w:szCs w:val="24"/>
          <w:rtl/>
        </w:rPr>
      </w:pPr>
    </w:p>
    <w:p w14:paraId="06849AC1" w14:textId="77777777"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7.</w:t>
      </w:r>
      <w:r w:rsidRPr="00A53A5A">
        <w:rPr>
          <w:rFonts w:ascii="David" w:hAnsi="David" w:cs="David"/>
          <w:sz w:val="24"/>
          <w:szCs w:val="24"/>
          <w:rtl/>
        </w:rPr>
        <w:tab/>
      </w:r>
      <w:r w:rsidRPr="00A53A5A">
        <w:rPr>
          <w:rFonts w:ascii="David" w:hAnsi="David" w:cs="David" w:hint="eastAsia"/>
          <w:sz w:val="24"/>
          <w:szCs w:val="24"/>
          <w:rtl/>
        </w:rPr>
        <w:t>בהתייחס</w:t>
      </w:r>
      <w:r w:rsidRPr="00A53A5A">
        <w:rPr>
          <w:rFonts w:ascii="David" w:hAnsi="David" w:cs="David"/>
          <w:sz w:val="24"/>
          <w:szCs w:val="24"/>
          <w:rtl/>
        </w:rPr>
        <w:t xml:space="preserve"> לעבירות הנדונות, ציינה קצינת המבחן כי הנאשם הודה בפניה בעבירות שיוחסו לו ונטל אחריות מלאה על מעשיו. הוא הביע חרטה על התנהלותו וניכר כי השלים עם העובדה כי בגין התנהגותו יידרש לשאת תקופת מאסר. הנאשם תיאר בפני קצינת המבחן את הרקע לביצוע העבירה, וטען כי חווה פגיעה פיזית מצד משפחת המתלוננים והאשמות, אשר לתפיסתו, פגעו בו ובכבוד משפחתו. הוא תיאר כי חווה לחץ ודחק רגשי ותחושות של תסכול וחוסר אונים. על רקע תחושות נ</w:t>
      </w:r>
      <w:r w:rsidRPr="00A53A5A">
        <w:rPr>
          <w:rFonts w:ascii="David" w:hAnsi="David" w:cs="David" w:hint="eastAsia"/>
          <w:sz w:val="24"/>
          <w:szCs w:val="24"/>
          <w:rtl/>
        </w:rPr>
        <w:t>פשיות</w:t>
      </w:r>
      <w:r w:rsidRPr="00A53A5A">
        <w:rPr>
          <w:rFonts w:ascii="David" w:hAnsi="David" w:cs="David"/>
          <w:sz w:val="24"/>
          <w:szCs w:val="24"/>
          <w:rtl/>
        </w:rPr>
        <w:t xml:space="preserve"> אלה ורצונו לסיים את הסכסוך פעל והצטייד בנשק שנטל מחברו. הנאשם שלל כל כוונה לפגוע במתלוננים וטען כי התכוון להפחידם בלבד. קצינת המבחן ציינה כי הנאשם הביע בפניה צער אודות התנהגותו כלפי בני משפחת המתלוננים וגילה אמפתיה ראשונית לחוויית החרדה שחוו. לדבריו, כיום אין מתיחות בין בני משפחתו לבין בני משפחת המתלוננים, אך ככל הנראה לא נערכה סולחה בין המשפחות. דווח כי הנאשם מתאר את האירוע נשוא כתב האישום כאירוע חריג שאינו תואם לאישיותו ואורח חייו.</w:t>
      </w:r>
    </w:p>
    <w:p w14:paraId="283180CF" w14:textId="77777777" w:rsidR="00A24187" w:rsidRPr="00A53A5A" w:rsidRDefault="00A24187" w:rsidP="00A53A5A">
      <w:pPr>
        <w:spacing w:after="0" w:line="360" w:lineRule="auto"/>
        <w:ind w:hanging="720"/>
        <w:jc w:val="both"/>
        <w:rPr>
          <w:rFonts w:ascii="David" w:hAnsi="David" w:cs="David"/>
          <w:sz w:val="24"/>
          <w:szCs w:val="24"/>
          <w:rtl/>
        </w:rPr>
      </w:pPr>
    </w:p>
    <w:p w14:paraId="0E273C80" w14:textId="77777777"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8.</w:t>
      </w:r>
      <w:r w:rsidRPr="00A53A5A">
        <w:rPr>
          <w:rFonts w:ascii="David" w:hAnsi="David" w:cs="David"/>
          <w:sz w:val="24"/>
          <w:szCs w:val="24"/>
          <w:rtl/>
        </w:rPr>
        <w:t xml:space="preserve"> </w:t>
      </w:r>
      <w:r w:rsidRPr="00A53A5A">
        <w:rPr>
          <w:rFonts w:ascii="David" w:hAnsi="David" w:cs="David"/>
          <w:sz w:val="24"/>
          <w:szCs w:val="24"/>
          <w:rtl/>
        </w:rPr>
        <w:tab/>
      </w:r>
      <w:r w:rsidRPr="00A53A5A">
        <w:rPr>
          <w:rFonts w:ascii="David" w:hAnsi="David" w:cs="David" w:hint="eastAsia"/>
          <w:sz w:val="24"/>
          <w:szCs w:val="24"/>
          <w:rtl/>
        </w:rPr>
        <w:t>שירות</w:t>
      </w:r>
      <w:r w:rsidRPr="00A53A5A">
        <w:rPr>
          <w:rFonts w:ascii="David" w:hAnsi="David" w:cs="David"/>
          <w:sz w:val="24"/>
          <w:szCs w:val="24"/>
          <w:rtl/>
        </w:rPr>
        <w:t xml:space="preserve"> המבחן העריך על סמך גורמי הסיכון והסיכוי, כפי שפורטו בתסקיר כי רמת הסיכון הנשקפת מן הנאשם הינה בינונית ברמת חומרה גבוהה להישנות התנהגות אלימה. קצינת המבחן ציינה, כי לשם הפחתת סיכון, נדרשת התערבות טיפולית ובשיחה עם הנאשם נבחנו האפשרויות הטיפוליות. בשונה מן העבר, הפעם הביע הנאשם רצון ונכונות ליטול חלק בהליך טיפולי, בתחום ויסות רגשות ושליטה בדחפים. </w:t>
      </w:r>
    </w:p>
    <w:p w14:paraId="1248AFED" w14:textId="77777777" w:rsidR="00A24187" w:rsidRPr="00A53A5A" w:rsidRDefault="00A24187" w:rsidP="00A53A5A">
      <w:pPr>
        <w:spacing w:after="0" w:line="360" w:lineRule="auto"/>
        <w:ind w:hanging="720"/>
        <w:jc w:val="both"/>
        <w:rPr>
          <w:rFonts w:ascii="David" w:hAnsi="David" w:cs="David"/>
          <w:sz w:val="24"/>
          <w:szCs w:val="24"/>
          <w:rtl/>
        </w:rPr>
      </w:pPr>
    </w:p>
    <w:p w14:paraId="0991DE22" w14:textId="77777777"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9.</w:t>
      </w:r>
      <w:r w:rsidRPr="00A53A5A">
        <w:rPr>
          <w:rFonts w:ascii="David" w:hAnsi="David" w:cs="David"/>
          <w:sz w:val="24"/>
          <w:szCs w:val="24"/>
          <w:rtl/>
        </w:rPr>
        <w:t xml:space="preserve"> </w:t>
      </w:r>
      <w:r w:rsidRPr="00A53A5A">
        <w:rPr>
          <w:rFonts w:ascii="David" w:hAnsi="David" w:cs="David"/>
          <w:sz w:val="24"/>
          <w:szCs w:val="24"/>
          <w:rtl/>
        </w:rPr>
        <w:tab/>
      </w:r>
      <w:r w:rsidRPr="00A53A5A">
        <w:rPr>
          <w:rFonts w:ascii="David" w:hAnsi="David" w:cs="David" w:hint="eastAsia"/>
          <w:sz w:val="24"/>
          <w:szCs w:val="24"/>
          <w:rtl/>
        </w:rPr>
        <w:t>סיכומו</w:t>
      </w:r>
      <w:r w:rsidRPr="00A53A5A">
        <w:rPr>
          <w:rFonts w:ascii="David" w:hAnsi="David" w:cs="David"/>
          <w:sz w:val="24"/>
          <w:szCs w:val="24"/>
          <w:rtl/>
        </w:rPr>
        <w:t xml:space="preserve"> של דבר, לאחר ששקל, כאמור, שירות המבחן את גורמי </w:t>
      </w:r>
      <w:r w:rsidRPr="00A53A5A">
        <w:rPr>
          <w:rFonts w:ascii="David" w:hAnsi="David" w:cs="David" w:hint="eastAsia"/>
          <w:sz w:val="24"/>
          <w:szCs w:val="24"/>
          <w:rtl/>
        </w:rPr>
        <w:t>הסיכוי</w:t>
      </w:r>
      <w:r w:rsidRPr="00A53A5A">
        <w:rPr>
          <w:rFonts w:ascii="David" w:hAnsi="David" w:cs="David"/>
          <w:sz w:val="24"/>
          <w:szCs w:val="24"/>
          <w:rtl/>
        </w:rPr>
        <w:t xml:space="preserve"> (כמו הודאת הנאשם בעבירות המיוחסות לו, נכונותו לשתף פעולה עם גורמי הטיפול) אל מול גורמי הסיכון (ביצוען של העבירות, מסוכנות בינונית וסיכון גבוה להישנות התנהגות אלימה), נמנע שירות המבחן ממתן המלצה טיפולית, מחוץ לכתלי הכלא. לפי התרשמות שירות המבחן, ניכר על הנאשם כי הוא משלים עם המחיר העונשי למעשיו, כשהוא מקווה להפיק את המיטב במהלך שהותו בכלא, באמצעות טיפול במסגרת שב"ס. לכן, הומלץ כי במידה ותוטל על הנאשם ענישה שתרוצה בין כתלי הכלא, הוא ישולב בתכנית טיפולית בהתאם לצרכיו.</w:t>
      </w:r>
    </w:p>
    <w:p w14:paraId="3C037952" w14:textId="77777777" w:rsidR="00A24187" w:rsidRPr="00A53A5A" w:rsidRDefault="00A24187" w:rsidP="00A53A5A">
      <w:pPr>
        <w:spacing w:after="0" w:line="360" w:lineRule="auto"/>
        <w:ind w:hanging="720"/>
        <w:jc w:val="both"/>
        <w:rPr>
          <w:rFonts w:ascii="David" w:hAnsi="David" w:cs="David"/>
          <w:sz w:val="24"/>
          <w:szCs w:val="24"/>
          <w:rtl/>
        </w:rPr>
      </w:pPr>
    </w:p>
    <w:p w14:paraId="6C5216C1" w14:textId="77777777" w:rsidR="00A24187" w:rsidRPr="00A53A5A" w:rsidRDefault="00A24187" w:rsidP="00A53A5A">
      <w:pPr>
        <w:spacing w:after="0" w:line="360" w:lineRule="auto"/>
        <w:jc w:val="both"/>
        <w:rPr>
          <w:rFonts w:ascii="David" w:hAnsi="David" w:cs="David"/>
          <w:b/>
          <w:bCs/>
          <w:sz w:val="24"/>
          <w:szCs w:val="24"/>
          <w:u w:val="single"/>
          <w:rtl/>
        </w:rPr>
      </w:pPr>
    </w:p>
    <w:p w14:paraId="243FCD65" w14:textId="77777777" w:rsidR="00A24187" w:rsidRPr="00A53A5A" w:rsidRDefault="00A24187" w:rsidP="00A53A5A">
      <w:pPr>
        <w:spacing w:after="0" w:line="360" w:lineRule="auto"/>
        <w:jc w:val="both"/>
        <w:rPr>
          <w:rFonts w:ascii="David" w:hAnsi="David" w:cs="David"/>
          <w:sz w:val="24"/>
          <w:szCs w:val="24"/>
          <w:rtl/>
        </w:rPr>
      </w:pPr>
      <w:r w:rsidRPr="00A53A5A">
        <w:rPr>
          <w:rFonts w:ascii="David" w:hAnsi="David" w:cs="David" w:hint="eastAsia"/>
          <w:b/>
          <w:bCs/>
          <w:sz w:val="24"/>
          <w:szCs w:val="24"/>
          <w:u w:val="single"/>
          <w:rtl/>
        </w:rPr>
        <w:t>טיעוני</w:t>
      </w:r>
      <w:r w:rsidRPr="00A53A5A">
        <w:rPr>
          <w:rFonts w:ascii="David" w:hAnsi="David" w:cs="David"/>
          <w:b/>
          <w:bCs/>
          <w:sz w:val="24"/>
          <w:szCs w:val="24"/>
          <w:u w:val="single"/>
          <w:rtl/>
        </w:rPr>
        <w:t xml:space="preserve"> הצדדים לעונש</w:t>
      </w:r>
      <w:r w:rsidRPr="00A53A5A">
        <w:rPr>
          <w:rFonts w:ascii="David" w:hAnsi="David" w:cs="David"/>
          <w:sz w:val="24"/>
          <w:szCs w:val="24"/>
          <w:rtl/>
        </w:rPr>
        <w:t xml:space="preserve">: </w:t>
      </w:r>
    </w:p>
    <w:p w14:paraId="3EB76918" w14:textId="77777777" w:rsidR="00A24187" w:rsidRPr="00A53A5A" w:rsidRDefault="00A24187" w:rsidP="00A53A5A">
      <w:pPr>
        <w:spacing w:after="0" w:line="360" w:lineRule="auto"/>
        <w:jc w:val="both"/>
        <w:rPr>
          <w:rFonts w:ascii="David" w:hAnsi="David" w:cs="David"/>
          <w:b/>
          <w:bCs/>
          <w:sz w:val="24"/>
          <w:szCs w:val="24"/>
          <w:rtl/>
        </w:rPr>
      </w:pPr>
    </w:p>
    <w:p w14:paraId="1D47898C" w14:textId="77777777" w:rsidR="00A24187" w:rsidRPr="00A53A5A" w:rsidRDefault="00A24187" w:rsidP="00A53A5A">
      <w:pPr>
        <w:spacing w:after="0" w:line="360" w:lineRule="auto"/>
        <w:jc w:val="both"/>
        <w:rPr>
          <w:rFonts w:ascii="David" w:hAnsi="David" w:cs="David"/>
          <w:sz w:val="24"/>
          <w:szCs w:val="24"/>
          <w:rtl/>
        </w:rPr>
      </w:pPr>
      <w:r w:rsidRPr="00A53A5A">
        <w:rPr>
          <w:rFonts w:ascii="David" w:hAnsi="David" w:cs="David" w:hint="eastAsia"/>
          <w:b/>
          <w:bCs/>
          <w:sz w:val="24"/>
          <w:szCs w:val="24"/>
          <w:rtl/>
        </w:rPr>
        <w:t>טיעוני</w:t>
      </w:r>
      <w:r w:rsidRPr="00A53A5A">
        <w:rPr>
          <w:rFonts w:ascii="David" w:hAnsi="David" w:cs="David"/>
          <w:b/>
          <w:bCs/>
          <w:sz w:val="24"/>
          <w:szCs w:val="24"/>
          <w:rtl/>
        </w:rPr>
        <w:t xml:space="preserve"> המאשימה</w:t>
      </w:r>
      <w:r w:rsidRPr="00A53A5A">
        <w:rPr>
          <w:rFonts w:ascii="David" w:hAnsi="David" w:cs="David"/>
          <w:sz w:val="24"/>
          <w:szCs w:val="24"/>
          <w:rtl/>
        </w:rPr>
        <w:t xml:space="preserve">: </w:t>
      </w:r>
    </w:p>
    <w:p w14:paraId="5C7492CE" w14:textId="77777777" w:rsidR="00A24187" w:rsidRPr="00A53A5A" w:rsidRDefault="00A24187" w:rsidP="00A53A5A">
      <w:pPr>
        <w:spacing w:after="0" w:line="360" w:lineRule="auto"/>
        <w:jc w:val="both"/>
        <w:rPr>
          <w:rFonts w:ascii="David" w:hAnsi="David" w:cs="David"/>
          <w:sz w:val="24"/>
          <w:szCs w:val="24"/>
          <w:rtl/>
        </w:rPr>
      </w:pPr>
    </w:p>
    <w:p w14:paraId="7F30C598" w14:textId="77777777"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10</w:t>
      </w:r>
      <w:r w:rsidRPr="00A53A5A">
        <w:rPr>
          <w:rFonts w:ascii="David" w:hAnsi="David" w:cs="David"/>
          <w:sz w:val="24"/>
          <w:szCs w:val="24"/>
          <w:rtl/>
        </w:rPr>
        <w:t>.</w:t>
      </w:r>
      <w:r w:rsidRPr="00A53A5A">
        <w:rPr>
          <w:rFonts w:ascii="David" w:hAnsi="David" w:cs="David"/>
          <w:sz w:val="24"/>
          <w:szCs w:val="24"/>
          <w:rtl/>
        </w:rPr>
        <w:tab/>
      </w:r>
      <w:r w:rsidRPr="00A53A5A">
        <w:rPr>
          <w:rFonts w:ascii="David" w:hAnsi="David" w:cs="David" w:hint="eastAsia"/>
          <w:sz w:val="24"/>
          <w:szCs w:val="24"/>
          <w:rtl/>
        </w:rPr>
        <w:t>לעמדת</w:t>
      </w:r>
      <w:r w:rsidRPr="00A53A5A">
        <w:rPr>
          <w:rFonts w:ascii="David" w:hAnsi="David" w:cs="David"/>
          <w:sz w:val="24"/>
          <w:szCs w:val="24"/>
          <w:rtl/>
        </w:rPr>
        <w:t xml:space="preserve"> המאשימה, מתחם העונש ההולם לעבירות שביצע הנאשם, בנסיבותיהן, </w:t>
      </w:r>
      <w:r w:rsidRPr="00A53A5A">
        <w:rPr>
          <w:rFonts w:ascii="David" w:hAnsi="David" w:cs="David" w:hint="eastAsia"/>
          <w:b/>
          <w:bCs/>
          <w:sz w:val="24"/>
          <w:szCs w:val="24"/>
          <w:rtl/>
        </w:rPr>
        <w:t>נע</w:t>
      </w:r>
      <w:r w:rsidRPr="00A53A5A">
        <w:rPr>
          <w:rFonts w:ascii="David" w:hAnsi="David" w:cs="David"/>
          <w:sz w:val="24"/>
          <w:szCs w:val="24"/>
          <w:rtl/>
        </w:rPr>
        <w:t xml:space="preserve"> </w:t>
      </w:r>
      <w:r w:rsidRPr="00A53A5A">
        <w:rPr>
          <w:rFonts w:ascii="David" w:hAnsi="David" w:cs="David" w:hint="eastAsia"/>
          <w:b/>
          <w:bCs/>
          <w:sz w:val="24"/>
          <w:szCs w:val="24"/>
          <w:rtl/>
        </w:rPr>
        <w:t>בין</w:t>
      </w:r>
      <w:r w:rsidRPr="00A53A5A">
        <w:rPr>
          <w:rFonts w:ascii="David" w:hAnsi="David" w:cs="David"/>
          <w:b/>
          <w:bCs/>
          <w:sz w:val="24"/>
          <w:szCs w:val="24"/>
          <w:rtl/>
        </w:rPr>
        <w:t xml:space="preserve"> שש ל-תשע שנות מאסר בפו</w:t>
      </w:r>
      <w:r w:rsidRPr="00A53A5A">
        <w:rPr>
          <w:rFonts w:ascii="David" w:hAnsi="David" w:cs="David" w:hint="eastAsia"/>
          <w:b/>
          <w:bCs/>
          <w:sz w:val="24"/>
          <w:szCs w:val="24"/>
          <w:rtl/>
        </w:rPr>
        <w:t>על</w:t>
      </w:r>
      <w:r w:rsidRPr="00A53A5A">
        <w:rPr>
          <w:rFonts w:ascii="David" w:hAnsi="David" w:cs="David"/>
          <w:sz w:val="24"/>
          <w:szCs w:val="24"/>
          <w:rtl/>
        </w:rPr>
        <w:t xml:space="preserve">, וזאת בשים לב לשיקולים הנוגעים לקביעת המתחם:  </w:t>
      </w:r>
    </w:p>
    <w:p w14:paraId="0D19537B" w14:textId="77777777" w:rsidR="00A24187" w:rsidRPr="00A53A5A" w:rsidRDefault="00A24187" w:rsidP="00A53A5A">
      <w:pPr>
        <w:spacing w:after="0" w:line="360" w:lineRule="auto"/>
        <w:jc w:val="both"/>
        <w:rPr>
          <w:rFonts w:ascii="David" w:hAnsi="David" w:cs="David"/>
          <w:sz w:val="24"/>
          <w:szCs w:val="24"/>
          <w:rtl/>
        </w:rPr>
      </w:pPr>
    </w:p>
    <w:p w14:paraId="1FA44185" w14:textId="77777777" w:rsidR="00A24187" w:rsidRPr="00A53A5A" w:rsidRDefault="00A24187" w:rsidP="00A53A5A">
      <w:pPr>
        <w:spacing w:after="0" w:line="360" w:lineRule="auto"/>
        <w:ind w:left="720"/>
        <w:jc w:val="both"/>
        <w:rPr>
          <w:rFonts w:ascii="David" w:hAnsi="David" w:cs="David"/>
          <w:sz w:val="24"/>
          <w:szCs w:val="24"/>
          <w:rtl/>
        </w:rPr>
      </w:pPr>
      <w:r w:rsidRPr="00A53A5A">
        <w:rPr>
          <w:rFonts w:ascii="David" w:hAnsi="David" w:cs="David" w:hint="eastAsia"/>
          <w:sz w:val="24"/>
          <w:szCs w:val="24"/>
          <w:rtl/>
        </w:rPr>
        <w:t>המאשימה</w:t>
      </w:r>
      <w:r w:rsidRPr="00A53A5A">
        <w:rPr>
          <w:rFonts w:ascii="David" w:hAnsi="David" w:cs="David"/>
          <w:sz w:val="24"/>
          <w:szCs w:val="24"/>
          <w:rtl/>
        </w:rPr>
        <w:t xml:space="preserve"> טענה כי </w:t>
      </w:r>
      <w:r w:rsidRPr="00A53A5A">
        <w:rPr>
          <w:rFonts w:ascii="David" w:hAnsi="David" w:cs="David" w:hint="eastAsia"/>
          <w:b/>
          <w:bCs/>
          <w:sz w:val="24"/>
          <w:szCs w:val="24"/>
          <w:rtl/>
        </w:rPr>
        <w:t>הערך</w:t>
      </w:r>
      <w:r w:rsidRPr="00A53A5A">
        <w:rPr>
          <w:rFonts w:ascii="David" w:hAnsi="David" w:cs="David"/>
          <w:b/>
          <w:bCs/>
          <w:sz w:val="24"/>
          <w:szCs w:val="24"/>
          <w:rtl/>
        </w:rPr>
        <w:t xml:space="preserve"> החברתי המוגן</w:t>
      </w:r>
      <w:r w:rsidRPr="00A53A5A">
        <w:rPr>
          <w:rFonts w:ascii="David" w:hAnsi="David" w:cs="David"/>
          <w:sz w:val="24"/>
          <w:szCs w:val="24"/>
          <w:rtl/>
        </w:rPr>
        <w:t xml:space="preserve"> שנפגע כתוצאה מביצוע העבירות הינו שמירה על שלום הציבור וביטחונו, ובכלל זה זכותו של כל אדם לחיים ושלמות הגוף. מעשיו של הנאשם פוגעים בערך של שמירה על תחושת הביטחון בציבור. אומנם מעשיו לא </w:t>
      </w:r>
      <w:r w:rsidRPr="00A53A5A">
        <w:rPr>
          <w:rFonts w:ascii="David" w:hAnsi="David" w:cs="David" w:hint="eastAsia"/>
          <w:sz w:val="24"/>
          <w:szCs w:val="24"/>
          <w:rtl/>
        </w:rPr>
        <w:t>גרמו</w:t>
      </w:r>
      <w:r w:rsidRPr="00A53A5A">
        <w:rPr>
          <w:rFonts w:ascii="David" w:hAnsi="David" w:cs="David"/>
          <w:sz w:val="24"/>
          <w:szCs w:val="24"/>
          <w:rtl/>
        </w:rPr>
        <w:t xml:space="preserve"> לפגיעה בגופם של המתלוננים ובני משפחתם, אלא רק לרכוש, אך עם זאת, תחושת הביטחון של בני הבית, במיוחד של הילד, אשר אביו נשכב לגונן עליו בגופו מהירי המאסיבי, נפגעה פגיעה חמורה ולא בנקל תימחק.</w:t>
      </w:r>
    </w:p>
    <w:p w14:paraId="7B7248C1" w14:textId="77777777" w:rsidR="00A24187" w:rsidRPr="00A53A5A" w:rsidRDefault="00A24187" w:rsidP="00A53A5A">
      <w:pPr>
        <w:spacing w:after="0" w:line="360" w:lineRule="auto"/>
        <w:jc w:val="both"/>
        <w:rPr>
          <w:rFonts w:ascii="David" w:hAnsi="David" w:cs="David"/>
          <w:sz w:val="24"/>
          <w:szCs w:val="24"/>
          <w:rtl/>
        </w:rPr>
      </w:pPr>
    </w:p>
    <w:p w14:paraId="6A5E1237" w14:textId="77777777" w:rsidR="00A24187" w:rsidRPr="00A53A5A" w:rsidRDefault="00A24187" w:rsidP="00A53A5A">
      <w:pPr>
        <w:spacing w:after="0" w:line="360" w:lineRule="auto"/>
        <w:ind w:left="720"/>
        <w:jc w:val="both"/>
        <w:rPr>
          <w:rFonts w:ascii="David" w:hAnsi="David" w:cs="David"/>
          <w:sz w:val="24"/>
          <w:szCs w:val="24"/>
          <w:rtl/>
        </w:rPr>
      </w:pPr>
      <w:r w:rsidRPr="00A53A5A">
        <w:rPr>
          <w:rFonts w:ascii="David" w:hAnsi="David" w:cs="David" w:hint="eastAsia"/>
          <w:b/>
          <w:bCs/>
          <w:sz w:val="24"/>
          <w:szCs w:val="24"/>
          <w:rtl/>
        </w:rPr>
        <w:t>באשר</w:t>
      </w:r>
      <w:r w:rsidRPr="00A53A5A">
        <w:rPr>
          <w:rFonts w:ascii="David" w:hAnsi="David" w:cs="David"/>
          <w:b/>
          <w:bCs/>
          <w:sz w:val="24"/>
          <w:szCs w:val="24"/>
          <w:rtl/>
        </w:rPr>
        <w:t xml:space="preserve"> לנסיבות הקשורות בביצוע העבירות,</w:t>
      </w:r>
      <w:r w:rsidRPr="00A53A5A">
        <w:rPr>
          <w:rFonts w:ascii="David" w:hAnsi="David" w:cs="David"/>
          <w:sz w:val="24"/>
          <w:szCs w:val="24"/>
          <w:rtl/>
        </w:rPr>
        <w:t xml:space="preserve"> המאשימה מציינת כי ככל הנראה הנאשם לא תכנן את מעשיו זמן רב מראש. עם זאת, ביום בו החליט הנאשם לפגוע במתלוננים בירי, הוא הצטייד ברובה, אשר תאם לפגיעה אותה ביקש להשיג מבחינת עוצמת הירי, מרחק הירי ומספר היריות האפשרי. כמו כן הוא הסתובב ברכבו כך שפני הרכב פנו לכיוון היציאה, וזאת על מנת לאפשר לו מילוט מהיר. הדברים מלמדים כי הנאשם פעל באופן מתוכנן היטב, אשר יאפשר לו הן פגיעה והן הימלטות. באשר לנזק שנגרם נטען, כי הנזק הינו נזק לרכוש ונזק נפשי שלא ניתן לאמוד, ואולם הנזק שצפוי היה להיגרם הוא גדול, שכן הירי המאסיבי, שביצע הנאשם, עלול היה לקפח את חייהם או לפגוע פגיעות גוף קשות בשני מבוגרים וילד וכן באנשים אחרים, שהיו עלולים להימצא בסביבת הבית. לעניין הפגיעה הנפשית מפנה המאשימה לפסק הדין שניתן ב</w:t>
      </w:r>
      <w:hyperlink r:id="rId39" w:history="1">
        <w:r w:rsidR="009506D2" w:rsidRPr="009506D2">
          <w:rPr>
            <w:rFonts w:ascii="David" w:hAnsi="David" w:cs="David"/>
            <w:color w:val="0000FF"/>
            <w:sz w:val="24"/>
            <w:szCs w:val="24"/>
            <w:u w:val="single"/>
            <w:rtl/>
          </w:rPr>
          <w:t>ע"פ 4875/11</w:t>
        </w:r>
      </w:hyperlink>
      <w:r w:rsidRPr="00A53A5A">
        <w:rPr>
          <w:rFonts w:ascii="David" w:hAnsi="David" w:cs="David"/>
          <w:sz w:val="24"/>
          <w:szCs w:val="24"/>
          <w:rtl/>
        </w:rPr>
        <w:t xml:space="preserve"> </w:t>
      </w:r>
      <w:r w:rsidRPr="00A53A5A">
        <w:rPr>
          <w:rFonts w:ascii="David" w:hAnsi="David" w:cs="David" w:hint="eastAsia"/>
          <w:b/>
          <w:bCs/>
          <w:sz w:val="24"/>
          <w:szCs w:val="24"/>
          <w:rtl/>
        </w:rPr>
        <w:t>מדינת</w:t>
      </w:r>
      <w:r w:rsidRPr="00A53A5A">
        <w:rPr>
          <w:rFonts w:ascii="David" w:hAnsi="David" w:cs="David"/>
          <w:b/>
          <w:bCs/>
          <w:sz w:val="24"/>
          <w:szCs w:val="24"/>
          <w:rtl/>
        </w:rPr>
        <w:t xml:space="preserve"> ישראל נ' פלוני</w:t>
      </w:r>
      <w:r w:rsidRPr="00A53A5A">
        <w:rPr>
          <w:rFonts w:ascii="David" w:hAnsi="David" w:cs="David"/>
          <w:sz w:val="24"/>
          <w:szCs w:val="24"/>
          <w:rtl/>
        </w:rPr>
        <w:t xml:space="preserve"> </w:t>
      </w:r>
      <w:r w:rsidR="00F15005" w:rsidRPr="00F15005">
        <w:rPr>
          <w:rFonts w:ascii="Times New Roman" w:hAnsi="Times New Roman" w:cs="David"/>
          <w:szCs w:val="24"/>
          <w:rtl/>
        </w:rPr>
        <w:t xml:space="preserve">[פורסם בנבו] </w:t>
      </w:r>
      <w:r w:rsidRPr="00A53A5A">
        <w:rPr>
          <w:rFonts w:ascii="David" w:hAnsi="David" w:cs="David"/>
          <w:sz w:val="24"/>
          <w:szCs w:val="24"/>
          <w:rtl/>
        </w:rPr>
        <w:t>(26.1.2012), בכל הנוגע לנזק הנפשי, שעשוי להיות חמור ועוצמתי ואין כל מקום להקל בעונשו של מי שבמעשיו גרם אך (או בעיקר) לנזק כזה.</w:t>
      </w:r>
    </w:p>
    <w:p w14:paraId="35EDBCCB" w14:textId="77777777" w:rsidR="00A24187" w:rsidRPr="00A53A5A" w:rsidRDefault="00A24187" w:rsidP="00A53A5A">
      <w:pPr>
        <w:spacing w:after="0" w:line="360" w:lineRule="auto"/>
        <w:jc w:val="both"/>
        <w:rPr>
          <w:rFonts w:ascii="David" w:hAnsi="David" w:cs="David"/>
          <w:sz w:val="24"/>
          <w:szCs w:val="24"/>
          <w:rtl/>
        </w:rPr>
      </w:pPr>
    </w:p>
    <w:p w14:paraId="7C709866" w14:textId="77777777" w:rsidR="00A24187" w:rsidRPr="00A53A5A" w:rsidRDefault="00A24187" w:rsidP="00A53A5A">
      <w:pPr>
        <w:spacing w:after="0" w:line="360" w:lineRule="auto"/>
        <w:ind w:left="720"/>
        <w:jc w:val="both"/>
        <w:rPr>
          <w:rFonts w:ascii="David" w:hAnsi="David" w:cs="David"/>
          <w:sz w:val="24"/>
          <w:szCs w:val="24"/>
          <w:rtl/>
        </w:rPr>
      </w:pPr>
      <w:r w:rsidRPr="00A53A5A">
        <w:rPr>
          <w:rFonts w:ascii="David" w:hAnsi="David" w:cs="David" w:hint="eastAsia"/>
          <w:b/>
          <w:bCs/>
          <w:sz w:val="24"/>
          <w:szCs w:val="24"/>
          <w:rtl/>
        </w:rPr>
        <w:t>בהתייחס</w:t>
      </w:r>
      <w:r w:rsidRPr="00A53A5A">
        <w:rPr>
          <w:rFonts w:ascii="David" w:hAnsi="David" w:cs="David"/>
          <w:b/>
          <w:bCs/>
          <w:sz w:val="24"/>
          <w:szCs w:val="24"/>
          <w:rtl/>
        </w:rPr>
        <w:t xml:space="preserve"> למדיניות הענישה הנהוגה</w:t>
      </w:r>
      <w:r w:rsidRPr="00A53A5A">
        <w:rPr>
          <w:rFonts w:ascii="David" w:hAnsi="David" w:cs="David"/>
          <w:sz w:val="24"/>
          <w:szCs w:val="24"/>
          <w:rtl/>
        </w:rPr>
        <w:t>, עמדה המאשימה על הסיכון הכרוך בעבירות נשק והפנתה לפסיקה התומכת בעמדתה, באשר למתחם העונש ההולם. בין ה</w:t>
      </w:r>
      <w:r w:rsidRPr="00A53A5A">
        <w:rPr>
          <w:rFonts w:ascii="David" w:hAnsi="David" w:cs="David" w:hint="eastAsia"/>
          <w:sz w:val="24"/>
          <w:szCs w:val="24"/>
          <w:rtl/>
        </w:rPr>
        <w:t>שאר</w:t>
      </w:r>
      <w:r w:rsidRPr="00A53A5A">
        <w:rPr>
          <w:rFonts w:ascii="David" w:hAnsi="David" w:cs="David"/>
          <w:sz w:val="24"/>
          <w:szCs w:val="24"/>
          <w:rtl/>
        </w:rPr>
        <w:t xml:space="preserve"> הפנתה המאשימה לפסק הדין שניתן ב</w:t>
      </w:r>
      <w:hyperlink r:id="rId40" w:history="1">
        <w:r w:rsidR="009506D2" w:rsidRPr="009506D2">
          <w:rPr>
            <w:rFonts w:ascii="Times New Roman" w:hAnsi="Times New Roman" w:cs="David"/>
            <w:color w:val="0000FF"/>
            <w:sz w:val="24"/>
            <w:szCs w:val="24"/>
            <w:u w:val="single"/>
            <w:rtl/>
          </w:rPr>
          <w:t>ע"פ 780/16</w:t>
        </w:r>
      </w:hyperlink>
      <w:r w:rsidRPr="00A53A5A">
        <w:rPr>
          <w:rFonts w:ascii="Times New Roman" w:hAnsi="Times New Roman" w:cs="David"/>
          <w:sz w:val="24"/>
          <w:szCs w:val="24"/>
          <w:rtl/>
        </w:rPr>
        <w:t xml:space="preserve"> </w:t>
      </w:r>
      <w:r w:rsidRPr="00A53A5A">
        <w:rPr>
          <w:rFonts w:ascii="Times New Roman" w:hAnsi="Times New Roman" w:cs="David"/>
          <w:b/>
          <w:bCs/>
          <w:sz w:val="24"/>
          <w:szCs w:val="24"/>
          <w:rtl/>
        </w:rPr>
        <w:t>שושה</w:t>
      </w:r>
      <w:r w:rsidRPr="00A53A5A">
        <w:rPr>
          <w:rFonts w:ascii="Times New Roman" w:hAnsi="Times New Roman" w:cs="David"/>
          <w:sz w:val="24"/>
          <w:szCs w:val="24"/>
          <w:rtl/>
        </w:rPr>
        <w:t xml:space="preserve"> </w:t>
      </w:r>
      <w:r w:rsidRPr="00A53A5A">
        <w:rPr>
          <w:rFonts w:ascii="Times New Roman" w:hAnsi="Times New Roman" w:cs="David"/>
          <w:b/>
          <w:bCs/>
          <w:sz w:val="24"/>
          <w:szCs w:val="24"/>
          <w:rtl/>
        </w:rPr>
        <w:t>נ' מדינת ישראל</w:t>
      </w:r>
      <w:r w:rsidRPr="00A53A5A">
        <w:rPr>
          <w:rFonts w:ascii="Times New Roman" w:hAnsi="Times New Roman" w:cs="David"/>
          <w:sz w:val="24"/>
          <w:szCs w:val="24"/>
          <w:rtl/>
        </w:rPr>
        <w:t xml:space="preserve"> </w:t>
      </w:r>
      <w:r w:rsidR="00F15005" w:rsidRPr="00F15005">
        <w:rPr>
          <w:rFonts w:ascii="Times New Roman" w:hAnsi="Times New Roman" w:cs="David"/>
          <w:szCs w:val="24"/>
          <w:rtl/>
        </w:rPr>
        <w:t xml:space="preserve">[פורסם בנבו] </w:t>
      </w:r>
      <w:r w:rsidRPr="00A53A5A">
        <w:rPr>
          <w:rFonts w:ascii="Times New Roman" w:hAnsi="Times New Roman" w:cs="David"/>
          <w:sz w:val="24"/>
          <w:szCs w:val="24"/>
          <w:rtl/>
        </w:rPr>
        <w:t>(20.02.2017)</w:t>
      </w:r>
      <w:r w:rsidRPr="00A53A5A">
        <w:rPr>
          <w:rFonts w:ascii="David" w:hAnsi="David" w:cs="David"/>
          <w:sz w:val="24"/>
          <w:szCs w:val="24"/>
          <w:rtl/>
        </w:rPr>
        <w:t xml:space="preserve"> </w:t>
      </w:r>
      <w:r w:rsidRPr="00A53A5A">
        <w:rPr>
          <w:rFonts w:ascii="David" w:hAnsi="David" w:cs="David"/>
          <w:b/>
          <w:bCs/>
          <w:sz w:val="24"/>
          <w:szCs w:val="24"/>
          <w:rtl/>
        </w:rPr>
        <w:t>(להלן: "עניין שושה")</w:t>
      </w:r>
      <w:r w:rsidRPr="00A53A5A">
        <w:rPr>
          <w:rFonts w:ascii="David" w:hAnsi="David" w:cs="David"/>
          <w:sz w:val="24"/>
          <w:szCs w:val="24"/>
          <w:rtl/>
        </w:rPr>
        <w:t>. באותו מקרה דובר בנאשם צעיר, בן 21 וללא עבר פלילי, אשר הורשע לאחר שמיעת ראיות, בעבירה של חבלה בכוונה מחמירה, בעבירות שעניינן הובלה ונשיאה של נשק, ובעבירה של חבלה במזיד, ב</w:t>
      </w:r>
      <w:r w:rsidRPr="00A53A5A">
        <w:rPr>
          <w:rFonts w:ascii="David" w:hAnsi="David" w:cs="David" w:hint="eastAsia"/>
          <w:sz w:val="24"/>
          <w:szCs w:val="24"/>
          <w:rtl/>
        </w:rPr>
        <w:t>גין</w:t>
      </w:r>
      <w:r w:rsidRPr="00A53A5A">
        <w:rPr>
          <w:rFonts w:ascii="David" w:hAnsi="David" w:cs="David"/>
          <w:sz w:val="24"/>
          <w:szCs w:val="24"/>
          <w:rtl/>
        </w:rPr>
        <w:t xml:space="preserve"> אירוע ירי מתוכנן לעבר המתלונן, שעה שהמתלונן היה ליד ביתו עם אשתו וילדיו. האירוע בוצע על רקע אירוע ירי קודם שבצעו אחיו של המתלונן לעבר המערער ומשפחתו, וכתוצאה מכך נפצעו אביו ואחיו של המערער. בית המשפט המחוזי קבע כי מתחם העונש ההולם בנסיבות המקרה שם הינו בין 4 ל-7 שנות מאסר בפועל, וגזר על הנאשם עונש שכלל 5 שנות מאסר בפועל, מאסר על תנאי, ופיצוי למתלונן. בית המשפט העליון דחה את הערעו</w:t>
      </w:r>
      <w:r w:rsidRPr="00A53A5A">
        <w:rPr>
          <w:rFonts w:ascii="David" w:hAnsi="David" w:cs="David" w:hint="eastAsia"/>
          <w:sz w:val="24"/>
          <w:szCs w:val="24"/>
          <w:rtl/>
        </w:rPr>
        <w:t>ר</w:t>
      </w:r>
      <w:r w:rsidRPr="00A53A5A">
        <w:rPr>
          <w:rFonts w:ascii="David" w:hAnsi="David" w:cs="David"/>
          <w:sz w:val="24"/>
          <w:szCs w:val="24"/>
          <w:rtl/>
        </w:rPr>
        <w:t xml:space="preserve"> שהוגש ואישר את המתחם אותו קבע בית המשפט המחוזי. לעמדת המאשימה, מתחם העונש ההולם בעניינו של הנאשם, ראוי שיהיה גבוה מהמתחם אותו אישר בית המשפט העליון בעניין שושה, וזאת בהתחשב בסוג הנשק, שהינו רובה אוטומטי, במספר היריות הגדול בהרבה והעובדה כי הירי בוצע עקב אירוע קל ערך. </w:t>
      </w:r>
    </w:p>
    <w:p w14:paraId="06938D66" w14:textId="77777777" w:rsidR="00A24187" w:rsidRPr="00A53A5A" w:rsidRDefault="00A24187" w:rsidP="00A53A5A">
      <w:pPr>
        <w:spacing w:after="0" w:line="360" w:lineRule="auto"/>
        <w:ind w:left="720"/>
        <w:jc w:val="both"/>
        <w:rPr>
          <w:rFonts w:ascii="David" w:hAnsi="David" w:cs="David"/>
          <w:sz w:val="24"/>
          <w:szCs w:val="24"/>
          <w:rtl/>
        </w:rPr>
      </w:pPr>
    </w:p>
    <w:p w14:paraId="65A43DC5" w14:textId="77777777" w:rsidR="00A24187" w:rsidRPr="00A53A5A" w:rsidRDefault="00A24187" w:rsidP="00A53A5A">
      <w:pPr>
        <w:spacing w:after="0" w:line="360" w:lineRule="auto"/>
        <w:ind w:left="720"/>
        <w:jc w:val="both"/>
        <w:rPr>
          <w:rFonts w:cs="David"/>
          <w:sz w:val="24"/>
          <w:szCs w:val="24"/>
          <w:rtl/>
        </w:rPr>
      </w:pPr>
      <w:r w:rsidRPr="00A53A5A">
        <w:rPr>
          <w:rFonts w:ascii="David" w:hAnsi="David" w:cs="David" w:hint="eastAsia"/>
          <w:sz w:val="24"/>
          <w:szCs w:val="24"/>
          <w:rtl/>
        </w:rPr>
        <w:t>עוד</w:t>
      </w:r>
      <w:r w:rsidRPr="00A53A5A">
        <w:rPr>
          <w:rFonts w:ascii="David" w:hAnsi="David" w:cs="David"/>
          <w:sz w:val="24"/>
          <w:szCs w:val="24"/>
          <w:rtl/>
        </w:rPr>
        <w:t xml:space="preserve"> הפנתה המאשימה לפסק הדין שניתן בבית המשפט העליון במסגרת </w:t>
      </w:r>
      <w:hyperlink r:id="rId41" w:history="1">
        <w:r w:rsidR="009506D2" w:rsidRPr="009506D2">
          <w:rPr>
            <w:rFonts w:ascii="Times New Roman" w:hAnsi="Times New Roman" w:cs="David"/>
            <w:color w:val="0000FF"/>
            <w:sz w:val="24"/>
            <w:szCs w:val="24"/>
            <w:u w:val="single"/>
            <w:rtl/>
          </w:rPr>
          <w:t>ע"פ 768/13</w:t>
        </w:r>
      </w:hyperlink>
      <w:r w:rsidRPr="00A53A5A">
        <w:rPr>
          <w:rFonts w:ascii="Times New Roman" w:hAnsi="Times New Roman" w:cs="David"/>
          <w:sz w:val="24"/>
          <w:szCs w:val="24"/>
          <w:rtl/>
        </w:rPr>
        <w:t xml:space="preserve"> </w:t>
      </w:r>
      <w:r w:rsidRPr="00A53A5A">
        <w:rPr>
          <w:rFonts w:ascii="Times New Roman" w:hAnsi="Times New Roman" w:cs="David"/>
          <w:b/>
          <w:bCs/>
          <w:sz w:val="24"/>
          <w:szCs w:val="24"/>
          <w:rtl/>
        </w:rPr>
        <w:t>נאסר</w:t>
      </w:r>
      <w:r w:rsidRPr="00A53A5A">
        <w:rPr>
          <w:rFonts w:ascii="Times New Roman" w:hAnsi="Times New Roman" w:cs="David"/>
          <w:sz w:val="24"/>
          <w:szCs w:val="24"/>
          <w:rtl/>
        </w:rPr>
        <w:t xml:space="preserve"> </w:t>
      </w:r>
      <w:r w:rsidRPr="00A53A5A">
        <w:rPr>
          <w:rFonts w:ascii="Times New Roman" w:hAnsi="Times New Roman" w:cs="David"/>
          <w:b/>
          <w:bCs/>
          <w:sz w:val="24"/>
          <w:szCs w:val="24"/>
          <w:rtl/>
        </w:rPr>
        <w:t>נ'</w:t>
      </w:r>
      <w:r w:rsidRPr="00A53A5A">
        <w:rPr>
          <w:rFonts w:ascii="Times New Roman" w:hAnsi="Times New Roman" w:cs="David"/>
          <w:sz w:val="24"/>
          <w:szCs w:val="24"/>
          <w:rtl/>
        </w:rPr>
        <w:t xml:space="preserve"> </w:t>
      </w:r>
      <w:r w:rsidRPr="00A53A5A">
        <w:rPr>
          <w:rFonts w:ascii="Times New Roman" w:hAnsi="Times New Roman" w:cs="David"/>
          <w:b/>
          <w:bCs/>
          <w:sz w:val="24"/>
          <w:szCs w:val="24"/>
          <w:rtl/>
        </w:rPr>
        <w:t>מדינת ישראל</w:t>
      </w:r>
      <w:r w:rsidRPr="00A53A5A">
        <w:rPr>
          <w:rFonts w:ascii="Times New Roman" w:hAnsi="Times New Roman" w:cs="David"/>
          <w:sz w:val="24"/>
          <w:szCs w:val="24"/>
          <w:rtl/>
        </w:rPr>
        <w:t xml:space="preserve"> </w:t>
      </w:r>
      <w:r w:rsidR="00F15005" w:rsidRPr="00F15005">
        <w:rPr>
          <w:rFonts w:ascii="Times New Roman" w:hAnsi="Times New Roman" w:cs="David"/>
          <w:szCs w:val="24"/>
          <w:rtl/>
        </w:rPr>
        <w:t xml:space="preserve">[פורסם בנבו] </w:t>
      </w:r>
      <w:r w:rsidRPr="00A53A5A">
        <w:rPr>
          <w:rFonts w:ascii="Times New Roman" w:hAnsi="Times New Roman" w:cs="David"/>
          <w:sz w:val="24"/>
          <w:szCs w:val="24"/>
          <w:rtl/>
        </w:rPr>
        <w:t xml:space="preserve">(29.10.2014), שם לטענתה, נדון עניינו של מערער אשר </w:t>
      </w:r>
      <w:r w:rsidRPr="00A53A5A">
        <w:rPr>
          <w:rFonts w:ascii="David" w:hAnsi="David" w:cs="David" w:hint="eastAsia"/>
          <w:sz w:val="24"/>
          <w:szCs w:val="24"/>
          <w:rtl/>
        </w:rPr>
        <w:t>ניסה</w:t>
      </w:r>
      <w:r w:rsidRPr="00A53A5A">
        <w:rPr>
          <w:rFonts w:ascii="David" w:hAnsi="David" w:cs="David"/>
          <w:sz w:val="24"/>
          <w:szCs w:val="24"/>
          <w:rtl/>
        </w:rPr>
        <w:t xml:space="preserve"> לירות באדם, בעודו רעול פנים, ועקב מעצור בנשק הצליח בסופו של דבר לירות רק ירייה אחת. אותו מערער </w:t>
      </w:r>
      <w:r w:rsidRPr="00A53A5A">
        <w:rPr>
          <w:rFonts w:ascii="Times New Roman" w:hAnsi="Times New Roman" w:cs="David"/>
          <w:sz w:val="24"/>
          <w:szCs w:val="24"/>
          <w:rtl/>
        </w:rPr>
        <w:t xml:space="preserve">הורשע </w:t>
      </w:r>
      <w:r w:rsidRPr="00A53A5A">
        <w:rPr>
          <w:rFonts w:ascii="David" w:hAnsi="David" w:cs="David" w:hint="eastAsia"/>
          <w:sz w:val="24"/>
          <w:szCs w:val="24"/>
          <w:rtl/>
        </w:rPr>
        <w:t>בעבירות</w:t>
      </w:r>
      <w:r w:rsidRPr="00A53A5A">
        <w:rPr>
          <w:rFonts w:ascii="David" w:hAnsi="David" w:cs="David"/>
          <w:sz w:val="24"/>
          <w:szCs w:val="24"/>
          <w:rtl/>
        </w:rPr>
        <w:t xml:space="preserve"> של חבלה בכוונה מחמירה, קשירת קשר לביצוע פשע ונשיאת נשק, וביהמ"ש המחוזי השית עליו 7 שנות מאסר בפועל. ערעורו נדחה בבית המשפט העליון.</w:t>
      </w:r>
    </w:p>
    <w:p w14:paraId="68E2A5DA" w14:textId="77777777" w:rsidR="00A24187" w:rsidRPr="00A53A5A" w:rsidRDefault="00A24187" w:rsidP="00A53A5A">
      <w:pPr>
        <w:spacing w:after="0" w:line="360" w:lineRule="auto"/>
        <w:jc w:val="both"/>
        <w:rPr>
          <w:rFonts w:ascii="David" w:hAnsi="David" w:cs="David"/>
          <w:sz w:val="24"/>
          <w:szCs w:val="24"/>
          <w:rtl/>
        </w:rPr>
      </w:pPr>
    </w:p>
    <w:p w14:paraId="5A017CA0" w14:textId="77777777"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11.</w:t>
      </w:r>
      <w:r w:rsidRPr="00A53A5A">
        <w:rPr>
          <w:rFonts w:ascii="David" w:hAnsi="David" w:cs="David"/>
          <w:b/>
          <w:bCs/>
          <w:sz w:val="24"/>
          <w:szCs w:val="24"/>
          <w:rtl/>
        </w:rPr>
        <w:tab/>
      </w:r>
      <w:r w:rsidRPr="00A53A5A">
        <w:rPr>
          <w:rFonts w:ascii="David" w:hAnsi="David" w:cs="David" w:hint="eastAsia"/>
          <w:sz w:val="24"/>
          <w:szCs w:val="24"/>
          <w:rtl/>
        </w:rPr>
        <w:t>את</w:t>
      </w:r>
      <w:r w:rsidRPr="00A53A5A">
        <w:rPr>
          <w:rFonts w:ascii="David" w:hAnsi="David" w:cs="David"/>
          <w:sz w:val="24"/>
          <w:szCs w:val="24"/>
          <w:rtl/>
        </w:rPr>
        <w:t xml:space="preserve"> העונש הראוי לנאשם ביקשה המאשימה לקבוע בתוך המתחם, שכן לדידה לא מתקיימות נסיבות מיוחדות המצדיקות הקלה בעונשו. </w:t>
      </w:r>
    </w:p>
    <w:p w14:paraId="0616FD91" w14:textId="77777777" w:rsidR="00A24187" w:rsidRPr="00A53A5A" w:rsidRDefault="00A24187" w:rsidP="00A53A5A">
      <w:pPr>
        <w:spacing w:after="0" w:line="360" w:lineRule="auto"/>
        <w:jc w:val="both"/>
        <w:rPr>
          <w:rFonts w:ascii="David" w:hAnsi="David" w:cs="David"/>
          <w:sz w:val="24"/>
          <w:szCs w:val="24"/>
          <w:rtl/>
        </w:rPr>
      </w:pPr>
    </w:p>
    <w:p w14:paraId="3B0A4552" w14:textId="77777777"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12.</w:t>
      </w:r>
      <w:r w:rsidRPr="00A53A5A">
        <w:rPr>
          <w:rFonts w:ascii="David" w:hAnsi="David" w:cs="David"/>
          <w:sz w:val="24"/>
          <w:szCs w:val="24"/>
          <w:rtl/>
        </w:rPr>
        <w:tab/>
      </w:r>
      <w:r w:rsidRPr="00A53A5A">
        <w:rPr>
          <w:rFonts w:ascii="David" w:hAnsi="David" w:cs="David" w:hint="eastAsia"/>
          <w:b/>
          <w:bCs/>
          <w:sz w:val="24"/>
          <w:szCs w:val="24"/>
          <w:rtl/>
        </w:rPr>
        <w:t>באשר</w:t>
      </w:r>
      <w:r w:rsidRPr="00A53A5A">
        <w:rPr>
          <w:rFonts w:ascii="David" w:hAnsi="David" w:cs="David"/>
          <w:b/>
          <w:bCs/>
          <w:sz w:val="24"/>
          <w:szCs w:val="24"/>
          <w:rtl/>
        </w:rPr>
        <w:t xml:space="preserve"> לנסיבות שאינן קשורות בביצוע העבירה</w:t>
      </w:r>
      <w:r w:rsidRPr="00A53A5A">
        <w:rPr>
          <w:rFonts w:ascii="David" w:hAnsi="David" w:cs="David"/>
          <w:sz w:val="24"/>
          <w:szCs w:val="24"/>
          <w:rtl/>
        </w:rPr>
        <w:t>, טוענת המאשימה כי לא הוכחה פגיעה יוצאת דופן בנאשם או במשפחתו, כתוצאה מהענישה. המאשימה מוסיפה, כי הנאשם אמנם הודה בביצוע העבירות במסגרת הסדר טיעון, אך זאת לאחר מספר ישיבות הוכחות, בהן נשמעו כ- 15 עדי תביעה. בנוסף, אין לייחס לנאשם שיתוף פעולה כנסיבה לקולא, מאחר והרובה שבו בוצעו העבירות לא נתפס ולא הוסגר עד כה. הנאשם גם לא עשה מאמץ יוצא דופן לתיקון תוצאות העבירה.</w:t>
      </w:r>
    </w:p>
    <w:p w14:paraId="1412239F" w14:textId="77777777" w:rsidR="00A24187" w:rsidRPr="00A53A5A" w:rsidRDefault="00A24187" w:rsidP="00A53A5A">
      <w:pPr>
        <w:spacing w:after="0" w:line="360" w:lineRule="auto"/>
        <w:ind w:hanging="720"/>
        <w:jc w:val="both"/>
        <w:rPr>
          <w:rFonts w:ascii="David" w:hAnsi="David" w:cs="David"/>
          <w:sz w:val="24"/>
          <w:szCs w:val="24"/>
          <w:rtl/>
        </w:rPr>
      </w:pPr>
      <w:r w:rsidRPr="00A53A5A">
        <w:rPr>
          <w:rFonts w:ascii="David" w:hAnsi="David" w:cs="David"/>
          <w:sz w:val="24"/>
          <w:szCs w:val="24"/>
          <w:rtl/>
        </w:rPr>
        <w:tab/>
      </w:r>
    </w:p>
    <w:p w14:paraId="16ED5385" w14:textId="77777777" w:rsidR="00A24187" w:rsidRPr="00A53A5A" w:rsidRDefault="00A24187" w:rsidP="00F15005">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13.</w:t>
      </w:r>
      <w:r w:rsidRPr="00A53A5A">
        <w:rPr>
          <w:rFonts w:ascii="David" w:hAnsi="David" w:cs="David"/>
          <w:sz w:val="24"/>
          <w:szCs w:val="24"/>
          <w:rtl/>
        </w:rPr>
        <w:tab/>
      </w:r>
      <w:r w:rsidRPr="00A53A5A">
        <w:rPr>
          <w:rFonts w:ascii="David" w:hAnsi="David" w:cs="David" w:hint="eastAsia"/>
          <w:sz w:val="24"/>
          <w:szCs w:val="24"/>
          <w:rtl/>
        </w:rPr>
        <w:t>המאשימה</w:t>
      </w:r>
      <w:r w:rsidRPr="00A53A5A">
        <w:rPr>
          <w:rFonts w:ascii="David" w:hAnsi="David" w:cs="David"/>
          <w:sz w:val="24"/>
          <w:szCs w:val="24"/>
          <w:rtl/>
        </w:rPr>
        <w:t xml:space="preserve"> מפנה לעובדה כי בעברו של הנאשם הרשעה בעבירות גניבה, התפרצות, ניסיון להונאה בכרטיסי חיוב והפרת הוראה חוקית (</w:t>
      </w:r>
      <w:hyperlink r:id="rId42" w:history="1">
        <w:r w:rsidR="009506D2" w:rsidRPr="009506D2">
          <w:rPr>
            <w:rFonts w:ascii="David" w:hAnsi="David" w:cs="David"/>
            <w:color w:val="0000FF"/>
            <w:sz w:val="24"/>
            <w:szCs w:val="24"/>
            <w:u w:val="single"/>
            <w:rtl/>
          </w:rPr>
          <w:t>ת"פ 26422-05-14</w:t>
        </w:r>
      </w:hyperlink>
      <w:r w:rsidRPr="00A53A5A">
        <w:rPr>
          <w:rFonts w:ascii="David" w:hAnsi="David" w:cs="David"/>
          <w:sz w:val="24"/>
          <w:szCs w:val="24"/>
          <w:rtl/>
        </w:rPr>
        <w:t>)</w:t>
      </w:r>
      <w:r w:rsidR="00F15005">
        <w:rPr>
          <w:rFonts w:ascii="David" w:hAnsi="David" w:cs="David" w:hint="cs"/>
          <w:sz w:val="24"/>
          <w:szCs w:val="24"/>
          <w:rtl/>
        </w:rPr>
        <w:t xml:space="preserve"> </w:t>
      </w:r>
      <w:r w:rsidR="00F15005" w:rsidRPr="00F15005">
        <w:rPr>
          <w:rFonts w:ascii="Times New Roman" w:hAnsi="Times New Roman" w:cs="David"/>
          <w:szCs w:val="24"/>
          <w:rtl/>
        </w:rPr>
        <w:t>[פורסם בנבו]</w:t>
      </w:r>
      <w:r w:rsidRPr="00A53A5A">
        <w:rPr>
          <w:rFonts w:ascii="David" w:hAnsi="David" w:cs="David"/>
          <w:sz w:val="24"/>
          <w:szCs w:val="24"/>
          <w:rtl/>
        </w:rPr>
        <w:t>. המעשים בגינם הורשע הנאשם בהליך דנן בוצעו חודשים ספורים בלבד לאחר שסיים לרצות עונש מאסר בן 8 חודשים. בנסיבות אלה סבורה המאשימה כי יש להטיל על הנאשם עונש מרתיע במיוחד.</w:t>
      </w:r>
    </w:p>
    <w:p w14:paraId="29A9D71B" w14:textId="77777777" w:rsidR="00A24187" w:rsidRPr="00A53A5A" w:rsidRDefault="00A24187" w:rsidP="00A53A5A">
      <w:pPr>
        <w:spacing w:after="0" w:line="360" w:lineRule="auto"/>
        <w:ind w:hanging="720"/>
        <w:jc w:val="both"/>
        <w:rPr>
          <w:rFonts w:ascii="David" w:hAnsi="David" w:cs="David"/>
          <w:sz w:val="24"/>
          <w:szCs w:val="24"/>
          <w:rtl/>
        </w:rPr>
      </w:pPr>
    </w:p>
    <w:p w14:paraId="73ADECB7" w14:textId="77777777"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14.</w:t>
      </w:r>
      <w:r w:rsidRPr="00A53A5A">
        <w:rPr>
          <w:rFonts w:ascii="David" w:hAnsi="David" w:cs="David"/>
          <w:sz w:val="24"/>
          <w:szCs w:val="24"/>
          <w:rtl/>
        </w:rPr>
        <w:tab/>
      </w:r>
      <w:r w:rsidRPr="00A53A5A">
        <w:rPr>
          <w:rFonts w:ascii="David" w:hAnsi="David" w:cs="David" w:hint="eastAsia"/>
          <w:sz w:val="24"/>
          <w:szCs w:val="24"/>
          <w:rtl/>
        </w:rPr>
        <w:t>המאשימה</w:t>
      </w:r>
      <w:r w:rsidRPr="00A53A5A">
        <w:rPr>
          <w:rFonts w:ascii="David" w:hAnsi="David" w:cs="David"/>
          <w:sz w:val="24"/>
          <w:szCs w:val="24"/>
          <w:rtl/>
        </w:rPr>
        <w:t xml:space="preserve"> מפנה למסקנות התסקיר וטוענת כי אף שבתסקיר מצו</w:t>
      </w:r>
      <w:r w:rsidRPr="00A53A5A">
        <w:rPr>
          <w:rFonts w:ascii="David" w:hAnsi="David" w:cs="David" w:hint="eastAsia"/>
          <w:sz w:val="24"/>
          <w:szCs w:val="24"/>
          <w:rtl/>
        </w:rPr>
        <w:t>י</w:t>
      </w:r>
      <w:r w:rsidRPr="00A53A5A">
        <w:rPr>
          <w:rFonts w:ascii="David" w:hAnsi="David" w:cs="David"/>
          <w:sz w:val="24"/>
          <w:szCs w:val="24"/>
          <w:rtl/>
        </w:rPr>
        <w:t xml:space="preserve"> ביטוי לחרטה ולאמפטיה שמביע הנאשם, עסקינן בתסקיר שלילי, הקובע כי הנאשם פועל באופן קיצוני ואלים סביב חוויות של פגיעה בכבוד המשפחה. המאשימה מפנה להערכת שירות המבחן בדבר מידת הסיכון להישנות העבירות – סיכון בינוני – גבוה, אלא אם יקבל הנאשם טיפול, ולעובדה כי שירות המבחן נמנע ממתן המלצה בעניינו.</w:t>
      </w:r>
    </w:p>
    <w:p w14:paraId="725F1460" w14:textId="77777777" w:rsidR="00A24187" w:rsidRPr="00A53A5A" w:rsidRDefault="00A24187" w:rsidP="00A53A5A">
      <w:pPr>
        <w:spacing w:after="0" w:line="360" w:lineRule="auto"/>
        <w:ind w:hanging="720"/>
        <w:jc w:val="both"/>
        <w:rPr>
          <w:rFonts w:ascii="David" w:hAnsi="David" w:cs="David"/>
          <w:sz w:val="24"/>
          <w:szCs w:val="24"/>
          <w:rtl/>
        </w:rPr>
      </w:pPr>
    </w:p>
    <w:p w14:paraId="449D964B" w14:textId="77777777"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15.</w:t>
      </w:r>
      <w:r w:rsidRPr="00A53A5A">
        <w:rPr>
          <w:rFonts w:ascii="David" w:hAnsi="David" w:cs="David"/>
          <w:sz w:val="24"/>
          <w:szCs w:val="24"/>
          <w:rtl/>
        </w:rPr>
        <w:tab/>
      </w:r>
      <w:r w:rsidRPr="00A53A5A">
        <w:rPr>
          <w:rFonts w:ascii="David" w:hAnsi="David" w:cs="David" w:hint="eastAsia"/>
          <w:sz w:val="24"/>
          <w:szCs w:val="24"/>
          <w:rtl/>
        </w:rPr>
        <w:t>לעמדת</w:t>
      </w:r>
      <w:r w:rsidRPr="00A53A5A">
        <w:rPr>
          <w:rFonts w:ascii="David" w:hAnsi="David" w:cs="David"/>
          <w:sz w:val="24"/>
          <w:szCs w:val="24"/>
          <w:rtl/>
        </w:rPr>
        <w:t xml:space="preserve"> המאשימה, את עונשו של הנאשם יש למקם במחצית העליונה של מתחם העונש ההולם. המאשימה מבקשת לתת ביטוי בגזר הדין לא רק לפן ההרתעתי של הנאשם, אלא גם להיבט ההרתעתי הציבורי. זאת כיוון שאירועי ירי כפתרון לסכסוכים, הינם מעשה של יום ביומו, ונדרש לשלוח מסר תקיף וברור, בדמות ענישה מכאיבה, על מנת להרתיע ולמגר את התופעה ובכך להגביר את ההגנה על נפגעים פוטנציאלים.</w:t>
      </w:r>
    </w:p>
    <w:p w14:paraId="6C9B98FB" w14:textId="77777777" w:rsidR="00A24187" w:rsidRPr="00A53A5A" w:rsidRDefault="00A24187" w:rsidP="00A53A5A">
      <w:pPr>
        <w:spacing w:after="0" w:line="360" w:lineRule="auto"/>
        <w:ind w:hanging="720"/>
        <w:jc w:val="both"/>
        <w:rPr>
          <w:rFonts w:ascii="David" w:hAnsi="David" w:cs="David"/>
          <w:sz w:val="24"/>
          <w:szCs w:val="24"/>
          <w:rtl/>
        </w:rPr>
      </w:pPr>
    </w:p>
    <w:p w14:paraId="2848B7F1" w14:textId="77777777"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16.</w:t>
      </w:r>
      <w:r w:rsidRPr="00A53A5A">
        <w:rPr>
          <w:rFonts w:ascii="David" w:hAnsi="David" w:cs="David"/>
          <w:sz w:val="24"/>
          <w:szCs w:val="24"/>
          <w:rtl/>
        </w:rPr>
        <w:tab/>
      </w:r>
      <w:r w:rsidRPr="00A53A5A">
        <w:rPr>
          <w:rFonts w:ascii="David" w:hAnsi="David" w:cs="David" w:hint="eastAsia"/>
          <w:sz w:val="24"/>
          <w:szCs w:val="24"/>
          <w:rtl/>
        </w:rPr>
        <w:t>המאשימה</w:t>
      </w:r>
      <w:r w:rsidRPr="00A53A5A">
        <w:rPr>
          <w:rFonts w:ascii="David" w:hAnsi="David" w:cs="David"/>
          <w:sz w:val="24"/>
          <w:szCs w:val="24"/>
          <w:rtl/>
        </w:rPr>
        <w:t xml:space="preserve"> מבקשת כי לצד עונש המאסר שייגזר על הנאשם, יוטל על הנאשם עונש מאסר על תנאי ארוך ומרתיע. בהתחשב בעבירות התעבורה שביצע הנאשם, אשר גם בהן מצוי היבט של מסוכנות, מבקשת המאשימה כי תוטל על הנאשם פסילה מלקבל או להחזיק רישיון נהיגה בפועל למשך שנה וכן פסילה על תנאי. המאשימה מוסיפה ועותרת לחייב את הנאשם בפיצוי למתלוננים בגין הפגיעה שנגרמה להם. </w:t>
      </w:r>
    </w:p>
    <w:p w14:paraId="08C55B9E" w14:textId="77777777" w:rsidR="00A24187" w:rsidRPr="00A53A5A" w:rsidRDefault="00A24187" w:rsidP="00A53A5A">
      <w:pPr>
        <w:spacing w:after="0" w:line="360" w:lineRule="auto"/>
        <w:ind w:hanging="720"/>
        <w:jc w:val="both"/>
        <w:rPr>
          <w:rFonts w:ascii="David" w:hAnsi="David" w:cs="David"/>
          <w:sz w:val="24"/>
          <w:szCs w:val="24"/>
          <w:rtl/>
        </w:rPr>
      </w:pPr>
    </w:p>
    <w:p w14:paraId="16585F51" w14:textId="77777777"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17.</w:t>
      </w:r>
      <w:r w:rsidRPr="00A53A5A">
        <w:rPr>
          <w:rFonts w:ascii="David" w:hAnsi="David" w:cs="David"/>
          <w:sz w:val="24"/>
          <w:szCs w:val="24"/>
          <w:rtl/>
        </w:rPr>
        <w:tab/>
      </w:r>
      <w:r w:rsidRPr="00A53A5A">
        <w:rPr>
          <w:rFonts w:ascii="David" w:hAnsi="David" w:cs="David" w:hint="eastAsia"/>
          <w:sz w:val="24"/>
          <w:szCs w:val="24"/>
          <w:rtl/>
        </w:rPr>
        <w:t>לבסוף</w:t>
      </w:r>
      <w:r w:rsidRPr="00A53A5A">
        <w:rPr>
          <w:rFonts w:ascii="David" w:hAnsi="David" w:cs="David"/>
          <w:sz w:val="24"/>
          <w:szCs w:val="24"/>
          <w:rtl/>
        </w:rPr>
        <w:t>, עותרת המאשימה לחילוט הרכב בו עשה הנאשם שימוש לצורך ביצוע העבירה. בעניין זה היא מפנה להלכה על פיה אמת המידה היא במהותה ובעוצמתה של הזיקה בין החפץ לבין העבירה ובחומרתה של העבירה (</w:t>
      </w:r>
      <w:hyperlink r:id="rId43" w:history="1">
        <w:r w:rsidR="009506D2" w:rsidRPr="009506D2">
          <w:rPr>
            <w:rFonts w:ascii="David" w:hAnsi="David" w:cs="David"/>
            <w:color w:val="0000FF"/>
            <w:sz w:val="24"/>
            <w:szCs w:val="24"/>
            <w:u w:val="single"/>
            <w:rtl/>
          </w:rPr>
          <w:t>ע"פ 4148/92</w:t>
        </w:r>
      </w:hyperlink>
      <w:r w:rsidRPr="00A53A5A">
        <w:rPr>
          <w:rFonts w:ascii="David" w:hAnsi="David" w:cs="David"/>
          <w:sz w:val="24"/>
          <w:szCs w:val="24"/>
          <w:rtl/>
        </w:rPr>
        <w:t xml:space="preserve"> </w:t>
      </w:r>
      <w:r w:rsidRPr="00A53A5A">
        <w:rPr>
          <w:rFonts w:ascii="David" w:hAnsi="David" w:cs="David" w:hint="eastAsia"/>
          <w:b/>
          <w:bCs/>
          <w:sz w:val="24"/>
          <w:szCs w:val="24"/>
          <w:rtl/>
        </w:rPr>
        <w:t>מועד</w:t>
      </w:r>
      <w:r w:rsidRPr="00A53A5A">
        <w:rPr>
          <w:rFonts w:ascii="David" w:hAnsi="David" w:cs="David"/>
          <w:b/>
          <w:bCs/>
          <w:sz w:val="24"/>
          <w:szCs w:val="24"/>
          <w:rtl/>
        </w:rPr>
        <w:t xml:space="preserve"> נ' מדינת ישראל </w:t>
      </w:r>
      <w:r w:rsidR="00F15005" w:rsidRPr="00F15005">
        <w:rPr>
          <w:rFonts w:ascii="Times New Roman" w:hAnsi="Times New Roman" w:cs="David"/>
          <w:szCs w:val="24"/>
          <w:rtl/>
        </w:rPr>
        <w:t xml:space="preserve">[פורסם בנבו] </w:t>
      </w:r>
      <w:r w:rsidRPr="00A53A5A">
        <w:rPr>
          <w:rFonts w:ascii="David" w:hAnsi="David" w:cs="David"/>
          <w:sz w:val="24"/>
          <w:szCs w:val="24"/>
          <w:rtl/>
        </w:rPr>
        <w:t xml:space="preserve">(22.9.1994), </w:t>
      </w:r>
      <w:hyperlink r:id="rId44" w:history="1">
        <w:r w:rsidR="009506D2" w:rsidRPr="009506D2">
          <w:rPr>
            <w:rFonts w:ascii="David" w:hAnsi="David" w:cs="David"/>
            <w:color w:val="0000FF"/>
            <w:sz w:val="24"/>
            <w:szCs w:val="24"/>
            <w:u w:val="single"/>
            <w:rtl/>
          </w:rPr>
          <w:t>ע"פ 2407/13</w:t>
        </w:r>
      </w:hyperlink>
      <w:r w:rsidRPr="00A53A5A">
        <w:rPr>
          <w:rFonts w:ascii="David" w:hAnsi="David" w:cs="David"/>
          <w:sz w:val="24"/>
          <w:szCs w:val="24"/>
          <w:rtl/>
        </w:rPr>
        <w:t xml:space="preserve"> </w:t>
      </w:r>
      <w:r w:rsidRPr="00A53A5A">
        <w:rPr>
          <w:rFonts w:ascii="David" w:hAnsi="David" w:cs="David" w:hint="eastAsia"/>
          <w:b/>
          <w:bCs/>
          <w:sz w:val="24"/>
          <w:szCs w:val="24"/>
          <w:rtl/>
        </w:rPr>
        <w:t>מחאמיד</w:t>
      </w:r>
      <w:r w:rsidRPr="00A53A5A">
        <w:rPr>
          <w:rFonts w:ascii="David" w:hAnsi="David" w:cs="David"/>
          <w:b/>
          <w:bCs/>
          <w:sz w:val="24"/>
          <w:szCs w:val="24"/>
          <w:rtl/>
        </w:rPr>
        <w:t xml:space="preserve"> נ' מדינת ישראל</w:t>
      </w:r>
      <w:r w:rsidRPr="00A53A5A">
        <w:rPr>
          <w:rFonts w:ascii="David" w:hAnsi="David" w:cs="David"/>
          <w:sz w:val="24"/>
          <w:szCs w:val="24"/>
          <w:rtl/>
        </w:rPr>
        <w:t xml:space="preserve"> </w:t>
      </w:r>
      <w:r w:rsidR="00F15005" w:rsidRPr="00F15005">
        <w:rPr>
          <w:rFonts w:ascii="Times New Roman" w:hAnsi="Times New Roman" w:cs="David"/>
          <w:szCs w:val="24"/>
          <w:rtl/>
        </w:rPr>
        <w:t xml:space="preserve">[פורסם בנבו] </w:t>
      </w:r>
      <w:r w:rsidRPr="00A53A5A">
        <w:rPr>
          <w:rFonts w:ascii="David" w:hAnsi="David" w:cs="David"/>
          <w:sz w:val="24"/>
          <w:szCs w:val="24"/>
          <w:rtl/>
        </w:rPr>
        <w:t>(11.12.2013)). במקרה שלפנינו,  קיימת, לפי הנטען, זיקה חזקה כזו, שכן הנשיאה וההובלה של הנשק החם נעשו ברכב, הנאשם הוציא את הנשק מתוך הרכב, הנאשם ה</w:t>
      </w:r>
      <w:r w:rsidRPr="00A53A5A">
        <w:rPr>
          <w:rFonts w:ascii="David" w:hAnsi="David" w:cs="David" w:hint="eastAsia"/>
          <w:sz w:val="24"/>
          <w:szCs w:val="24"/>
          <w:rtl/>
        </w:rPr>
        <w:t>שתמש</w:t>
      </w:r>
      <w:r w:rsidRPr="00A53A5A">
        <w:rPr>
          <w:rFonts w:ascii="David" w:hAnsi="David" w:cs="David"/>
          <w:sz w:val="24"/>
          <w:szCs w:val="24"/>
          <w:rtl/>
        </w:rPr>
        <w:t xml:space="preserve"> ברכב כדי להגיע למקום, לשאת את הנשק בתוכו וכדי להימלט מהמקום מיד לאחר ביצוע העבירות. </w:t>
      </w:r>
    </w:p>
    <w:p w14:paraId="574D72A0" w14:textId="77777777" w:rsidR="00A24187" w:rsidRPr="00A53A5A" w:rsidRDefault="00A24187" w:rsidP="00A53A5A">
      <w:pPr>
        <w:spacing w:after="0" w:line="360" w:lineRule="auto"/>
        <w:ind w:hanging="720"/>
        <w:jc w:val="both"/>
        <w:rPr>
          <w:rFonts w:ascii="David" w:hAnsi="David" w:cs="David"/>
          <w:sz w:val="24"/>
          <w:szCs w:val="24"/>
          <w:rtl/>
        </w:rPr>
      </w:pPr>
    </w:p>
    <w:p w14:paraId="513359E9" w14:textId="77777777" w:rsidR="00A24187" w:rsidRPr="00A53A5A" w:rsidRDefault="00A24187" w:rsidP="00A53A5A">
      <w:pPr>
        <w:spacing w:after="0" w:line="360" w:lineRule="auto"/>
        <w:jc w:val="both"/>
        <w:rPr>
          <w:rFonts w:ascii="David" w:hAnsi="David" w:cs="David"/>
          <w:b/>
          <w:bCs/>
          <w:sz w:val="24"/>
          <w:szCs w:val="24"/>
          <w:rtl/>
        </w:rPr>
      </w:pPr>
      <w:r w:rsidRPr="00A53A5A">
        <w:rPr>
          <w:rFonts w:ascii="David" w:hAnsi="David" w:cs="David" w:hint="eastAsia"/>
          <w:b/>
          <w:bCs/>
          <w:sz w:val="24"/>
          <w:szCs w:val="24"/>
          <w:rtl/>
        </w:rPr>
        <w:t>טיעוני</w:t>
      </w:r>
      <w:r w:rsidRPr="00A53A5A">
        <w:rPr>
          <w:rFonts w:ascii="David" w:hAnsi="David" w:cs="David"/>
          <w:b/>
          <w:bCs/>
          <w:sz w:val="24"/>
          <w:szCs w:val="24"/>
          <w:rtl/>
        </w:rPr>
        <w:t xml:space="preserve"> ההגנה</w:t>
      </w:r>
    </w:p>
    <w:p w14:paraId="3A0D2E2A" w14:textId="77777777" w:rsidR="00A24187" w:rsidRPr="00A53A5A" w:rsidRDefault="00A24187" w:rsidP="00A53A5A">
      <w:pPr>
        <w:spacing w:after="0" w:line="360" w:lineRule="auto"/>
        <w:ind w:hanging="720"/>
        <w:jc w:val="both"/>
        <w:rPr>
          <w:rFonts w:ascii="David" w:hAnsi="David" w:cs="David"/>
          <w:sz w:val="24"/>
          <w:szCs w:val="24"/>
          <w:rtl/>
        </w:rPr>
      </w:pPr>
    </w:p>
    <w:p w14:paraId="26B0D807" w14:textId="77777777"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18.</w:t>
      </w:r>
      <w:r w:rsidRPr="00A53A5A">
        <w:rPr>
          <w:rFonts w:ascii="David" w:hAnsi="David" w:cs="David"/>
          <w:b/>
          <w:bCs/>
          <w:sz w:val="24"/>
          <w:szCs w:val="24"/>
          <w:rtl/>
        </w:rPr>
        <w:tab/>
      </w:r>
      <w:r w:rsidRPr="00A53A5A">
        <w:rPr>
          <w:rFonts w:ascii="David" w:hAnsi="David" w:cs="David" w:hint="eastAsia"/>
          <w:sz w:val="24"/>
          <w:szCs w:val="24"/>
          <w:rtl/>
        </w:rPr>
        <w:t>בא</w:t>
      </w:r>
      <w:r w:rsidRPr="00A53A5A">
        <w:rPr>
          <w:rFonts w:ascii="David" w:hAnsi="David" w:cs="David"/>
          <w:sz w:val="24"/>
          <w:szCs w:val="24"/>
          <w:rtl/>
        </w:rPr>
        <w:t xml:space="preserve"> כוח הנאשם מבקש לקבוע כי מתחם העונש ההולם בעניינו של הנאשם </w:t>
      </w:r>
      <w:r w:rsidRPr="00A53A5A">
        <w:rPr>
          <w:rFonts w:ascii="David" w:hAnsi="David" w:cs="David" w:hint="eastAsia"/>
          <w:b/>
          <w:bCs/>
          <w:sz w:val="24"/>
          <w:szCs w:val="24"/>
          <w:rtl/>
        </w:rPr>
        <w:t>נע</w:t>
      </w:r>
      <w:r w:rsidRPr="00A53A5A">
        <w:rPr>
          <w:rFonts w:ascii="David" w:hAnsi="David" w:cs="David"/>
          <w:b/>
          <w:bCs/>
          <w:sz w:val="24"/>
          <w:szCs w:val="24"/>
          <w:rtl/>
        </w:rPr>
        <w:t xml:space="preserve"> בין שנה וחצי לשלוש שנות מאסר בפועל</w:t>
      </w:r>
      <w:r w:rsidRPr="00A53A5A">
        <w:rPr>
          <w:rFonts w:ascii="David" w:hAnsi="David" w:cs="David"/>
          <w:sz w:val="24"/>
          <w:szCs w:val="24"/>
          <w:rtl/>
        </w:rPr>
        <w:t>.</w:t>
      </w:r>
    </w:p>
    <w:p w14:paraId="695C450E" w14:textId="77777777" w:rsidR="00A24187" w:rsidRPr="00A53A5A" w:rsidRDefault="00A24187" w:rsidP="00A53A5A">
      <w:pPr>
        <w:spacing w:after="0" w:line="360" w:lineRule="auto"/>
        <w:ind w:hanging="720"/>
        <w:jc w:val="both"/>
        <w:rPr>
          <w:rFonts w:ascii="David" w:hAnsi="David" w:cs="David"/>
          <w:sz w:val="24"/>
          <w:szCs w:val="24"/>
          <w:rtl/>
        </w:rPr>
      </w:pPr>
    </w:p>
    <w:p w14:paraId="13D212FD" w14:textId="77777777"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19</w:t>
      </w:r>
      <w:r w:rsidRPr="00A53A5A">
        <w:rPr>
          <w:rFonts w:ascii="David" w:hAnsi="David" w:cs="David"/>
          <w:sz w:val="24"/>
          <w:szCs w:val="24"/>
          <w:rtl/>
        </w:rPr>
        <w:t>.</w:t>
      </w:r>
      <w:r w:rsidRPr="00A53A5A">
        <w:rPr>
          <w:rFonts w:ascii="David" w:hAnsi="David" w:cs="David"/>
          <w:sz w:val="24"/>
          <w:szCs w:val="24"/>
          <w:rtl/>
        </w:rPr>
        <w:tab/>
      </w:r>
      <w:r w:rsidRPr="00A53A5A">
        <w:rPr>
          <w:rFonts w:ascii="David" w:hAnsi="David" w:cs="David" w:hint="eastAsia"/>
          <w:sz w:val="24"/>
          <w:szCs w:val="24"/>
          <w:rtl/>
        </w:rPr>
        <w:t>הסניגור</w:t>
      </w:r>
      <w:r w:rsidRPr="00A53A5A">
        <w:rPr>
          <w:rFonts w:ascii="David" w:hAnsi="David" w:cs="David"/>
          <w:sz w:val="24"/>
          <w:szCs w:val="24"/>
          <w:rtl/>
        </w:rPr>
        <w:t xml:space="preserve"> מציין, בכל הנוגע לנסיבות הקשורות לביצוע העבירה, כי הנאשם אינו חולק כי המדובר בעבירות חמורות ואינו מקל בהן ראש. ואולם, בעניין זה מבקש הסניגור להדגיש כי המתלוננים בתיק לא נפגעו פיזית ממעשיו של הנאשם ואיש מהם לא נזקק לטיפול רפואי. אף אחד מהמתלוננים לא נורה, כאשר אינדיקציה לכך ניתן למצוא בתמונות שהוגשו, מהן עולה כי מרבית היריות כוונו לקירות הבית. בעניין זה חולק הסניגור על עמדת המאשימה וטוען כי יש לתת משקל רב ביותר למבחן התוצאה, כאשר ככל שתוצאת המעשים שביצע נאשם תהיה חמורה יותר, כך יוחמר גם </w:t>
      </w:r>
      <w:r w:rsidRPr="00A53A5A">
        <w:rPr>
          <w:rFonts w:ascii="David" w:hAnsi="David" w:cs="David" w:hint="eastAsia"/>
          <w:sz w:val="24"/>
          <w:szCs w:val="24"/>
          <w:rtl/>
        </w:rPr>
        <w:t>עונשו</w:t>
      </w:r>
      <w:r w:rsidRPr="00A53A5A">
        <w:rPr>
          <w:rFonts w:ascii="David" w:hAnsi="David" w:cs="David"/>
          <w:sz w:val="24"/>
          <w:szCs w:val="24"/>
          <w:rtl/>
        </w:rPr>
        <w:t>, ולהיפך.</w:t>
      </w:r>
    </w:p>
    <w:p w14:paraId="7D2F32C6" w14:textId="77777777" w:rsidR="00A24187" w:rsidRPr="00A53A5A" w:rsidRDefault="00A24187" w:rsidP="00A53A5A">
      <w:pPr>
        <w:spacing w:after="0" w:line="360" w:lineRule="auto"/>
        <w:ind w:hanging="720"/>
        <w:jc w:val="both"/>
        <w:rPr>
          <w:rFonts w:ascii="David" w:hAnsi="David" w:cs="David"/>
          <w:sz w:val="24"/>
          <w:szCs w:val="24"/>
          <w:rtl/>
        </w:rPr>
      </w:pPr>
    </w:p>
    <w:p w14:paraId="16BBBEFB" w14:textId="77777777"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20</w:t>
      </w:r>
      <w:r w:rsidRPr="00A53A5A">
        <w:rPr>
          <w:rFonts w:ascii="David" w:hAnsi="David" w:cs="David"/>
          <w:sz w:val="24"/>
          <w:szCs w:val="24"/>
          <w:rtl/>
        </w:rPr>
        <w:t>.</w:t>
      </w:r>
      <w:r w:rsidRPr="00A53A5A">
        <w:rPr>
          <w:rFonts w:ascii="David" w:hAnsi="David" w:cs="David"/>
          <w:sz w:val="24"/>
          <w:szCs w:val="24"/>
          <w:rtl/>
        </w:rPr>
        <w:tab/>
      </w:r>
      <w:r w:rsidRPr="00A53A5A">
        <w:rPr>
          <w:rFonts w:ascii="David" w:hAnsi="David" w:cs="David" w:hint="eastAsia"/>
          <w:sz w:val="24"/>
          <w:szCs w:val="24"/>
          <w:rtl/>
        </w:rPr>
        <w:t>הסניגור</w:t>
      </w:r>
      <w:r w:rsidRPr="00A53A5A">
        <w:rPr>
          <w:rFonts w:ascii="David" w:hAnsi="David" w:cs="David"/>
          <w:sz w:val="24"/>
          <w:szCs w:val="24"/>
          <w:rtl/>
        </w:rPr>
        <w:t xml:space="preserve"> מבקש לשכנע כי מתחם העונש לו עותרת המאשימה הינו מחמיר מדי ואינו עולה בקנה אחד עם נסיבותיו של המקרה והפסיקה הנוהגת. בתוך כך טוען הוא כי נסיבות המקרה בפסק הדין </w:t>
      </w:r>
      <w:r w:rsidRPr="00A53A5A">
        <w:rPr>
          <w:rFonts w:ascii="David" w:hAnsi="David" w:cs="David" w:hint="eastAsia"/>
          <w:b/>
          <w:bCs/>
          <w:sz w:val="24"/>
          <w:szCs w:val="24"/>
          <w:rtl/>
        </w:rPr>
        <w:t>בעניין</w:t>
      </w:r>
      <w:r w:rsidRPr="00A53A5A">
        <w:rPr>
          <w:rFonts w:ascii="David" w:hAnsi="David" w:cs="David"/>
          <w:b/>
          <w:bCs/>
          <w:sz w:val="24"/>
          <w:szCs w:val="24"/>
          <w:rtl/>
        </w:rPr>
        <w:t xml:space="preserve"> שושה</w:t>
      </w:r>
      <w:r w:rsidRPr="00A53A5A">
        <w:rPr>
          <w:rFonts w:ascii="David" w:hAnsi="David" w:cs="David"/>
          <w:sz w:val="24"/>
          <w:szCs w:val="24"/>
          <w:rtl/>
        </w:rPr>
        <w:t>, אליו הפנה בא-כוח המאשימה, היו חמורות בהרבה מנסיב</w:t>
      </w:r>
      <w:r w:rsidRPr="00A53A5A">
        <w:rPr>
          <w:rFonts w:ascii="David" w:hAnsi="David" w:cs="David" w:hint="eastAsia"/>
          <w:sz w:val="24"/>
          <w:szCs w:val="24"/>
          <w:rtl/>
        </w:rPr>
        <w:t>ותיו</w:t>
      </w:r>
      <w:r w:rsidRPr="00A53A5A">
        <w:rPr>
          <w:rFonts w:ascii="David" w:hAnsi="David" w:cs="David"/>
          <w:sz w:val="24"/>
          <w:szCs w:val="24"/>
          <w:rtl/>
        </w:rPr>
        <w:t xml:space="preserve"> של תיק זה, שכן באותו עניין דובר במערער שירה לפחות 7 כדורים ממרחק קצר, ולא ממרחק רב, כמו במקרה כאן. כמו כן דובר שם במערער שהיה בכוונתו לפגוע במתלוננים, כאשר בעניינו, ומבחינתו של הנאשם, כוונתו לא הייתה לפגוע במתלוננים כי אם להפחידם בלבד.</w:t>
      </w:r>
    </w:p>
    <w:p w14:paraId="3B9A7023" w14:textId="77777777" w:rsidR="00A24187" w:rsidRPr="00A53A5A" w:rsidRDefault="00A24187" w:rsidP="00A53A5A">
      <w:pPr>
        <w:spacing w:after="0" w:line="360" w:lineRule="auto"/>
        <w:jc w:val="both"/>
        <w:rPr>
          <w:rFonts w:ascii="David" w:hAnsi="David" w:cs="David"/>
          <w:sz w:val="24"/>
          <w:szCs w:val="24"/>
          <w:rtl/>
        </w:rPr>
      </w:pPr>
    </w:p>
    <w:p w14:paraId="2ECCB719" w14:textId="77777777"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21</w:t>
      </w:r>
      <w:r w:rsidRPr="00A53A5A">
        <w:rPr>
          <w:rFonts w:ascii="David" w:hAnsi="David" w:cs="David"/>
          <w:sz w:val="24"/>
          <w:szCs w:val="24"/>
          <w:rtl/>
        </w:rPr>
        <w:t xml:space="preserve">. </w:t>
      </w:r>
      <w:r w:rsidRPr="00A53A5A">
        <w:rPr>
          <w:rFonts w:ascii="David" w:hAnsi="David" w:cs="David"/>
          <w:sz w:val="24"/>
          <w:szCs w:val="24"/>
          <w:rtl/>
        </w:rPr>
        <w:tab/>
      </w:r>
      <w:r w:rsidRPr="00A53A5A">
        <w:rPr>
          <w:rFonts w:ascii="David" w:hAnsi="David" w:cs="David" w:hint="eastAsia"/>
          <w:sz w:val="24"/>
          <w:szCs w:val="24"/>
          <w:rtl/>
        </w:rPr>
        <w:t>הסניגור</w:t>
      </w:r>
      <w:r w:rsidRPr="00A53A5A">
        <w:rPr>
          <w:rFonts w:ascii="David" w:hAnsi="David" w:cs="David"/>
          <w:sz w:val="24"/>
          <w:szCs w:val="24"/>
          <w:rtl/>
        </w:rPr>
        <w:t xml:space="preserve"> מפנה לאסופת פסיקה, ממנה הוא מבקש ללמוד כי בתיקים שנסיבותיהם חמורות בהרבה נקבע רף ענישה נמוך בהרבה מרף הענישה אותו מבקשת המאשימה לקבוע, כמו </w:t>
      </w:r>
      <w:hyperlink r:id="rId45" w:history="1">
        <w:r w:rsidR="009506D2" w:rsidRPr="009506D2">
          <w:rPr>
            <w:rFonts w:ascii="David" w:hAnsi="David" w:cs="David"/>
            <w:color w:val="0000FF"/>
            <w:sz w:val="24"/>
            <w:szCs w:val="24"/>
            <w:u w:val="single"/>
            <w:rtl/>
          </w:rPr>
          <w:t>ת"פ (מח' ירושלים) 318/04</w:t>
        </w:r>
      </w:hyperlink>
      <w:r w:rsidRPr="00A53A5A">
        <w:rPr>
          <w:rFonts w:ascii="David" w:hAnsi="David" w:cs="David"/>
          <w:sz w:val="24"/>
          <w:szCs w:val="24"/>
          <w:rtl/>
        </w:rPr>
        <w:t xml:space="preserve"> </w:t>
      </w:r>
      <w:r w:rsidRPr="00A53A5A">
        <w:rPr>
          <w:rFonts w:ascii="David" w:hAnsi="David" w:cs="David" w:hint="eastAsia"/>
          <w:b/>
          <w:bCs/>
          <w:sz w:val="24"/>
          <w:szCs w:val="24"/>
          <w:rtl/>
        </w:rPr>
        <w:t>מדינת</w:t>
      </w:r>
      <w:r w:rsidRPr="00A53A5A">
        <w:rPr>
          <w:rFonts w:ascii="David" w:hAnsi="David" w:cs="David"/>
          <w:b/>
          <w:bCs/>
          <w:sz w:val="24"/>
          <w:szCs w:val="24"/>
          <w:rtl/>
        </w:rPr>
        <w:t xml:space="preserve"> ישראל נ' מלאחי</w:t>
      </w:r>
      <w:r w:rsidRPr="00A53A5A">
        <w:rPr>
          <w:rFonts w:ascii="David" w:hAnsi="David" w:cs="David"/>
          <w:sz w:val="24"/>
          <w:szCs w:val="24"/>
          <w:rtl/>
        </w:rPr>
        <w:t xml:space="preserve"> </w:t>
      </w:r>
      <w:r w:rsidR="00F15005" w:rsidRPr="00F15005">
        <w:rPr>
          <w:rFonts w:ascii="Times New Roman" w:hAnsi="Times New Roman" w:cs="David"/>
          <w:szCs w:val="24"/>
          <w:rtl/>
        </w:rPr>
        <w:t xml:space="preserve">[פורסם בנבו] </w:t>
      </w:r>
      <w:r w:rsidRPr="00A53A5A">
        <w:rPr>
          <w:rFonts w:ascii="David" w:hAnsi="David" w:cs="David"/>
          <w:sz w:val="24"/>
          <w:szCs w:val="24"/>
          <w:rtl/>
        </w:rPr>
        <w:t>(6.1.2005) (</w:t>
      </w:r>
      <w:r w:rsidRPr="00A53A5A">
        <w:rPr>
          <w:rFonts w:ascii="David" w:hAnsi="David" w:cs="David" w:hint="eastAsia"/>
          <w:b/>
          <w:bCs/>
          <w:sz w:val="24"/>
          <w:szCs w:val="24"/>
          <w:rtl/>
        </w:rPr>
        <w:t>להלן</w:t>
      </w:r>
      <w:r w:rsidRPr="00A53A5A">
        <w:rPr>
          <w:rFonts w:ascii="David" w:hAnsi="David" w:cs="David"/>
          <w:b/>
          <w:bCs/>
          <w:sz w:val="24"/>
          <w:szCs w:val="24"/>
          <w:rtl/>
        </w:rPr>
        <w:t>: "עניין מלאחי"</w:t>
      </w:r>
      <w:r w:rsidRPr="00A53A5A">
        <w:rPr>
          <w:rFonts w:ascii="David" w:hAnsi="David" w:cs="David"/>
          <w:sz w:val="24"/>
          <w:szCs w:val="24"/>
          <w:rtl/>
        </w:rPr>
        <w:t xml:space="preserve">) שם נדון נאשם, שהורשע בעבירה לפי </w:t>
      </w:r>
      <w:hyperlink r:id="rId46" w:history="1">
        <w:r w:rsidR="0037284E" w:rsidRPr="0037284E">
          <w:rPr>
            <w:rFonts w:ascii="David" w:hAnsi="David" w:cs="David"/>
            <w:color w:val="0000FF"/>
            <w:sz w:val="24"/>
            <w:szCs w:val="24"/>
            <w:u w:val="single"/>
            <w:rtl/>
          </w:rPr>
          <w:t>סעיף 329(2)</w:t>
        </w:r>
      </w:hyperlink>
      <w:r w:rsidRPr="00A53A5A">
        <w:rPr>
          <w:rFonts w:ascii="David" w:hAnsi="David" w:cs="David"/>
          <w:sz w:val="24"/>
          <w:szCs w:val="24"/>
          <w:rtl/>
        </w:rPr>
        <w:t xml:space="preserve"> ל</w:t>
      </w:r>
      <w:hyperlink r:id="rId47" w:history="1">
        <w:r w:rsidR="009506D2" w:rsidRPr="009506D2">
          <w:rPr>
            <w:rFonts w:ascii="David" w:hAnsi="David" w:cs="David"/>
            <w:color w:val="0000FF"/>
            <w:sz w:val="24"/>
            <w:szCs w:val="24"/>
            <w:u w:val="single"/>
            <w:rtl/>
          </w:rPr>
          <w:t>חוק העונשין</w:t>
        </w:r>
      </w:hyperlink>
      <w:r w:rsidRPr="00A53A5A">
        <w:rPr>
          <w:rFonts w:ascii="David" w:hAnsi="David" w:cs="David"/>
          <w:sz w:val="24"/>
          <w:szCs w:val="24"/>
          <w:rtl/>
        </w:rPr>
        <w:t xml:space="preserve"> ל- 18 חודשי מאסר בפועל, לאחר שירה לע</w:t>
      </w:r>
      <w:r w:rsidRPr="00A53A5A">
        <w:rPr>
          <w:rFonts w:ascii="David" w:hAnsi="David" w:cs="David" w:hint="eastAsia"/>
          <w:sz w:val="24"/>
          <w:szCs w:val="24"/>
          <w:rtl/>
        </w:rPr>
        <w:t>בר</w:t>
      </w:r>
      <w:r w:rsidRPr="00A53A5A">
        <w:rPr>
          <w:rFonts w:ascii="David" w:hAnsi="David" w:cs="David"/>
          <w:sz w:val="24"/>
          <w:szCs w:val="24"/>
          <w:rtl/>
        </w:rPr>
        <w:t xml:space="preserve"> קבוצה של אנשים וכתוצאה מכך נהרג עובר אורח, </w:t>
      </w:r>
      <w:hyperlink r:id="rId48" w:history="1">
        <w:r w:rsidR="00F15005" w:rsidRPr="00F15005">
          <w:rPr>
            <w:rFonts w:ascii="David" w:hAnsi="David" w:cs="David"/>
            <w:color w:val="0000FF"/>
            <w:sz w:val="24"/>
            <w:szCs w:val="24"/>
            <w:u w:val="single"/>
            <w:rtl/>
          </w:rPr>
          <w:t>ת"פ (מח' תל אביב) 4173/09</w:t>
        </w:r>
      </w:hyperlink>
      <w:r w:rsidRPr="00A53A5A">
        <w:rPr>
          <w:rFonts w:ascii="David" w:hAnsi="David" w:cs="David"/>
          <w:sz w:val="24"/>
          <w:szCs w:val="24"/>
          <w:rtl/>
        </w:rPr>
        <w:t xml:space="preserve"> </w:t>
      </w:r>
      <w:r w:rsidRPr="00A53A5A">
        <w:rPr>
          <w:rFonts w:ascii="David" w:hAnsi="David" w:cs="David" w:hint="eastAsia"/>
          <w:b/>
          <w:bCs/>
          <w:sz w:val="24"/>
          <w:szCs w:val="24"/>
          <w:rtl/>
        </w:rPr>
        <w:t>מדינת</w:t>
      </w:r>
      <w:r w:rsidRPr="00A53A5A">
        <w:rPr>
          <w:rFonts w:ascii="David" w:hAnsi="David" w:cs="David"/>
          <w:b/>
          <w:bCs/>
          <w:sz w:val="24"/>
          <w:szCs w:val="24"/>
          <w:rtl/>
        </w:rPr>
        <w:t xml:space="preserve"> ישראל נ' בן הרוש</w:t>
      </w:r>
      <w:r w:rsidRPr="00A53A5A">
        <w:rPr>
          <w:rFonts w:ascii="David" w:hAnsi="David" w:cs="David"/>
          <w:sz w:val="24"/>
          <w:szCs w:val="24"/>
          <w:rtl/>
        </w:rPr>
        <w:t xml:space="preserve"> </w:t>
      </w:r>
      <w:r w:rsidR="00F15005" w:rsidRPr="00F15005">
        <w:rPr>
          <w:rFonts w:ascii="Times New Roman" w:hAnsi="Times New Roman" w:cs="David"/>
          <w:szCs w:val="24"/>
          <w:rtl/>
        </w:rPr>
        <w:t xml:space="preserve">[פורסם בנבו] </w:t>
      </w:r>
      <w:r w:rsidRPr="00A53A5A">
        <w:rPr>
          <w:rFonts w:ascii="David" w:hAnsi="David" w:cs="David"/>
          <w:sz w:val="24"/>
          <w:szCs w:val="24"/>
          <w:rtl/>
        </w:rPr>
        <w:t>(13.4.2010) (</w:t>
      </w:r>
      <w:r w:rsidRPr="00A53A5A">
        <w:rPr>
          <w:rFonts w:ascii="David" w:hAnsi="David" w:cs="David" w:hint="eastAsia"/>
          <w:b/>
          <w:bCs/>
          <w:sz w:val="24"/>
          <w:szCs w:val="24"/>
          <w:rtl/>
        </w:rPr>
        <w:t>להלן</w:t>
      </w:r>
      <w:r w:rsidRPr="00A53A5A">
        <w:rPr>
          <w:rFonts w:ascii="David" w:hAnsi="David" w:cs="David"/>
          <w:b/>
          <w:bCs/>
          <w:sz w:val="24"/>
          <w:szCs w:val="24"/>
          <w:rtl/>
        </w:rPr>
        <w:t>: "עניין בן הרוש"</w:t>
      </w:r>
      <w:r w:rsidRPr="00A53A5A">
        <w:rPr>
          <w:rFonts w:ascii="David" w:hAnsi="David" w:cs="David"/>
          <w:sz w:val="24"/>
          <w:szCs w:val="24"/>
          <w:rtl/>
        </w:rPr>
        <w:t>), שם נדון נאשם ל-24 חודשי מאסר בפועל, לאחר שהורשע בעבירות של חבלה בכוונה מחמירה לאחר שירה באזור מגורים וגרם לאחר לחבלות קשות.</w:t>
      </w:r>
    </w:p>
    <w:p w14:paraId="7E98FF63" w14:textId="77777777" w:rsidR="00A24187" w:rsidRPr="00A53A5A" w:rsidRDefault="00A24187" w:rsidP="00A53A5A">
      <w:pPr>
        <w:spacing w:after="0" w:line="360" w:lineRule="auto"/>
        <w:jc w:val="both"/>
        <w:rPr>
          <w:rFonts w:ascii="David" w:hAnsi="David" w:cs="David"/>
          <w:sz w:val="24"/>
          <w:szCs w:val="24"/>
          <w:rtl/>
        </w:rPr>
      </w:pPr>
    </w:p>
    <w:p w14:paraId="4E8A79D7" w14:textId="77777777"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22</w:t>
      </w:r>
      <w:r w:rsidRPr="00A53A5A">
        <w:rPr>
          <w:rFonts w:ascii="David" w:hAnsi="David" w:cs="David"/>
          <w:sz w:val="24"/>
          <w:szCs w:val="24"/>
          <w:rtl/>
        </w:rPr>
        <w:t>.</w:t>
      </w:r>
      <w:r w:rsidRPr="00A53A5A">
        <w:rPr>
          <w:rFonts w:ascii="David" w:hAnsi="David" w:cs="David"/>
          <w:sz w:val="24"/>
          <w:szCs w:val="24"/>
          <w:rtl/>
        </w:rPr>
        <w:tab/>
      </w:r>
      <w:r w:rsidRPr="00A53A5A">
        <w:rPr>
          <w:rFonts w:ascii="David" w:hAnsi="David" w:cs="David" w:hint="eastAsia"/>
          <w:b/>
          <w:bCs/>
          <w:sz w:val="24"/>
          <w:szCs w:val="24"/>
          <w:rtl/>
        </w:rPr>
        <w:t>באשר</w:t>
      </w:r>
      <w:r w:rsidRPr="00A53A5A">
        <w:rPr>
          <w:rFonts w:ascii="David" w:hAnsi="David" w:cs="David"/>
          <w:b/>
          <w:bCs/>
          <w:sz w:val="24"/>
          <w:szCs w:val="24"/>
          <w:rtl/>
        </w:rPr>
        <w:t xml:space="preserve"> לנסיבות שאינן קשורות בביצוע העבירה</w:t>
      </w:r>
      <w:r w:rsidRPr="00A53A5A">
        <w:rPr>
          <w:rFonts w:ascii="David" w:hAnsi="David" w:cs="David"/>
          <w:sz w:val="24"/>
          <w:szCs w:val="24"/>
          <w:rtl/>
        </w:rPr>
        <w:t>, מפנה הסנגור לתסקיר, ומבקש לקבוע כי לא מדובר בתסקיר שלילי, כנטען, גם אם איננו כולל המלצה לעניין העונש. על פי המפורט בתסקיר, הנאשם הודה במיוחס לו ונטל אחריות מלאה על מעשיו. הוא גם הביע חרטה וצער על התנהגותו ואף הביע אמפתיה למתלוננים.</w:t>
      </w:r>
    </w:p>
    <w:p w14:paraId="31711721" w14:textId="77777777" w:rsidR="00A24187" w:rsidRPr="00A53A5A" w:rsidRDefault="00A24187" w:rsidP="00A53A5A">
      <w:pPr>
        <w:spacing w:after="0" w:line="360" w:lineRule="auto"/>
        <w:ind w:hanging="720"/>
        <w:jc w:val="both"/>
        <w:rPr>
          <w:rFonts w:ascii="David" w:hAnsi="David" w:cs="David"/>
          <w:sz w:val="24"/>
          <w:szCs w:val="24"/>
          <w:rtl/>
        </w:rPr>
      </w:pPr>
    </w:p>
    <w:p w14:paraId="5A9127A6" w14:textId="77777777"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23</w:t>
      </w:r>
      <w:r w:rsidRPr="00A53A5A">
        <w:rPr>
          <w:rFonts w:ascii="David" w:hAnsi="David" w:cs="David"/>
          <w:sz w:val="24"/>
          <w:szCs w:val="24"/>
          <w:rtl/>
        </w:rPr>
        <w:t xml:space="preserve">. </w:t>
      </w:r>
      <w:r w:rsidRPr="00A53A5A">
        <w:rPr>
          <w:rFonts w:ascii="David" w:hAnsi="David" w:cs="David"/>
          <w:sz w:val="24"/>
          <w:szCs w:val="24"/>
          <w:rtl/>
        </w:rPr>
        <w:tab/>
      </w:r>
      <w:r w:rsidRPr="00A53A5A">
        <w:rPr>
          <w:rFonts w:ascii="David" w:hAnsi="David" w:cs="David" w:hint="eastAsia"/>
          <w:sz w:val="24"/>
          <w:szCs w:val="24"/>
          <w:rtl/>
        </w:rPr>
        <w:t>עוד</w:t>
      </w:r>
      <w:r w:rsidRPr="00A53A5A">
        <w:rPr>
          <w:rFonts w:ascii="David" w:hAnsi="David" w:cs="David"/>
          <w:sz w:val="24"/>
          <w:szCs w:val="24"/>
          <w:rtl/>
        </w:rPr>
        <w:t xml:space="preserve"> טוען הסניגור, כי בקביעת עונשו של הנאשם יש לקחת בחשבון את נסיבות חייו הקשות, אשר לא פורטו כדבעי בתסקיר, ואשר בגינן הוא מצוי במצוקה רגשית קשה. עסקינן במי שאמו עזבה את הבית כשהיה ילד בן 10, כאשר באותה תקופה נשפט אביו לתקופת מאסר ממושכת. הנאשם, כילד בתחילת גיל ההתבגרות, גדל אצל סבו וסבתו, ולא זכה להדרכה ולהורים שיכוונו אותו לדרכו.</w:t>
      </w:r>
    </w:p>
    <w:p w14:paraId="0DAB0345" w14:textId="77777777" w:rsidR="00A24187" w:rsidRPr="00A53A5A" w:rsidRDefault="00A24187" w:rsidP="00A53A5A">
      <w:pPr>
        <w:spacing w:after="0" w:line="360" w:lineRule="auto"/>
        <w:ind w:hanging="720"/>
        <w:jc w:val="both"/>
        <w:rPr>
          <w:rFonts w:ascii="David" w:hAnsi="David" w:cs="David"/>
          <w:sz w:val="24"/>
          <w:szCs w:val="24"/>
          <w:rtl/>
        </w:rPr>
      </w:pPr>
    </w:p>
    <w:p w14:paraId="74A91A1F" w14:textId="77777777"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24.</w:t>
      </w:r>
      <w:r w:rsidRPr="00A53A5A">
        <w:rPr>
          <w:rFonts w:ascii="David" w:hAnsi="David" w:cs="David"/>
          <w:sz w:val="24"/>
          <w:szCs w:val="24"/>
          <w:rtl/>
        </w:rPr>
        <w:tab/>
      </w:r>
      <w:r w:rsidRPr="00A53A5A">
        <w:rPr>
          <w:rFonts w:ascii="David" w:hAnsi="David" w:cs="David" w:hint="eastAsia"/>
          <w:sz w:val="24"/>
          <w:szCs w:val="24"/>
          <w:rtl/>
        </w:rPr>
        <w:t>הסניגור</w:t>
      </w:r>
      <w:r w:rsidRPr="00A53A5A">
        <w:rPr>
          <w:rFonts w:ascii="David" w:hAnsi="David" w:cs="David"/>
          <w:sz w:val="24"/>
          <w:szCs w:val="24"/>
          <w:rtl/>
        </w:rPr>
        <w:t xml:space="preserve"> מוסיף כי הנאשם מבקש לפתוח דף חדש בחייו ובפני שירות המבחן הביע רצון  לקבל טיפול, ביודעו כי טיפול כזה יינתן בין כתלי הכלא. באמור, בצירוף גילוי האמפתיה למתלוננים, מצביע על הפחתת מסוכנותו של הנאשם ומהווה נימוק להקל בעונשו, כמו גם  הקביעה בתסקיר כי ה</w:t>
      </w:r>
      <w:r w:rsidRPr="00A53A5A">
        <w:rPr>
          <w:rFonts w:ascii="David" w:hAnsi="David" w:cs="David" w:hint="eastAsia"/>
          <w:sz w:val="24"/>
          <w:szCs w:val="24"/>
          <w:rtl/>
        </w:rPr>
        <w:t>נאשם</w:t>
      </w:r>
      <w:r w:rsidRPr="00A53A5A">
        <w:rPr>
          <w:rFonts w:ascii="David" w:hAnsi="David" w:cs="David"/>
          <w:sz w:val="24"/>
          <w:szCs w:val="24"/>
          <w:rtl/>
        </w:rPr>
        <w:t xml:space="preserve"> משלים עם המחיר שעליו לשלם בעקבות מעשיו.</w:t>
      </w:r>
    </w:p>
    <w:p w14:paraId="165C0FF9" w14:textId="77777777" w:rsidR="00A24187" w:rsidRPr="00A53A5A" w:rsidRDefault="00A24187" w:rsidP="00A53A5A">
      <w:pPr>
        <w:spacing w:after="0" w:line="360" w:lineRule="auto"/>
        <w:ind w:hanging="720"/>
        <w:jc w:val="both"/>
        <w:rPr>
          <w:rFonts w:ascii="David" w:hAnsi="David" w:cs="David"/>
          <w:sz w:val="24"/>
          <w:szCs w:val="24"/>
          <w:rtl/>
        </w:rPr>
      </w:pPr>
    </w:p>
    <w:p w14:paraId="64DD8EE8" w14:textId="77777777"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25.</w:t>
      </w:r>
      <w:r w:rsidRPr="00A53A5A">
        <w:rPr>
          <w:rFonts w:ascii="David" w:hAnsi="David" w:cs="David"/>
          <w:sz w:val="24"/>
          <w:szCs w:val="24"/>
          <w:rtl/>
        </w:rPr>
        <w:t xml:space="preserve"> </w:t>
      </w:r>
      <w:r w:rsidRPr="00A53A5A">
        <w:rPr>
          <w:rFonts w:ascii="David" w:hAnsi="David" w:cs="David"/>
          <w:sz w:val="24"/>
          <w:szCs w:val="24"/>
          <w:rtl/>
        </w:rPr>
        <w:tab/>
      </w:r>
      <w:r w:rsidRPr="00A53A5A">
        <w:rPr>
          <w:rFonts w:ascii="David" w:hAnsi="David" w:cs="David" w:hint="eastAsia"/>
          <w:sz w:val="24"/>
          <w:szCs w:val="24"/>
          <w:rtl/>
        </w:rPr>
        <w:t>נסיבות</w:t>
      </w:r>
      <w:r w:rsidRPr="00A53A5A">
        <w:rPr>
          <w:rFonts w:ascii="David" w:hAnsi="David" w:cs="David"/>
          <w:sz w:val="24"/>
          <w:szCs w:val="24"/>
          <w:rtl/>
        </w:rPr>
        <w:t xml:space="preserve"> נוספות, שאינן קשורות בביצוע העבירות, עליהן מצביע הסנגור, הן העובדה כי עסקינן בנאשם צעיר, אשר בעברו הרשעה יחידה. חרף העובדה כי החלו להישמע ראיות בתיק, יש לזקוף לזכותו את העובדה כי הודה בכתב אישום מתוקן ובכך חסך זמן שיפוטי רב.</w:t>
      </w:r>
    </w:p>
    <w:p w14:paraId="22C0571D" w14:textId="77777777" w:rsidR="00A24187" w:rsidRPr="00A53A5A" w:rsidRDefault="00A24187" w:rsidP="00A53A5A">
      <w:pPr>
        <w:spacing w:after="0" w:line="360" w:lineRule="auto"/>
        <w:ind w:hanging="720"/>
        <w:jc w:val="both"/>
        <w:rPr>
          <w:rFonts w:ascii="David" w:hAnsi="David" w:cs="David"/>
          <w:sz w:val="24"/>
          <w:szCs w:val="24"/>
          <w:rtl/>
        </w:rPr>
      </w:pPr>
    </w:p>
    <w:p w14:paraId="47DABE8A" w14:textId="77777777"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26.</w:t>
      </w:r>
      <w:r w:rsidRPr="00A53A5A">
        <w:rPr>
          <w:rFonts w:ascii="David" w:hAnsi="David" w:cs="David"/>
          <w:sz w:val="24"/>
          <w:szCs w:val="24"/>
          <w:rtl/>
        </w:rPr>
        <w:tab/>
      </w:r>
      <w:r w:rsidRPr="00A53A5A">
        <w:rPr>
          <w:rFonts w:ascii="David" w:hAnsi="David" w:cs="David" w:hint="eastAsia"/>
          <w:sz w:val="24"/>
          <w:szCs w:val="24"/>
          <w:rtl/>
        </w:rPr>
        <w:t>הנאשם</w:t>
      </w:r>
      <w:r w:rsidRPr="00A53A5A">
        <w:rPr>
          <w:rFonts w:ascii="David" w:hAnsi="David" w:cs="David"/>
          <w:sz w:val="24"/>
          <w:szCs w:val="24"/>
          <w:rtl/>
        </w:rPr>
        <w:t xml:space="preserve"> איננו מבקש כי בית המשפט ישתמש בסמכות המוקנית לו לחרוג ממתחם העונש הה</w:t>
      </w:r>
      <w:r w:rsidRPr="00A53A5A">
        <w:rPr>
          <w:rFonts w:ascii="David" w:hAnsi="David" w:cs="David" w:hint="eastAsia"/>
          <w:sz w:val="24"/>
          <w:szCs w:val="24"/>
          <w:rtl/>
        </w:rPr>
        <w:t>ולם</w:t>
      </w:r>
      <w:r w:rsidRPr="00A53A5A">
        <w:rPr>
          <w:rFonts w:ascii="David" w:hAnsi="David" w:cs="David"/>
          <w:sz w:val="24"/>
          <w:szCs w:val="24"/>
          <w:rtl/>
        </w:rPr>
        <w:t xml:space="preserve"> בשל שיקולי שיקום, אף על פי שעיון בתסקיר מעלה כי אכן קיים סיכוי גדול להליך שיקומי בעניינו. לטענת הסנגור, הנאשם עצור מזה כשנה ומבין כי הליך שיקום ראוי שייערך בין כותלי הכלא יצריך תקופה של לפחות 9 חודשים, ועל כן הוא סבור כי יש לאפשר לו הליך שיקומי, שיתחיל מיד עם מתן גזר הדין. </w:t>
      </w:r>
    </w:p>
    <w:p w14:paraId="2DCC8728" w14:textId="77777777" w:rsidR="00A24187" w:rsidRPr="00A53A5A" w:rsidRDefault="00A24187" w:rsidP="00A53A5A">
      <w:pPr>
        <w:spacing w:after="0" w:line="360" w:lineRule="auto"/>
        <w:ind w:hanging="720"/>
        <w:jc w:val="both"/>
        <w:rPr>
          <w:rFonts w:ascii="David" w:hAnsi="David" w:cs="David"/>
          <w:sz w:val="24"/>
          <w:szCs w:val="24"/>
          <w:rtl/>
        </w:rPr>
      </w:pPr>
    </w:p>
    <w:p w14:paraId="1A69C6E6" w14:textId="77777777"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27.</w:t>
      </w:r>
      <w:r w:rsidRPr="00A53A5A">
        <w:rPr>
          <w:rFonts w:ascii="David" w:hAnsi="David" w:cs="David"/>
          <w:sz w:val="24"/>
          <w:szCs w:val="24"/>
          <w:rtl/>
        </w:rPr>
        <w:tab/>
      </w:r>
      <w:r w:rsidRPr="00A53A5A">
        <w:rPr>
          <w:rFonts w:ascii="David" w:hAnsi="David" w:cs="David" w:hint="eastAsia"/>
          <w:sz w:val="24"/>
          <w:szCs w:val="24"/>
          <w:rtl/>
        </w:rPr>
        <w:t>באשר</w:t>
      </w:r>
      <w:r w:rsidRPr="00A53A5A">
        <w:rPr>
          <w:rFonts w:ascii="David" w:hAnsi="David" w:cs="David"/>
          <w:sz w:val="24"/>
          <w:szCs w:val="24"/>
          <w:rtl/>
        </w:rPr>
        <w:t xml:space="preserve"> למיקום עונשו של הנאשם בתוך המתחם טוען הסניגור כי את עונשו יש לקבוע כ- תקופה של עד שנתיים מאסר בפועל, תקופה הולמת וראויה בשים לב לפסיקה, למתחם </w:t>
      </w:r>
      <w:r w:rsidRPr="00A53A5A">
        <w:rPr>
          <w:rFonts w:ascii="David" w:hAnsi="David" w:cs="David" w:hint="eastAsia"/>
          <w:sz w:val="24"/>
          <w:szCs w:val="24"/>
          <w:rtl/>
        </w:rPr>
        <w:t>אליו</w:t>
      </w:r>
      <w:r w:rsidRPr="00A53A5A">
        <w:rPr>
          <w:rFonts w:ascii="David" w:hAnsi="David" w:cs="David"/>
          <w:sz w:val="24"/>
          <w:szCs w:val="24"/>
          <w:rtl/>
        </w:rPr>
        <w:t xml:space="preserve"> הפנה, לתסקיר שירות המבחן, לנכונותו של הנאשם לעבור הליך טיפולי ולעובדה כי לא נגרם נזק פיזי למתלוננים.</w:t>
      </w:r>
    </w:p>
    <w:p w14:paraId="67003653" w14:textId="77777777" w:rsidR="00A24187" w:rsidRPr="00A53A5A" w:rsidRDefault="00A24187" w:rsidP="00A53A5A">
      <w:pPr>
        <w:spacing w:after="0" w:line="360" w:lineRule="auto"/>
        <w:ind w:hanging="720"/>
        <w:jc w:val="both"/>
        <w:rPr>
          <w:rFonts w:ascii="David" w:hAnsi="David" w:cs="David"/>
          <w:sz w:val="24"/>
          <w:szCs w:val="24"/>
          <w:rtl/>
        </w:rPr>
      </w:pPr>
    </w:p>
    <w:p w14:paraId="0E310704" w14:textId="77777777"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28.</w:t>
      </w:r>
      <w:r w:rsidRPr="00A53A5A">
        <w:rPr>
          <w:rFonts w:ascii="David" w:hAnsi="David" w:cs="David"/>
          <w:sz w:val="24"/>
          <w:szCs w:val="24"/>
          <w:rtl/>
        </w:rPr>
        <w:tab/>
      </w:r>
      <w:r w:rsidRPr="00A53A5A">
        <w:rPr>
          <w:rFonts w:ascii="David" w:hAnsi="David" w:cs="David" w:hint="eastAsia"/>
          <w:sz w:val="24"/>
          <w:szCs w:val="24"/>
          <w:rtl/>
        </w:rPr>
        <w:t>הסנגור</w:t>
      </w:r>
      <w:r w:rsidRPr="00A53A5A">
        <w:rPr>
          <w:rFonts w:ascii="David" w:hAnsi="David" w:cs="David"/>
          <w:sz w:val="24"/>
          <w:szCs w:val="24"/>
          <w:rtl/>
        </w:rPr>
        <w:t xml:space="preserve"> מבקש להימנע מפסיקת פיצוי למתלוננים, מאחר ולא הוכח כי נגרם להם נזק ולא הוגשה כל ראייה לעניין זה.</w:t>
      </w:r>
    </w:p>
    <w:p w14:paraId="09E6D768" w14:textId="77777777" w:rsidR="00A24187" w:rsidRPr="00A53A5A" w:rsidRDefault="00A24187" w:rsidP="00A53A5A">
      <w:pPr>
        <w:spacing w:after="0" w:line="360" w:lineRule="auto"/>
        <w:ind w:hanging="720"/>
        <w:jc w:val="both"/>
        <w:rPr>
          <w:rFonts w:ascii="David" w:hAnsi="David" w:cs="David"/>
          <w:sz w:val="24"/>
          <w:szCs w:val="24"/>
          <w:rtl/>
        </w:rPr>
      </w:pPr>
    </w:p>
    <w:p w14:paraId="77E27809" w14:textId="77777777"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29.</w:t>
      </w:r>
      <w:r w:rsidRPr="00A53A5A">
        <w:rPr>
          <w:rFonts w:ascii="David" w:hAnsi="David" w:cs="David"/>
          <w:sz w:val="24"/>
          <w:szCs w:val="24"/>
          <w:rtl/>
        </w:rPr>
        <w:tab/>
      </w:r>
      <w:r w:rsidRPr="00A53A5A">
        <w:rPr>
          <w:rFonts w:ascii="David" w:hAnsi="David" w:cs="David" w:hint="eastAsia"/>
          <w:sz w:val="24"/>
          <w:szCs w:val="24"/>
          <w:rtl/>
        </w:rPr>
        <w:t>הסניגור</w:t>
      </w:r>
      <w:r w:rsidRPr="00A53A5A">
        <w:rPr>
          <w:rFonts w:ascii="David" w:hAnsi="David" w:cs="David"/>
          <w:sz w:val="24"/>
          <w:szCs w:val="24"/>
          <w:rtl/>
        </w:rPr>
        <w:t xml:space="preserve"> מוסיף וטוען כי יש לדחות את עתירת המאשימה לחילוט הרכב. לטענתו, הטיעון אותו מעלה המאשימה, לפיו קיים קשר הדוק בין הרכב לבין ביצוע העבירה, </w:t>
      </w:r>
      <w:r w:rsidRPr="00A53A5A">
        <w:rPr>
          <w:rFonts w:ascii="David" w:hAnsi="David" w:cs="David" w:hint="eastAsia"/>
          <w:sz w:val="24"/>
          <w:szCs w:val="24"/>
          <w:rtl/>
        </w:rPr>
        <w:t>הינו</w:t>
      </w:r>
      <w:r w:rsidRPr="00A53A5A">
        <w:rPr>
          <w:rFonts w:ascii="David" w:hAnsi="David" w:cs="David"/>
          <w:sz w:val="24"/>
          <w:szCs w:val="24"/>
          <w:rtl/>
        </w:rPr>
        <w:t xml:space="preserve"> טיעון לא רלוונטי שכן רובם של הנאשמים מסתייעים ברכבם לביצוע עבירות. לחלופין, מבוקש כי במידה ויוחלט הרכב ימנע בית המשפט מהטלת פיצוי או קנס.</w:t>
      </w:r>
    </w:p>
    <w:p w14:paraId="4623E782" w14:textId="77777777" w:rsidR="00A24187" w:rsidRPr="00A53A5A" w:rsidRDefault="00A24187" w:rsidP="00A53A5A">
      <w:pPr>
        <w:spacing w:after="0" w:line="360" w:lineRule="auto"/>
        <w:ind w:hanging="720"/>
        <w:jc w:val="both"/>
        <w:rPr>
          <w:rFonts w:ascii="David" w:hAnsi="David" w:cs="David"/>
          <w:sz w:val="24"/>
          <w:szCs w:val="24"/>
          <w:rtl/>
        </w:rPr>
      </w:pPr>
    </w:p>
    <w:p w14:paraId="6A7531FA" w14:textId="77777777"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30.</w:t>
      </w:r>
      <w:r w:rsidRPr="00A53A5A">
        <w:rPr>
          <w:rFonts w:ascii="David" w:hAnsi="David" w:cs="David"/>
          <w:sz w:val="24"/>
          <w:szCs w:val="24"/>
          <w:rtl/>
        </w:rPr>
        <w:tab/>
      </w:r>
      <w:r w:rsidRPr="00A53A5A">
        <w:rPr>
          <w:rFonts w:ascii="David" w:hAnsi="David" w:cs="David" w:hint="eastAsia"/>
          <w:sz w:val="24"/>
          <w:szCs w:val="24"/>
          <w:rtl/>
        </w:rPr>
        <w:t>בתגובה</w:t>
      </w:r>
      <w:r w:rsidRPr="00A53A5A">
        <w:rPr>
          <w:rFonts w:ascii="David" w:hAnsi="David" w:cs="David"/>
          <w:sz w:val="24"/>
          <w:szCs w:val="24"/>
          <w:rtl/>
        </w:rPr>
        <w:t xml:space="preserve"> לפסיקה שהגיש הסניגור ביקש בא כוח המאשימה להפנות לכך כי בפסק הדין בעניין בן הרוש, אליו הפנה הסניגור, דובר על הסדר טיעון מקל שהושג בשל חולשת הראיות ועל כן אין לראות בתוצאת גזר הדין כאמת מידה למדיניות הענישה הנהוגה. עוד ציין בא כוח המאשימה, כי בעניין מלאחי נטען כי מדובר בפסק דין ישן, שאינו משקף את רמת הענישה הנהוגה, מה גם ששם דובר בקטטה בה נזרקו חפצים ונורו יריות משני הצדדים, וכי לא ניתן היה לייחס דווקא לנאשם את הירי שהרג את הקורבן. </w:t>
      </w:r>
    </w:p>
    <w:p w14:paraId="2D0B362A" w14:textId="77777777" w:rsidR="00A24187" w:rsidRPr="00A53A5A" w:rsidRDefault="00A24187" w:rsidP="00A53A5A">
      <w:pPr>
        <w:spacing w:after="0" w:line="360" w:lineRule="auto"/>
        <w:ind w:hanging="720"/>
        <w:jc w:val="both"/>
        <w:rPr>
          <w:rFonts w:ascii="David" w:hAnsi="David" w:cs="David"/>
          <w:sz w:val="24"/>
          <w:szCs w:val="24"/>
          <w:rtl/>
        </w:rPr>
      </w:pPr>
    </w:p>
    <w:p w14:paraId="2229A3C7" w14:textId="77777777"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31.</w:t>
      </w:r>
      <w:r w:rsidRPr="00A53A5A">
        <w:rPr>
          <w:rFonts w:ascii="David" w:hAnsi="David" w:cs="David"/>
          <w:sz w:val="24"/>
          <w:szCs w:val="24"/>
          <w:rtl/>
        </w:rPr>
        <w:tab/>
      </w:r>
      <w:r w:rsidRPr="00A53A5A">
        <w:rPr>
          <w:rFonts w:ascii="David" w:hAnsi="David" w:cs="David" w:hint="eastAsia"/>
          <w:sz w:val="24"/>
          <w:szCs w:val="24"/>
          <w:rtl/>
        </w:rPr>
        <w:t>עוד</w:t>
      </w:r>
      <w:r w:rsidRPr="00A53A5A">
        <w:rPr>
          <w:rFonts w:ascii="David" w:hAnsi="David" w:cs="David"/>
          <w:sz w:val="24"/>
          <w:szCs w:val="24"/>
          <w:rtl/>
        </w:rPr>
        <w:t xml:space="preserve"> בתגובה לטיעוניו של הסניגור ביקש בא כוח המאשימה להתנגד לדבריו של הסניגור כאילו מדובר בירי שכוון לקירות. הוא ציין כי טיעון זה נוגד את המוסכם ואת האמור בכתב האישום. יתרה מכך ציין, כי חלק מן היריות פגעו במעקה המרפסת, שמאחוריו שכבו המתלוננים.</w:t>
      </w:r>
    </w:p>
    <w:p w14:paraId="327CDDD0" w14:textId="77777777" w:rsidR="00A24187" w:rsidRPr="00A53A5A" w:rsidRDefault="00A24187" w:rsidP="00A53A5A">
      <w:pPr>
        <w:spacing w:after="0" w:line="360" w:lineRule="auto"/>
        <w:ind w:hanging="720"/>
        <w:jc w:val="both"/>
        <w:rPr>
          <w:rFonts w:ascii="David" w:hAnsi="David" w:cs="David"/>
          <w:sz w:val="24"/>
          <w:szCs w:val="24"/>
          <w:rtl/>
        </w:rPr>
      </w:pPr>
    </w:p>
    <w:p w14:paraId="7B564A34" w14:textId="77777777" w:rsidR="00A24187" w:rsidRPr="00A53A5A" w:rsidRDefault="00A24187" w:rsidP="00A53A5A">
      <w:pPr>
        <w:spacing w:after="0" w:line="360" w:lineRule="auto"/>
        <w:jc w:val="both"/>
        <w:rPr>
          <w:rFonts w:ascii="David" w:hAnsi="David" w:cs="David"/>
          <w:b/>
          <w:bCs/>
          <w:sz w:val="24"/>
          <w:szCs w:val="24"/>
          <w:u w:val="single"/>
          <w:rtl/>
        </w:rPr>
      </w:pPr>
      <w:r w:rsidRPr="00A53A5A">
        <w:rPr>
          <w:rFonts w:ascii="David" w:hAnsi="David" w:cs="David" w:hint="eastAsia"/>
          <w:b/>
          <w:bCs/>
          <w:sz w:val="24"/>
          <w:szCs w:val="24"/>
          <w:u w:val="single"/>
          <w:rtl/>
        </w:rPr>
        <w:t>דברי</w:t>
      </w:r>
      <w:r w:rsidRPr="00A53A5A">
        <w:rPr>
          <w:rFonts w:ascii="David" w:hAnsi="David" w:cs="David"/>
          <w:b/>
          <w:bCs/>
          <w:sz w:val="24"/>
          <w:szCs w:val="24"/>
          <w:u w:val="single"/>
          <w:rtl/>
        </w:rPr>
        <w:t xml:space="preserve"> הנאשם</w:t>
      </w:r>
    </w:p>
    <w:p w14:paraId="38699E55" w14:textId="77777777" w:rsidR="00A24187" w:rsidRPr="00A53A5A" w:rsidRDefault="00A24187" w:rsidP="00A53A5A">
      <w:pPr>
        <w:spacing w:after="0" w:line="360" w:lineRule="auto"/>
        <w:ind w:hanging="720"/>
        <w:jc w:val="both"/>
        <w:rPr>
          <w:rFonts w:ascii="David" w:hAnsi="David" w:cs="David"/>
          <w:b/>
          <w:bCs/>
          <w:sz w:val="24"/>
          <w:szCs w:val="24"/>
          <w:u w:val="single"/>
          <w:rtl/>
        </w:rPr>
      </w:pPr>
    </w:p>
    <w:p w14:paraId="46EBFD04" w14:textId="77777777"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32.</w:t>
      </w:r>
      <w:r w:rsidRPr="00A53A5A">
        <w:rPr>
          <w:rFonts w:ascii="David" w:hAnsi="David" w:cs="David"/>
          <w:b/>
          <w:bCs/>
          <w:sz w:val="24"/>
          <w:szCs w:val="24"/>
          <w:rtl/>
        </w:rPr>
        <w:tab/>
      </w:r>
      <w:r w:rsidRPr="00A53A5A">
        <w:rPr>
          <w:rFonts w:ascii="David" w:hAnsi="David" w:cs="David" w:hint="eastAsia"/>
          <w:sz w:val="24"/>
          <w:szCs w:val="24"/>
          <w:rtl/>
        </w:rPr>
        <w:t>הנאשם</w:t>
      </w:r>
      <w:r w:rsidRPr="00A53A5A">
        <w:rPr>
          <w:rFonts w:ascii="David" w:hAnsi="David" w:cs="David"/>
          <w:sz w:val="24"/>
          <w:szCs w:val="24"/>
          <w:rtl/>
        </w:rPr>
        <w:t xml:space="preserve"> הביע צער על מעשיו וציין כי בכוונתו לעבור טיפול ולהשתלב בתכנית שיקום. הוא ביקש את התחשבות בית המשפט בגזירת עונשו והבטיח כי לא ישוב על הטעות שביצע.</w:t>
      </w:r>
    </w:p>
    <w:p w14:paraId="66566FFF" w14:textId="77777777" w:rsidR="00A24187" w:rsidRPr="00A53A5A" w:rsidRDefault="00A24187" w:rsidP="00A53A5A">
      <w:pPr>
        <w:spacing w:after="0" w:line="360" w:lineRule="auto"/>
        <w:ind w:hanging="720"/>
        <w:jc w:val="both"/>
        <w:rPr>
          <w:rFonts w:ascii="David" w:hAnsi="David" w:cs="David"/>
          <w:sz w:val="24"/>
          <w:szCs w:val="24"/>
          <w:rtl/>
        </w:rPr>
      </w:pPr>
    </w:p>
    <w:p w14:paraId="1D1378E8" w14:textId="77777777" w:rsidR="00A24187" w:rsidRPr="00A53A5A" w:rsidRDefault="00A24187" w:rsidP="00A53A5A">
      <w:pPr>
        <w:spacing w:after="0" w:line="360" w:lineRule="auto"/>
        <w:jc w:val="both"/>
        <w:rPr>
          <w:rFonts w:ascii="David" w:hAnsi="David" w:cs="David"/>
          <w:b/>
          <w:bCs/>
          <w:sz w:val="24"/>
          <w:szCs w:val="24"/>
          <w:u w:val="single"/>
          <w:rtl/>
        </w:rPr>
      </w:pPr>
      <w:r w:rsidRPr="00A53A5A">
        <w:rPr>
          <w:rFonts w:ascii="David" w:hAnsi="David" w:cs="David" w:hint="eastAsia"/>
          <w:b/>
          <w:bCs/>
          <w:sz w:val="24"/>
          <w:szCs w:val="24"/>
          <w:u w:val="single"/>
          <w:rtl/>
        </w:rPr>
        <w:t>דיון</w:t>
      </w:r>
      <w:r w:rsidRPr="00A53A5A">
        <w:rPr>
          <w:rFonts w:ascii="David" w:hAnsi="David" w:cs="David"/>
          <w:b/>
          <w:bCs/>
          <w:sz w:val="24"/>
          <w:szCs w:val="24"/>
          <w:u w:val="single"/>
          <w:rtl/>
        </w:rPr>
        <w:t xml:space="preserve"> והכרעה</w:t>
      </w:r>
    </w:p>
    <w:p w14:paraId="0F122C02" w14:textId="77777777" w:rsidR="00A24187" w:rsidRPr="00A53A5A" w:rsidRDefault="00A24187" w:rsidP="00A53A5A">
      <w:pPr>
        <w:spacing w:after="0" w:line="360" w:lineRule="auto"/>
        <w:jc w:val="both"/>
        <w:rPr>
          <w:rFonts w:ascii="David" w:hAnsi="David" w:cs="David"/>
          <w:sz w:val="24"/>
          <w:szCs w:val="24"/>
          <w:rtl/>
        </w:rPr>
      </w:pPr>
    </w:p>
    <w:p w14:paraId="472F0664" w14:textId="77777777" w:rsidR="00A24187" w:rsidRPr="00A53A5A" w:rsidRDefault="00A24187" w:rsidP="00A53A5A">
      <w:pPr>
        <w:spacing w:after="0" w:line="360" w:lineRule="auto"/>
        <w:jc w:val="both"/>
        <w:rPr>
          <w:rFonts w:cs="David"/>
          <w:sz w:val="24"/>
          <w:szCs w:val="24"/>
          <w:rtl/>
        </w:rPr>
      </w:pPr>
      <w:r w:rsidRPr="00A53A5A">
        <w:rPr>
          <w:rFonts w:ascii="David" w:hAnsi="David" w:cs="David"/>
          <w:b/>
          <w:bCs/>
          <w:sz w:val="24"/>
          <w:szCs w:val="24"/>
          <w:rtl/>
        </w:rPr>
        <w:t>33.</w:t>
      </w:r>
      <w:r w:rsidR="009506D2">
        <w:rPr>
          <w:rFonts w:ascii="David" w:hAnsi="David" w:cs="David"/>
          <w:b/>
          <w:bCs/>
          <w:sz w:val="24"/>
          <w:szCs w:val="24"/>
          <w:rtl/>
        </w:rPr>
        <w:t xml:space="preserve">        </w:t>
      </w:r>
      <w:r w:rsidRPr="00A53A5A">
        <w:rPr>
          <w:rFonts w:ascii="David" w:hAnsi="David" w:cs="David"/>
          <w:b/>
          <w:bCs/>
          <w:sz w:val="24"/>
          <w:szCs w:val="24"/>
          <w:rtl/>
        </w:rPr>
        <w:t xml:space="preserve"> </w:t>
      </w:r>
      <w:r w:rsidRPr="00A53A5A">
        <w:rPr>
          <w:rFonts w:ascii="David" w:hAnsi="David" w:cs="David" w:hint="eastAsia"/>
          <w:sz w:val="24"/>
          <w:szCs w:val="24"/>
          <w:rtl/>
        </w:rPr>
        <w:t>על</w:t>
      </w:r>
      <w:r w:rsidRPr="00A53A5A">
        <w:rPr>
          <w:rFonts w:ascii="David" w:hAnsi="David" w:cs="David"/>
          <w:sz w:val="24"/>
          <w:szCs w:val="24"/>
          <w:rtl/>
        </w:rPr>
        <w:t xml:space="preserve"> פי </w:t>
      </w:r>
      <w:hyperlink r:id="rId49" w:history="1">
        <w:r w:rsidR="0037284E" w:rsidRPr="0037284E">
          <w:rPr>
            <w:rFonts w:ascii="David" w:hAnsi="David" w:cs="David"/>
            <w:color w:val="0000FF"/>
            <w:sz w:val="24"/>
            <w:szCs w:val="24"/>
            <w:u w:val="single"/>
            <w:rtl/>
          </w:rPr>
          <w:t>סעיף 40ב'</w:t>
        </w:r>
      </w:hyperlink>
      <w:r w:rsidRPr="00A53A5A">
        <w:rPr>
          <w:rFonts w:ascii="David" w:hAnsi="David" w:cs="David"/>
          <w:sz w:val="24"/>
          <w:szCs w:val="24"/>
          <w:rtl/>
        </w:rPr>
        <w:t xml:space="preserve"> ל</w:t>
      </w:r>
      <w:hyperlink r:id="rId50" w:history="1">
        <w:r w:rsidR="009506D2" w:rsidRPr="009506D2">
          <w:rPr>
            <w:rFonts w:ascii="Times New Roman" w:hAnsi="Times New Roman" w:cs="Times New Roman"/>
            <w:color w:val="0000FF"/>
            <w:sz w:val="24"/>
            <w:szCs w:val="24"/>
            <w:u w:val="single"/>
            <w:rtl/>
          </w:rPr>
          <w:t>חוק העונשין</w:t>
        </w:r>
      </w:hyperlink>
      <w:r w:rsidRPr="00A53A5A">
        <w:rPr>
          <w:rFonts w:ascii="David" w:hAnsi="David" w:cs="David"/>
          <w:sz w:val="24"/>
          <w:szCs w:val="24"/>
          <w:rtl/>
        </w:rPr>
        <w:t xml:space="preserve">, העיקרון המנחה בענישה הוא עיקרון ההלימה, שמשמעו </w:t>
      </w:r>
    </w:p>
    <w:p w14:paraId="721516F9" w14:textId="77777777" w:rsidR="00A24187" w:rsidRPr="00A53A5A" w:rsidRDefault="00A24187" w:rsidP="00A53A5A">
      <w:pPr>
        <w:spacing w:after="0" w:line="360" w:lineRule="auto"/>
        <w:ind w:left="720"/>
        <w:jc w:val="both"/>
        <w:rPr>
          <w:rFonts w:ascii="David" w:hAnsi="David"/>
          <w:sz w:val="24"/>
          <w:szCs w:val="24"/>
          <w:rtl/>
        </w:rPr>
      </w:pPr>
      <w:r w:rsidRPr="00A53A5A">
        <w:rPr>
          <w:rFonts w:ascii="David" w:hAnsi="David" w:cs="David" w:hint="eastAsia"/>
          <w:sz w:val="24"/>
          <w:szCs w:val="24"/>
          <w:rtl/>
        </w:rPr>
        <w:t>קיומו</w:t>
      </w:r>
      <w:r w:rsidRPr="00A53A5A">
        <w:rPr>
          <w:rFonts w:ascii="David" w:hAnsi="David" w:cs="David"/>
          <w:sz w:val="24"/>
          <w:szCs w:val="24"/>
          <w:rtl/>
        </w:rPr>
        <w:t xml:space="preserve"> של יחס הולם בין חומרת מעשה העביר</w:t>
      </w:r>
      <w:r w:rsidRPr="00A53A5A">
        <w:rPr>
          <w:rFonts w:ascii="David" w:hAnsi="David" w:cs="David" w:hint="eastAsia"/>
          <w:sz w:val="24"/>
          <w:szCs w:val="24"/>
          <w:rtl/>
        </w:rPr>
        <w:t>ה</w:t>
      </w:r>
      <w:r w:rsidRPr="00A53A5A">
        <w:rPr>
          <w:rFonts w:ascii="David" w:hAnsi="David" w:cs="David"/>
          <w:sz w:val="24"/>
          <w:szCs w:val="24"/>
          <w:rtl/>
        </w:rPr>
        <w:t xml:space="preserve"> בנסיבותיו ומידת אשמו של הנאשם ובין סוג ומידת העונש המוטל עליו. </w:t>
      </w:r>
    </w:p>
    <w:p w14:paraId="2E1F36D5" w14:textId="77777777" w:rsidR="00A24187" w:rsidRPr="00A53A5A" w:rsidRDefault="00A24187" w:rsidP="00A53A5A">
      <w:pPr>
        <w:spacing w:after="0" w:line="360" w:lineRule="auto"/>
        <w:jc w:val="both"/>
        <w:rPr>
          <w:rFonts w:ascii="David" w:hAnsi="David" w:cs="David"/>
          <w:sz w:val="24"/>
          <w:szCs w:val="24"/>
        </w:rPr>
      </w:pPr>
    </w:p>
    <w:p w14:paraId="7E876443" w14:textId="77777777" w:rsidR="00A24187" w:rsidRPr="00A53A5A" w:rsidRDefault="00A24187" w:rsidP="00A53A5A">
      <w:pPr>
        <w:spacing w:after="0" w:line="360" w:lineRule="auto"/>
        <w:ind w:left="720"/>
        <w:jc w:val="both"/>
        <w:rPr>
          <w:rFonts w:ascii="David" w:hAnsi="David" w:cs="David"/>
          <w:sz w:val="24"/>
          <w:szCs w:val="24"/>
          <w:rtl/>
        </w:rPr>
      </w:pPr>
      <w:r w:rsidRPr="00A53A5A">
        <w:rPr>
          <w:rFonts w:ascii="David" w:hAnsi="David" w:cs="David" w:hint="eastAsia"/>
          <w:sz w:val="24"/>
          <w:szCs w:val="24"/>
          <w:rtl/>
        </w:rPr>
        <w:t>גזירת</w:t>
      </w:r>
      <w:r w:rsidRPr="00A53A5A">
        <w:rPr>
          <w:rFonts w:ascii="David" w:hAnsi="David" w:cs="David"/>
          <w:sz w:val="24"/>
          <w:szCs w:val="24"/>
          <w:rtl/>
        </w:rPr>
        <w:t xml:space="preserve"> עונשו של נאשם בגיר מחייבת קביעת מתחם העונש ההולם, בהתאם לעיקרון המנחה, וקביעת העונש המתאים לנאשם בתוך המתחם. במקרים יוצאי דופן, ניתן לסטות מן המתחם לקולא בהסתמך על שיקולי שיקום (</w:t>
      </w:r>
      <w:hyperlink r:id="rId51" w:history="1">
        <w:r w:rsidR="0037284E" w:rsidRPr="0037284E">
          <w:rPr>
            <w:rFonts w:ascii="David" w:hAnsi="David" w:cs="David"/>
            <w:color w:val="0000FF"/>
            <w:sz w:val="24"/>
            <w:szCs w:val="24"/>
            <w:u w:val="single"/>
            <w:rtl/>
          </w:rPr>
          <w:t>סעיף 40ד'</w:t>
        </w:r>
      </w:hyperlink>
      <w:r w:rsidRPr="00A53A5A">
        <w:rPr>
          <w:rFonts w:ascii="David" w:hAnsi="David" w:cs="David"/>
          <w:sz w:val="24"/>
          <w:szCs w:val="24"/>
          <w:rtl/>
        </w:rPr>
        <w:t xml:space="preserve"> ל</w:t>
      </w:r>
      <w:hyperlink r:id="rId52" w:history="1">
        <w:r w:rsidR="009506D2" w:rsidRPr="009506D2">
          <w:rPr>
            <w:rFonts w:ascii="Times New Roman" w:hAnsi="Times New Roman" w:cs="Times New Roman"/>
            <w:color w:val="0000FF"/>
            <w:sz w:val="24"/>
            <w:szCs w:val="24"/>
            <w:u w:val="single"/>
            <w:rtl/>
          </w:rPr>
          <w:t>חוק העונשין</w:t>
        </w:r>
      </w:hyperlink>
      <w:r w:rsidRPr="00A53A5A">
        <w:rPr>
          <w:rFonts w:ascii="David" w:hAnsi="David" w:cs="David"/>
          <w:sz w:val="24"/>
          <w:szCs w:val="24"/>
          <w:rtl/>
        </w:rPr>
        <w:t>), או לחומרא, בשל שיקולי הגנה על שלום הציבור (</w:t>
      </w:r>
      <w:hyperlink r:id="rId53" w:history="1">
        <w:r w:rsidR="0037284E" w:rsidRPr="0037284E">
          <w:rPr>
            <w:rFonts w:ascii="David" w:hAnsi="David" w:cs="David"/>
            <w:color w:val="0000FF"/>
            <w:sz w:val="24"/>
            <w:szCs w:val="24"/>
            <w:u w:val="single"/>
            <w:rtl/>
          </w:rPr>
          <w:t>סעיף 40ה'</w:t>
        </w:r>
      </w:hyperlink>
      <w:r w:rsidRPr="00A53A5A">
        <w:rPr>
          <w:rFonts w:ascii="David" w:hAnsi="David" w:cs="David"/>
          <w:sz w:val="24"/>
          <w:szCs w:val="24"/>
          <w:rtl/>
        </w:rPr>
        <w:t xml:space="preserve"> לחוק העונשין). </w:t>
      </w:r>
    </w:p>
    <w:p w14:paraId="2B1E6B35" w14:textId="77777777" w:rsidR="00A24187" w:rsidRPr="00A53A5A" w:rsidRDefault="00A24187" w:rsidP="00A53A5A">
      <w:pPr>
        <w:spacing w:after="0" w:line="360" w:lineRule="auto"/>
        <w:ind w:hanging="720"/>
        <w:jc w:val="both"/>
        <w:rPr>
          <w:rFonts w:ascii="David" w:hAnsi="David" w:cs="David"/>
          <w:b/>
          <w:bCs/>
          <w:sz w:val="24"/>
          <w:szCs w:val="24"/>
          <w:rtl/>
        </w:rPr>
      </w:pPr>
    </w:p>
    <w:p w14:paraId="49039650" w14:textId="77777777" w:rsidR="00A24187" w:rsidRPr="00A53A5A" w:rsidRDefault="00A24187" w:rsidP="00F15005">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34.</w:t>
      </w:r>
      <w:r w:rsidRPr="00A53A5A">
        <w:rPr>
          <w:rFonts w:ascii="David" w:hAnsi="David" w:cs="David"/>
          <w:sz w:val="24"/>
          <w:szCs w:val="24"/>
          <w:rtl/>
        </w:rPr>
        <w:tab/>
      </w:r>
      <w:r w:rsidRPr="00A53A5A">
        <w:rPr>
          <w:rFonts w:ascii="David" w:hAnsi="David" w:cs="David" w:hint="eastAsia"/>
          <w:sz w:val="24"/>
          <w:szCs w:val="24"/>
          <w:rtl/>
        </w:rPr>
        <w:t>כשמדובר</w:t>
      </w:r>
      <w:r w:rsidRPr="00A53A5A">
        <w:rPr>
          <w:rFonts w:ascii="David" w:hAnsi="David" w:cs="David"/>
          <w:sz w:val="24"/>
          <w:szCs w:val="24"/>
          <w:rtl/>
        </w:rPr>
        <w:t xml:space="preserve"> במי שהורשע בריבוי עבירות, הליך גזירת הדין כולל שלושה שלבים. בשלב הראשון על בית המשפט לקבוע בהתאם </w:t>
      </w:r>
      <w:hyperlink r:id="rId54" w:history="1">
        <w:r w:rsidR="0037284E" w:rsidRPr="0037284E">
          <w:rPr>
            <w:rFonts w:ascii="David" w:hAnsi="David" w:cs="David"/>
            <w:color w:val="0000FF"/>
            <w:sz w:val="24"/>
            <w:szCs w:val="24"/>
            <w:u w:val="single"/>
            <w:rtl/>
          </w:rPr>
          <w:t>לסעיף 40יג</w:t>
        </w:r>
      </w:hyperlink>
      <w:r w:rsidRPr="00A53A5A">
        <w:rPr>
          <w:rFonts w:ascii="David" w:hAnsi="David" w:cs="David"/>
          <w:sz w:val="24"/>
          <w:szCs w:val="24"/>
          <w:rtl/>
        </w:rPr>
        <w:t xml:space="preserve"> ל</w:t>
      </w:r>
      <w:hyperlink r:id="rId55" w:history="1">
        <w:r w:rsidR="009506D2" w:rsidRPr="009506D2">
          <w:rPr>
            <w:rFonts w:ascii="David" w:hAnsi="David" w:cs="David"/>
            <w:color w:val="0000FF"/>
            <w:sz w:val="24"/>
            <w:szCs w:val="24"/>
            <w:u w:val="single"/>
            <w:rtl/>
          </w:rPr>
          <w:t>חוק העונשין</w:t>
        </w:r>
      </w:hyperlink>
      <w:r w:rsidRPr="00A53A5A">
        <w:rPr>
          <w:rFonts w:ascii="David" w:hAnsi="David" w:cs="David"/>
          <w:sz w:val="24"/>
          <w:szCs w:val="24"/>
          <w:rtl/>
        </w:rPr>
        <w:t>, האם עבירות אלה מהוות אירוע אחד או כמה אירועים, על פי מבחן "הקשר ההדוק" שהתפתח בפסיקה (</w:t>
      </w:r>
      <w:hyperlink r:id="rId56" w:history="1">
        <w:r w:rsidR="009506D2" w:rsidRPr="009506D2">
          <w:rPr>
            <w:rFonts w:ascii="David" w:hAnsi="David" w:cs="David"/>
            <w:color w:val="0000FF"/>
            <w:sz w:val="24"/>
            <w:szCs w:val="24"/>
            <w:u w:val="single"/>
            <w:rtl/>
          </w:rPr>
          <w:t>ע"פ 4910/13</w:t>
        </w:r>
      </w:hyperlink>
      <w:r w:rsidRPr="00A53A5A">
        <w:rPr>
          <w:rFonts w:ascii="David" w:hAnsi="David" w:cs="David"/>
          <w:sz w:val="24"/>
          <w:szCs w:val="24"/>
          <w:rtl/>
        </w:rPr>
        <w:t xml:space="preserve"> </w:t>
      </w:r>
      <w:r w:rsidRPr="00A53A5A">
        <w:rPr>
          <w:rFonts w:ascii="David" w:hAnsi="David" w:cs="David" w:hint="eastAsia"/>
          <w:b/>
          <w:bCs/>
          <w:sz w:val="24"/>
          <w:szCs w:val="24"/>
          <w:rtl/>
        </w:rPr>
        <w:t>ג</w:t>
      </w:r>
      <w:r w:rsidRPr="00A53A5A">
        <w:rPr>
          <w:rFonts w:ascii="David" w:hAnsi="David" w:cs="David"/>
          <w:b/>
          <w:bCs/>
          <w:sz w:val="24"/>
          <w:szCs w:val="24"/>
          <w:rtl/>
        </w:rPr>
        <w:t>'אבר נ. מדינת ישראל</w:t>
      </w:r>
      <w:r w:rsidRPr="00A53A5A">
        <w:rPr>
          <w:rFonts w:ascii="David" w:hAnsi="David" w:cs="David"/>
          <w:sz w:val="24"/>
          <w:szCs w:val="24"/>
          <w:rtl/>
        </w:rPr>
        <w:t xml:space="preserve"> </w:t>
      </w:r>
      <w:r w:rsidR="00F15005" w:rsidRPr="00F15005">
        <w:rPr>
          <w:rFonts w:ascii="Times New Roman" w:hAnsi="Times New Roman" w:cs="David"/>
          <w:szCs w:val="24"/>
          <w:rtl/>
        </w:rPr>
        <w:t xml:space="preserve">[פורסם בנבו] </w:t>
      </w:r>
      <w:r w:rsidRPr="00A53A5A">
        <w:rPr>
          <w:rFonts w:ascii="David" w:hAnsi="David" w:cs="David"/>
          <w:sz w:val="24"/>
          <w:szCs w:val="24"/>
          <w:rtl/>
        </w:rPr>
        <w:t xml:space="preserve">(29.10.2014) וכן </w:t>
      </w:r>
      <w:hyperlink r:id="rId57" w:history="1">
        <w:r w:rsidR="009506D2" w:rsidRPr="009506D2">
          <w:rPr>
            <w:rFonts w:ascii="David" w:hAnsi="David" w:cs="David"/>
            <w:b/>
            <w:bCs/>
            <w:color w:val="0000FF"/>
            <w:sz w:val="24"/>
            <w:szCs w:val="24"/>
            <w:u w:val="single"/>
            <w:rtl/>
          </w:rPr>
          <w:t>ע"פ 1127/13</w:t>
        </w:r>
      </w:hyperlink>
      <w:r w:rsidRPr="00A53A5A">
        <w:rPr>
          <w:rFonts w:ascii="David" w:hAnsi="David" w:cs="David"/>
          <w:b/>
          <w:bCs/>
          <w:sz w:val="24"/>
          <w:szCs w:val="24"/>
          <w:rtl/>
        </w:rPr>
        <w:t xml:space="preserve"> גברזגיי נ. מדינת ישראל </w:t>
      </w:r>
      <w:r w:rsidR="00F15005" w:rsidRPr="00F15005">
        <w:rPr>
          <w:rFonts w:ascii="Times New Roman" w:hAnsi="Times New Roman" w:cs="David"/>
          <w:szCs w:val="24"/>
          <w:rtl/>
        </w:rPr>
        <w:t xml:space="preserve">[פורסם בנבו] </w:t>
      </w:r>
      <w:r w:rsidRPr="00A53A5A">
        <w:rPr>
          <w:rFonts w:ascii="David" w:hAnsi="David" w:cs="David"/>
          <w:b/>
          <w:bCs/>
          <w:sz w:val="24"/>
          <w:szCs w:val="24"/>
          <w:rtl/>
        </w:rPr>
        <w:t>(15.01.2014) ו</w:t>
      </w:r>
      <w:hyperlink r:id="rId58" w:history="1">
        <w:r w:rsidR="009506D2" w:rsidRPr="009506D2">
          <w:rPr>
            <w:rFonts w:ascii="David" w:hAnsi="David" w:cs="David"/>
            <w:b/>
            <w:bCs/>
            <w:color w:val="0000FF"/>
            <w:sz w:val="24"/>
            <w:szCs w:val="24"/>
            <w:u w:val="single"/>
            <w:rtl/>
          </w:rPr>
          <w:t>ע"פ 4702/15</w:t>
        </w:r>
      </w:hyperlink>
      <w:r w:rsidRPr="00A53A5A">
        <w:rPr>
          <w:rFonts w:ascii="David" w:hAnsi="David" w:cs="David"/>
          <w:b/>
          <w:bCs/>
          <w:sz w:val="24"/>
          <w:szCs w:val="24"/>
          <w:rtl/>
        </w:rPr>
        <w:t xml:space="preserve"> עביד נ. מדינת ישראל </w:t>
      </w:r>
      <w:r w:rsidR="00F15005" w:rsidRPr="00F15005">
        <w:rPr>
          <w:rFonts w:ascii="Times New Roman" w:hAnsi="Times New Roman" w:cs="David"/>
          <w:szCs w:val="24"/>
          <w:rtl/>
        </w:rPr>
        <w:t xml:space="preserve">[פורסם בנבו] </w:t>
      </w:r>
      <w:r w:rsidRPr="00A53A5A">
        <w:rPr>
          <w:rFonts w:ascii="David" w:hAnsi="David" w:cs="David"/>
          <w:b/>
          <w:bCs/>
          <w:sz w:val="24"/>
          <w:szCs w:val="24"/>
          <w:rtl/>
        </w:rPr>
        <w:t>(</w:t>
      </w:r>
      <w:r w:rsidRPr="00A53A5A">
        <w:rPr>
          <w:rFonts w:ascii="David" w:hAnsi="David" w:cs="David"/>
          <w:sz w:val="24"/>
          <w:szCs w:val="24"/>
          <w:rtl/>
        </w:rPr>
        <w:t>20.04.2016)).</w:t>
      </w:r>
      <w:r w:rsidRPr="00A53A5A">
        <w:rPr>
          <w:rFonts w:ascii="David" w:hAnsi="David" w:cs="David"/>
          <w:b/>
          <w:bCs/>
          <w:sz w:val="24"/>
          <w:szCs w:val="24"/>
          <w:rtl/>
        </w:rPr>
        <w:t xml:space="preserve"> </w:t>
      </w:r>
      <w:r w:rsidRPr="00A53A5A">
        <w:rPr>
          <w:rFonts w:ascii="David" w:hAnsi="David" w:cs="David" w:hint="eastAsia"/>
          <w:sz w:val="24"/>
          <w:szCs w:val="24"/>
          <w:rtl/>
        </w:rPr>
        <w:t>אם</w:t>
      </w:r>
      <w:r w:rsidRPr="00A53A5A">
        <w:rPr>
          <w:rFonts w:ascii="David" w:hAnsi="David" w:cs="David"/>
          <w:sz w:val="24"/>
          <w:szCs w:val="24"/>
          <w:rtl/>
        </w:rPr>
        <w:t xml:space="preserve"> מדובר בכמה</w:t>
      </w:r>
      <w:r w:rsidRPr="00A53A5A">
        <w:rPr>
          <w:rFonts w:ascii="David" w:hAnsi="David" w:cs="David"/>
          <w:sz w:val="24"/>
          <w:szCs w:val="24"/>
        </w:rPr>
        <w:t xml:space="preserve"> </w:t>
      </w:r>
      <w:r w:rsidRPr="00A53A5A">
        <w:rPr>
          <w:rFonts w:ascii="David" w:hAnsi="David" w:cs="David" w:hint="eastAsia"/>
          <w:sz w:val="24"/>
          <w:szCs w:val="24"/>
          <w:rtl/>
        </w:rPr>
        <w:t>עבירות</w:t>
      </w:r>
      <w:r w:rsidRPr="00A53A5A">
        <w:rPr>
          <w:rFonts w:ascii="David" w:hAnsi="David" w:cs="David"/>
          <w:sz w:val="24"/>
          <w:szCs w:val="24"/>
        </w:rPr>
        <w:t xml:space="preserve"> </w:t>
      </w:r>
      <w:r w:rsidRPr="00A53A5A">
        <w:rPr>
          <w:rFonts w:ascii="David" w:hAnsi="David" w:cs="David" w:hint="eastAsia"/>
          <w:sz w:val="24"/>
          <w:szCs w:val="24"/>
          <w:rtl/>
        </w:rPr>
        <w:t>המהוות</w:t>
      </w:r>
      <w:r w:rsidRPr="00A53A5A">
        <w:rPr>
          <w:rFonts w:ascii="David" w:hAnsi="David" w:cs="David"/>
          <w:sz w:val="24"/>
          <w:szCs w:val="24"/>
        </w:rPr>
        <w:t xml:space="preserve"> </w:t>
      </w:r>
      <w:r w:rsidRPr="00A53A5A">
        <w:rPr>
          <w:rFonts w:ascii="David" w:hAnsi="David" w:cs="David" w:hint="eastAsia"/>
          <w:sz w:val="24"/>
          <w:szCs w:val="24"/>
          <w:rtl/>
        </w:rPr>
        <w:t>אירוע</w:t>
      </w:r>
      <w:r w:rsidRPr="00A53A5A">
        <w:rPr>
          <w:rFonts w:ascii="David" w:hAnsi="David" w:cs="David"/>
          <w:sz w:val="24"/>
          <w:szCs w:val="24"/>
        </w:rPr>
        <w:t xml:space="preserve"> </w:t>
      </w:r>
      <w:r w:rsidRPr="00A53A5A">
        <w:rPr>
          <w:rFonts w:ascii="David" w:hAnsi="David" w:cs="David" w:hint="eastAsia"/>
          <w:sz w:val="24"/>
          <w:szCs w:val="24"/>
          <w:rtl/>
        </w:rPr>
        <w:t>אחד</w:t>
      </w:r>
      <w:r w:rsidRPr="00A53A5A">
        <w:rPr>
          <w:rFonts w:ascii="David" w:hAnsi="David" w:cs="David"/>
          <w:sz w:val="24"/>
          <w:szCs w:val="24"/>
          <w:rtl/>
        </w:rPr>
        <w:t>, יקבע</w:t>
      </w:r>
      <w:r w:rsidRPr="00A53A5A">
        <w:rPr>
          <w:rFonts w:ascii="David" w:hAnsi="David" w:cs="David"/>
          <w:sz w:val="24"/>
          <w:szCs w:val="24"/>
        </w:rPr>
        <w:t xml:space="preserve"> </w:t>
      </w:r>
      <w:r w:rsidRPr="00A53A5A">
        <w:rPr>
          <w:rFonts w:ascii="David" w:hAnsi="David" w:cs="David" w:hint="eastAsia"/>
          <w:sz w:val="24"/>
          <w:szCs w:val="24"/>
          <w:rtl/>
        </w:rPr>
        <w:t>בית</w:t>
      </w:r>
      <w:r w:rsidRPr="00A53A5A">
        <w:rPr>
          <w:rFonts w:ascii="David" w:hAnsi="David" w:cs="David"/>
          <w:sz w:val="24"/>
          <w:szCs w:val="24"/>
          <w:rtl/>
        </w:rPr>
        <w:t xml:space="preserve"> המשפט מתחם</w:t>
      </w:r>
      <w:r w:rsidRPr="00A53A5A">
        <w:rPr>
          <w:rFonts w:ascii="David" w:hAnsi="David" w:cs="David"/>
          <w:sz w:val="24"/>
          <w:szCs w:val="24"/>
        </w:rPr>
        <w:t xml:space="preserve"> </w:t>
      </w:r>
      <w:r w:rsidRPr="00A53A5A">
        <w:rPr>
          <w:rFonts w:ascii="David" w:hAnsi="David" w:cs="David" w:hint="eastAsia"/>
          <w:sz w:val="24"/>
          <w:szCs w:val="24"/>
          <w:rtl/>
        </w:rPr>
        <w:t>עונש</w:t>
      </w:r>
      <w:r w:rsidRPr="00A53A5A">
        <w:rPr>
          <w:rFonts w:ascii="David" w:hAnsi="David" w:cs="David"/>
          <w:sz w:val="24"/>
          <w:szCs w:val="24"/>
        </w:rPr>
        <w:t xml:space="preserve"> </w:t>
      </w:r>
      <w:r w:rsidRPr="00A53A5A">
        <w:rPr>
          <w:rFonts w:ascii="David" w:hAnsi="David" w:cs="David" w:hint="eastAsia"/>
          <w:sz w:val="24"/>
          <w:szCs w:val="24"/>
          <w:rtl/>
        </w:rPr>
        <w:t>הולם</w:t>
      </w:r>
      <w:r w:rsidRPr="00A53A5A">
        <w:rPr>
          <w:rFonts w:ascii="David" w:hAnsi="David" w:cs="David"/>
          <w:sz w:val="24"/>
          <w:szCs w:val="24"/>
        </w:rPr>
        <w:t xml:space="preserve"> </w:t>
      </w:r>
      <w:r w:rsidRPr="00A53A5A">
        <w:rPr>
          <w:rFonts w:ascii="David" w:hAnsi="David" w:cs="David" w:hint="eastAsia"/>
          <w:sz w:val="24"/>
          <w:szCs w:val="24"/>
          <w:rtl/>
        </w:rPr>
        <w:t>לאירוע</w:t>
      </w:r>
      <w:r w:rsidRPr="00A53A5A">
        <w:rPr>
          <w:rFonts w:ascii="David" w:hAnsi="David" w:cs="David"/>
          <w:sz w:val="24"/>
          <w:szCs w:val="24"/>
        </w:rPr>
        <w:t xml:space="preserve"> </w:t>
      </w:r>
      <w:r w:rsidRPr="00A53A5A">
        <w:rPr>
          <w:rFonts w:ascii="David" w:hAnsi="David" w:cs="David" w:hint="eastAsia"/>
          <w:sz w:val="24"/>
          <w:szCs w:val="24"/>
          <w:rtl/>
        </w:rPr>
        <w:t>כולו</w:t>
      </w:r>
      <w:r w:rsidRPr="00A53A5A">
        <w:rPr>
          <w:rFonts w:ascii="David" w:hAnsi="David" w:cs="David"/>
          <w:sz w:val="24"/>
          <w:szCs w:val="24"/>
        </w:rPr>
        <w:t xml:space="preserve"> </w:t>
      </w:r>
      <w:r w:rsidRPr="00A53A5A">
        <w:rPr>
          <w:rFonts w:ascii="David" w:hAnsi="David" w:cs="David" w:hint="eastAsia"/>
          <w:sz w:val="24"/>
          <w:szCs w:val="24"/>
          <w:rtl/>
        </w:rPr>
        <w:t>ויגזור</w:t>
      </w:r>
      <w:r w:rsidRPr="00A53A5A">
        <w:rPr>
          <w:rFonts w:ascii="David" w:hAnsi="David" w:cs="David"/>
          <w:sz w:val="24"/>
          <w:szCs w:val="24"/>
        </w:rPr>
        <w:t xml:space="preserve"> </w:t>
      </w:r>
      <w:r w:rsidRPr="00A53A5A">
        <w:rPr>
          <w:rFonts w:ascii="David" w:hAnsi="David" w:cs="David" w:hint="eastAsia"/>
          <w:sz w:val="24"/>
          <w:szCs w:val="24"/>
          <w:rtl/>
        </w:rPr>
        <w:t>עונש</w:t>
      </w:r>
      <w:r w:rsidRPr="00A53A5A">
        <w:rPr>
          <w:rFonts w:ascii="David" w:hAnsi="David" w:cs="David"/>
          <w:sz w:val="24"/>
          <w:szCs w:val="24"/>
        </w:rPr>
        <w:t xml:space="preserve"> </w:t>
      </w:r>
      <w:r w:rsidRPr="00A53A5A">
        <w:rPr>
          <w:rFonts w:ascii="David" w:hAnsi="David" w:cs="David" w:hint="eastAsia"/>
          <w:sz w:val="24"/>
          <w:szCs w:val="24"/>
          <w:rtl/>
        </w:rPr>
        <w:t>כולל</w:t>
      </w:r>
      <w:r w:rsidRPr="00A53A5A">
        <w:rPr>
          <w:rFonts w:ascii="David" w:hAnsi="David" w:cs="David"/>
          <w:sz w:val="24"/>
          <w:szCs w:val="24"/>
        </w:rPr>
        <w:t xml:space="preserve"> </w:t>
      </w:r>
      <w:r w:rsidRPr="00A53A5A">
        <w:rPr>
          <w:rFonts w:ascii="David" w:hAnsi="David" w:cs="David" w:hint="eastAsia"/>
          <w:sz w:val="24"/>
          <w:szCs w:val="24"/>
          <w:rtl/>
        </w:rPr>
        <w:t>לכל</w:t>
      </w:r>
      <w:r w:rsidRPr="00A53A5A">
        <w:rPr>
          <w:rFonts w:ascii="David" w:hAnsi="David" w:cs="David"/>
          <w:sz w:val="24"/>
          <w:szCs w:val="24"/>
        </w:rPr>
        <w:t xml:space="preserve"> </w:t>
      </w:r>
      <w:r w:rsidRPr="00A53A5A">
        <w:rPr>
          <w:rFonts w:ascii="David" w:hAnsi="David" w:cs="David" w:hint="eastAsia"/>
          <w:sz w:val="24"/>
          <w:szCs w:val="24"/>
          <w:rtl/>
        </w:rPr>
        <w:t>העבירות</w:t>
      </w:r>
      <w:r w:rsidRPr="00A53A5A">
        <w:rPr>
          <w:rFonts w:ascii="David" w:hAnsi="David" w:cs="David"/>
          <w:sz w:val="24"/>
          <w:szCs w:val="24"/>
        </w:rPr>
        <w:t xml:space="preserve"> </w:t>
      </w:r>
      <w:r w:rsidRPr="00A53A5A">
        <w:rPr>
          <w:rFonts w:ascii="David" w:hAnsi="David" w:cs="David" w:hint="eastAsia"/>
          <w:sz w:val="24"/>
          <w:szCs w:val="24"/>
          <w:rtl/>
        </w:rPr>
        <w:t>בשל</w:t>
      </w:r>
      <w:r w:rsidRPr="00A53A5A">
        <w:rPr>
          <w:rFonts w:ascii="David" w:hAnsi="David" w:cs="David"/>
          <w:sz w:val="24"/>
          <w:szCs w:val="24"/>
        </w:rPr>
        <w:t xml:space="preserve"> </w:t>
      </w:r>
      <w:r w:rsidRPr="00A53A5A">
        <w:rPr>
          <w:rFonts w:ascii="David" w:hAnsi="David" w:cs="David" w:hint="eastAsia"/>
          <w:sz w:val="24"/>
          <w:szCs w:val="24"/>
          <w:rtl/>
        </w:rPr>
        <w:t>אותו</w:t>
      </w:r>
      <w:r w:rsidRPr="00A53A5A">
        <w:rPr>
          <w:rFonts w:ascii="David" w:hAnsi="David" w:cs="David"/>
          <w:sz w:val="24"/>
          <w:szCs w:val="24"/>
        </w:rPr>
        <w:t xml:space="preserve"> </w:t>
      </w:r>
      <w:r w:rsidRPr="00A53A5A">
        <w:rPr>
          <w:rFonts w:ascii="David" w:hAnsi="David" w:cs="David" w:hint="eastAsia"/>
          <w:sz w:val="24"/>
          <w:szCs w:val="24"/>
          <w:rtl/>
        </w:rPr>
        <w:t>אירוע</w:t>
      </w:r>
      <w:r w:rsidRPr="00A53A5A">
        <w:rPr>
          <w:rFonts w:ascii="David" w:hAnsi="David" w:cs="David"/>
          <w:sz w:val="24"/>
          <w:szCs w:val="24"/>
        </w:rPr>
        <w:t>.</w:t>
      </w:r>
    </w:p>
    <w:p w14:paraId="29AA4E89" w14:textId="77777777" w:rsidR="00A24187" w:rsidRPr="00A53A5A" w:rsidRDefault="00A24187" w:rsidP="00A53A5A">
      <w:pPr>
        <w:spacing w:after="0" w:line="360" w:lineRule="auto"/>
        <w:ind w:hanging="720"/>
        <w:jc w:val="both"/>
        <w:rPr>
          <w:rFonts w:ascii="David" w:hAnsi="David" w:cs="David"/>
          <w:sz w:val="24"/>
          <w:szCs w:val="24"/>
          <w:rtl/>
        </w:rPr>
      </w:pPr>
    </w:p>
    <w:p w14:paraId="05939E96" w14:textId="77777777" w:rsidR="00A24187" w:rsidRPr="00A53A5A" w:rsidRDefault="00A24187" w:rsidP="00A53A5A">
      <w:pPr>
        <w:spacing w:after="0" w:line="360" w:lineRule="auto"/>
        <w:ind w:left="720"/>
        <w:jc w:val="both"/>
        <w:rPr>
          <w:rFonts w:ascii="David" w:hAnsi="David" w:cs="David"/>
          <w:sz w:val="24"/>
          <w:szCs w:val="24"/>
          <w:rtl/>
        </w:rPr>
      </w:pPr>
      <w:r w:rsidRPr="00A53A5A">
        <w:rPr>
          <w:rFonts w:ascii="David" w:hAnsi="David" w:cs="David" w:hint="eastAsia"/>
          <w:sz w:val="24"/>
          <w:szCs w:val="24"/>
          <w:rtl/>
        </w:rPr>
        <w:t>בענייננו</w:t>
      </w:r>
      <w:r w:rsidRPr="00A53A5A">
        <w:rPr>
          <w:rFonts w:ascii="David" w:hAnsi="David" w:cs="David"/>
          <w:sz w:val="24"/>
          <w:szCs w:val="24"/>
          <w:rtl/>
        </w:rPr>
        <w:t>, אין חולק כי מדובר במספר עבירות, המהוות אירוע אחד לצורך קביעת המתחם ויש לקבוע לגביהן מתחם אחד.</w:t>
      </w:r>
    </w:p>
    <w:p w14:paraId="0B37988B" w14:textId="77777777" w:rsidR="00A24187" w:rsidRPr="00A53A5A" w:rsidRDefault="00A24187" w:rsidP="00A53A5A">
      <w:pPr>
        <w:spacing w:after="0" w:line="360" w:lineRule="auto"/>
        <w:ind w:hanging="720"/>
        <w:jc w:val="both"/>
        <w:rPr>
          <w:rFonts w:ascii="David" w:hAnsi="David" w:cs="David"/>
          <w:sz w:val="24"/>
          <w:szCs w:val="24"/>
          <w:rtl/>
        </w:rPr>
      </w:pPr>
    </w:p>
    <w:p w14:paraId="6EE3BAE0" w14:textId="77777777" w:rsidR="00A24187" w:rsidRPr="00A53A5A" w:rsidRDefault="00A24187" w:rsidP="00A53A5A">
      <w:pPr>
        <w:spacing w:after="0" w:line="360" w:lineRule="auto"/>
        <w:ind w:left="720" w:hanging="720"/>
        <w:jc w:val="both"/>
        <w:rPr>
          <w:rFonts w:cs="David"/>
          <w:sz w:val="24"/>
          <w:szCs w:val="24"/>
          <w:rtl/>
        </w:rPr>
      </w:pPr>
      <w:r w:rsidRPr="00A53A5A">
        <w:rPr>
          <w:rFonts w:ascii="David" w:hAnsi="David" w:cs="David"/>
          <w:b/>
          <w:bCs/>
          <w:sz w:val="24"/>
          <w:szCs w:val="24"/>
          <w:rtl/>
        </w:rPr>
        <w:t>35.</w:t>
      </w:r>
      <w:r w:rsidRPr="00A53A5A">
        <w:rPr>
          <w:rFonts w:ascii="David" w:hAnsi="David" w:cs="David"/>
          <w:sz w:val="24"/>
          <w:szCs w:val="24"/>
          <w:rtl/>
        </w:rPr>
        <w:tab/>
      </w:r>
      <w:r w:rsidRPr="00A53A5A">
        <w:rPr>
          <w:rFonts w:ascii="David" w:hAnsi="David" w:cs="David" w:hint="eastAsia"/>
          <w:sz w:val="24"/>
          <w:szCs w:val="24"/>
          <w:rtl/>
        </w:rPr>
        <w:t>את</w:t>
      </w:r>
      <w:r w:rsidRPr="00A53A5A">
        <w:rPr>
          <w:rFonts w:ascii="David" w:hAnsi="David" w:cs="David"/>
          <w:sz w:val="24"/>
          <w:szCs w:val="24"/>
          <w:rtl/>
        </w:rPr>
        <w:t xml:space="preserve"> מתחם העונש ההולם יש לקבוע על פי אמות המידה שנקבעו </w:t>
      </w:r>
      <w:hyperlink r:id="rId59" w:history="1">
        <w:r w:rsidR="0037284E" w:rsidRPr="0037284E">
          <w:rPr>
            <w:rFonts w:ascii="David" w:hAnsi="David" w:cs="David"/>
            <w:color w:val="0000FF"/>
            <w:sz w:val="24"/>
            <w:szCs w:val="24"/>
            <w:u w:val="single"/>
            <w:rtl/>
          </w:rPr>
          <w:t>בסעיף 40ג'</w:t>
        </w:r>
      </w:hyperlink>
      <w:r w:rsidRPr="00A53A5A">
        <w:rPr>
          <w:rFonts w:ascii="David" w:hAnsi="David" w:cs="David"/>
          <w:sz w:val="24"/>
          <w:szCs w:val="24"/>
          <w:rtl/>
        </w:rPr>
        <w:t xml:space="preserve"> ל</w:t>
      </w:r>
      <w:hyperlink r:id="rId60" w:history="1">
        <w:r w:rsidR="009506D2" w:rsidRPr="009506D2">
          <w:rPr>
            <w:rFonts w:cs="Times New Roman" w:hint="eastAsia"/>
            <w:color w:val="0000FF"/>
            <w:sz w:val="24"/>
            <w:szCs w:val="24"/>
            <w:u w:val="single"/>
            <w:rtl/>
          </w:rPr>
          <w:t>חוק</w:t>
        </w:r>
        <w:r w:rsidR="009506D2" w:rsidRPr="009506D2">
          <w:rPr>
            <w:rFonts w:cs="Times New Roman"/>
            <w:color w:val="0000FF"/>
            <w:sz w:val="24"/>
            <w:szCs w:val="24"/>
            <w:u w:val="single"/>
            <w:rtl/>
          </w:rPr>
          <w:t xml:space="preserve"> </w:t>
        </w:r>
        <w:r w:rsidR="009506D2" w:rsidRPr="009506D2">
          <w:rPr>
            <w:rFonts w:cs="Times New Roman" w:hint="eastAsia"/>
            <w:color w:val="0000FF"/>
            <w:sz w:val="24"/>
            <w:szCs w:val="24"/>
            <w:u w:val="single"/>
            <w:rtl/>
          </w:rPr>
          <w:t>העונשין</w:t>
        </w:r>
      </w:hyperlink>
      <w:r w:rsidRPr="00A53A5A">
        <w:rPr>
          <w:rFonts w:ascii="David" w:hAnsi="David" w:cs="David"/>
          <w:sz w:val="24"/>
          <w:szCs w:val="24"/>
          <w:rtl/>
        </w:rPr>
        <w:t>, שהן הע</w:t>
      </w:r>
      <w:r w:rsidRPr="00A53A5A">
        <w:rPr>
          <w:rFonts w:ascii="David" w:hAnsi="David" w:cs="David" w:hint="eastAsia"/>
          <w:sz w:val="24"/>
          <w:szCs w:val="24"/>
          <w:rtl/>
        </w:rPr>
        <w:t>רך</w:t>
      </w:r>
      <w:r w:rsidRPr="00A53A5A">
        <w:rPr>
          <w:rFonts w:ascii="David" w:hAnsi="David" w:cs="David"/>
          <w:sz w:val="24"/>
          <w:szCs w:val="24"/>
          <w:rtl/>
        </w:rPr>
        <w:t xml:space="preserve"> החברתי שנפגע מביצוע העבירה, מידת הפגיעה בו, מדיניות הענישה הנהוגה והנסיבות הקשורות בביצוע העבירה, כפי המפורט </w:t>
      </w:r>
      <w:hyperlink r:id="rId61" w:history="1">
        <w:r w:rsidR="0037284E" w:rsidRPr="0037284E">
          <w:rPr>
            <w:rFonts w:ascii="David" w:hAnsi="David" w:cs="David"/>
            <w:color w:val="0000FF"/>
            <w:sz w:val="24"/>
            <w:szCs w:val="24"/>
            <w:u w:val="single"/>
            <w:rtl/>
          </w:rPr>
          <w:t>בסעיף 40ט'</w:t>
        </w:r>
      </w:hyperlink>
      <w:r w:rsidRPr="00A53A5A">
        <w:rPr>
          <w:rFonts w:ascii="David" w:hAnsi="David" w:cs="David"/>
          <w:sz w:val="24"/>
          <w:szCs w:val="24"/>
          <w:rtl/>
        </w:rPr>
        <w:t xml:space="preserve"> לחוק העונשין. את העונש המתאים לנאשם גוזר בית המשפט בהתחשב בנסיבות שאינן קשורות בביצוע העבירה, כמפורט </w:t>
      </w:r>
      <w:hyperlink r:id="rId62" w:history="1">
        <w:r w:rsidR="0037284E" w:rsidRPr="0037284E">
          <w:rPr>
            <w:rFonts w:cs="Times New Roman" w:hint="eastAsia"/>
            <w:color w:val="0000FF"/>
            <w:sz w:val="24"/>
            <w:szCs w:val="24"/>
            <w:u w:val="single"/>
            <w:rtl/>
          </w:rPr>
          <w:t>בסעיף</w:t>
        </w:r>
        <w:r w:rsidR="0037284E" w:rsidRPr="0037284E">
          <w:rPr>
            <w:rFonts w:cs="Times New Roman"/>
            <w:color w:val="0000FF"/>
            <w:sz w:val="24"/>
            <w:szCs w:val="24"/>
            <w:u w:val="single"/>
            <w:rtl/>
          </w:rPr>
          <w:t xml:space="preserve"> 40</w:t>
        </w:r>
        <w:r w:rsidR="0037284E" w:rsidRPr="0037284E">
          <w:rPr>
            <w:rFonts w:cs="Times New Roman" w:hint="eastAsia"/>
            <w:color w:val="0000FF"/>
            <w:sz w:val="24"/>
            <w:szCs w:val="24"/>
            <w:u w:val="single"/>
            <w:rtl/>
          </w:rPr>
          <w:t>יא</w:t>
        </w:r>
        <w:r w:rsidR="0037284E" w:rsidRPr="0037284E">
          <w:rPr>
            <w:rFonts w:cs="Times New Roman"/>
            <w:color w:val="0000FF"/>
            <w:sz w:val="24"/>
            <w:szCs w:val="24"/>
            <w:u w:val="single"/>
            <w:rtl/>
          </w:rPr>
          <w:t>'</w:t>
        </w:r>
      </w:hyperlink>
      <w:r w:rsidRPr="00A53A5A">
        <w:rPr>
          <w:rFonts w:ascii="David" w:hAnsi="David" w:cs="David"/>
          <w:sz w:val="24"/>
          <w:szCs w:val="24"/>
          <w:rtl/>
        </w:rPr>
        <w:t xml:space="preserve"> ל</w:t>
      </w:r>
      <w:hyperlink r:id="rId63" w:history="1">
        <w:r w:rsidR="009506D2" w:rsidRPr="009506D2">
          <w:rPr>
            <w:rFonts w:ascii="David" w:hAnsi="David" w:cs="David"/>
            <w:color w:val="0000FF"/>
            <w:sz w:val="24"/>
            <w:szCs w:val="24"/>
            <w:u w:val="single"/>
            <w:rtl/>
          </w:rPr>
          <w:t>חוק העונשין</w:t>
        </w:r>
      </w:hyperlink>
      <w:r w:rsidRPr="00A53A5A">
        <w:rPr>
          <w:rFonts w:ascii="David" w:hAnsi="David" w:cs="David"/>
          <w:sz w:val="24"/>
          <w:szCs w:val="24"/>
          <w:rtl/>
        </w:rPr>
        <w:t>.</w:t>
      </w:r>
    </w:p>
    <w:p w14:paraId="31850DED" w14:textId="77777777" w:rsidR="00A24187" w:rsidRPr="00A53A5A" w:rsidRDefault="00A24187" w:rsidP="00A53A5A">
      <w:pPr>
        <w:spacing w:after="0" w:line="360" w:lineRule="auto"/>
        <w:jc w:val="both"/>
        <w:rPr>
          <w:rFonts w:ascii="David" w:hAnsi="David" w:cs="David"/>
          <w:sz w:val="24"/>
          <w:szCs w:val="24"/>
          <w:rtl/>
        </w:rPr>
      </w:pPr>
    </w:p>
    <w:p w14:paraId="5873FBF6" w14:textId="77777777" w:rsidR="00A24187" w:rsidRPr="00A53A5A" w:rsidRDefault="00A24187" w:rsidP="00A53A5A">
      <w:pPr>
        <w:spacing w:after="0" w:line="360" w:lineRule="auto"/>
        <w:ind w:left="720"/>
        <w:jc w:val="both"/>
        <w:rPr>
          <w:rFonts w:ascii="David" w:hAnsi="David" w:cs="David"/>
          <w:sz w:val="24"/>
          <w:szCs w:val="24"/>
          <w:rtl/>
        </w:rPr>
      </w:pPr>
      <w:r w:rsidRPr="00A53A5A">
        <w:rPr>
          <w:rFonts w:ascii="David" w:hAnsi="David" w:cs="David" w:hint="eastAsia"/>
          <w:sz w:val="24"/>
          <w:szCs w:val="24"/>
          <w:rtl/>
        </w:rPr>
        <w:t>האמור</w:t>
      </w:r>
      <w:r w:rsidRPr="00A53A5A">
        <w:rPr>
          <w:rFonts w:ascii="David" w:hAnsi="David" w:cs="David"/>
          <w:sz w:val="24"/>
          <w:szCs w:val="24"/>
          <w:rtl/>
        </w:rPr>
        <w:t xml:space="preserve"> לעיל איננו גורע מסמכותו של בית המשפט לשקול נסיבות נוספות הקשורות בביצוע העבירה לשם קביעת המתחם או נסיבות נוספות שאינן קשורות בביצוע העבירה, לשם קביעת העונש המתאים (</w:t>
      </w:r>
      <w:hyperlink r:id="rId64" w:history="1">
        <w:r w:rsidR="0037284E" w:rsidRPr="0037284E">
          <w:rPr>
            <w:rFonts w:cs="Times New Roman" w:hint="eastAsia"/>
            <w:color w:val="0000FF"/>
            <w:sz w:val="24"/>
            <w:szCs w:val="24"/>
            <w:u w:val="single"/>
            <w:rtl/>
          </w:rPr>
          <w:t>סעיף</w:t>
        </w:r>
        <w:r w:rsidR="0037284E" w:rsidRPr="0037284E">
          <w:rPr>
            <w:rFonts w:cs="Times New Roman"/>
            <w:color w:val="0000FF"/>
            <w:sz w:val="24"/>
            <w:szCs w:val="24"/>
            <w:u w:val="single"/>
            <w:rtl/>
          </w:rPr>
          <w:t xml:space="preserve"> 40</w:t>
        </w:r>
        <w:r w:rsidR="0037284E" w:rsidRPr="0037284E">
          <w:rPr>
            <w:rFonts w:cs="Times New Roman" w:hint="eastAsia"/>
            <w:color w:val="0000FF"/>
            <w:sz w:val="24"/>
            <w:szCs w:val="24"/>
            <w:u w:val="single"/>
            <w:rtl/>
          </w:rPr>
          <w:t>יב</w:t>
        </w:r>
        <w:r w:rsidR="0037284E" w:rsidRPr="0037284E">
          <w:rPr>
            <w:rFonts w:cs="Times New Roman"/>
            <w:color w:val="0000FF"/>
            <w:sz w:val="24"/>
            <w:szCs w:val="24"/>
            <w:u w:val="single"/>
            <w:rtl/>
          </w:rPr>
          <w:t>'</w:t>
        </w:r>
      </w:hyperlink>
      <w:r w:rsidRPr="00A53A5A">
        <w:rPr>
          <w:rFonts w:ascii="David" w:hAnsi="David" w:cs="David"/>
          <w:sz w:val="24"/>
          <w:szCs w:val="24"/>
          <w:rtl/>
        </w:rPr>
        <w:t xml:space="preserve"> ל</w:t>
      </w:r>
      <w:hyperlink r:id="rId65" w:history="1">
        <w:r w:rsidR="009506D2" w:rsidRPr="009506D2">
          <w:rPr>
            <w:rFonts w:cs="Times New Roman" w:hint="eastAsia"/>
            <w:color w:val="0000FF"/>
            <w:sz w:val="24"/>
            <w:szCs w:val="24"/>
            <w:u w:val="single"/>
            <w:rtl/>
          </w:rPr>
          <w:t>חוק</w:t>
        </w:r>
        <w:r w:rsidR="009506D2" w:rsidRPr="009506D2">
          <w:rPr>
            <w:rFonts w:cs="Times New Roman"/>
            <w:color w:val="0000FF"/>
            <w:sz w:val="24"/>
            <w:szCs w:val="24"/>
            <w:u w:val="single"/>
            <w:rtl/>
          </w:rPr>
          <w:t xml:space="preserve"> </w:t>
        </w:r>
        <w:r w:rsidR="009506D2" w:rsidRPr="009506D2">
          <w:rPr>
            <w:rFonts w:cs="Times New Roman" w:hint="eastAsia"/>
            <w:color w:val="0000FF"/>
            <w:sz w:val="24"/>
            <w:szCs w:val="24"/>
            <w:u w:val="single"/>
            <w:rtl/>
          </w:rPr>
          <w:t>העונשין</w:t>
        </w:r>
      </w:hyperlink>
      <w:r w:rsidRPr="00A53A5A">
        <w:rPr>
          <w:rFonts w:ascii="David" w:hAnsi="David" w:cs="David"/>
          <w:sz w:val="24"/>
          <w:szCs w:val="24"/>
          <w:rtl/>
        </w:rPr>
        <w:t>).</w:t>
      </w:r>
    </w:p>
    <w:p w14:paraId="7495F56A" w14:textId="77777777" w:rsidR="00A24187" w:rsidRPr="00A53A5A" w:rsidRDefault="00A24187" w:rsidP="00A53A5A">
      <w:pPr>
        <w:spacing w:after="0" w:line="360" w:lineRule="auto"/>
        <w:jc w:val="both"/>
        <w:rPr>
          <w:rFonts w:ascii="David" w:hAnsi="David" w:cs="David"/>
          <w:b/>
          <w:bCs/>
          <w:sz w:val="24"/>
          <w:szCs w:val="24"/>
          <w:u w:val="single"/>
          <w:rtl/>
        </w:rPr>
      </w:pPr>
      <w:r w:rsidRPr="00A53A5A">
        <w:rPr>
          <w:rFonts w:ascii="David" w:hAnsi="David" w:cs="David"/>
          <w:sz w:val="24"/>
          <w:szCs w:val="24"/>
          <w:rtl/>
        </w:rPr>
        <w:br/>
      </w:r>
      <w:r w:rsidRPr="00A53A5A">
        <w:rPr>
          <w:rFonts w:ascii="David" w:hAnsi="David" w:cs="David" w:hint="eastAsia"/>
          <w:b/>
          <w:bCs/>
          <w:sz w:val="24"/>
          <w:szCs w:val="24"/>
          <w:u w:val="single"/>
          <w:rtl/>
        </w:rPr>
        <w:t>מתחם</w:t>
      </w:r>
      <w:r w:rsidRPr="00A53A5A">
        <w:rPr>
          <w:rFonts w:ascii="David" w:hAnsi="David" w:cs="David"/>
          <w:b/>
          <w:bCs/>
          <w:sz w:val="24"/>
          <w:szCs w:val="24"/>
          <w:u w:val="single"/>
          <w:rtl/>
        </w:rPr>
        <w:t xml:space="preserve"> העונש ההולם</w:t>
      </w:r>
    </w:p>
    <w:p w14:paraId="37F4D6AC" w14:textId="77777777" w:rsidR="00A24187" w:rsidRPr="00A53A5A" w:rsidRDefault="00A24187" w:rsidP="00A53A5A">
      <w:pPr>
        <w:spacing w:after="0" w:line="360" w:lineRule="auto"/>
        <w:ind w:hanging="720"/>
        <w:jc w:val="both"/>
        <w:rPr>
          <w:rFonts w:ascii="David" w:hAnsi="David" w:cs="David"/>
          <w:sz w:val="24"/>
          <w:szCs w:val="24"/>
          <w:rtl/>
        </w:rPr>
      </w:pPr>
    </w:p>
    <w:p w14:paraId="46DC655E" w14:textId="77777777"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36.</w:t>
      </w:r>
      <w:r w:rsidRPr="00A53A5A">
        <w:rPr>
          <w:rFonts w:ascii="David" w:hAnsi="David" w:cs="David"/>
          <w:b/>
          <w:bCs/>
          <w:sz w:val="24"/>
          <w:szCs w:val="24"/>
          <w:rtl/>
        </w:rPr>
        <w:tab/>
      </w:r>
      <w:r w:rsidRPr="00A53A5A">
        <w:rPr>
          <w:rFonts w:ascii="David" w:hAnsi="David" w:cs="David" w:hint="eastAsia"/>
          <w:sz w:val="24"/>
          <w:szCs w:val="24"/>
          <w:rtl/>
        </w:rPr>
        <w:t>מתחם</w:t>
      </w:r>
      <w:r w:rsidRPr="00A53A5A">
        <w:rPr>
          <w:rFonts w:ascii="David" w:hAnsi="David" w:cs="David"/>
          <w:sz w:val="24"/>
          <w:szCs w:val="24"/>
          <w:rtl/>
        </w:rPr>
        <w:t xml:space="preserve"> העונש ההולם נקבע על פי הערך החברתי שנפגע מביצוע העבירה, במידת הפגיעה בו, במדיניות הענישה הנהוגה ובנסיבות הקשורות בביצוע העבירה.</w:t>
      </w:r>
    </w:p>
    <w:p w14:paraId="10299BAC" w14:textId="77777777" w:rsidR="00A24187" w:rsidRPr="00A53A5A" w:rsidRDefault="00A24187" w:rsidP="00A53A5A">
      <w:pPr>
        <w:spacing w:after="0" w:line="360" w:lineRule="auto"/>
        <w:jc w:val="both"/>
        <w:rPr>
          <w:rFonts w:ascii="David" w:hAnsi="David" w:cs="David"/>
          <w:sz w:val="24"/>
          <w:szCs w:val="24"/>
          <w:rtl/>
        </w:rPr>
      </w:pPr>
    </w:p>
    <w:p w14:paraId="2745C4C4" w14:textId="77777777"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37.</w:t>
      </w:r>
      <w:r w:rsidRPr="00A53A5A">
        <w:rPr>
          <w:rFonts w:ascii="David" w:hAnsi="David" w:cs="David"/>
          <w:b/>
          <w:bCs/>
          <w:sz w:val="24"/>
          <w:szCs w:val="24"/>
          <w:rtl/>
        </w:rPr>
        <w:tab/>
      </w:r>
      <w:r w:rsidRPr="00A53A5A">
        <w:rPr>
          <w:rFonts w:ascii="David" w:hAnsi="David" w:cs="David" w:hint="eastAsia"/>
          <w:b/>
          <w:bCs/>
          <w:sz w:val="24"/>
          <w:szCs w:val="24"/>
          <w:rtl/>
        </w:rPr>
        <w:t>הערך</w:t>
      </w:r>
      <w:r w:rsidRPr="00A53A5A">
        <w:rPr>
          <w:rFonts w:ascii="David" w:hAnsi="David" w:cs="David"/>
          <w:b/>
          <w:bCs/>
          <w:sz w:val="24"/>
          <w:szCs w:val="24"/>
          <w:rtl/>
        </w:rPr>
        <w:t xml:space="preserve"> המוגן ומידת הפגיעה בו</w:t>
      </w:r>
      <w:r w:rsidRPr="00A53A5A">
        <w:rPr>
          <w:rFonts w:ascii="David" w:hAnsi="David" w:cs="David"/>
          <w:sz w:val="24"/>
          <w:szCs w:val="24"/>
          <w:rtl/>
        </w:rPr>
        <w:t xml:space="preserve"> – מעשיו של הנאשם פוגעים בערך החברתי של שלמות הגוף וחיי אדם, כמו גם בערך של ביטחון הציבור, שמירה על הסדר הציבורי </w:t>
      </w:r>
      <w:r w:rsidRPr="00A53A5A">
        <w:rPr>
          <w:rFonts w:ascii="David" w:hAnsi="David" w:cs="David" w:hint="eastAsia"/>
          <w:sz w:val="24"/>
          <w:szCs w:val="24"/>
          <w:rtl/>
        </w:rPr>
        <w:t>והיכולת</w:t>
      </w:r>
      <w:r w:rsidRPr="00A53A5A">
        <w:rPr>
          <w:rFonts w:ascii="David" w:hAnsi="David" w:cs="David"/>
          <w:sz w:val="24"/>
          <w:szCs w:val="24"/>
          <w:rtl/>
        </w:rPr>
        <w:t xml:space="preserve"> לקיים שיגרת חיים תקינה, מבלי שאדם יחוש מאוים במרחב הציבורי, קל וחומר בביתו. מידת הפגיעה בערך של ביטחון הציבור בעבירה מסוג ירי באזור מגורים, הינה מן הגבוהות, נוכח החשש והפחד שמעשים מעין אלה נוטעים בלב אדם מן היישוב, אשר עלול להיקלע לסיטואציה שתביא לאובדן חיי אדם ולפגיעה בחפים מפשע, כאשר כל "חטאו" נובע מכך כי נקלע בדרך מקרה לזירת פשע. כך גם מידת הסיכון שיגרם נזק ופגיעה בשלומו ואף בחייו של אדם הינו גבוה, בהתחשב בכך, שהירי מבוצע בלב איזור מגורים.</w:t>
      </w:r>
    </w:p>
    <w:p w14:paraId="3A9A5E48" w14:textId="77777777" w:rsidR="00A24187" w:rsidRPr="00A53A5A" w:rsidRDefault="00A24187" w:rsidP="00A53A5A">
      <w:pPr>
        <w:spacing w:after="0" w:line="360" w:lineRule="auto"/>
        <w:ind w:hanging="600"/>
        <w:jc w:val="both"/>
        <w:rPr>
          <w:rFonts w:ascii="David" w:hAnsi="David" w:cs="David"/>
          <w:sz w:val="24"/>
          <w:szCs w:val="24"/>
          <w:rtl/>
        </w:rPr>
      </w:pPr>
    </w:p>
    <w:p w14:paraId="4F1FCA25" w14:textId="77777777" w:rsidR="00A24187" w:rsidRPr="00A53A5A" w:rsidRDefault="00A24187" w:rsidP="00A53A5A">
      <w:pPr>
        <w:spacing w:after="0" w:line="360" w:lineRule="auto"/>
        <w:ind w:hanging="600"/>
        <w:jc w:val="both"/>
        <w:rPr>
          <w:rFonts w:ascii="David" w:hAnsi="David" w:cs="David"/>
          <w:sz w:val="24"/>
          <w:szCs w:val="24"/>
          <w:rtl/>
        </w:rPr>
      </w:pPr>
    </w:p>
    <w:p w14:paraId="119ACD0E" w14:textId="77777777" w:rsidR="00A24187" w:rsidRPr="00A53A5A" w:rsidRDefault="00A24187" w:rsidP="00A53A5A">
      <w:pPr>
        <w:spacing w:after="0" w:line="360" w:lineRule="auto"/>
        <w:ind w:hanging="600"/>
        <w:jc w:val="both"/>
        <w:rPr>
          <w:rFonts w:ascii="David" w:hAnsi="David" w:cs="David"/>
          <w:sz w:val="24"/>
          <w:szCs w:val="24"/>
          <w:rtl/>
        </w:rPr>
      </w:pPr>
    </w:p>
    <w:p w14:paraId="7AB93CDE" w14:textId="77777777"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38.</w:t>
      </w:r>
      <w:r w:rsidRPr="00A53A5A">
        <w:rPr>
          <w:rFonts w:ascii="David" w:hAnsi="David" w:cs="David"/>
          <w:sz w:val="24"/>
          <w:szCs w:val="24"/>
          <w:rtl/>
        </w:rPr>
        <w:tab/>
      </w:r>
      <w:r w:rsidRPr="00A53A5A">
        <w:rPr>
          <w:rFonts w:ascii="David" w:hAnsi="David" w:cs="David" w:hint="eastAsia"/>
          <w:b/>
          <w:bCs/>
          <w:sz w:val="24"/>
          <w:szCs w:val="24"/>
          <w:rtl/>
        </w:rPr>
        <w:t>הנסיבות</w:t>
      </w:r>
      <w:r w:rsidRPr="00A53A5A">
        <w:rPr>
          <w:rFonts w:ascii="David" w:hAnsi="David" w:cs="David"/>
          <w:b/>
          <w:bCs/>
          <w:sz w:val="24"/>
          <w:szCs w:val="24"/>
          <w:rtl/>
        </w:rPr>
        <w:t xml:space="preserve"> הקשורות בביצוע העבירה</w:t>
      </w:r>
      <w:r w:rsidRPr="00A53A5A">
        <w:rPr>
          <w:rFonts w:ascii="David" w:hAnsi="David" w:cs="David"/>
          <w:sz w:val="24"/>
          <w:szCs w:val="24"/>
          <w:rtl/>
        </w:rPr>
        <w:t xml:space="preserve"> - </w:t>
      </w:r>
    </w:p>
    <w:p w14:paraId="2F6105FD" w14:textId="77777777" w:rsidR="00A24187" w:rsidRPr="00A53A5A" w:rsidRDefault="00A24187" w:rsidP="00A53A5A">
      <w:pPr>
        <w:spacing w:after="0" w:line="360" w:lineRule="auto"/>
        <w:ind w:left="720"/>
        <w:jc w:val="both"/>
        <w:rPr>
          <w:rFonts w:ascii="David" w:hAnsi="David" w:cs="David"/>
          <w:sz w:val="24"/>
          <w:szCs w:val="24"/>
          <w:rtl/>
        </w:rPr>
      </w:pPr>
      <w:r w:rsidRPr="00A53A5A">
        <w:rPr>
          <w:rFonts w:ascii="David" w:hAnsi="David" w:cs="David" w:hint="eastAsia"/>
          <w:sz w:val="24"/>
          <w:szCs w:val="24"/>
          <w:rtl/>
        </w:rPr>
        <w:t>מעובדות</w:t>
      </w:r>
      <w:r w:rsidRPr="00A53A5A">
        <w:rPr>
          <w:rFonts w:ascii="David" w:hAnsi="David" w:cs="David"/>
          <w:sz w:val="24"/>
          <w:szCs w:val="24"/>
          <w:rtl/>
        </w:rPr>
        <w:t xml:space="preserve"> כ</w:t>
      </w:r>
      <w:r w:rsidRPr="00A53A5A">
        <w:rPr>
          <w:rFonts w:ascii="David" w:hAnsi="David" w:cs="David" w:hint="eastAsia"/>
          <w:sz w:val="24"/>
          <w:szCs w:val="24"/>
          <w:rtl/>
        </w:rPr>
        <w:t>תב</w:t>
      </w:r>
      <w:r w:rsidRPr="00A53A5A">
        <w:rPr>
          <w:rFonts w:ascii="David" w:hAnsi="David" w:cs="David"/>
          <w:sz w:val="24"/>
          <w:szCs w:val="24"/>
          <w:rtl/>
        </w:rPr>
        <w:t xml:space="preserve"> האישום, בהן הודה הנאשם, עולה כי הוא פעל על מנת לגרום לפגיעה במתלוננים, באמצעות הירי לעברם. לא ניתן לקבל טענה העומדת בסתירה לאמור. לפיכך, טענת הנאשם בפני שירות המבחן, כאילו התכוון רק להפחיד את המתלוננים, כמו גם הניסיון בטיעונים לעונש לאבחן בין מעשיו של הנאשם לבין מקרים בהם כוון הירי על מנת לפגוע, דינם להידחות ויש בהם מידה מסוימת של אי לקיחת אחריות, וזאת למרות התרשמות שירות המבחן.</w:t>
      </w:r>
    </w:p>
    <w:p w14:paraId="382F7FC5" w14:textId="77777777" w:rsidR="00A24187" w:rsidRPr="00A53A5A" w:rsidRDefault="00A24187" w:rsidP="00A53A5A">
      <w:pPr>
        <w:spacing w:after="0" w:line="360" w:lineRule="auto"/>
        <w:ind w:left="720"/>
        <w:jc w:val="both"/>
        <w:rPr>
          <w:rFonts w:ascii="David" w:hAnsi="David" w:cs="David"/>
          <w:sz w:val="24"/>
          <w:szCs w:val="24"/>
          <w:rtl/>
        </w:rPr>
      </w:pPr>
    </w:p>
    <w:p w14:paraId="11457FA3" w14:textId="77777777" w:rsidR="00A24187" w:rsidRPr="00A53A5A" w:rsidRDefault="00A24187" w:rsidP="00A53A5A">
      <w:pPr>
        <w:spacing w:after="0" w:line="360" w:lineRule="auto"/>
        <w:ind w:left="720"/>
        <w:jc w:val="both"/>
        <w:rPr>
          <w:rFonts w:cs="David"/>
          <w:sz w:val="24"/>
          <w:szCs w:val="24"/>
          <w:rtl/>
        </w:rPr>
      </w:pPr>
      <w:r w:rsidRPr="00A53A5A">
        <w:rPr>
          <w:rFonts w:ascii="David" w:hAnsi="David" w:cs="David" w:hint="eastAsia"/>
          <w:sz w:val="24"/>
          <w:szCs w:val="24"/>
          <w:rtl/>
        </w:rPr>
        <w:t>הנאשם</w:t>
      </w:r>
      <w:r w:rsidRPr="00A53A5A">
        <w:rPr>
          <w:rFonts w:ascii="David" w:hAnsi="David" w:cs="David"/>
          <w:sz w:val="24"/>
          <w:szCs w:val="24"/>
          <w:rtl/>
        </w:rPr>
        <w:t xml:space="preserve"> תכנן את מעשיו מבעוד מועד. הוא הצטייד ברובה, שתכונותיו מאפשרות לו ירי אוטומטי של מספר גדול של קלי</w:t>
      </w:r>
      <w:r w:rsidRPr="00A53A5A">
        <w:rPr>
          <w:rFonts w:ascii="David" w:hAnsi="David" w:cs="David" w:hint="eastAsia"/>
          <w:sz w:val="24"/>
          <w:szCs w:val="24"/>
          <w:rtl/>
        </w:rPr>
        <w:t>עים</w:t>
      </w:r>
      <w:r w:rsidRPr="00A53A5A">
        <w:rPr>
          <w:rFonts w:ascii="David" w:hAnsi="David" w:cs="David"/>
          <w:sz w:val="24"/>
          <w:szCs w:val="24"/>
          <w:rtl/>
        </w:rPr>
        <w:t xml:space="preserve"> ולאחר שחנה בפתח ביתם של המתלוננים, הוא צפר מספר פעמים, בכך גרם להם לצאת למרפסת, כך שיהיו חשופים לפגיעה מהנשק. עוד לעניין התכנון, הנאשם החנה את רכבו בצורה שתאפשר לו הימלטות מהירה מהמקום (כשפני הרכב מכוונים כלפי היציאה מן הרחוב.</w:t>
      </w:r>
    </w:p>
    <w:p w14:paraId="323E463D" w14:textId="77777777" w:rsidR="00A24187" w:rsidRPr="00A53A5A" w:rsidRDefault="00A24187" w:rsidP="00A53A5A">
      <w:pPr>
        <w:spacing w:after="0" w:line="360" w:lineRule="auto"/>
        <w:ind w:left="720"/>
        <w:jc w:val="both"/>
        <w:rPr>
          <w:rFonts w:ascii="David" w:hAnsi="David" w:cs="David"/>
          <w:sz w:val="24"/>
          <w:szCs w:val="24"/>
          <w:rtl/>
        </w:rPr>
      </w:pPr>
    </w:p>
    <w:p w14:paraId="1A196A94" w14:textId="77777777" w:rsidR="00A24187" w:rsidRPr="00A53A5A" w:rsidRDefault="00A24187" w:rsidP="00A53A5A">
      <w:pPr>
        <w:spacing w:after="0" w:line="360" w:lineRule="auto"/>
        <w:ind w:left="720"/>
        <w:jc w:val="both"/>
        <w:rPr>
          <w:rFonts w:ascii="David" w:hAnsi="David" w:cs="David"/>
          <w:sz w:val="24"/>
          <w:szCs w:val="24"/>
          <w:rtl/>
        </w:rPr>
      </w:pPr>
      <w:r w:rsidRPr="00A53A5A">
        <w:rPr>
          <w:rFonts w:ascii="David" w:hAnsi="David" w:cs="David" w:hint="eastAsia"/>
          <w:sz w:val="24"/>
          <w:szCs w:val="24"/>
          <w:rtl/>
        </w:rPr>
        <w:t>הנאשם</w:t>
      </w:r>
      <w:r w:rsidRPr="00A53A5A">
        <w:rPr>
          <w:rFonts w:ascii="David" w:hAnsi="David" w:cs="David"/>
          <w:sz w:val="24"/>
          <w:szCs w:val="24"/>
          <w:rtl/>
        </w:rPr>
        <w:t xml:space="preserve"> ירה בנשק אוטומטי, מספר רב של כדורים לעבר המתלוננים, שעמדו על מרפסת הבית, בו שהו באותה עת בני המשפחה, לרבות ילד בן 6. אמנם הכדורים לא פגעו באיש, אולם במעשיו אלה, העמיד הנאשם בסיכון רב את כל הנמצאים בבית ובסביבתו, ואך בנס לא נסתיים האירוע בפגיעה בנפש או בגוף.  </w:t>
      </w:r>
    </w:p>
    <w:p w14:paraId="5C1A7021" w14:textId="77777777" w:rsidR="00A24187" w:rsidRPr="00A53A5A" w:rsidRDefault="00A24187" w:rsidP="00A53A5A">
      <w:pPr>
        <w:spacing w:after="0" w:line="360" w:lineRule="auto"/>
        <w:ind w:left="720"/>
        <w:jc w:val="both"/>
        <w:rPr>
          <w:rFonts w:ascii="David" w:hAnsi="David" w:cs="David"/>
          <w:sz w:val="24"/>
          <w:szCs w:val="24"/>
          <w:rtl/>
        </w:rPr>
      </w:pPr>
    </w:p>
    <w:p w14:paraId="7D4C7CF3" w14:textId="77777777" w:rsidR="00A24187" w:rsidRPr="00A53A5A" w:rsidRDefault="00A24187" w:rsidP="00A53A5A">
      <w:pPr>
        <w:spacing w:after="0" w:line="360" w:lineRule="auto"/>
        <w:ind w:left="720"/>
        <w:jc w:val="both"/>
        <w:rPr>
          <w:rFonts w:ascii="David" w:hAnsi="David" w:cs="David"/>
          <w:sz w:val="24"/>
          <w:szCs w:val="24"/>
          <w:rtl/>
        </w:rPr>
      </w:pPr>
      <w:r w:rsidRPr="00A53A5A">
        <w:rPr>
          <w:rFonts w:ascii="David" w:hAnsi="David" w:cs="David" w:hint="eastAsia"/>
          <w:sz w:val="24"/>
          <w:szCs w:val="24"/>
          <w:rtl/>
        </w:rPr>
        <w:t>גם</w:t>
      </w:r>
      <w:r w:rsidRPr="00A53A5A">
        <w:rPr>
          <w:rFonts w:ascii="David" w:hAnsi="David" w:cs="David"/>
          <w:sz w:val="24"/>
          <w:szCs w:val="24"/>
          <w:rtl/>
        </w:rPr>
        <w:t xml:space="preserve"> עבירות התעבורה שביצע הנאשם, שאינן עומדות אמנם, במרכז האישום, הן מסוג העבירות העלולות לפגוע בציבור, בשלומו ובביטחונו. הנאשם ביצע את עבירות הירי והנשק, כשהוא נוהג ברכב, מבלי שיש לו רישיון </w:t>
      </w:r>
      <w:r w:rsidRPr="00A53A5A">
        <w:rPr>
          <w:rFonts w:ascii="David" w:hAnsi="David" w:cs="David" w:hint="eastAsia"/>
          <w:sz w:val="24"/>
          <w:szCs w:val="24"/>
          <w:rtl/>
        </w:rPr>
        <w:t>נהיגה</w:t>
      </w:r>
      <w:r w:rsidRPr="00A53A5A">
        <w:rPr>
          <w:rFonts w:ascii="David" w:hAnsi="David" w:cs="David"/>
          <w:sz w:val="24"/>
          <w:szCs w:val="24"/>
          <w:rtl/>
        </w:rPr>
        <w:t xml:space="preserve"> תקף ועושה שימוש ברכב שאין לו ביטוח תקף או רישיון רכב.</w:t>
      </w:r>
    </w:p>
    <w:p w14:paraId="7A6263BF" w14:textId="77777777" w:rsidR="00A24187" w:rsidRPr="00A53A5A" w:rsidRDefault="00A24187" w:rsidP="00A53A5A">
      <w:pPr>
        <w:spacing w:after="0" w:line="360" w:lineRule="auto"/>
        <w:jc w:val="both"/>
        <w:rPr>
          <w:rFonts w:ascii="David" w:hAnsi="David" w:cs="David"/>
          <w:sz w:val="24"/>
          <w:szCs w:val="24"/>
          <w:rtl/>
        </w:rPr>
      </w:pPr>
    </w:p>
    <w:p w14:paraId="2B997EC3" w14:textId="77777777"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39.</w:t>
      </w:r>
      <w:r w:rsidRPr="00A53A5A">
        <w:rPr>
          <w:rFonts w:ascii="David" w:hAnsi="David" w:cs="David"/>
          <w:sz w:val="24"/>
          <w:szCs w:val="24"/>
          <w:rtl/>
        </w:rPr>
        <w:tab/>
      </w:r>
      <w:r w:rsidRPr="00A53A5A">
        <w:rPr>
          <w:rFonts w:ascii="David" w:hAnsi="David" w:cs="David" w:hint="eastAsia"/>
          <w:b/>
          <w:bCs/>
          <w:sz w:val="24"/>
          <w:szCs w:val="24"/>
          <w:rtl/>
        </w:rPr>
        <w:t>מדיניות</w:t>
      </w:r>
      <w:r w:rsidRPr="00A53A5A">
        <w:rPr>
          <w:rFonts w:ascii="David" w:hAnsi="David" w:cs="David"/>
          <w:b/>
          <w:bCs/>
          <w:sz w:val="24"/>
          <w:szCs w:val="24"/>
          <w:rtl/>
        </w:rPr>
        <w:t xml:space="preserve"> הענישה הנהוגה בעבירות שביצע הנאשם בנסיבותיהן</w:t>
      </w:r>
      <w:r w:rsidRPr="00A53A5A">
        <w:rPr>
          <w:rFonts w:ascii="David" w:hAnsi="David" w:cs="David"/>
          <w:sz w:val="24"/>
          <w:szCs w:val="24"/>
          <w:rtl/>
        </w:rPr>
        <w:t xml:space="preserve"> - בית המשפט העליון עמד לא אחת על חומרת התופעה של שימוש בנשק לפתרון סכסוכים. חומרה יתרה מיוחסת לאותם מקרים שבהם השימוש בנשק חם נעשה בתוך שטח עירוני ובסביבת בתי מגורים. </w:t>
      </w:r>
    </w:p>
    <w:p w14:paraId="3AA0D9BA" w14:textId="77777777" w:rsidR="00A24187" w:rsidRPr="00A53A5A" w:rsidRDefault="00A24187" w:rsidP="00A53A5A">
      <w:pPr>
        <w:spacing w:after="0" w:line="360" w:lineRule="auto"/>
        <w:jc w:val="both"/>
        <w:rPr>
          <w:rFonts w:ascii="David" w:hAnsi="David" w:cs="David"/>
          <w:sz w:val="24"/>
          <w:szCs w:val="24"/>
          <w:rtl/>
        </w:rPr>
      </w:pPr>
    </w:p>
    <w:p w14:paraId="47CD9B12" w14:textId="77777777" w:rsidR="00A24187" w:rsidRPr="00A53A5A" w:rsidRDefault="00A24187" w:rsidP="00A53A5A">
      <w:pPr>
        <w:spacing w:after="0" w:line="360" w:lineRule="auto"/>
        <w:ind w:left="720"/>
        <w:jc w:val="both"/>
        <w:rPr>
          <w:rFonts w:ascii="David" w:hAnsi="David" w:cs="David"/>
          <w:sz w:val="24"/>
          <w:szCs w:val="24"/>
          <w:rtl/>
        </w:rPr>
      </w:pPr>
      <w:r w:rsidRPr="00A53A5A">
        <w:rPr>
          <w:rFonts w:ascii="David" w:hAnsi="David" w:cs="David" w:hint="eastAsia"/>
          <w:sz w:val="24"/>
          <w:szCs w:val="24"/>
          <w:rtl/>
        </w:rPr>
        <w:t>ב</w:t>
      </w:r>
      <w:hyperlink r:id="rId66" w:history="1">
        <w:r w:rsidR="009506D2" w:rsidRPr="009506D2">
          <w:rPr>
            <w:rFonts w:ascii="David" w:hAnsi="David" w:cs="David"/>
            <w:color w:val="0000FF"/>
            <w:sz w:val="24"/>
            <w:szCs w:val="24"/>
            <w:u w:val="single"/>
            <w:rtl/>
          </w:rPr>
          <w:t>ע"פ 32/14</w:t>
        </w:r>
      </w:hyperlink>
      <w:r w:rsidRPr="00A53A5A">
        <w:rPr>
          <w:rFonts w:ascii="David" w:hAnsi="David" w:cs="David"/>
          <w:sz w:val="24"/>
          <w:szCs w:val="24"/>
          <w:rtl/>
        </w:rPr>
        <w:t xml:space="preserve"> </w:t>
      </w:r>
      <w:r w:rsidRPr="00A53A5A">
        <w:rPr>
          <w:rFonts w:ascii="David" w:hAnsi="David" w:cs="David" w:hint="eastAsia"/>
          <w:b/>
          <w:bCs/>
          <w:sz w:val="24"/>
          <w:szCs w:val="24"/>
          <w:rtl/>
        </w:rPr>
        <w:t>עמאש</w:t>
      </w:r>
      <w:r w:rsidRPr="00A53A5A">
        <w:rPr>
          <w:rFonts w:ascii="David" w:hAnsi="David" w:cs="David"/>
          <w:b/>
          <w:bCs/>
          <w:sz w:val="24"/>
          <w:szCs w:val="24"/>
          <w:rtl/>
        </w:rPr>
        <w:t xml:space="preserve"> נ' מדינת ישראל</w:t>
      </w:r>
      <w:r w:rsidRPr="00A53A5A">
        <w:rPr>
          <w:rFonts w:ascii="David" w:hAnsi="David" w:cs="David"/>
          <w:sz w:val="24"/>
          <w:szCs w:val="24"/>
          <w:rtl/>
        </w:rPr>
        <w:t xml:space="preserve"> </w:t>
      </w:r>
      <w:r w:rsidR="00F15005" w:rsidRPr="00F15005">
        <w:rPr>
          <w:rFonts w:ascii="Times New Roman" w:hAnsi="Times New Roman" w:cs="David"/>
          <w:szCs w:val="24"/>
          <w:rtl/>
        </w:rPr>
        <w:t xml:space="preserve">[פורסם בנבו] </w:t>
      </w:r>
      <w:r w:rsidRPr="00A53A5A">
        <w:rPr>
          <w:rFonts w:ascii="David" w:hAnsi="David" w:cs="David"/>
          <w:sz w:val="24"/>
          <w:szCs w:val="24"/>
          <w:rtl/>
        </w:rPr>
        <w:t xml:space="preserve">(17.9.2015) קבע בית המשפט העליון את הדברים הבאים: </w:t>
      </w:r>
    </w:p>
    <w:p w14:paraId="35C2EDF6" w14:textId="77777777" w:rsidR="00A24187" w:rsidRPr="00A53A5A" w:rsidRDefault="00A24187" w:rsidP="00A53A5A">
      <w:pPr>
        <w:spacing w:after="0" w:line="360" w:lineRule="auto"/>
        <w:jc w:val="both"/>
        <w:rPr>
          <w:rFonts w:ascii="David" w:hAnsi="David" w:cs="David"/>
          <w:sz w:val="24"/>
          <w:szCs w:val="24"/>
          <w:rtl/>
        </w:rPr>
      </w:pPr>
    </w:p>
    <w:p w14:paraId="122FC9D7" w14:textId="77777777" w:rsidR="00A24187" w:rsidRPr="00A53A5A" w:rsidRDefault="00A24187" w:rsidP="00A53A5A">
      <w:pPr>
        <w:spacing w:after="0" w:line="360" w:lineRule="auto"/>
        <w:ind w:left="1440" w:right="851"/>
        <w:jc w:val="both"/>
        <w:rPr>
          <w:rFonts w:cs="David"/>
          <w:sz w:val="24"/>
          <w:szCs w:val="24"/>
          <w:rtl/>
        </w:rPr>
      </w:pPr>
      <w:r w:rsidRPr="00A53A5A">
        <w:rPr>
          <w:rFonts w:ascii="David" w:hAnsi="David" w:cs="David"/>
          <w:sz w:val="24"/>
          <w:szCs w:val="24"/>
          <w:rtl/>
        </w:rPr>
        <w:t>"</w:t>
      </w:r>
      <w:r w:rsidRPr="00A53A5A">
        <w:rPr>
          <w:rFonts w:ascii="David" w:hAnsi="David" w:cs="David"/>
          <w:b/>
          <w:bCs/>
          <w:sz w:val="24"/>
          <w:szCs w:val="24"/>
          <w:rtl/>
        </w:rPr>
        <w:t>[...] הרעה החולה הפוקדת את מקומותינו ומותירה חלל והרס, היא התופעה של שימוש בנשק חם ברחובה של עיר, גם בשל סכסוכים בעניינים של מה בכך. בית משפט זה חזר והתריע מפני התפשטות התופעה, וקבע בא</w:t>
      </w:r>
      <w:r w:rsidRPr="00A53A5A">
        <w:rPr>
          <w:rFonts w:ascii="David" w:hAnsi="David" w:cs="David" w:hint="eastAsia"/>
          <w:b/>
          <w:bCs/>
          <w:sz w:val="24"/>
          <w:szCs w:val="24"/>
          <w:rtl/>
        </w:rPr>
        <w:t>ופן</w:t>
      </w:r>
      <w:r w:rsidRPr="00A53A5A">
        <w:rPr>
          <w:rFonts w:ascii="David" w:hAnsi="David" w:cs="David"/>
          <w:b/>
          <w:bCs/>
          <w:sz w:val="24"/>
          <w:szCs w:val="24"/>
          <w:rtl/>
        </w:rPr>
        <w:t xml:space="preserve"> ברור כי יש להילחם בה ולמגרה באופן הנחרץ ביותר [...] אין מנוס מהטלת עונש מאסר של ממש בנסיבות אלו, גם אם מדובר באנשים נורמטיביים ללא עבר פלילי מכביד</w:t>
      </w:r>
      <w:r w:rsidRPr="00A53A5A">
        <w:rPr>
          <w:rFonts w:ascii="David" w:hAnsi="David" w:cs="David"/>
          <w:sz w:val="24"/>
          <w:szCs w:val="24"/>
          <w:rtl/>
        </w:rPr>
        <w:t>".</w:t>
      </w:r>
    </w:p>
    <w:p w14:paraId="4E5EFDEB" w14:textId="77777777" w:rsidR="00A24187" w:rsidRPr="00A53A5A" w:rsidRDefault="00A24187" w:rsidP="00A53A5A">
      <w:pPr>
        <w:spacing w:after="0" w:line="360" w:lineRule="auto"/>
        <w:jc w:val="both"/>
        <w:rPr>
          <w:rFonts w:ascii="David" w:hAnsi="David" w:cs="David"/>
          <w:sz w:val="24"/>
          <w:szCs w:val="24"/>
          <w:rtl/>
        </w:rPr>
      </w:pPr>
    </w:p>
    <w:p w14:paraId="2D3FFEC8" w14:textId="77777777" w:rsidR="00A24187" w:rsidRPr="00A53A5A" w:rsidRDefault="00A24187" w:rsidP="00A53A5A">
      <w:pPr>
        <w:spacing w:after="0" w:line="360" w:lineRule="auto"/>
        <w:jc w:val="both"/>
        <w:rPr>
          <w:rFonts w:ascii="David" w:hAnsi="David" w:cs="David"/>
          <w:sz w:val="24"/>
          <w:szCs w:val="24"/>
          <w:rtl/>
        </w:rPr>
      </w:pPr>
      <w:r w:rsidRPr="00A53A5A">
        <w:rPr>
          <w:rFonts w:ascii="David" w:hAnsi="David" w:cs="David"/>
          <w:b/>
          <w:bCs/>
          <w:sz w:val="24"/>
          <w:szCs w:val="24"/>
          <w:rtl/>
        </w:rPr>
        <w:t>40.</w:t>
      </w:r>
      <w:r w:rsidRPr="00A53A5A">
        <w:rPr>
          <w:rFonts w:ascii="David" w:hAnsi="David" w:cs="David"/>
          <w:sz w:val="24"/>
          <w:szCs w:val="24"/>
          <w:rtl/>
        </w:rPr>
        <w:tab/>
      </w:r>
      <w:r w:rsidRPr="00A53A5A">
        <w:rPr>
          <w:rFonts w:ascii="David" w:hAnsi="David" w:cs="David" w:hint="eastAsia"/>
          <w:sz w:val="24"/>
          <w:szCs w:val="24"/>
          <w:rtl/>
        </w:rPr>
        <w:t>ב</w:t>
      </w:r>
      <w:hyperlink r:id="rId67" w:history="1">
        <w:r w:rsidR="009506D2" w:rsidRPr="009506D2">
          <w:rPr>
            <w:rFonts w:ascii="David" w:hAnsi="David" w:cs="David"/>
            <w:color w:val="0000FF"/>
            <w:sz w:val="24"/>
            <w:szCs w:val="24"/>
            <w:u w:val="single"/>
            <w:rtl/>
          </w:rPr>
          <w:t>ע"פ 6924/12</w:t>
        </w:r>
      </w:hyperlink>
      <w:r w:rsidRPr="00A53A5A">
        <w:rPr>
          <w:rFonts w:ascii="David" w:hAnsi="David" w:cs="David"/>
          <w:sz w:val="24"/>
          <w:szCs w:val="24"/>
          <w:rtl/>
        </w:rPr>
        <w:t xml:space="preserve"> </w:t>
      </w:r>
      <w:r w:rsidRPr="00A53A5A">
        <w:rPr>
          <w:rFonts w:ascii="David" w:hAnsi="David" w:cs="David" w:hint="eastAsia"/>
          <w:b/>
          <w:bCs/>
          <w:sz w:val="24"/>
          <w:szCs w:val="24"/>
          <w:rtl/>
        </w:rPr>
        <w:t>בעארני</w:t>
      </w:r>
      <w:r w:rsidRPr="00A53A5A">
        <w:rPr>
          <w:rFonts w:ascii="David" w:hAnsi="David" w:cs="David"/>
          <w:b/>
          <w:bCs/>
          <w:sz w:val="24"/>
          <w:szCs w:val="24"/>
          <w:rtl/>
        </w:rPr>
        <w:t xml:space="preserve"> נ' מדינת ישראל</w:t>
      </w:r>
      <w:r w:rsidRPr="00A53A5A">
        <w:rPr>
          <w:rFonts w:ascii="David" w:hAnsi="David" w:cs="David"/>
          <w:sz w:val="24"/>
          <w:szCs w:val="24"/>
          <w:rtl/>
        </w:rPr>
        <w:t xml:space="preserve"> </w:t>
      </w:r>
      <w:r w:rsidR="00F15005" w:rsidRPr="00F15005">
        <w:rPr>
          <w:rFonts w:ascii="Times New Roman" w:hAnsi="Times New Roman" w:cs="David"/>
          <w:szCs w:val="24"/>
          <w:rtl/>
        </w:rPr>
        <w:t xml:space="preserve">[פורסם בנבו] </w:t>
      </w:r>
      <w:r w:rsidRPr="00A53A5A">
        <w:rPr>
          <w:rFonts w:ascii="David" w:hAnsi="David" w:cs="David"/>
          <w:sz w:val="24"/>
          <w:szCs w:val="24"/>
          <w:rtl/>
        </w:rPr>
        <w:t>(29.10.2013) נקבע:</w:t>
      </w:r>
    </w:p>
    <w:p w14:paraId="0B1E1367" w14:textId="77777777" w:rsidR="00A24187" w:rsidRPr="00A53A5A" w:rsidRDefault="00A24187" w:rsidP="00A53A5A">
      <w:pPr>
        <w:spacing w:after="0" w:line="360" w:lineRule="auto"/>
        <w:jc w:val="both"/>
        <w:rPr>
          <w:rFonts w:ascii="David" w:hAnsi="David" w:cs="David"/>
          <w:b/>
          <w:bCs/>
          <w:sz w:val="24"/>
          <w:szCs w:val="24"/>
          <w:rtl/>
        </w:rPr>
      </w:pPr>
    </w:p>
    <w:p w14:paraId="1BDB1A9B" w14:textId="77777777" w:rsidR="00A24187" w:rsidRPr="00A53A5A" w:rsidRDefault="00A24187" w:rsidP="00A53A5A">
      <w:pPr>
        <w:spacing w:after="0" w:line="360" w:lineRule="auto"/>
        <w:ind w:left="1440" w:right="993"/>
        <w:jc w:val="both"/>
        <w:rPr>
          <w:rFonts w:ascii="David" w:hAnsi="David" w:cs="David"/>
          <w:sz w:val="24"/>
          <w:szCs w:val="24"/>
          <w:rtl/>
        </w:rPr>
      </w:pPr>
      <w:r w:rsidRPr="00A53A5A">
        <w:rPr>
          <w:rFonts w:ascii="David" w:hAnsi="David" w:cs="David"/>
          <w:b/>
          <w:bCs/>
          <w:sz w:val="24"/>
          <w:szCs w:val="24"/>
          <w:rtl/>
        </w:rPr>
        <w:t>"רבות נכתב ונאמר על התופעה, אשר למרבה הצער הולכת ומתרחבת במקומותינו, של שימוש בכלי נשק קרים וחמים לשם יישוב מחלוקות וסכסוכים, וכפי שציין חברי, השופט י' דנציגר בעניי</w:t>
      </w:r>
      <w:r w:rsidRPr="00A53A5A">
        <w:rPr>
          <w:rFonts w:ascii="David" w:hAnsi="David" w:cs="David" w:hint="eastAsia"/>
          <w:b/>
          <w:bCs/>
          <w:sz w:val="24"/>
          <w:szCs w:val="24"/>
          <w:rtl/>
        </w:rPr>
        <w:t>ן</w:t>
      </w:r>
      <w:r w:rsidRPr="00A53A5A">
        <w:rPr>
          <w:rFonts w:ascii="David" w:hAnsi="David" w:cs="David"/>
          <w:b/>
          <w:bCs/>
          <w:sz w:val="24"/>
          <w:szCs w:val="24"/>
          <w:rtl/>
        </w:rPr>
        <w:t xml:space="preserve"> חנוכייב, פסקה 42, "אל לו לבית המשפט להישאר אדיש לתופעת תת-תרבות הסכין ..., אשר פשתה בקרבנו ... בתי המשפט מצווים להחמיר עם מי שלקח לידו כלי משחית כסכין במטרה ברורה לפצוע אדם אחר ומתוך הבנה לתוצאות הקשות האפשריות למעשיו". (וראו גם, </w:t>
      </w:r>
      <w:hyperlink r:id="rId68" w:history="1">
        <w:r w:rsidR="009506D2" w:rsidRPr="009506D2">
          <w:rPr>
            <w:rFonts w:ascii="David" w:hAnsi="David" w:cs="David"/>
            <w:b/>
            <w:bCs/>
            <w:color w:val="0000FF"/>
            <w:sz w:val="24"/>
            <w:szCs w:val="24"/>
            <w:u w:val="single"/>
            <w:rtl/>
          </w:rPr>
          <w:t>ע"פ 6412/10</w:t>
        </w:r>
      </w:hyperlink>
      <w:r w:rsidRPr="00A53A5A">
        <w:rPr>
          <w:rFonts w:ascii="David" w:hAnsi="David" w:cs="David"/>
          <w:b/>
          <w:bCs/>
          <w:sz w:val="24"/>
          <w:szCs w:val="24"/>
          <w:rtl/>
        </w:rPr>
        <w:t xml:space="preserve"> לוי נ' מדינת ישראל [פורסם בנבו] (19.7.2011); </w:t>
      </w:r>
      <w:hyperlink r:id="rId69" w:history="1">
        <w:r w:rsidR="009506D2" w:rsidRPr="009506D2">
          <w:rPr>
            <w:rFonts w:ascii="David" w:hAnsi="David" w:cs="David"/>
            <w:b/>
            <w:bCs/>
            <w:color w:val="0000FF"/>
            <w:sz w:val="24"/>
            <w:szCs w:val="24"/>
            <w:u w:val="single"/>
            <w:rtl/>
          </w:rPr>
          <w:t>ע"פ 8675/09</w:t>
        </w:r>
      </w:hyperlink>
      <w:r w:rsidRPr="00A53A5A">
        <w:rPr>
          <w:rFonts w:ascii="David" w:hAnsi="David" w:cs="David"/>
          <w:b/>
          <w:bCs/>
          <w:sz w:val="24"/>
          <w:szCs w:val="24"/>
          <w:rtl/>
        </w:rPr>
        <w:t xml:space="preserve"> דיגנקוב נ' מדינת ישראל [פורסם בנבו] (21.1.2011); ע"פ 1558/08 פרטוש נ' מדינת ישראל [פורסם בנבו] (29.10.2008); </w:t>
      </w:r>
      <w:hyperlink r:id="rId70" w:history="1">
        <w:r w:rsidR="009506D2" w:rsidRPr="009506D2">
          <w:rPr>
            <w:rFonts w:ascii="David" w:hAnsi="David" w:cs="David"/>
            <w:b/>
            <w:bCs/>
            <w:color w:val="0000FF"/>
            <w:sz w:val="24"/>
            <w:szCs w:val="24"/>
            <w:u w:val="single"/>
            <w:rtl/>
          </w:rPr>
          <w:t>ע"פ 925/07</w:t>
        </w:r>
      </w:hyperlink>
      <w:r w:rsidRPr="00A53A5A">
        <w:rPr>
          <w:rFonts w:ascii="David" w:hAnsi="David" w:cs="David"/>
          <w:b/>
          <w:bCs/>
          <w:sz w:val="24"/>
          <w:szCs w:val="24"/>
          <w:rtl/>
        </w:rPr>
        <w:t xml:space="preserve"> חדד נ' מדינת ישראל [פורסם בנבו] (18.6.2008))."</w:t>
      </w:r>
    </w:p>
    <w:p w14:paraId="3F986B06" w14:textId="77777777" w:rsidR="00A24187" w:rsidRPr="00A53A5A" w:rsidRDefault="00A24187" w:rsidP="00A53A5A">
      <w:pPr>
        <w:spacing w:after="0" w:line="360" w:lineRule="auto"/>
        <w:jc w:val="both"/>
        <w:rPr>
          <w:rFonts w:ascii="David" w:hAnsi="David" w:cs="David"/>
          <w:sz w:val="24"/>
          <w:szCs w:val="24"/>
        </w:rPr>
      </w:pPr>
    </w:p>
    <w:p w14:paraId="554EA04B" w14:textId="77777777"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41.</w:t>
      </w:r>
      <w:r w:rsidRPr="00A53A5A">
        <w:rPr>
          <w:rFonts w:ascii="David" w:hAnsi="David" w:cs="David"/>
          <w:sz w:val="24"/>
          <w:szCs w:val="24"/>
          <w:rtl/>
        </w:rPr>
        <w:tab/>
      </w:r>
      <w:r w:rsidRPr="00A53A5A">
        <w:rPr>
          <w:rFonts w:ascii="David" w:hAnsi="David" w:cs="David" w:hint="eastAsia"/>
          <w:sz w:val="24"/>
          <w:szCs w:val="24"/>
          <w:rtl/>
        </w:rPr>
        <w:t>ב</w:t>
      </w:r>
      <w:hyperlink r:id="rId71" w:history="1">
        <w:r w:rsidR="009506D2" w:rsidRPr="009506D2">
          <w:rPr>
            <w:rFonts w:ascii="David" w:hAnsi="David" w:cs="David"/>
            <w:color w:val="0000FF"/>
            <w:sz w:val="24"/>
            <w:szCs w:val="24"/>
            <w:u w:val="single"/>
            <w:rtl/>
          </w:rPr>
          <w:t>ע"פ 875/12</w:t>
        </w:r>
      </w:hyperlink>
      <w:r w:rsidRPr="00A53A5A">
        <w:rPr>
          <w:rFonts w:ascii="David" w:hAnsi="David" w:cs="David"/>
          <w:sz w:val="24"/>
          <w:szCs w:val="24"/>
          <w:rtl/>
        </w:rPr>
        <w:t xml:space="preserve"> </w:t>
      </w:r>
      <w:r w:rsidRPr="00A53A5A">
        <w:rPr>
          <w:rFonts w:ascii="David" w:hAnsi="David" w:cs="David" w:hint="eastAsia"/>
          <w:b/>
          <w:bCs/>
          <w:sz w:val="24"/>
          <w:szCs w:val="24"/>
          <w:rtl/>
        </w:rPr>
        <w:t>אבו</w:t>
      </w:r>
      <w:r w:rsidRPr="00A53A5A">
        <w:rPr>
          <w:rFonts w:ascii="David" w:hAnsi="David" w:cs="David"/>
          <w:b/>
          <w:bCs/>
          <w:sz w:val="24"/>
          <w:szCs w:val="24"/>
          <w:rtl/>
        </w:rPr>
        <w:t xml:space="preserve"> טהה נ' מדינת ישראל</w:t>
      </w:r>
      <w:r w:rsidRPr="00A53A5A">
        <w:rPr>
          <w:rFonts w:ascii="David" w:hAnsi="David" w:cs="David"/>
          <w:sz w:val="24"/>
          <w:szCs w:val="24"/>
          <w:rtl/>
        </w:rPr>
        <w:t xml:space="preserve"> </w:t>
      </w:r>
      <w:r w:rsidR="00F15005" w:rsidRPr="00F15005">
        <w:rPr>
          <w:rFonts w:ascii="Times New Roman" w:hAnsi="Times New Roman" w:cs="David"/>
          <w:szCs w:val="24"/>
          <w:rtl/>
        </w:rPr>
        <w:t xml:space="preserve">[פורסם בנבו] </w:t>
      </w:r>
      <w:r w:rsidRPr="00A53A5A">
        <w:rPr>
          <w:rFonts w:ascii="David" w:hAnsi="David" w:cs="David"/>
          <w:sz w:val="24"/>
          <w:szCs w:val="24"/>
          <w:rtl/>
        </w:rPr>
        <w:t>(7.1.2013) סקר כב' השופט י' עמית את רמת הענישה שהתווה בית המשפט העליון בעבירות של חבלה בכוונה מחמירה ושל החזקת נשק וירי באזור מגורים. כך למשל, ב</w:t>
      </w:r>
      <w:hyperlink r:id="rId72" w:history="1">
        <w:r w:rsidR="009506D2" w:rsidRPr="009506D2">
          <w:rPr>
            <w:rFonts w:ascii="David" w:hAnsi="David" w:cs="David"/>
            <w:color w:val="0000FF"/>
            <w:sz w:val="24"/>
            <w:szCs w:val="24"/>
            <w:u w:val="single"/>
            <w:rtl/>
          </w:rPr>
          <w:t>ע"פ 1552/08</w:t>
        </w:r>
      </w:hyperlink>
      <w:r w:rsidRPr="00A53A5A">
        <w:rPr>
          <w:rFonts w:ascii="David" w:hAnsi="David" w:cs="David"/>
          <w:sz w:val="24"/>
          <w:szCs w:val="24"/>
          <w:rtl/>
        </w:rPr>
        <w:t xml:space="preserve"> </w:t>
      </w:r>
      <w:r w:rsidRPr="00A53A5A">
        <w:rPr>
          <w:rFonts w:ascii="David" w:hAnsi="David" w:cs="David" w:hint="eastAsia"/>
          <w:b/>
          <w:bCs/>
          <w:sz w:val="24"/>
          <w:szCs w:val="24"/>
          <w:rtl/>
        </w:rPr>
        <w:t>פרטוש</w:t>
      </w:r>
      <w:r w:rsidRPr="00A53A5A">
        <w:rPr>
          <w:rFonts w:ascii="David" w:hAnsi="David" w:cs="David"/>
          <w:b/>
          <w:bCs/>
          <w:sz w:val="24"/>
          <w:szCs w:val="24"/>
          <w:rtl/>
        </w:rPr>
        <w:t xml:space="preserve"> נ' מדינת ישראל</w:t>
      </w:r>
      <w:r w:rsidRPr="00A53A5A">
        <w:rPr>
          <w:rFonts w:ascii="David" w:hAnsi="David" w:cs="David"/>
          <w:sz w:val="24"/>
          <w:szCs w:val="24"/>
          <w:rtl/>
        </w:rPr>
        <w:t xml:space="preserve"> </w:t>
      </w:r>
      <w:r w:rsidR="00F15005" w:rsidRPr="00F15005">
        <w:rPr>
          <w:rFonts w:ascii="Times New Roman" w:hAnsi="Times New Roman" w:cs="David"/>
          <w:szCs w:val="24"/>
          <w:rtl/>
        </w:rPr>
        <w:t xml:space="preserve">[פורסם בנבו] </w:t>
      </w:r>
      <w:r w:rsidRPr="00A53A5A">
        <w:rPr>
          <w:rFonts w:ascii="David" w:hAnsi="David" w:cs="David"/>
          <w:sz w:val="24"/>
          <w:szCs w:val="24"/>
          <w:rtl/>
        </w:rPr>
        <w:t>(29.10.2008) נקבע כי רף הענישה המקובל בעבירות עין אלה נע בין חמש וחצי שנות מאסר לבין תשע שנות מאסר. ב</w:t>
      </w:r>
      <w:hyperlink r:id="rId73" w:history="1">
        <w:r w:rsidR="009506D2" w:rsidRPr="009506D2">
          <w:rPr>
            <w:rFonts w:ascii="David" w:hAnsi="David" w:cs="David"/>
            <w:color w:val="0000FF"/>
            <w:sz w:val="24"/>
            <w:szCs w:val="24"/>
            <w:u w:val="single"/>
            <w:rtl/>
          </w:rPr>
          <w:t>ע"פ 3573/08</w:t>
        </w:r>
      </w:hyperlink>
      <w:r w:rsidRPr="00A53A5A">
        <w:rPr>
          <w:rFonts w:ascii="David" w:hAnsi="David" w:cs="David"/>
          <w:sz w:val="24"/>
          <w:szCs w:val="24"/>
          <w:rtl/>
        </w:rPr>
        <w:t xml:space="preserve"> </w:t>
      </w:r>
      <w:r w:rsidRPr="00A53A5A">
        <w:rPr>
          <w:rFonts w:ascii="David" w:hAnsi="David" w:cs="David" w:hint="eastAsia"/>
          <w:b/>
          <w:bCs/>
          <w:sz w:val="24"/>
          <w:szCs w:val="24"/>
          <w:rtl/>
        </w:rPr>
        <w:t>עוואדרה</w:t>
      </w:r>
      <w:r w:rsidRPr="00A53A5A">
        <w:rPr>
          <w:rFonts w:ascii="David" w:hAnsi="David" w:cs="David"/>
          <w:b/>
          <w:bCs/>
          <w:sz w:val="24"/>
          <w:szCs w:val="24"/>
          <w:rtl/>
        </w:rPr>
        <w:t xml:space="preserve"> נ' מדינת ישראל</w:t>
      </w:r>
      <w:r w:rsidRPr="00A53A5A">
        <w:rPr>
          <w:rFonts w:ascii="David" w:hAnsi="David" w:cs="David"/>
          <w:sz w:val="24"/>
          <w:szCs w:val="24"/>
          <w:rtl/>
        </w:rPr>
        <w:t xml:space="preserve"> </w:t>
      </w:r>
      <w:r w:rsidR="00B66733" w:rsidRPr="00B66733">
        <w:rPr>
          <w:rFonts w:ascii="Times New Roman" w:hAnsi="Times New Roman" w:cs="David"/>
          <w:szCs w:val="24"/>
          <w:rtl/>
        </w:rPr>
        <w:t xml:space="preserve">[פורסם בנבו] </w:t>
      </w:r>
      <w:r w:rsidRPr="00A53A5A">
        <w:rPr>
          <w:rFonts w:ascii="David" w:hAnsi="David" w:cs="David"/>
          <w:sz w:val="24"/>
          <w:szCs w:val="24"/>
          <w:rtl/>
        </w:rPr>
        <w:t xml:space="preserve">(13.4.2010) שב בית המשפט העליון ואישר את רף הענישה המקובל אשר נקבע </w:t>
      </w:r>
      <w:r w:rsidRPr="00A53A5A">
        <w:rPr>
          <w:rFonts w:ascii="David" w:hAnsi="David" w:cs="David" w:hint="eastAsia"/>
          <w:b/>
          <w:bCs/>
          <w:sz w:val="24"/>
          <w:szCs w:val="24"/>
          <w:rtl/>
        </w:rPr>
        <w:t>בעניין</w:t>
      </w:r>
      <w:r w:rsidRPr="00A53A5A">
        <w:rPr>
          <w:rFonts w:ascii="David" w:hAnsi="David" w:cs="David"/>
          <w:sz w:val="24"/>
          <w:szCs w:val="24"/>
          <w:rtl/>
        </w:rPr>
        <w:t xml:space="preserve"> </w:t>
      </w:r>
      <w:r w:rsidRPr="00A53A5A">
        <w:rPr>
          <w:rFonts w:ascii="David" w:hAnsi="David" w:cs="David" w:hint="eastAsia"/>
          <w:b/>
          <w:bCs/>
          <w:sz w:val="24"/>
          <w:szCs w:val="24"/>
          <w:rtl/>
        </w:rPr>
        <w:t>פרטוש</w:t>
      </w:r>
      <w:r w:rsidRPr="00A53A5A">
        <w:rPr>
          <w:rFonts w:ascii="David" w:hAnsi="David" w:cs="David"/>
          <w:sz w:val="24"/>
          <w:szCs w:val="24"/>
          <w:rtl/>
        </w:rPr>
        <w:t>.</w:t>
      </w:r>
    </w:p>
    <w:p w14:paraId="4468324A" w14:textId="77777777" w:rsidR="00A24187" w:rsidRPr="00A53A5A" w:rsidRDefault="00A24187" w:rsidP="00A53A5A">
      <w:pPr>
        <w:spacing w:after="0" w:line="360" w:lineRule="auto"/>
        <w:ind w:hanging="720"/>
        <w:jc w:val="both"/>
        <w:rPr>
          <w:rFonts w:ascii="David" w:hAnsi="David" w:cs="David"/>
          <w:sz w:val="24"/>
          <w:szCs w:val="24"/>
          <w:rtl/>
        </w:rPr>
      </w:pPr>
    </w:p>
    <w:p w14:paraId="6C5E20F0" w14:textId="77777777" w:rsidR="00A24187" w:rsidRPr="00A53A5A" w:rsidRDefault="00A24187" w:rsidP="00A53A5A">
      <w:pPr>
        <w:spacing w:after="0" w:line="360" w:lineRule="auto"/>
        <w:ind w:hanging="720"/>
        <w:jc w:val="both"/>
        <w:rPr>
          <w:rFonts w:ascii="David" w:hAnsi="David" w:cs="David"/>
          <w:sz w:val="24"/>
          <w:szCs w:val="24"/>
          <w:rtl/>
        </w:rPr>
      </w:pPr>
      <w:r w:rsidRPr="00A53A5A">
        <w:rPr>
          <w:rFonts w:ascii="David" w:hAnsi="David" w:cs="David"/>
          <w:sz w:val="24"/>
          <w:szCs w:val="24"/>
          <w:rtl/>
        </w:rPr>
        <w:tab/>
      </w:r>
      <w:r w:rsidRPr="00A53A5A">
        <w:rPr>
          <w:rFonts w:ascii="David" w:hAnsi="David" w:cs="David"/>
          <w:sz w:val="24"/>
          <w:szCs w:val="24"/>
          <w:rtl/>
        </w:rPr>
        <w:tab/>
      </w:r>
      <w:r w:rsidRPr="00A53A5A">
        <w:rPr>
          <w:rFonts w:ascii="David" w:hAnsi="David" w:cs="David" w:hint="eastAsia"/>
          <w:sz w:val="24"/>
          <w:szCs w:val="24"/>
          <w:rtl/>
        </w:rPr>
        <w:t>עוד</w:t>
      </w:r>
      <w:r w:rsidRPr="00A53A5A">
        <w:rPr>
          <w:rFonts w:ascii="David" w:hAnsi="David" w:cs="David"/>
          <w:sz w:val="24"/>
          <w:szCs w:val="24"/>
          <w:rtl/>
        </w:rPr>
        <w:t xml:space="preserve"> קבע בית המשפט העליון </w:t>
      </w:r>
      <w:r w:rsidRPr="00A53A5A">
        <w:rPr>
          <w:rFonts w:ascii="David" w:hAnsi="David" w:cs="David" w:hint="eastAsia"/>
          <w:b/>
          <w:bCs/>
          <w:sz w:val="24"/>
          <w:szCs w:val="24"/>
          <w:rtl/>
        </w:rPr>
        <w:t>בעניין</w:t>
      </w:r>
      <w:r w:rsidRPr="00A53A5A">
        <w:rPr>
          <w:rFonts w:ascii="David" w:hAnsi="David" w:cs="David"/>
          <w:sz w:val="24"/>
          <w:szCs w:val="24"/>
          <w:rtl/>
        </w:rPr>
        <w:t xml:space="preserve"> </w:t>
      </w:r>
      <w:r w:rsidRPr="00A53A5A">
        <w:rPr>
          <w:rFonts w:ascii="David" w:hAnsi="David" w:cs="David" w:hint="eastAsia"/>
          <w:b/>
          <w:bCs/>
          <w:sz w:val="24"/>
          <w:szCs w:val="24"/>
          <w:rtl/>
        </w:rPr>
        <w:t>עוואדרה</w:t>
      </w:r>
      <w:r w:rsidRPr="00A53A5A">
        <w:rPr>
          <w:rFonts w:ascii="David" w:hAnsi="David" w:cs="David"/>
          <w:sz w:val="24"/>
          <w:szCs w:val="24"/>
          <w:rtl/>
        </w:rPr>
        <w:t xml:space="preserve"> את הדברים הבאים:</w:t>
      </w:r>
    </w:p>
    <w:p w14:paraId="72229224" w14:textId="77777777" w:rsidR="00A24187" w:rsidRPr="00A53A5A" w:rsidRDefault="00A24187" w:rsidP="00A53A5A">
      <w:pPr>
        <w:spacing w:after="0" w:line="360" w:lineRule="auto"/>
        <w:jc w:val="both"/>
        <w:rPr>
          <w:rFonts w:ascii="Times New Roman" w:hAnsi="Times New Roman" w:cs="David"/>
          <w:b/>
          <w:bCs/>
          <w:sz w:val="24"/>
          <w:szCs w:val="24"/>
          <w:rtl/>
        </w:rPr>
      </w:pPr>
    </w:p>
    <w:p w14:paraId="334D7221" w14:textId="77777777" w:rsidR="00A24187" w:rsidRPr="00A53A5A" w:rsidRDefault="00A24187" w:rsidP="00A53A5A">
      <w:pPr>
        <w:spacing w:after="0" w:line="360" w:lineRule="auto"/>
        <w:ind w:left="1440" w:right="851"/>
        <w:jc w:val="both"/>
        <w:rPr>
          <w:rFonts w:ascii="Times New Roman" w:hAnsi="Times New Roman" w:cs="David"/>
          <w:b/>
          <w:bCs/>
          <w:sz w:val="24"/>
          <w:szCs w:val="24"/>
          <w:rtl/>
        </w:rPr>
      </w:pPr>
      <w:r w:rsidRPr="00A53A5A">
        <w:rPr>
          <w:rFonts w:ascii="Times New Roman" w:hAnsi="Times New Roman" w:cs="David"/>
          <w:b/>
          <w:bCs/>
          <w:sz w:val="24"/>
          <w:szCs w:val="24"/>
          <w:rtl/>
        </w:rPr>
        <w:t>"יש לשוב ולהדגיש כי זכותו של כל אדם לחיים ולשלמות הגוף היא זכות יסוד מקודשת ואין להתיר לאיש לפגוע בזכות זו. יש להלחם באלימות שפשטה בחברה הישראלית על כל צורותיה וגווניה, אם בתוך המשפחה ואם מחוצה לה, אם בקרב בני נוער ואם בקרב מבוגרים. נגע האלימות הינו רעה חולה שיש לבערה מן היסוד, ומן הראוי שידע כל איש ותדע כל אישה כי אם יבחרו בדרך האלימות ייטו בתי המשפט להשית עליהם עונשי מאסר משמעותיים ומרתיעים מאחורי סורג ובריח"</w:t>
      </w:r>
    </w:p>
    <w:p w14:paraId="3D2029FD" w14:textId="77777777" w:rsidR="00A24187" w:rsidRPr="00A53A5A" w:rsidRDefault="00A24187" w:rsidP="00A53A5A">
      <w:pPr>
        <w:spacing w:after="0" w:line="360" w:lineRule="auto"/>
        <w:ind w:hanging="720"/>
        <w:jc w:val="both"/>
        <w:rPr>
          <w:rFonts w:cs="David"/>
          <w:sz w:val="24"/>
          <w:szCs w:val="24"/>
        </w:rPr>
      </w:pPr>
    </w:p>
    <w:p w14:paraId="15F7AC20" w14:textId="77777777"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42</w:t>
      </w:r>
      <w:r w:rsidRPr="00A53A5A">
        <w:rPr>
          <w:rFonts w:ascii="David" w:hAnsi="David" w:cs="David"/>
          <w:sz w:val="24"/>
          <w:szCs w:val="24"/>
          <w:rtl/>
        </w:rPr>
        <w:t>.</w:t>
      </w:r>
      <w:r w:rsidRPr="00A53A5A">
        <w:rPr>
          <w:rFonts w:ascii="David" w:hAnsi="David" w:cs="David"/>
          <w:sz w:val="24"/>
          <w:szCs w:val="24"/>
          <w:rtl/>
        </w:rPr>
        <w:tab/>
      </w:r>
      <w:r w:rsidRPr="00A53A5A">
        <w:rPr>
          <w:rFonts w:ascii="David" w:hAnsi="David" w:cs="David" w:hint="eastAsia"/>
          <w:b/>
          <w:bCs/>
          <w:sz w:val="24"/>
          <w:szCs w:val="24"/>
          <w:rtl/>
        </w:rPr>
        <w:t>בעניין</w:t>
      </w:r>
      <w:r w:rsidRPr="00A53A5A">
        <w:rPr>
          <w:rFonts w:ascii="David" w:hAnsi="David" w:cs="David"/>
          <w:sz w:val="24"/>
          <w:szCs w:val="24"/>
          <w:rtl/>
        </w:rPr>
        <w:t xml:space="preserve"> </w:t>
      </w:r>
      <w:r w:rsidRPr="00A53A5A">
        <w:rPr>
          <w:rFonts w:ascii="David" w:hAnsi="David" w:cs="David" w:hint="eastAsia"/>
          <w:b/>
          <w:bCs/>
          <w:sz w:val="24"/>
          <w:szCs w:val="24"/>
          <w:rtl/>
        </w:rPr>
        <w:t>אבו</w:t>
      </w:r>
      <w:r w:rsidRPr="00A53A5A">
        <w:rPr>
          <w:rFonts w:ascii="David" w:hAnsi="David" w:cs="David"/>
          <w:b/>
          <w:bCs/>
          <w:sz w:val="24"/>
          <w:szCs w:val="24"/>
          <w:rtl/>
        </w:rPr>
        <w:t xml:space="preserve"> טהה </w:t>
      </w:r>
      <w:r w:rsidRPr="00A53A5A">
        <w:rPr>
          <w:rFonts w:ascii="David" w:hAnsi="David" w:cs="David" w:hint="eastAsia"/>
          <w:sz w:val="24"/>
          <w:szCs w:val="24"/>
          <w:rtl/>
        </w:rPr>
        <w:t>דובר</w:t>
      </w:r>
      <w:r w:rsidRPr="00A53A5A">
        <w:rPr>
          <w:rFonts w:ascii="David" w:hAnsi="David" w:cs="David"/>
          <w:sz w:val="24"/>
          <w:szCs w:val="24"/>
          <w:rtl/>
        </w:rPr>
        <w:t xml:space="preserve"> במערערים אשר הורשעו בעבירות של קשירת קשר לפשע, חבלה בכוונה מחמירה, החזקת נשק וירי באזור מגורים. העבירות בוצעו על רקע סכסוך בין משפחות. כאמור מעלה, בית המשפט העליון הפנה לפסק הדין בעניין עוואדה, תוך שהוא מוסיף להלן: </w:t>
      </w:r>
    </w:p>
    <w:p w14:paraId="5992F99A" w14:textId="77777777" w:rsidR="00A24187" w:rsidRPr="00A53A5A" w:rsidRDefault="00A24187" w:rsidP="00A53A5A">
      <w:pPr>
        <w:spacing w:after="0" w:line="360" w:lineRule="auto"/>
        <w:ind w:hanging="720"/>
        <w:jc w:val="both"/>
        <w:rPr>
          <w:rFonts w:ascii="David" w:hAnsi="David" w:cs="David"/>
          <w:sz w:val="24"/>
          <w:szCs w:val="24"/>
          <w:rtl/>
        </w:rPr>
      </w:pPr>
    </w:p>
    <w:p w14:paraId="767E68B3" w14:textId="77777777" w:rsidR="00A24187" w:rsidRPr="00A53A5A" w:rsidRDefault="00A24187" w:rsidP="00A53A5A">
      <w:pPr>
        <w:spacing w:after="0" w:line="360" w:lineRule="auto"/>
        <w:ind w:left="1440" w:right="851"/>
        <w:jc w:val="both"/>
        <w:rPr>
          <w:rFonts w:ascii="David" w:hAnsi="David" w:cs="David"/>
          <w:b/>
          <w:bCs/>
          <w:sz w:val="24"/>
          <w:szCs w:val="24"/>
          <w:rtl/>
        </w:rPr>
      </w:pPr>
      <w:r w:rsidRPr="00A53A5A">
        <w:rPr>
          <w:rFonts w:ascii="David" w:hAnsi="David" w:cs="David"/>
          <w:b/>
          <w:bCs/>
          <w:sz w:val="24"/>
          <w:szCs w:val="24"/>
          <w:rtl/>
        </w:rPr>
        <w:t>"דברים אלה יש לומר ביתר שאת, כאשר מדובר בנגע השימוש בנשק חם, תוך ירי, לעיתים, במקומות מיושבים וסיכון עוברי אורח תמימים, וזאת, במסגרת סכסוכים ועימותים בין משפחות או חמולות יריבות. לנוכח גישתו המחמירה של בית משפט זה כלפי מבצעי עבירות של חבלה בכוונה מחמירה בכלל, וכלפי אלה המשתמשים בנשק ליישוב מחלוקות סכסוכי</w:t>
      </w:r>
      <w:r w:rsidRPr="00A53A5A">
        <w:rPr>
          <w:rFonts w:ascii="David" w:hAnsi="David" w:cs="David" w:hint="eastAsia"/>
          <w:b/>
          <w:bCs/>
          <w:sz w:val="24"/>
          <w:szCs w:val="24"/>
          <w:rtl/>
        </w:rPr>
        <w:t>ם</w:t>
      </w:r>
      <w:r w:rsidRPr="00A53A5A">
        <w:rPr>
          <w:rFonts w:ascii="David" w:hAnsi="David" w:cs="David"/>
          <w:b/>
          <w:bCs/>
          <w:sz w:val="24"/>
          <w:szCs w:val="24"/>
          <w:rtl/>
        </w:rPr>
        <w:t>, בפרט [...]"</w:t>
      </w:r>
    </w:p>
    <w:p w14:paraId="6A83A079" w14:textId="77777777" w:rsidR="00A24187" w:rsidRPr="00A53A5A" w:rsidRDefault="00A24187" w:rsidP="00A53A5A">
      <w:pPr>
        <w:spacing w:after="0" w:line="360" w:lineRule="auto"/>
        <w:jc w:val="both"/>
        <w:rPr>
          <w:rFonts w:ascii="David" w:hAnsi="David" w:cs="David"/>
          <w:b/>
          <w:bCs/>
          <w:sz w:val="24"/>
          <w:szCs w:val="24"/>
          <w:rtl/>
        </w:rPr>
      </w:pPr>
    </w:p>
    <w:p w14:paraId="56B02F20" w14:textId="77777777"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43.</w:t>
      </w:r>
      <w:r w:rsidRPr="00A53A5A">
        <w:rPr>
          <w:rFonts w:ascii="David" w:hAnsi="David" w:cs="David"/>
          <w:sz w:val="24"/>
          <w:szCs w:val="24"/>
          <w:rtl/>
        </w:rPr>
        <w:tab/>
      </w:r>
      <w:r w:rsidRPr="00A53A5A">
        <w:rPr>
          <w:rFonts w:ascii="David" w:hAnsi="David" w:cs="David" w:hint="eastAsia"/>
          <w:sz w:val="24"/>
          <w:szCs w:val="24"/>
          <w:rtl/>
        </w:rPr>
        <w:t>עוד</w:t>
      </w:r>
      <w:r w:rsidRPr="00A53A5A">
        <w:rPr>
          <w:rFonts w:ascii="David" w:hAnsi="David" w:cs="David"/>
          <w:sz w:val="24"/>
          <w:szCs w:val="24"/>
          <w:rtl/>
        </w:rPr>
        <w:t xml:space="preserve"> ניתן ללמוד, בנוגע למדיניות הענישה הנהוגה בעבירות מסוג זה, דברים שקבע בית המשפט העליון ב</w:t>
      </w:r>
      <w:hyperlink r:id="rId74" w:history="1">
        <w:r w:rsidR="009506D2" w:rsidRPr="009506D2">
          <w:rPr>
            <w:rFonts w:ascii="David" w:hAnsi="David" w:cs="David"/>
            <w:color w:val="0000FF"/>
            <w:sz w:val="24"/>
            <w:szCs w:val="24"/>
            <w:u w:val="single"/>
            <w:rtl/>
          </w:rPr>
          <w:t>ע"פ 5753/04</w:t>
        </w:r>
      </w:hyperlink>
      <w:r w:rsidRPr="00A53A5A">
        <w:rPr>
          <w:rFonts w:ascii="David" w:hAnsi="David" w:cs="David"/>
          <w:sz w:val="24"/>
          <w:szCs w:val="24"/>
          <w:rtl/>
        </w:rPr>
        <w:t xml:space="preserve"> </w:t>
      </w:r>
      <w:r w:rsidRPr="00A53A5A">
        <w:rPr>
          <w:rFonts w:ascii="David" w:hAnsi="David" w:cs="David" w:hint="eastAsia"/>
          <w:b/>
          <w:bCs/>
          <w:sz w:val="24"/>
          <w:szCs w:val="24"/>
          <w:rtl/>
        </w:rPr>
        <w:t>מדינת</w:t>
      </w:r>
      <w:r w:rsidRPr="00A53A5A">
        <w:rPr>
          <w:rFonts w:ascii="David" w:hAnsi="David" w:cs="David"/>
          <w:b/>
          <w:bCs/>
          <w:sz w:val="24"/>
          <w:szCs w:val="24"/>
          <w:rtl/>
        </w:rPr>
        <w:t xml:space="preserve"> ישראל נ' רייכמן</w:t>
      </w:r>
      <w:r w:rsidRPr="00A53A5A">
        <w:rPr>
          <w:rFonts w:ascii="David" w:hAnsi="David" w:cs="David"/>
          <w:sz w:val="24"/>
          <w:szCs w:val="24"/>
          <w:rtl/>
        </w:rPr>
        <w:t xml:space="preserve"> </w:t>
      </w:r>
      <w:r w:rsidR="00B66733" w:rsidRPr="00B66733">
        <w:rPr>
          <w:rFonts w:ascii="Times New Roman" w:hAnsi="Times New Roman" w:cs="David"/>
          <w:szCs w:val="24"/>
          <w:rtl/>
        </w:rPr>
        <w:t xml:space="preserve">[פורסם בנבו] </w:t>
      </w:r>
      <w:r w:rsidRPr="00A53A5A">
        <w:rPr>
          <w:rFonts w:ascii="David" w:hAnsi="David" w:cs="David"/>
          <w:sz w:val="24"/>
          <w:szCs w:val="24"/>
          <w:rtl/>
        </w:rPr>
        <w:t>(7.2.2005):</w:t>
      </w:r>
    </w:p>
    <w:p w14:paraId="400CD16A" w14:textId="77777777" w:rsidR="00A24187" w:rsidRPr="00A53A5A" w:rsidRDefault="00A24187" w:rsidP="00A53A5A">
      <w:pPr>
        <w:spacing w:after="0" w:line="360" w:lineRule="auto"/>
        <w:ind w:firstLine="793"/>
        <w:jc w:val="both"/>
        <w:rPr>
          <w:rFonts w:ascii="David" w:hAnsi="David" w:cs="David"/>
          <w:b/>
          <w:bCs/>
          <w:sz w:val="24"/>
          <w:szCs w:val="24"/>
          <w:rtl/>
        </w:rPr>
      </w:pPr>
    </w:p>
    <w:p w14:paraId="46CAB3D6" w14:textId="77777777" w:rsidR="00A24187" w:rsidRPr="00A53A5A" w:rsidRDefault="00A24187" w:rsidP="00A53A5A">
      <w:pPr>
        <w:spacing w:after="0" w:line="360" w:lineRule="auto"/>
        <w:ind w:left="1440" w:right="993"/>
        <w:jc w:val="both"/>
        <w:rPr>
          <w:rFonts w:ascii="David" w:hAnsi="David" w:cs="David"/>
          <w:b/>
          <w:bCs/>
          <w:sz w:val="24"/>
          <w:szCs w:val="24"/>
          <w:rtl/>
        </w:rPr>
      </w:pPr>
      <w:r w:rsidRPr="00A53A5A">
        <w:rPr>
          <w:rFonts w:ascii="David" w:hAnsi="David" w:cs="David"/>
          <w:b/>
          <w:bCs/>
          <w:sz w:val="24"/>
          <w:szCs w:val="24"/>
          <w:rtl/>
        </w:rPr>
        <w:t>"לאחרונה נתקלים אנו במעשי בריונות שלא ידענו בעבר. שאם בעבר יישבו צעירים, וגם מי שאינם צעירים, חילוקי דיעות שבינ</w:t>
      </w:r>
      <w:r w:rsidRPr="00A53A5A">
        <w:rPr>
          <w:rFonts w:ascii="David" w:hAnsi="David" w:cs="David" w:hint="eastAsia"/>
          <w:b/>
          <w:bCs/>
          <w:sz w:val="24"/>
          <w:szCs w:val="24"/>
          <w:rtl/>
        </w:rPr>
        <w:t>יהם</w:t>
      </w:r>
      <w:r w:rsidRPr="00A53A5A">
        <w:rPr>
          <w:rFonts w:ascii="David" w:hAnsi="David" w:cs="David"/>
          <w:b/>
          <w:bCs/>
          <w:sz w:val="24"/>
          <w:szCs w:val="24"/>
          <w:rtl/>
        </w:rPr>
        <w:t xml:space="preserve"> בסכינים שנעצו בגופו של הזולת - "תת תרבות הסכין" קראנו לתופעה ממאירה זו - הנה כיום עלינו - או שמא נאמר: ירדנו - ברמה ובחומרה; לא עוד יישוב סיכסוכים בנשק קר אלא יישוב סיכסוכים בנשק חם. "סיכסוכים" קראנו לאותם חילוקי דיעות שאנשים מבקשים ליישבם באלימות קשה, אלא שלמרבה התמיהה והצער אין המדובר, ברוב המקרים, בסיכסוכים של ממש אלא בסיכסוכים שניתן לכנותם סיכסוכי-זוטא. סיכסוכי-זוטא אלה מעורבים בהם, על הרוב, אנשים צעירים, ועל דברים של מה-בכך נשלפת סכין וננעצת בגוף הזולת. לאחרונה, כאמור, נשלף כלי ירייה קטלני. תופעה נוראה זו פשתה בחברתנו, היתה כמחלה ממארת, וחובה היא המוטלת עלינו, על בית-המשפט, להעלות תרומתו למלחמה קשה זו. מלחמה היא שאסור לעשות בה ויתורים, שאם נוותר ונסלח תתגבר התופעה ותלך. חברתנו הפכה להיותה חברה אלימה, ותרומתו של בית-המשפט למלחמה באלימות היא בהטלת עונשים ראויים. בבואנו לגזור עונשים על עבריינים כמשיב שלפנינו, שומה עלינו לשוות נגד עינינו לא רק את המשיב ואת צורכי שיקומו; לא רק את משפחתו הסובלת בשל מעשיו; אלא גם את הנפגעים ממעשיו של המשיב ואת הנפגעים ממעשים-בכוח שייעשו אם ל</w:t>
      </w:r>
      <w:r w:rsidRPr="00A53A5A">
        <w:rPr>
          <w:rFonts w:ascii="David" w:hAnsi="David" w:cs="David" w:hint="eastAsia"/>
          <w:b/>
          <w:bCs/>
          <w:sz w:val="24"/>
          <w:szCs w:val="24"/>
          <w:rtl/>
        </w:rPr>
        <w:t>א</w:t>
      </w:r>
      <w:r w:rsidRPr="00A53A5A">
        <w:rPr>
          <w:rFonts w:ascii="David" w:hAnsi="David" w:cs="David"/>
          <w:b/>
          <w:bCs/>
          <w:sz w:val="24"/>
          <w:szCs w:val="24"/>
          <w:rtl/>
        </w:rPr>
        <w:t xml:space="preserve"> נגיב בחומרה על מעשים כמעשה המשיב."</w:t>
      </w:r>
    </w:p>
    <w:p w14:paraId="6961FAE5" w14:textId="77777777" w:rsidR="00A24187" w:rsidRPr="00A53A5A" w:rsidRDefault="00A24187" w:rsidP="00A53A5A">
      <w:pPr>
        <w:spacing w:after="0" w:line="360" w:lineRule="auto"/>
        <w:ind w:firstLine="793"/>
        <w:jc w:val="both"/>
        <w:rPr>
          <w:rFonts w:ascii="David" w:hAnsi="David" w:cs="David"/>
          <w:b/>
          <w:bCs/>
          <w:sz w:val="24"/>
          <w:szCs w:val="24"/>
        </w:rPr>
      </w:pPr>
    </w:p>
    <w:p w14:paraId="6EE32171" w14:textId="77777777"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44.</w:t>
      </w:r>
      <w:r w:rsidRPr="00A53A5A">
        <w:rPr>
          <w:rFonts w:ascii="David" w:hAnsi="David" w:cs="David"/>
          <w:b/>
          <w:bCs/>
          <w:sz w:val="24"/>
          <w:szCs w:val="24"/>
          <w:rtl/>
        </w:rPr>
        <w:tab/>
      </w:r>
      <w:r w:rsidRPr="00A53A5A">
        <w:rPr>
          <w:rFonts w:ascii="David" w:hAnsi="David" w:cs="David" w:hint="eastAsia"/>
          <w:sz w:val="24"/>
          <w:szCs w:val="24"/>
          <w:rtl/>
        </w:rPr>
        <w:t>עיינתי</w:t>
      </w:r>
      <w:r w:rsidRPr="00A53A5A">
        <w:rPr>
          <w:rFonts w:ascii="David" w:hAnsi="David" w:cs="David"/>
          <w:sz w:val="24"/>
          <w:szCs w:val="24"/>
          <w:rtl/>
        </w:rPr>
        <w:t xml:space="preserve"> בפסיקה אליה הפנו הצדדים כמו גם בפסקי דין נוספים. </w:t>
      </w:r>
      <w:r w:rsidRPr="00A53A5A">
        <w:rPr>
          <w:rFonts w:ascii="David" w:hAnsi="David" w:cs="David" w:hint="eastAsia"/>
          <w:b/>
          <w:bCs/>
          <w:sz w:val="24"/>
          <w:szCs w:val="24"/>
          <w:rtl/>
        </w:rPr>
        <w:t>לאחר</w:t>
      </w:r>
      <w:r w:rsidRPr="00A53A5A">
        <w:rPr>
          <w:rFonts w:ascii="David" w:hAnsi="David" w:cs="David"/>
          <w:b/>
          <w:bCs/>
          <w:sz w:val="24"/>
          <w:szCs w:val="24"/>
          <w:rtl/>
        </w:rPr>
        <w:t xml:space="preserve"> שקלול כל האמור לעיל, אנו סבורים כי מתחם העונש ההולם את העבירות שביצע הנאשם, נע בין 4 ל-7 שנות מאסר בפועל.</w:t>
      </w:r>
    </w:p>
    <w:p w14:paraId="1A86EEBA" w14:textId="77777777" w:rsidR="00A24187" w:rsidRPr="00A53A5A" w:rsidRDefault="00A24187" w:rsidP="00A53A5A">
      <w:pPr>
        <w:spacing w:after="0" w:line="360" w:lineRule="auto"/>
        <w:ind w:hanging="720"/>
        <w:jc w:val="both"/>
        <w:rPr>
          <w:rFonts w:ascii="David" w:hAnsi="David" w:cs="David"/>
          <w:sz w:val="24"/>
          <w:szCs w:val="24"/>
          <w:rtl/>
        </w:rPr>
      </w:pPr>
    </w:p>
    <w:p w14:paraId="45812704" w14:textId="77777777" w:rsidR="00A24187" w:rsidRPr="00A53A5A" w:rsidRDefault="00A24187" w:rsidP="00A53A5A">
      <w:pPr>
        <w:spacing w:after="0" w:line="360" w:lineRule="auto"/>
        <w:jc w:val="both"/>
        <w:rPr>
          <w:rFonts w:ascii="David" w:hAnsi="David" w:cs="David"/>
          <w:sz w:val="24"/>
          <w:szCs w:val="24"/>
          <w:rtl/>
        </w:rPr>
      </w:pPr>
      <w:r w:rsidRPr="00A53A5A">
        <w:rPr>
          <w:rFonts w:ascii="David" w:hAnsi="David" w:cs="David" w:hint="eastAsia"/>
          <w:b/>
          <w:bCs/>
          <w:sz w:val="24"/>
          <w:szCs w:val="24"/>
          <w:u w:val="single"/>
          <w:rtl/>
        </w:rPr>
        <w:t>העונש</w:t>
      </w:r>
      <w:r w:rsidRPr="00A53A5A">
        <w:rPr>
          <w:rFonts w:ascii="David" w:hAnsi="David" w:cs="David"/>
          <w:b/>
          <w:bCs/>
          <w:sz w:val="24"/>
          <w:szCs w:val="24"/>
          <w:u w:val="single"/>
          <w:rtl/>
        </w:rPr>
        <w:t xml:space="preserve"> הראוי לנאשם</w:t>
      </w:r>
      <w:r w:rsidRPr="00A53A5A">
        <w:rPr>
          <w:rFonts w:ascii="David" w:hAnsi="David" w:cs="David"/>
          <w:sz w:val="24"/>
          <w:szCs w:val="24"/>
          <w:rtl/>
        </w:rPr>
        <w:t xml:space="preserve">: </w:t>
      </w:r>
    </w:p>
    <w:p w14:paraId="06C2AF4E" w14:textId="77777777" w:rsidR="00A24187" w:rsidRPr="00A53A5A" w:rsidRDefault="00A24187" w:rsidP="00A53A5A">
      <w:pPr>
        <w:spacing w:after="0" w:line="360" w:lineRule="auto"/>
        <w:jc w:val="both"/>
        <w:rPr>
          <w:rFonts w:ascii="David" w:hAnsi="David" w:cs="David"/>
          <w:sz w:val="24"/>
          <w:szCs w:val="24"/>
          <w:rtl/>
        </w:rPr>
      </w:pPr>
    </w:p>
    <w:p w14:paraId="75CBF78F" w14:textId="77777777"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45.</w:t>
      </w:r>
      <w:r w:rsidRPr="00A53A5A">
        <w:rPr>
          <w:rFonts w:ascii="David" w:hAnsi="David" w:cs="David"/>
          <w:sz w:val="24"/>
          <w:szCs w:val="24"/>
          <w:rtl/>
        </w:rPr>
        <w:tab/>
      </w:r>
      <w:r w:rsidRPr="00A53A5A">
        <w:rPr>
          <w:rFonts w:ascii="David" w:hAnsi="David" w:cs="David" w:hint="eastAsia"/>
          <w:sz w:val="24"/>
          <w:szCs w:val="24"/>
          <w:rtl/>
        </w:rPr>
        <w:t>ככלל</w:t>
      </w:r>
      <w:r w:rsidRPr="00A53A5A">
        <w:rPr>
          <w:rFonts w:ascii="David" w:hAnsi="David" w:cs="David"/>
          <w:sz w:val="24"/>
          <w:szCs w:val="24"/>
          <w:rtl/>
        </w:rPr>
        <w:t xml:space="preserve">, קביעת עונשו של נאשם תיעשה בתוך המתחם, אלא אם כן ישנן נסיבות המצדיקות סטייה ממנו. במקרה דנן, בהעדר נסיבות כאלה </w:t>
      </w:r>
      <w:r w:rsidRPr="00A53A5A">
        <w:rPr>
          <w:rFonts w:ascii="David" w:hAnsi="David" w:cs="David" w:hint="eastAsia"/>
          <w:sz w:val="24"/>
          <w:szCs w:val="24"/>
          <w:rtl/>
        </w:rPr>
        <w:t>יש</w:t>
      </w:r>
      <w:r w:rsidRPr="00A53A5A">
        <w:rPr>
          <w:rFonts w:ascii="David" w:hAnsi="David" w:cs="David"/>
          <w:sz w:val="24"/>
          <w:szCs w:val="24"/>
          <w:rtl/>
        </w:rPr>
        <w:t xml:space="preserve"> לגזור את העונש בתוך המתחם. </w:t>
      </w:r>
    </w:p>
    <w:p w14:paraId="2CE519F1" w14:textId="77777777" w:rsidR="00A24187" w:rsidRPr="00A53A5A" w:rsidRDefault="00A24187" w:rsidP="00A53A5A">
      <w:pPr>
        <w:spacing w:after="0" w:line="360" w:lineRule="auto"/>
        <w:jc w:val="both"/>
        <w:rPr>
          <w:rFonts w:ascii="David" w:hAnsi="David" w:cs="David"/>
          <w:sz w:val="24"/>
          <w:szCs w:val="24"/>
          <w:rtl/>
        </w:rPr>
      </w:pPr>
    </w:p>
    <w:p w14:paraId="6C210917" w14:textId="77777777" w:rsidR="00A24187" w:rsidRPr="00A53A5A" w:rsidRDefault="00A24187" w:rsidP="00A53A5A">
      <w:pPr>
        <w:spacing w:after="0" w:line="360" w:lineRule="auto"/>
        <w:jc w:val="both"/>
        <w:rPr>
          <w:rFonts w:ascii="David" w:hAnsi="David" w:cs="David"/>
          <w:sz w:val="24"/>
          <w:szCs w:val="24"/>
          <w:rtl/>
        </w:rPr>
      </w:pPr>
      <w:r w:rsidRPr="00A53A5A">
        <w:rPr>
          <w:rFonts w:ascii="David" w:hAnsi="David" w:cs="David"/>
          <w:b/>
          <w:bCs/>
          <w:sz w:val="24"/>
          <w:szCs w:val="24"/>
          <w:rtl/>
        </w:rPr>
        <w:t>46</w:t>
      </w:r>
      <w:r w:rsidRPr="00A53A5A">
        <w:rPr>
          <w:rFonts w:ascii="David" w:hAnsi="David" w:cs="David"/>
          <w:sz w:val="24"/>
          <w:szCs w:val="24"/>
          <w:rtl/>
        </w:rPr>
        <w:t>.</w:t>
      </w:r>
      <w:r w:rsidRPr="00A53A5A">
        <w:rPr>
          <w:rFonts w:ascii="David" w:hAnsi="David" w:cs="David"/>
          <w:sz w:val="24"/>
          <w:szCs w:val="24"/>
          <w:rtl/>
        </w:rPr>
        <w:tab/>
      </w:r>
      <w:r w:rsidRPr="00A53A5A">
        <w:rPr>
          <w:rFonts w:ascii="David" w:hAnsi="David" w:cs="David" w:hint="eastAsia"/>
          <w:sz w:val="24"/>
          <w:szCs w:val="24"/>
          <w:rtl/>
        </w:rPr>
        <w:t>העונש</w:t>
      </w:r>
      <w:r w:rsidRPr="00A53A5A">
        <w:rPr>
          <w:rFonts w:ascii="David" w:hAnsi="David" w:cs="David"/>
          <w:sz w:val="24"/>
          <w:szCs w:val="24"/>
          <w:rtl/>
        </w:rPr>
        <w:t xml:space="preserve"> הראוי לנאשם נקבע על פי הנסיבות שאינן </w:t>
      </w:r>
      <w:r w:rsidRPr="00A53A5A">
        <w:rPr>
          <w:rFonts w:ascii="David" w:hAnsi="David" w:cs="David" w:hint="eastAsia"/>
          <w:sz w:val="24"/>
          <w:szCs w:val="24"/>
          <w:rtl/>
        </w:rPr>
        <w:t>קשורות</w:t>
      </w:r>
      <w:r w:rsidRPr="00A53A5A">
        <w:rPr>
          <w:rFonts w:ascii="David" w:hAnsi="David" w:cs="David"/>
          <w:sz w:val="24"/>
          <w:szCs w:val="24"/>
          <w:rtl/>
        </w:rPr>
        <w:t xml:space="preserve"> בביצוע העבירות. </w:t>
      </w:r>
    </w:p>
    <w:p w14:paraId="4A66AFB1" w14:textId="77777777" w:rsidR="00A24187" w:rsidRPr="00A53A5A" w:rsidRDefault="00A24187" w:rsidP="00A53A5A">
      <w:pPr>
        <w:spacing w:after="0" w:line="360" w:lineRule="auto"/>
        <w:jc w:val="both"/>
        <w:rPr>
          <w:rFonts w:ascii="David" w:hAnsi="David" w:cs="David"/>
          <w:sz w:val="24"/>
          <w:szCs w:val="24"/>
          <w:rtl/>
        </w:rPr>
      </w:pPr>
    </w:p>
    <w:p w14:paraId="606EE859" w14:textId="77777777" w:rsidR="00A24187" w:rsidRPr="00A53A5A" w:rsidRDefault="00A24187" w:rsidP="00A53A5A">
      <w:pPr>
        <w:spacing w:after="0" w:line="360" w:lineRule="auto"/>
        <w:ind w:left="720"/>
        <w:jc w:val="both"/>
        <w:rPr>
          <w:rFonts w:ascii="David" w:hAnsi="David" w:cs="David"/>
          <w:sz w:val="24"/>
          <w:szCs w:val="24"/>
          <w:rtl/>
        </w:rPr>
      </w:pPr>
      <w:r w:rsidRPr="00A53A5A">
        <w:rPr>
          <w:rFonts w:ascii="David" w:hAnsi="David" w:cs="David" w:hint="eastAsia"/>
          <w:sz w:val="24"/>
          <w:szCs w:val="24"/>
          <w:rtl/>
        </w:rPr>
        <w:t>בין</w:t>
      </w:r>
      <w:r w:rsidRPr="00A53A5A">
        <w:rPr>
          <w:rFonts w:ascii="David" w:hAnsi="David" w:cs="David"/>
          <w:sz w:val="24"/>
          <w:szCs w:val="24"/>
          <w:rtl/>
        </w:rPr>
        <w:t xml:space="preserve"> הנסיבות הללו, יש למנות את נסיבות חייו הקשות של הנאשם שבפנינו, כפי שהן מובאות בתסקיר ובטיעוניו של הסניגור. המדובר בבחור צעיר, אשר מילדותו נאלץ להתמודד עם מציאות חיים משפחתית לא פשוטה, גדל בבית סבו וסבתו, ללא דמות אב ואם, ונרתם לסייע בפר</w:t>
      </w:r>
      <w:r w:rsidRPr="00A53A5A">
        <w:rPr>
          <w:rFonts w:ascii="David" w:hAnsi="David" w:cs="David" w:hint="eastAsia"/>
          <w:sz w:val="24"/>
          <w:szCs w:val="24"/>
          <w:rtl/>
        </w:rPr>
        <w:t>נסת</w:t>
      </w:r>
      <w:r w:rsidRPr="00A53A5A">
        <w:rPr>
          <w:rFonts w:ascii="David" w:hAnsi="David" w:cs="David"/>
          <w:sz w:val="24"/>
          <w:szCs w:val="24"/>
          <w:rtl/>
        </w:rPr>
        <w:t xml:space="preserve"> המשפחה, מאמץ שפגע הן בלימודיו והן בשירותו הצבאי. </w:t>
      </w:r>
    </w:p>
    <w:p w14:paraId="19D49060" w14:textId="77777777" w:rsidR="00A24187" w:rsidRPr="00A53A5A" w:rsidRDefault="00A24187" w:rsidP="00A53A5A">
      <w:pPr>
        <w:spacing w:after="0" w:line="360" w:lineRule="auto"/>
        <w:jc w:val="both"/>
        <w:rPr>
          <w:rFonts w:ascii="David" w:hAnsi="David" w:cs="David"/>
          <w:sz w:val="24"/>
          <w:szCs w:val="24"/>
          <w:rtl/>
        </w:rPr>
      </w:pPr>
    </w:p>
    <w:p w14:paraId="0AB377E3" w14:textId="77777777" w:rsidR="00A24187" w:rsidRPr="00A53A5A" w:rsidRDefault="00A24187" w:rsidP="00A53A5A">
      <w:pPr>
        <w:spacing w:after="0" w:line="360" w:lineRule="auto"/>
        <w:ind w:left="720"/>
        <w:jc w:val="both"/>
        <w:rPr>
          <w:rFonts w:ascii="David" w:hAnsi="David" w:cs="David"/>
          <w:sz w:val="24"/>
          <w:szCs w:val="24"/>
          <w:rtl/>
        </w:rPr>
      </w:pPr>
      <w:r w:rsidRPr="00A53A5A">
        <w:rPr>
          <w:rFonts w:ascii="David" w:hAnsi="David" w:cs="David" w:hint="eastAsia"/>
          <w:sz w:val="24"/>
          <w:szCs w:val="24"/>
          <w:rtl/>
        </w:rPr>
        <w:t>על</w:t>
      </w:r>
      <w:r w:rsidRPr="00A53A5A">
        <w:rPr>
          <w:rFonts w:ascii="David" w:hAnsi="David" w:cs="David"/>
          <w:sz w:val="24"/>
          <w:szCs w:val="24"/>
          <w:rtl/>
        </w:rPr>
        <w:t xml:space="preserve"> פי האמור בתסקיר, הנאשם מגלה אמפטיה כלפי המתלוננים, נוטל אחריות מלאה על מעשיו ומכיר בחומרתם (הגם, שכאמור, שולל הוא כוונה פגוע במתלוננים). הנאשם הביע בפני שירות המבחן נזקקות טיפולית ונכונות ורצון להשתלב בהליך טיפולי, אף שהוא מודע לכך שיהיה עליו לרצות עונש מאסר, ואף מבקש כי משך המאסר שייגזר יאפשר לו השלמת תכנית טיפולית-שיקומית שתסייע בידיו לחזור לחיים תקינים ונורמטיביים. </w:t>
      </w:r>
    </w:p>
    <w:p w14:paraId="220AFE1B" w14:textId="77777777" w:rsidR="00A24187" w:rsidRPr="00A53A5A" w:rsidRDefault="00A24187" w:rsidP="00A53A5A">
      <w:pPr>
        <w:spacing w:after="0" w:line="360" w:lineRule="auto"/>
        <w:jc w:val="both"/>
        <w:rPr>
          <w:rFonts w:ascii="David" w:hAnsi="David" w:cs="David"/>
          <w:sz w:val="24"/>
          <w:szCs w:val="24"/>
          <w:rtl/>
        </w:rPr>
      </w:pPr>
    </w:p>
    <w:p w14:paraId="1AC325F5" w14:textId="77777777" w:rsidR="00A24187" w:rsidRPr="00A53A5A" w:rsidRDefault="00A24187" w:rsidP="00A53A5A">
      <w:pPr>
        <w:spacing w:after="0" w:line="360" w:lineRule="auto"/>
        <w:ind w:left="720"/>
        <w:jc w:val="both"/>
        <w:rPr>
          <w:rFonts w:ascii="David" w:hAnsi="David" w:cs="David"/>
          <w:sz w:val="24"/>
          <w:szCs w:val="24"/>
          <w:rtl/>
        </w:rPr>
      </w:pPr>
      <w:r w:rsidRPr="00A53A5A">
        <w:rPr>
          <w:rFonts w:ascii="David" w:hAnsi="David" w:cs="David" w:hint="eastAsia"/>
          <w:sz w:val="24"/>
          <w:szCs w:val="24"/>
          <w:rtl/>
        </w:rPr>
        <w:t>עוד</w:t>
      </w:r>
      <w:r w:rsidRPr="00A53A5A">
        <w:rPr>
          <w:rFonts w:ascii="David" w:hAnsi="David" w:cs="David"/>
          <w:sz w:val="24"/>
          <w:szCs w:val="24"/>
          <w:rtl/>
        </w:rPr>
        <w:t xml:space="preserve"> עומדת לזכותו של הנאשם הודאתו במיוחס לו,  הודאה שניתנה אמנם בשלב מתקדם יחסית של ההליך, אך משקפת את נכונותו להכיר בחטאיו והיא תרמה  לחיסכון בזמן שיפוטי ובזמנם של העדים שטרם העידו.  </w:t>
      </w:r>
    </w:p>
    <w:p w14:paraId="4B93DACE" w14:textId="77777777" w:rsidR="00A24187" w:rsidRPr="00A53A5A" w:rsidRDefault="00A24187" w:rsidP="00A53A5A">
      <w:pPr>
        <w:spacing w:after="0" w:line="360" w:lineRule="auto"/>
        <w:jc w:val="both"/>
        <w:rPr>
          <w:rFonts w:ascii="David" w:hAnsi="David" w:cs="David"/>
          <w:sz w:val="24"/>
          <w:szCs w:val="24"/>
          <w:rtl/>
        </w:rPr>
      </w:pPr>
    </w:p>
    <w:p w14:paraId="023DF086" w14:textId="77777777"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47</w:t>
      </w:r>
      <w:r w:rsidRPr="00A53A5A">
        <w:rPr>
          <w:rFonts w:ascii="David" w:hAnsi="David" w:cs="David"/>
          <w:sz w:val="24"/>
          <w:szCs w:val="24"/>
          <w:rtl/>
        </w:rPr>
        <w:t>.</w:t>
      </w:r>
      <w:r w:rsidRPr="00A53A5A">
        <w:rPr>
          <w:rFonts w:ascii="David" w:hAnsi="David" w:cs="David"/>
          <w:sz w:val="24"/>
          <w:szCs w:val="24"/>
          <w:rtl/>
        </w:rPr>
        <w:tab/>
      </w:r>
      <w:r w:rsidRPr="00A53A5A">
        <w:rPr>
          <w:rFonts w:ascii="David" w:hAnsi="David" w:cs="David" w:hint="eastAsia"/>
          <w:sz w:val="24"/>
          <w:szCs w:val="24"/>
          <w:rtl/>
        </w:rPr>
        <w:t>מנגד</w:t>
      </w:r>
      <w:r w:rsidRPr="00A53A5A">
        <w:rPr>
          <w:rFonts w:ascii="David" w:hAnsi="David" w:cs="David"/>
          <w:sz w:val="24"/>
          <w:szCs w:val="24"/>
          <w:rtl/>
        </w:rPr>
        <w:t xml:space="preserve">, לחובת הנאשם, עומדת הרשעתו הקודמת בעבירות גניבה, ניסיון להונאה בכרטיס חיוב, כניסה למגורים/תפילה לבצע עבירה, הונאה בכרטיס אשראי והפרת הוראה חוקית.  בגין עבירות אלה הוא נדון ל-8 חודשי מאסר מאחורי סורג ובריח, אותם סיים לרצות זמן לא רב לפני שביצע את העבירות הנדונות בהליך זה. עיננו הרואות כי </w:t>
      </w:r>
      <w:r w:rsidRPr="00A53A5A">
        <w:rPr>
          <w:rFonts w:ascii="David" w:hAnsi="David" w:cs="David" w:hint="eastAsia"/>
          <w:sz w:val="24"/>
          <w:szCs w:val="24"/>
          <w:rtl/>
        </w:rPr>
        <w:t>הנאשם</w:t>
      </w:r>
      <w:r w:rsidRPr="00A53A5A">
        <w:rPr>
          <w:rFonts w:ascii="David" w:hAnsi="David" w:cs="David"/>
          <w:sz w:val="24"/>
          <w:szCs w:val="24"/>
          <w:rtl/>
        </w:rPr>
        <w:t xml:space="preserve"> לא הפנים את המסר מהסתבכותו בהליך הפלילי הקודם ושב לבצע עבירות שהינן עבירות חמורות יותר.  </w:t>
      </w:r>
    </w:p>
    <w:p w14:paraId="1D40F66F" w14:textId="77777777" w:rsidR="00A24187" w:rsidRPr="00A53A5A" w:rsidRDefault="00A24187" w:rsidP="00A53A5A">
      <w:pPr>
        <w:spacing w:after="0" w:line="360" w:lineRule="auto"/>
        <w:ind w:hanging="720"/>
        <w:jc w:val="both"/>
        <w:rPr>
          <w:rFonts w:ascii="David" w:hAnsi="David" w:cs="David"/>
          <w:sz w:val="24"/>
          <w:szCs w:val="24"/>
          <w:rtl/>
        </w:rPr>
      </w:pPr>
    </w:p>
    <w:p w14:paraId="603ACB2E" w14:textId="77777777" w:rsidR="00A24187" w:rsidRPr="00A53A5A" w:rsidRDefault="00A24187" w:rsidP="00A53A5A">
      <w:pPr>
        <w:spacing w:after="0" w:line="360" w:lineRule="auto"/>
        <w:ind w:left="720" w:hanging="720"/>
        <w:jc w:val="both"/>
        <w:rPr>
          <w:rFonts w:ascii="David" w:hAnsi="David" w:cs="David"/>
          <w:b/>
          <w:bCs/>
          <w:sz w:val="24"/>
          <w:szCs w:val="24"/>
          <w:rtl/>
        </w:rPr>
      </w:pPr>
      <w:r w:rsidRPr="00A53A5A">
        <w:rPr>
          <w:rFonts w:ascii="David" w:hAnsi="David" w:cs="David"/>
          <w:b/>
          <w:bCs/>
          <w:sz w:val="24"/>
          <w:szCs w:val="24"/>
          <w:rtl/>
        </w:rPr>
        <w:t>48.</w:t>
      </w:r>
      <w:r w:rsidRPr="00A53A5A">
        <w:rPr>
          <w:rFonts w:ascii="David" w:hAnsi="David" w:cs="David"/>
          <w:b/>
          <w:bCs/>
          <w:sz w:val="24"/>
          <w:szCs w:val="24"/>
          <w:rtl/>
        </w:rPr>
        <w:tab/>
      </w:r>
      <w:r w:rsidRPr="00A53A5A">
        <w:rPr>
          <w:rFonts w:ascii="David" w:hAnsi="David" w:cs="David" w:hint="eastAsia"/>
          <w:b/>
          <w:bCs/>
          <w:sz w:val="24"/>
          <w:szCs w:val="24"/>
          <w:rtl/>
        </w:rPr>
        <w:t>בנסיבות</w:t>
      </w:r>
      <w:r w:rsidRPr="00A53A5A">
        <w:rPr>
          <w:rFonts w:ascii="David" w:hAnsi="David" w:cs="David"/>
          <w:b/>
          <w:bCs/>
          <w:sz w:val="24"/>
          <w:szCs w:val="24"/>
          <w:rtl/>
        </w:rPr>
        <w:t xml:space="preserve"> אלה, אנו סבורים כי יש לגזור את עונשו של הנאשם בצדו הבינוני נמוך של המתחם ולגזור עליו עונשים כדלקמן:</w:t>
      </w:r>
    </w:p>
    <w:p w14:paraId="4A917FCC" w14:textId="77777777" w:rsidR="00A24187" w:rsidRPr="00A53A5A" w:rsidRDefault="00A24187" w:rsidP="00A53A5A">
      <w:pPr>
        <w:spacing w:after="0" w:line="360" w:lineRule="auto"/>
        <w:contextualSpacing/>
        <w:jc w:val="both"/>
        <w:rPr>
          <w:rFonts w:ascii="David" w:hAnsi="David" w:cs="David"/>
          <w:sz w:val="24"/>
          <w:szCs w:val="24"/>
          <w:rtl/>
        </w:rPr>
      </w:pPr>
    </w:p>
    <w:p w14:paraId="4AE09804" w14:textId="77777777" w:rsidR="00A24187" w:rsidRPr="00A53A5A" w:rsidRDefault="00A24187" w:rsidP="00A53A5A">
      <w:pPr>
        <w:spacing w:after="0" w:line="360" w:lineRule="auto"/>
        <w:ind w:firstLine="720"/>
        <w:contextualSpacing/>
        <w:jc w:val="both"/>
        <w:rPr>
          <w:rFonts w:ascii="David" w:hAnsi="David" w:cs="David"/>
          <w:sz w:val="24"/>
          <w:szCs w:val="24"/>
          <w:rtl/>
        </w:rPr>
      </w:pPr>
      <w:r w:rsidRPr="00A53A5A">
        <w:rPr>
          <w:rFonts w:ascii="David" w:hAnsi="David" w:cs="David" w:hint="eastAsia"/>
          <w:b/>
          <w:bCs/>
          <w:sz w:val="24"/>
          <w:szCs w:val="24"/>
          <w:rtl/>
        </w:rPr>
        <w:t>א</w:t>
      </w:r>
      <w:r w:rsidRPr="00A53A5A">
        <w:rPr>
          <w:rFonts w:ascii="David" w:hAnsi="David" w:cs="David"/>
          <w:sz w:val="24"/>
          <w:szCs w:val="24"/>
          <w:rtl/>
        </w:rPr>
        <w:t>.</w:t>
      </w:r>
      <w:r w:rsidRPr="00A53A5A">
        <w:rPr>
          <w:rFonts w:ascii="David" w:hAnsi="David" w:cs="David"/>
          <w:sz w:val="24"/>
          <w:szCs w:val="24"/>
          <w:rtl/>
        </w:rPr>
        <w:tab/>
        <w:t xml:space="preserve">5 </w:t>
      </w:r>
      <w:r w:rsidRPr="00A53A5A">
        <w:rPr>
          <w:rFonts w:ascii="David" w:hAnsi="David" w:cs="David" w:hint="eastAsia"/>
          <w:sz w:val="24"/>
          <w:szCs w:val="24"/>
          <w:rtl/>
        </w:rPr>
        <w:t>שנות</w:t>
      </w:r>
      <w:r w:rsidRPr="00A53A5A">
        <w:rPr>
          <w:rFonts w:ascii="David" w:hAnsi="David" w:cs="David"/>
          <w:sz w:val="24"/>
          <w:szCs w:val="24"/>
          <w:rtl/>
        </w:rPr>
        <w:t xml:space="preserve"> </w:t>
      </w:r>
      <w:r w:rsidRPr="00A53A5A">
        <w:rPr>
          <w:rFonts w:ascii="David" w:hAnsi="David" w:cs="David" w:hint="eastAsia"/>
          <w:sz w:val="24"/>
          <w:szCs w:val="24"/>
          <w:rtl/>
        </w:rPr>
        <w:t>מאסר</w:t>
      </w:r>
      <w:r w:rsidRPr="00A53A5A">
        <w:rPr>
          <w:rFonts w:ascii="David" w:hAnsi="David" w:cs="David"/>
          <w:sz w:val="24"/>
          <w:szCs w:val="24"/>
          <w:rtl/>
        </w:rPr>
        <w:t xml:space="preserve"> </w:t>
      </w:r>
      <w:r w:rsidRPr="00A53A5A">
        <w:rPr>
          <w:rFonts w:ascii="David" w:hAnsi="David" w:cs="David" w:hint="eastAsia"/>
          <w:sz w:val="24"/>
          <w:szCs w:val="24"/>
          <w:rtl/>
        </w:rPr>
        <w:t>בפועל</w:t>
      </w:r>
      <w:r w:rsidRPr="00A53A5A">
        <w:rPr>
          <w:rFonts w:ascii="David" w:hAnsi="David" w:cs="David"/>
          <w:sz w:val="24"/>
          <w:szCs w:val="24"/>
          <w:rtl/>
        </w:rPr>
        <w:t xml:space="preserve">, </w:t>
      </w:r>
      <w:r w:rsidRPr="00A53A5A">
        <w:rPr>
          <w:rFonts w:ascii="David" w:hAnsi="David" w:cs="David" w:hint="eastAsia"/>
          <w:sz w:val="24"/>
          <w:szCs w:val="24"/>
          <w:rtl/>
        </w:rPr>
        <w:t>שימנו</w:t>
      </w:r>
      <w:r w:rsidRPr="00A53A5A">
        <w:rPr>
          <w:rFonts w:ascii="David" w:hAnsi="David" w:cs="David"/>
          <w:sz w:val="24"/>
          <w:szCs w:val="24"/>
          <w:rtl/>
        </w:rPr>
        <w:t xml:space="preserve"> </w:t>
      </w:r>
      <w:r w:rsidRPr="00A53A5A">
        <w:rPr>
          <w:rFonts w:ascii="David" w:hAnsi="David" w:cs="David" w:hint="eastAsia"/>
          <w:sz w:val="24"/>
          <w:szCs w:val="24"/>
          <w:rtl/>
        </w:rPr>
        <w:t>מיום</w:t>
      </w:r>
      <w:r w:rsidRPr="00A53A5A">
        <w:rPr>
          <w:rFonts w:ascii="David" w:hAnsi="David" w:cs="David"/>
          <w:sz w:val="24"/>
          <w:szCs w:val="24"/>
          <w:rtl/>
        </w:rPr>
        <w:t xml:space="preserve"> </w:t>
      </w:r>
      <w:r w:rsidRPr="00A53A5A">
        <w:rPr>
          <w:rFonts w:ascii="David" w:hAnsi="David" w:cs="David" w:hint="eastAsia"/>
          <w:sz w:val="24"/>
          <w:szCs w:val="24"/>
          <w:rtl/>
        </w:rPr>
        <w:t>מעצרו</w:t>
      </w:r>
      <w:r w:rsidRPr="00A53A5A">
        <w:rPr>
          <w:rFonts w:ascii="David" w:hAnsi="David" w:cs="David"/>
          <w:sz w:val="24"/>
          <w:szCs w:val="24"/>
          <w:rtl/>
        </w:rPr>
        <w:t xml:space="preserve"> </w:t>
      </w:r>
      <w:r w:rsidRPr="00A53A5A">
        <w:rPr>
          <w:rFonts w:ascii="David" w:hAnsi="David" w:cs="David" w:hint="eastAsia"/>
          <w:sz w:val="24"/>
          <w:szCs w:val="24"/>
          <w:rtl/>
        </w:rPr>
        <w:t>של</w:t>
      </w:r>
      <w:r w:rsidRPr="00A53A5A">
        <w:rPr>
          <w:rFonts w:ascii="David" w:hAnsi="David" w:cs="David"/>
          <w:sz w:val="24"/>
          <w:szCs w:val="24"/>
          <w:rtl/>
        </w:rPr>
        <w:t xml:space="preserve"> </w:t>
      </w:r>
      <w:r w:rsidRPr="00A53A5A">
        <w:rPr>
          <w:rFonts w:ascii="David" w:hAnsi="David" w:cs="David" w:hint="eastAsia"/>
          <w:sz w:val="24"/>
          <w:szCs w:val="24"/>
          <w:rtl/>
        </w:rPr>
        <w:t>הנאשם</w:t>
      </w:r>
      <w:r w:rsidRPr="00A53A5A">
        <w:rPr>
          <w:rFonts w:ascii="David" w:hAnsi="David" w:cs="David"/>
          <w:sz w:val="24"/>
          <w:szCs w:val="24"/>
          <w:rtl/>
        </w:rPr>
        <w:t>,</w:t>
      </w:r>
      <w:r w:rsidRPr="00A53A5A">
        <w:rPr>
          <w:rFonts w:ascii="David" w:hAnsi="David" w:cs="David"/>
          <w:b/>
          <w:bCs/>
          <w:sz w:val="24"/>
          <w:szCs w:val="24"/>
          <w:rtl/>
        </w:rPr>
        <w:t xml:space="preserve"> 3.3.2016.</w:t>
      </w:r>
    </w:p>
    <w:p w14:paraId="2534A24D" w14:textId="77777777" w:rsidR="00A24187" w:rsidRPr="00A53A5A" w:rsidRDefault="00A24187" w:rsidP="00A53A5A">
      <w:pPr>
        <w:spacing w:after="0" w:line="360" w:lineRule="auto"/>
        <w:contextualSpacing/>
        <w:jc w:val="both"/>
        <w:rPr>
          <w:rFonts w:ascii="David" w:hAnsi="David" w:cs="David"/>
          <w:sz w:val="24"/>
          <w:szCs w:val="24"/>
        </w:rPr>
      </w:pPr>
    </w:p>
    <w:p w14:paraId="6F433D6F" w14:textId="77777777" w:rsidR="00A24187" w:rsidRPr="00A53A5A" w:rsidRDefault="00A24187" w:rsidP="00A53A5A">
      <w:pPr>
        <w:spacing w:after="0" w:line="360" w:lineRule="auto"/>
        <w:ind w:left="1440" w:hanging="720"/>
        <w:contextualSpacing/>
        <w:jc w:val="both"/>
        <w:rPr>
          <w:rFonts w:ascii="David" w:hAnsi="David" w:cs="David"/>
          <w:sz w:val="24"/>
          <w:szCs w:val="24"/>
          <w:rtl/>
        </w:rPr>
      </w:pPr>
      <w:r w:rsidRPr="00A53A5A">
        <w:rPr>
          <w:rFonts w:ascii="David" w:hAnsi="David" w:cs="David" w:hint="eastAsia"/>
          <w:b/>
          <w:bCs/>
          <w:sz w:val="24"/>
          <w:szCs w:val="24"/>
          <w:rtl/>
        </w:rPr>
        <w:t>ב</w:t>
      </w:r>
      <w:r w:rsidRPr="00A53A5A">
        <w:rPr>
          <w:rFonts w:ascii="David" w:hAnsi="David" w:cs="David"/>
          <w:b/>
          <w:bCs/>
          <w:sz w:val="24"/>
          <w:szCs w:val="24"/>
          <w:rtl/>
        </w:rPr>
        <w:t>.</w:t>
      </w:r>
      <w:r w:rsidRPr="00A53A5A">
        <w:rPr>
          <w:rFonts w:ascii="David" w:hAnsi="David" w:cs="David"/>
          <w:sz w:val="24"/>
          <w:szCs w:val="24"/>
          <w:rtl/>
        </w:rPr>
        <w:tab/>
        <w:t xml:space="preserve">12 </w:t>
      </w:r>
      <w:r w:rsidRPr="00A53A5A">
        <w:rPr>
          <w:rFonts w:ascii="David" w:hAnsi="David" w:cs="David" w:hint="eastAsia"/>
          <w:sz w:val="24"/>
          <w:szCs w:val="24"/>
          <w:rtl/>
        </w:rPr>
        <w:t>חודשי</w:t>
      </w:r>
      <w:r w:rsidRPr="00A53A5A">
        <w:rPr>
          <w:rFonts w:ascii="David" w:hAnsi="David" w:cs="David"/>
          <w:sz w:val="24"/>
          <w:szCs w:val="24"/>
          <w:rtl/>
        </w:rPr>
        <w:t xml:space="preserve"> </w:t>
      </w:r>
      <w:r w:rsidRPr="00A53A5A">
        <w:rPr>
          <w:rFonts w:ascii="David" w:hAnsi="David" w:cs="David" w:hint="eastAsia"/>
          <w:sz w:val="24"/>
          <w:szCs w:val="24"/>
          <w:rtl/>
        </w:rPr>
        <w:t>מאסר</w:t>
      </w:r>
      <w:r w:rsidRPr="00A53A5A">
        <w:rPr>
          <w:rFonts w:ascii="David" w:hAnsi="David" w:cs="David"/>
          <w:sz w:val="24"/>
          <w:szCs w:val="24"/>
          <w:rtl/>
        </w:rPr>
        <w:t xml:space="preserve"> </w:t>
      </w:r>
      <w:r w:rsidRPr="00A53A5A">
        <w:rPr>
          <w:rFonts w:ascii="David" w:hAnsi="David" w:cs="David" w:hint="eastAsia"/>
          <w:sz w:val="24"/>
          <w:szCs w:val="24"/>
          <w:rtl/>
        </w:rPr>
        <w:t>על</w:t>
      </w:r>
      <w:r w:rsidRPr="00A53A5A">
        <w:rPr>
          <w:rFonts w:ascii="David" w:hAnsi="David" w:cs="David"/>
          <w:sz w:val="24"/>
          <w:szCs w:val="24"/>
          <w:rtl/>
        </w:rPr>
        <w:t xml:space="preserve"> </w:t>
      </w:r>
      <w:r w:rsidRPr="00A53A5A">
        <w:rPr>
          <w:rFonts w:ascii="David" w:hAnsi="David" w:cs="David" w:hint="eastAsia"/>
          <w:sz w:val="24"/>
          <w:szCs w:val="24"/>
          <w:rtl/>
        </w:rPr>
        <w:t>תנאי</w:t>
      </w:r>
      <w:r w:rsidRPr="00A53A5A">
        <w:rPr>
          <w:rFonts w:ascii="David" w:hAnsi="David" w:cs="David"/>
          <w:sz w:val="24"/>
          <w:szCs w:val="24"/>
          <w:rtl/>
        </w:rPr>
        <w:t xml:space="preserve">, </w:t>
      </w:r>
      <w:r w:rsidRPr="00A53A5A">
        <w:rPr>
          <w:rFonts w:ascii="David" w:hAnsi="David" w:cs="David" w:hint="eastAsia"/>
          <w:sz w:val="24"/>
          <w:szCs w:val="24"/>
          <w:rtl/>
        </w:rPr>
        <w:t>למשך</w:t>
      </w:r>
      <w:r w:rsidRPr="00A53A5A">
        <w:rPr>
          <w:rFonts w:ascii="David" w:hAnsi="David" w:cs="David"/>
          <w:sz w:val="24"/>
          <w:szCs w:val="24"/>
          <w:rtl/>
        </w:rPr>
        <w:t xml:space="preserve"> 3 </w:t>
      </w:r>
      <w:r w:rsidRPr="00A53A5A">
        <w:rPr>
          <w:rFonts w:ascii="David" w:hAnsi="David" w:cs="David" w:hint="eastAsia"/>
          <w:sz w:val="24"/>
          <w:szCs w:val="24"/>
          <w:rtl/>
        </w:rPr>
        <w:t>שנים</w:t>
      </w:r>
      <w:r w:rsidRPr="00A53A5A">
        <w:rPr>
          <w:rFonts w:ascii="David" w:hAnsi="David" w:cs="David"/>
          <w:sz w:val="24"/>
          <w:szCs w:val="24"/>
          <w:rtl/>
        </w:rPr>
        <w:t xml:space="preserve">, </w:t>
      </w:r>
      <w:r w:rsidRPr="00A53A5A">
        <w:rPr>
          <w:rFonts w:ascii="David" w:hAnsi="David" w:cs="David" w:hint="eastAsia"/>
          <w:sz w:val="24"/>
          <w:szCs w:val="24"/>
          <w:rtl/>
        </w:rPr>
        <w:t>והתנאי</w:t>
      </w:r>
      <w:r w:rsidRPr="00A53A5A">
        <w:rPr>
          <w:rFonts w:ascii="David" w:hAnsi="David" w:cs="David"/>
          <w:sz w:val="24"/>
          <w:szCs w:val="24"/>
          <w:rtl/>
        </w:rPr>
        <w:t xml:space="preserve"> </w:t>
      </w:r>
      <w:r w:rsidRPr="00A53A5A">
        <w:rPr>
          <w:rFonts w:ascii="David" w:hAnsi="David" w:cs="David" w:hint="eastAsia"/>
          <w:sz w:val="24"/>
          <w:szCs w:val="24"/>
          <w:rtl/>
        </w:rPr>
        <w:t>הוא</w:t>
      </w:r>
      <w:r w:rsidRPr="00A53A5A">
        <w:rPr>
          <w:rFonts w:ascii="David" w:hAnsi="David" w:cs="David"/>
          <w:sz w:val="24"/>
          <w:szCs w:val="24"/>
          <w:rtl/>
        </w:rPr>
        <w:t xml:space="preserve"> </w:t>
      </w:r>
      <w:r w:rsidRPr="00A53A5A">
        <w:rPr>
          <w:rFonts w:ascii="David" w:hAnsi="David" w:cs="David" w:hint="eastAsia"/>
          <w:sz w:val="24"/>
          <w:szCs w:val="24"/>
          <w:rtl/>
        </w:rPr>
        <w:t>שלא</w:t>
      </w:r>
      <w:r w:rsidRPr="00A53A5A">
        <w:rPr>
          <w:rFonts w:ascii="David" w:hAnsi="David" w:cs="David"/>
          <w:sz w:val="24"/>
          <w:szCs w:val="24"/>
          <w:rtl/>
        </w:rPr>
        <w:t xml:space="preserve"> </w:t>
      </w:r>
      <w:r w:rsidRPr="00A53A5A">
        <w:rPr>
          <w:rFonts w:ascii="David" w:hAnsi="David" w:cs="David" w:hint="eastAsia"/>
          <w:sz w:val="24"/>
          <w:szCs w:val="24"/>
          <w:rtl/>
        </w:rPr>
        <w:t>יעבור</w:t>
      </w:r>
      <w:r w:rsidRPr="00A53A5A">
        <w:rPr>
          <w:rFonts w:ascii="David" w:hAnsi="David" w:cs="David"/>
          <w:sz w:val="24"/>
          <w:szCs w:val="24"/>
          <w:rtl/>
        </w:rPr>
        <w:t xml:space="preserve"> </w:t>
      </w:r>
      <w:r w:rsidRPr="00A53A5A">
        <w:rPr>
          <w:rFonts w:ascii="David" w:hAnsi="David" w:cs="David" w:hint="eastAsia"/>
          <w:sz w:val="24"/>
          <w:szCs w:val="24"/>
          <w:rtl/>
        </w:rPr>
        <w:t>במהלך</w:t>
      </w:r>
      <w:r w:rsidRPr="00A53A5A">
        <w:rPr>
          <w:rFonts w:ascii="David" w:hAnsi="David" w:cs="David"/>
          <w:sz w:val="24"/>
          <w:szCs w:val="24"/>
          <w:rtl/>
        </w:rPr>
        <w:t xml:space="preserve"> </w:t>
      </w:r>
      <w:r w:rsidRPr="00A53A5A">
        <w:rPr>
          <w:rFonts w:ascii="David" w:hAnsi="David" w:cs="David" w:hint="eastAsia"/>
          <w:sz w:val="24"/>
          <w:szCs w:val="24"/>
          <w:rtl/>
        </w:rPr>
        <w:t>תקופה</w:t>
      </w:r>
      <w:r w:rsidRPr="00A53A5A">
        <w:rPr>
          <w:rFonts w:ascii="David" w:hAnsi="David" w:cs="David"/>
          <w:sz w:val="24"/>
          <w:szCs w:val="24"/>
          <w:rtl/>
        </w:rPr>
        <w:t xml:space="preserve"> </w:t>
      </w:r>
      <w:r w:rsidRPr="00A53A5A">
        <w:rPr>
          <w:rFonts w:ascii="David" w:hAnsi="David" w:cs="David" w:hint="eastAsia"/>
          <w:sz w:val="24"/>
          <w:szCs w:val="24"/>
          <w:rtl/>
        </w:rPr>
        <w:t>זו</w:t>
      </w:r>
      <w:r w:rsidRPr="00A53A5A">
        <w:rPr>
          <w:rFonts w:ascii="David" w:hAnsi="David" w:cs="David"/>
          <w:sz w:val="24"/>
          <w:szCs w:val="24"/>
          <w:rtl/>
        </w:rPr>
        <w:t xml:space="preserve"> </w:t>
      </w:r>
      <w:r w:rsidRPr="00A53A5A">
        <w:rPr>
          <w:rFonts w:ascii="David" w:hAnsi="David" w:cs="David" w:hint="eastAsia"/>
          <w:sz w:val="24"/>
          <w:szCs w:val="24"/>
          <w:rtl/>
        </w:rPr>
        <w:t>כל</w:t>
      </w:r>
      <w:r w:rsidRPr="00A53A5A">
        <w:rPr>
          <w:rFonts w:ascii="David" w:hAnsi="David" w:cs="David"/>
          <w:sz w:val="24"/>
          <w:szCs w:val="24"/>
          <w:rtl/>
        </w:rPr>
        <w:t xml:space="preserve"> </w:t>
      </w:r>
      <w:r w:rsidRPr="00A53A5A">
        <w:rPr>
          <w:rFonts w:ascii="David" w:hAnsi="David" w:cs="David" w:hint="eastAsia"/>
          <w:sz w:val="24"/>
          <w:szCs w:val="24"/>
          <w:rtl/>
        </w:rPr>
        <w:t>עבירת</w:t>
      </w:r>
      <w:r w:rsidRPr="00A53A5A">
        <w:rPr>
          <w:rFonts w:ascii="David" w:hAnsi="David" w:cs="David"/>
          <w:sz w:val="24"/>
          <w:szCs w:val="24"/>
          <w:rtl/>
        </w:rPr>
        <w:t xml:space="preserve"> </w:t>
      </w:r>
      <w:r w:rsidRPr="00A53A5A">
        <w:rPr>
          <w:rFonts w:ascii="David" w:hAnsi="David" w:cs="David" w:hint="eastAsia"/>
          <w:sz w:val="24"/>
          <w:szCs w:val="24"/>
          <w:rtl/>
        </w:rPr>
        <w:t>אלימות</w:t>
      </w:r>
      <w:r w:rsidRPr="00A53A5A">
        <w:rPr>
          <w:rFonts w:ascii="David" w:hAnsi="David" w:cs="David"/>
          <w:sz w:val="24"/>
          <w:szCs w:val="24"/>
          <w:rtl/>
        </w:rPr>
        <w:t xml:space="preserve"> </w:t>
      </w:r>
      <w:r w:rsidRPr="00A53A5A">
        <w:rPr>
          <w:rFonts w:ascii="David" w:hAnsi="David" w:cs="David" w:hint="eastAsia"/>
          <w:sz w:val="24"/>
          <w:szCs w:val="24"/>
          <w:rtl/>
        </w:rPr>
        <w:t>או</w:t>
      </w:r>
      <w:r w:rsidRPr="00A53A5A">
        <w:rPr>
          <w:rFonts w:ascii="David" w:hAnsi="David" w:cs="David"/>
          <w:sz w:val="24"/>
          <w:szCs w:val="24"/>
          <w:rtl/>
        </w:rPr>
        <w:t xml:space="preserve"> </w:t>
      </w:r>
      <w:r w:rsidRPr="00A53A5A">
        <w:rPr>
          <w:rFonts w:ascii="David" w:hAnsi="David" w:cs="David" w:hint="eastAsia"/>
          <w:sz w:val="24"/>
          <w:szCs w:val="24"/>
          <w:rtl/>
        </w:rPr>
        <w:t>נשק</w:t>
      </w:r>
      <w:r w:rsidRPr="00A53A5A">
        <w:rPr>
          <w:rFonts w:ascii="David" w:hAnsi="David" w:cs="David"/>
          <w:sz w:val="24"/>
          <w:szCs w:val="24"/>
          <w:rtl/>
        </w:rPr>
        <w:t xml:space="preserve"> </w:t>
      </w:r>
      <w:r w:rsidRPr="00A53A5A">
        <w:rPr>
          <w:rFonts w:ascii="David" w:hAnsi="David" w:cs="David" w:hint="eastAsia"/>
          <w:sz w:val="24"/>
          <w:szCs w:val="24"/>
          <w:rtl/>
        </w:rPr>
        <w:t>מסוג</w:t>
      </w:r>
      <w:r w:rsidRPr="00A53A5A">
        <w:rPr>
          <w:rFonts w:ascii="David" w:hAnsi="David" w:cs="David"/>
          <w:sz w:val="24"/>
          <w:szCs w:val="24"/>
          <w:rtl/>
        </w:rPr>
        <w:t xml:space="preserve"> </w:t>
      </w:r>
      <w:r w:rsidRPr="00A53A5A">
        <w:rPr>
          <w:rFonts w:ascii="David" w:hAnsi="David" w:cs="David" w:hint="eastAsia"/>
          <w:sz w:val="24"/>
          <w:szCs w:val="24"/>
          <w:rtl/>
        </w:rPr>
        <w:t>פשע</w:t>
      </w:r>
      <w:r w:rsidRPr="00A53A5A">
        <w:rPr>
          <w:rFonts w:ascii="David" w:hAnsi="David" w:cs="David"/>
          <w:sz w:val="24"/>
          <w:szCs w:val="24"/>
          <w:rtl/>
        </w:rPr>
        <w:t xml:space="preserve"> .</w:t>
      </w:r>
    </w:p>
    <w:p w14:paraId="0198C6E3" w14:textId="77777777" w:rsidR="00A24187" w:rsidRPr="00A53A5A" w:rsidRDefault="00A24187" w:rsidP="00A53A5A">
      <w:pPr>
        <w:spacing w:after="0" w:line="360" w:lineRule="auto"/>
        <w:contextualSpacing/>
        <w:jc w:val="both"/>
        <w:rPr>
          <w:rFonts w:ascii="David" w:hAnsi="David" w:cs="David"/>
          <w:sz w:val="24"/>
          <w:szCs w:val="24"/>
        </w:rPr>
      </w:pPr>
    </w:p>
    <w:p w14:paraId="5D1293CE" w14:textId="77777777" w:rsidR="00A24187" w:rsidRPr="00A53A5A" w:rsidRDefault="00A24187" w:rsidP="00A53A5A">
      <w:pPr>
        <w:spacing w:after="0" w:line="360" w:lineRule="auto"/>
        <w:ind w:left="1440" w:hanging="720"/>
        <w:contextualSpacing/>
        <w:jc w:val="both"/>
        <w:rPr>
          <w:rFonts w:ascii="David" w:hAnsi="David" w:cs="David"/>
          <w:sz w:val="24"/>
          <w:szCs w:val="24"/>
          <w:rtl/>
        </w:rPr>
      </w:pPr>
      <w:r w:rsidRPr="00A53A5A">
        <w:rPr>
          <w:rFonts w:ascii="David" w:hAnsi="David" w:cs="David" w:hint="eastAsia"/>
          <w:b/>
          <w:bCs/>
          <w:sz w:val="24"/>
          <w:szCs w:val="24"/>
          <w:rtl/>
        </w:rPr>
        <w:t>ג</w:t>
      </w:r>
      <w:r w:rsidRPr="00A53A5A">
        <w:rPr>
          <w:rFonts w:ascii="David" w:hAnsi="David" w:cs="David"/>
          <w:b/>
          <w:bCs/>
          <w:sz w:val="24"/>
          <w:szCs w:val="24"/>
          <w:rtl/>
        </w:rPr>
        <w:t>.</w:t>
      </w:r>
      <w:r w:rsidRPr="00A53A5A">
        <w:rPr>
          <w:rFonts w:ascii="David" w:hAnsi="David" w:cs="David"/>
          <w:sz w:val="24"/>
          <w:szCs w:val="24"/>
          <w:rtl/>
        </w:rPr>
        <w:tab/>
        <w:t xml:space="preserve">6 </w:t>
      </w:r>
      <w:r w:rsidRPr="00A53A5A">
        <w:rPr>
          <w:rFonts w:ascii="David" w:hAnsi="David" w:cs="David" w:hint="eastAsia"/>
          <w:sz w:val="24"/>
          <w:szCs w:val="24"/>
          <w:rtl/>
        </w:rPr>
        <w:t>חודשי</w:t>
      </w:r>
      <w:r w:rsidRPr="00A53A5A">
        <w:rPr>
          <w:rFonts w:ascii="David" w:hAnsi="David" w:cs="David"/>
          <w:sz w:val="24"/>
          <w:szCs w:val="24"/>
          <w:rtl/>
        </w:rPr>
        <w:t xml:space="preserve"> </w:t>
      </w:r>
      <w:r w:rsidRPr="00A53A5A">
        <w:rPr>
          <w:rFonts w:ascii="David" w:hAnsi="David" w:cs="David" w:hint="eastAsia"/>
          <w:sz w:val="24"/>
          <w:szCs w:val="24"/>
          <w:rtl/>
        </w:rPr>
        <w:t>מאסר</w:t>
      </w:r>
      <w:r w:rsidRPr="00A53A5A">
        <w:rPr>
          <w:rFonts w:ascii="David" w:hAnsi="David" w:cs="David"/>
          <w:sz w:val="24"/>
          <w:szCs w:val="24"/>
          <w:rtl/>
        </w:rPr>
        <w:t xml:space="preserve"> </w:t>
      </w:r>
      <w:r w:rsidRPr="00A53A5A">
        <w:rPr>
          <w:rFonts w:ascii="David" w:hAnsi="David" w:cs="David" w:hint="eastAsia"/>
          <w:sz w:val="24"/>
          <w:szCs w:val="24"/>
          <w:rtl/>
        </w:rPr>
        <w:t>על</w:t>
      </w:r>
      <w:r w:rsidRPr="00A53A5A">
        <w:rPr>
          <w:rFonts w:ascii="David" w:hAnsi="David" w:cs="David"/>
          <w:sz w:val="24"/>
          <w:szCs w:val="24"/>
          <w:rtl/>
        </w:rPr>
        <w:t xml:space="preserve"> </w:t>
      </w:r>
      <w:r w:rsidRPr="00A53A5A">
        <w:rPr>
          <w:rFonts w:ascii="David" w:hAnsi="David" w:cs="David" w:hint="eastAsia"/>
          <w:sz w:val="24"/>
          <w:szCs w:val="24"/>
          <w:rtl/>
        </w:rPr>
        <w:t>תנאי</w:t>
      </w:r>
      <w:r w:rsidRPr="00A53A5A">
        <w:rPr>
          <w:rFonts w:ascii="David" w:hAnsi="David" w:cs="David"/>
          <w:sz w:val="24"/>
          <w:szCs w:val="24"/>
          <w:rtl/>
        </w:rPr>
        <w:t xml:space="preserve">, </w:t>
      </w:r>
      <w:r w:rsidRPr="00A53A5A">
        <w:rPr>
          <w:rFonts w:ascii="David" w:hAnsi="David" w:cs="David" w:hint="eastAsia"/>
          <w:sz w:val="24"/>
          <w:szCs w:val="24"/>
          <w:rtl/>
        </w:rPr>
        <w:t>למשך</w:t>
      </w:r>
      <w:r w:rsidRPr="00A53A5A">
        <w:rPr>
          <w:rFonts w:ascii="David" w:hAnsi="David" w:cs="David"/>
          <w:sz w:val="24"/>
          <w:szCs w:val="24"/>
          <w:rtl/>
        </w:rPr>
        <w:t xml:space="preserve"> 3 </w:t>
      </w:r>
      <w:r w:rsidRPr="00A53A5A">
        <w:rPr>
          <w:rFonts w:ascii="David" w:hAnsi="David" w:cs="David" w:hint="eastAsia"/>
          <w:sz w:val="24"/>
          <w:szCs w:val="24"/>
          <w:rtl/>
        </w:rPr>
        <w:t>שנים</w:t>
      </w:r>
      <w:r w:rsidRPr="00A53A5A">
        <w:rPr>
          <w:rFonts w:ascii="David" w:hAnsi="David" w:cs="David"/>
          <w:sz w:val="24"/>
          <w:szCs w:val="24"/>
          <w:rtl/>
        </w:rPr>
        <w:t xml:space="preserve">, </w:t>
      </w:r>
      <w:r w:rsidRPr="00A53A5A">
        <w:rPr>
          <w:rFonts w:ascii="David" w:hAnsi="David" w:cs="David" w:hint="eastAsia"/>
          <w:sz w:val="24"/>
          <w:szCs w:val="24"/>
          <w:rtl/>
        </w:rPr>
        <w:t>והתנאי</w:t>
      </w:r>
      <w:r w:rsidRPr="00A53A5A">
        <w:rPr>
          <w:rFonts w:ascii="David" w:hAnsi="David" w:cs="David"/>
          <w:sz w:val="24"/>
          <w:szCs w:val="24"/>
          <w:rtl/>
        </w:rPr>
        <w:t xml:space="preserve"> </w:t>
      </w:r>
      <w:r w:rsidRPr="00A53A5A">
        <w:rPr>
          <w:rFonts w:ascii="David" w:hAnsi="David" w:cs="David" w:hint="eastAsia"/>
          <w:sz w:val="24"/>
          <w:szCs w:val="24"/>
          <w:rtl/>
        </w:rPr>
        <w:t>הוא</w:t>
      </w:r>
      <w:r w:rsidRPr="00A53A5A">
        <w:rPr>
          <w:rFonts w:ascii="David" w:hAnsi="David" w:cs="David"/>
          <w:sz w:val="24"/>
          <w:szCs w:val="24"/>
          <w:rtl/>
        </w:rPr>
        <w:t xml:space="preserve"> </w:t>
      </w:r>
      <w:r w:rsidRPr="00A53A5A">
        <w:rPr>
          <w:rFonts w:ascii="David" w:hAnsi="David" w:cs="David" w:hint="eastAsia"/>
          <w:sz w:val="24"/>
          <w:szCs w:val="24"/>
          <w:rtl/>
        </w:rPr>
        <w:t>שלא</w:t>
      </w:r>
      <w:r w:rsidRPr="00A53A5A">
        <w:rPr>
          <w:rFonts w:ascii="David" w:hAnsi="David" w:cs="David"/>
          <w:sz w:val="24"/>
          <w:szCs w:val="24"/>
          <w:rtl/>
        </w:rPr>
        <w:t xml:space="preserve"> </w:t>
      </w:r>
      <w:r w:rsidRPr="00A53A5A">
        <w:rPr>
          <w:rFonts w:ascii="David" w:hAnsi="David" w:cs="David" w:hint="eastAsia"/>
          <w:sz w:val="24"/>
          <w:szCs w:val="24"/>
          <w:rtl/>
        </w:rPr>
        <w:t>יעבור</w:t>
      </w:r>
      <w:r w:rsidRPr="00A53A5A">
        <w:rPr>
          <w:rFonts w:ascii="David" w:hAnsi="David" w:cs="David"/>
          <w:sz w:val="24"/>
          <w:szCs w:val="24"/>
          <w:rtl/>
        </w:rPr>
        <w:t xml:space="preserve"> </w:t>
      </w:r>
      <w:r w:rsidRPr="00A53A5A">
        <w:rPr>
          <w:rFonts w:ascii="David" w:hAnsi="David" w:cs="David" w:hint="eastAsia"/>
          <w:sz w:val="24"/>
          <w:szCs w:val="24"/>
          <w:rtl/>
        </w:rPr>
        <w:t>במהלך</w:t>
      </w:r>
      <w:r w:rsidRPr="00A53A5A">
        <w:rPr>
          <w:rFonts w:ascii="David" w:hAnsi="David" w:cs="David"/>
          <w:sz w:val="24"/>
          <w:szCs w:val="24"/>
          <w:rtl/>
        </w:rPr>
        <w:t xml:space="preserve"> </w:t>
      </w:r>
      <w:r w:rsidRPr="00A53A5A">
        <w:rPr>
          <w:rFonts w:ascii="David" w:hAnsi="David" w:cs="David" w:hint="eastAsia"/>
          <w:sz w:val="24"/>
          <w:szCs w:val="24"/>
          <w:rtl/>
        </w:rPr>
        <w:t>תקופה</w:t>
      </w:r>
      <w:r w:rsidRPr="00A53A5A">
        <w:rPr>
          <w:rFonts w:ascii="David" w:hAnsi="David" w:cs="David"/>
          <w:sz w:val="24"/>
          <w:szCs w:val="24"/>
          <w:rtl/>
        </w:rPr>
        <w:t xml:space="preserve"> </w:t>
      </w:r>
      <w:r w:rsidRPr="00A53A5A">
        <w:rPr>
          <w:rFonts w:ascii="David" w:hAnsi="David" w:cs="David" w:hint="eastAsia"/>
          <w:sz w:val="24"/>
          <w:szCs w:val="24"/>
          <w:rtl/>
        </w:rPr>
        <w:t>זו</w:t>
      </w:r>
      <w:r w:rsidRPr="00A53A5A">
        <w:rPr>
          <w:rFonts w:ascii="David" w:hAnsi="David" w:cs="David"/>
          <w:sz w:val="24"/>
          <w:szCs w:val="24"/>
          <w:rtl/>
        </w:rPr>
        <w:t xml:space="preserve"> </w:t>
      </w:r>
      <w:r w:rsidRPr="00A53A5A">
        <w:rPr>
          <w:rFonts w:ascii="David" w:hAnsi="David" w:cs="David" w:hint="eastAsia"/>
          <w:sz w:val="24"/>
          <w:szCs w:val="24"/>
          <w:rtl/>
        </w:rPr>
        <w:t>כל</w:t>
      </w:r>
      <w:r w:rsidRPr="00A53A5A">
        <w:rPr>
          <w:rFonts w:ascii="David" w:hAnsi="David" w:cs="David"/>
          <w:sz w:val="24"/>
          <w:szCs w:val="24"/>
          <w:rtl/>
        </w:rPr>
        <w:t xml:space="preserve"> </w:t>
      </w:r>
      <w:r w:rsidRPr="00A53A5A">
        <w:rPr>
          <w:rFonts w:ascii="David" w:hAnsi="David" w:cs="David" w:hint="eastAsia"/>
          <w:sz w:val="24"/>
          <w:szCs w:val="24"/>
          <w:rtl/>
        </w:rPr>
        <w:t>עבירת</w:t>
      </w:r>
      <w:r w:rsidRPr="00A53A5A">
        <w:rPr>
          <w:rFonts w:ascii="David" w:hAnsi="David" w:cs="David"/>
          <w:sz w:val="24"/>
          <w:szCs w:val="24"/>
          <w:rtl/>
        </w:rPr>
        <w:t xml:space="preserve"> </w:t>
      </w:r>
      <w:r w:rsidRPr="00A53A5A">
        <w:rPr>
          <w:rFonts w:ascii="David" w:hAnsi="David" w:cs="David" w:hint="eastAsia"/>
          <w:sz w:val="24"/>
          <w:szCs w:val="24"/>
          <w:rtl/>
        </w:rPr>
        <w:t>נשק</w:t>
      </w:r>
      <w:r w:rsidRPr="00A53A5A">
        <w:rPr>
          <w:rFonts w:ascii="David" w:hAnsi="David" w:cs="David"/>
          <w:sz w:val="24"/>
          <w:szCs w:val="24"/>
          <w:rtl/>
        </w:rPr>
        <w:t xml:space="preserve"> </w:t>
      </w:r>
      <w:r w:rsidRPr="00A53A5A">
        <w:rPr>
          <w:rFonts w:ascii="David" w:hAnsi="David" w:cs="David" w:hint="eastAsia"/>
          <w:sz w:val="24"/>
          <w:szCs w:val="24"/>
          <w:rtl/>
        </w:rPr>
        <w:t>או</w:t>
      </w:r>
      <w:r w:rsidRPr="00A53A5A">
        <w:rPr>
          <w:rFonts w:ascii="David" w:hAnsi="David" w:cs="David"/>
          <w:sz w:val="24"/>
          <w:szCs w:val="24"/>
          <w:rtl/>
        </w:rPr>
        <w:t xml:space="preserve"> </w:t>
      </w:r>
      <w:r w:rsidRPr="00A53A5A">
        <w:rPr>
          <w:rFonts w:ascii="David" w:hAnsi="David" w:cs="David" w:hint="eastAsia"/>
          <w:sz w:val="24"/>
          <w:szCs w:val="24"/>
          <w:rtl/>
        </w:rPr>
        <w:t>אלימות</w:t>
      </w:r>
      <w:r w:rsidRPr="00A53A5A">
        <w:rPr>
          <w:rFonts w:ascii="David" w:hAnsi="David" w:cs="David"/>
          <w:sz w:val="24"/>
          <w:szCs w:val="24"/>
          <w:rtl/>
        </w:rPr>
        <w:t xml:space="preserve"> </w:t>
      </w:r>
      <w:r w:rsidRPr="00A53A5A">
        <w:rPr>
          <w:rFonts w:ascii="David" w:hAnsi="David" w:cs="David" w:hint="eastAsia"/>
          <w:sz w:val="24"/>
          <w:szCs w:val="24"/>
          <w:rtl/>
        </w:rPr>
        <w:t>מסוג</w:t>
      </w:r>
      <w:r w:rsidRPr="00A53A5A">
        <w:rPr>
          <w:rFonts w:ascii="David" w:hAnsi="David" w:cs="David"/>
          <w:sz w:val="24"/>
          <w:szCs w:val="24"/>
          <w:rtl/>
        </w:rPr>
        <w:t xml:space="preserve"> </w:t>
      </w:r>
      <w:r w:rsidRPr="00A53A5A">
        <w:rPr>
          <w:rFonts w:ascii="David" w:hAnsi="David" w:cs="David" w:hint="eastAsia"/>
          <w:sz w:val="24"/>
          <w:szCs w:val="24"/>
          <w:rtl/>
        </w:rPr>
        <w:t>עוון</w:t>
      </w:r>
      <w:r w:rsidRPr="00A53A5A">
        <w:rPr>
          <w:rFonts w:ascii="David" w:hAnsi="David" w:cs="David"/>
          <w:sz w:val="24"/>
          <w:szCs w:val="24"/>
          <w:rtl/>
        </w:rPr>
        <w:t xml:space="preserve">, </w:t>
      </w:r>
      <w:r w:rsidRPr="00A53A5A">
        <w:rPr>
          <w:rFonts w:ascii="David" w:hAnsi="David" w:cs="David" w:hint="eastAsia"/>
          <w:sz w:val="24"/>
          <w:szCs w:val="24"/>
          <w:rtl/>
        </w:rPr>
        <w:t>לרבות</w:t>
      </w:r>
      <w:r w:rsidRPr="00A53A5A">
        <w:rPr>
          <w:rFonts w:ascii="David" w:hAnsi="David" w:cs="David"/>
          <w:sz w:val="24"/>
          <w:szCs w:val="24"/>
          <w:rtl/>
        </w:rPr>
        <w:t xml:space="preserve"> </w:t>
      </w:r>
      <w:r w:rsidRPr="00A53A5A">
        <w:rPr>
          <w:rFonts w:ascii="David" w:hAnsi="David" w:cs="David" w:hint="eastAsia"/>
          <w:sz w:val="24"/>
          <w:szCs w:val="24"/>
          <w:rtl/>
        </w:rPr>
        <w:t>איומים</w:t>
      </w:r>
      <w:r w:rsidRPr="00A53A5A">
        <w:rPr>
          <w:rFonts w:ascii="David" w:hAnsi="David" w:cs="David"/>
          <w:sz w:val="24"/>
          <w:szCs w:val="24"/>
          <w:rtl/>
        </w:rPr>
        <w:t>.</w:t>
      </w:r>
    </w:p>
    <w:p w14:paraId="2CBD3F86" w14:textId="77777777" w:rsidR="00A24187" w:rsidRPr="00A53A5A" w:rsidRDefault="00A24187" w:rsidP="00A53A5A">
      <w:pPr>
        <w:spacing w:after="0" w:line="360" w:lineRule="auto"/>
        <w:contextualSpacing/>
        <w:jc w:val="both"/>
        <w:rPr>
          <w:rFonts w:ascii="David" w:hAnsi="David" w:cs="David"/>
          <w:sz w:val="24"/>
          <w:szCs w:val="24"/>
        </w:rPr>
      </w:pPr>
    </w:p>
    <w:p w14:paraId="733AB604" w14:textId="77777777" w:rsidR="00A24187" w:rsidRPr="00A53A5A" w:rsidRDefault="00A24187" w:rsidP="00A53A5A">
      <w:pPr>
        <w:spacing w:after="0" w:line="360" w:lineRule="auto"/>
        <w:ind w:firstLine="720"/>
        <w:contextualSpacing/>
        <w:jc w:val="both"/>
        <w:rPr>
          <w:rFonts w:ascii="David" w:hAnsi="David" w:cs="David"/>
          <w:sz w:val="24"/>
          <w:szCs w:val="24"/>
          <w:rtl/>
        </w:rPr>
      </w:pPr>
      <w:r w:rsidRPr="00A53A5A">
        <w:rPr>
          <w:rFonts w:ascii="David" w:hAnsi="David" w:cs="David" w:hint="eastAsia"/>
          <w:b/>
          <w:bCs/>
          <w:sz w:val="24"/>
          <w:szCs w:val="24"/>
          <w:rtl/>
        </w:rPr>
        <w:t>ד</w:t>
      </w:r>
      <w:r w:rsidRPr="00A53A5A">
        <w:rPr>
          <w:rFonts w:ascii="David" w:hAnsi="David" w:cs="David"/>
          <w:sz w:val="24"/>
          <w:szCs w:val="24"/>
          <w:rtl/>
        </w:rPr>
        <w:t>.</w:t>
      </w:r>
      <w:r w:rsidRPr="00A53A5A">
        <w:rPr>
          <w:rFonts w:ascii="David" w:hAnsi="David" w:cs="David"/>
          <w:sz w:val="24"/>
          <w:szCs w:val="24"/>
          <w:rtl/>
        </w:rPr>
        <w:tab/>
      </w:r>
      <w:r w:rsidRPr="00A53A5A">
        <w:rPr>
          <w:rFonts w:ascii="David" w:hAnsi="David" w:cs="David" w:hint="eastAsia"/>
          <w:sz w:val="24"/>
          <w:szCs w:val="24"/>
          <w:rtl/>
        </w:rPr>
        <w:t>פסילה</w:t>
      </w:r>
      <w:r w:rsidRPr="00A53A5A">
        <w:rPr>
          <w:rFonts w:ascii="David" w:hAnsi="David" w:cs="David"/>
          <w:sz w:val="24"/>
          <w:szCs w:val="24"/>
          <w:rtl/>
        </w:rPr>
        <w:t xml:space="preserve"> </w:t>
      </w:r>
      <w:r w:rsidRPr="00A53A5A">
        <w:rPr>
          <w:rFonts w:ascii="David" w:hAnsi="David" w:cs="David" w:hint="eastAsia"/>
          <w:sz w:val="24"/>
          <w:szCs w:val="24"/>
          <w:rtl/>
        </w:rPr>
        <w:t>מלקבל</w:t>
      </w:r>
      <w:r w:rsidRPr="00A53A5A">
        <w:rPr>
          <w:rFonts w:ascii="David" w:hAnsi="David" w:cs="David"/>
          <w:sz w:val="24"/>
          <w:szCs w:val="24"/>
          <w:rtl/>
        </w:rPr>
        <w:t xml:space="preserve"> </w:t>
      </w:r>
      <w:r w:rsidRPr="00A53A5A">
        <w:rPr>
          <w:rFonts w:ascii="David" w:hAnsi="David" w:cs="David" w:hint="eastAsia"/>
          <w:sz w:val="24"/>
          <w:szCs w:val="24"/>
          <w:rtl/>
        </w:rPr>
        <w:t>או</w:t>
      </w:r>
      <w:r w:rsidRPr="00A53A5A">
        <w:rPr>
          <w:rFonts w:ascii="David" w:hAnsi="David" w:cs="David"/>
          <w:sz w:val="24"/>
          <w:szCs w:val="24"/>
          <w:rtl/>
        </w:rPr>
        <w:t xml:space="preserve"> </w:t>
      </w:r>
      <w:r w:rsidRPr="00A53A5A">
        <w:rPr>
          <w:rFonts w:ascii="David" w:hAnsi="David" w:cs="David" w:hint="eastAsia"/>
          <w:sz w:val="24"/>
          <w:szCs w:val="24"/>
          <w:rtl/>
        </w:rPr>
        <w:t>להחזיק</w:t>
      </w:r>
      <w:r w:rsidRPr="00A53A5A">
        <w:rPr>
          <w:rFonts w:ascii="David" w:hAnsi="David" w:cs="David"/>
          <w:sz w:val="24"/>
          <w:szCs w:val="24"/>
          <w:rtl/>
        </w:rPr>
        <w:t xml:space="preserve"> </w:t>
      </w:r>
      <w:r w:rsidRPr="00A53A5A">
        <w:rPr>
          <w:rFonts w:ascii="David" w:hAnsi="David" w:cs="David" w:hint="eastAsia"/>
          <w:sz w:val="24"/>
          <w:szCs w:val="24"/>
          <w:rtl/>
        </w:rPr>
        <w:t>רישיון</w:t>
      </w:r>
      <w:r w:rsidRPr="00A53A5A">
        <w:rPr>
          <w:rFonts w:ascii="David" w:hAnsi="David" w:cs="David"/>
          <w:sz w:val="24"/>
          <w:szCs w:val="24"/>
          <w:rtl/>
        </w:rPr>
        <w:t xml:space="preserve"> </w:t>
      </w:r>
      <w:r w:rsidRPr="00A53A5A">
        <w:rPr>
          <w:rFonts w:ascii="David" w:hAnsi="David" w:cs="David" w:hint="eastAsia"/>
          <w:sz w:val="24"/>
          <w:szCs w:val="24"/>
          <w:rtl/>
        </w:rPr>
        <w:t>נהיגה</w:t>
      </w:r>
      <w:r w:rsidRPr="00A53A5A">
        <w:rPr>
          <w:rFonts w:ascii="David" w:hAnsi="David" w:cs="David"/>
          <w:sz w:val="24"/>
          <w:szCs w:val="24"/>
          <w:rtl/>
        </w:rPr>
        <w:t xml:space="preserve"> </w:t>
      </w:r>
      <w:r w:rsidRPr="00A53A5A">
        <w:rPr>
          <w:rFonts w:ascii="David" w:hAnsi="David" w:cs="David" w:hint="eastAsia"/>
          <w:sz w:val="24"/>
          <w:szCs w:val="24"/>
          <w:rtl/>
        </w:rPr>
        <w:t>למשך</w:t>
      </w:r>
      <w:r w:rsidRPr="00A53A5A">
        <w:rPr>
          <w:rFonts w:ascii="David" w:hAnsi="David" w:cs="David"/>
          <w:sz w:val="24"/>
          <w:szCs w:val="24"/>
          <w:rtl/>
        </w:rPr>
        <w:t xml:space="preserve"> 6 </w:t>
      </w:r>
      <w:r w:rsidRPr="00A53A5A">
        <w:rPr>
          <w:rFonts w:ascii="David" w:hAnsi="David" w:cs="David" w:hint="eastAsia"/>
          <w:sz w:val="24"/>
          <w:szCs w:val="24"/>
          <w:rtl/>
        </w:rPr>
        <w:t>חודשים</w:t>
      </w:r>
      <w:r w:rsidRPr="00A53A5A">
        <w:rPr>
          <w:rFonts w:ascii="David" w:hAnsi="David" w:cs="David"/>
          <w:sz w:val="24"/>
          <w:szCs w:val="24"/>
          <w:rtl/>
        </w:rPr>
        <w:t>.</w:t>
      </w:r>
    </w:p>
    <w:p w14:paraId="2E65BC74" w14:textId="77777777" w:rsidR="00A24187" w:rsidRPr="00A53A5A" w:rsidRDefault="00A24187" w:rsidP="00A53A5A">
      <w:pPr>
        <w:spacing w:after="0" w:line="360" w:lineRule="auto"/>
        <w:contextualSpacing/>
        <w:jc w:val="both"/>
        <w:rPr>
          <w:rFonts w:ascii="David" w:hAnsi="David" w:cs="David"/>
          <w:sz w:val="24"/>
          <w:szCs w:val="24"/>
        </w:rPr>
      </w:pPr>
    </w:p>
    <w:p w14:paraId="0FFB7181" w14:textId="77777777" w:rsidR="00A24187" w:rsidRPr="00A53A5A" w:rsidRDefault="00A24187" w:rsidP="00A53A5A">
      <w:pPr>
        <w:spacing w:after="0" w:line="360" w:lineRule="auto"/>
        <w:ind w:left="1440" w:hanging="720"/>
        <w:jc w:val="both"/>
        <w:rPr>
          <w:rFonts w:ascii="David" w:hAnsi="David" w:cs="David"/>
          <w:sz w:val="24"/>
          <w:szCs w:val="24"/>
          <w:rtl/>
        </w:rPr>
      </w:pPr>
      <w:r w:rsidRPr="00A53A5A">
        <w:rPr>
          <w:rFonts w:ascii="David" w:hAnsi="David" w:cs="David" w:hint="eastAsia"/>
          <w:b/>
          <w:bCs/>
          <w:sz w:val="24"/>
          <w:szCs w:val="24"/>
          <w:rtl/>
        </w:rPr>
        <w:t>ה</w:t>
      </w:r>
      <w:r w:rsidRPr="00A53A5A">
        <w:rPr>
          <w:rFonts w:ascii="David" w:hAnsi="David" w:cs="David"/>
          <w:b/>
          <w:bCs/>
          <w:sz w:val="24"/>
          <w:szCs w:val="24"/>
          <w:rtl/>
        </w:rPr>
        <w:t>.</w:t>
      </w:r>
      <w:r w:rsidRPr="00A53A5A">
        <w:rPr>
          <w:rFonts w:ascii="David" w:hAnsi="David" w:cs="David"/>
          <w:sz w:val="24"/>
          <w:szCs w:val="24"/>
          <w:rtl/>
        </w:rPr>
        <w:tab/>
        <w:t>6 חודשי פסילה על תנאי למשך שנתיים.</w:t>
      </w:r>
    </w:p>
    <w:p w14:paraId="3C3E20A7" w14:textId="77777777" w:rsidR="00A24187" w:rsidRPr="00A53A5A" w:rsidRDefault="00A24187" w:rsidP="00A53A5A">
      <w:pPr>
        <w:spacing w:after="0" w:line="360" w:lineRule="auto"/>
        <w:contextualSpacing/>
        <w:jc w:val="both"/>
        <w:rPr>
          <w:rFonts w:ascii="David" w:hAnsi="David" w:cs="David"/>
          <w:sz w:val="24"/>
          <w:szCs w:val="24"/>
        </w:rPr>
      </w:pPr>
    </w:p>
    <w:p w14:paraId="367788C0" w14:textId="77777777" w:rsidR="00A24187" w:rsidRPr="00A53A5A" w:rsidRDefault="00A24187" w:rsidP="00A53A5A">
      <w:pPr>
        <w:spacing w:after="0" w:line="360" w:lineRule="auto"/>
        <w:ind w:firstLine="720"/>
        <w:contextualSpacing/>
        <w:jc w:val="both"/>
        <w:rPr>
          <w:rFonts w:ascii="David" w:hAnsi="David" w:cs="David"/>
          <w:sz w:val="24"/>
          <w:szCs w:val="24"/>
          <w:rtl/>
        </w:rPr>
      </w:pPr>
      <w:r w:rsidRPr="00A53A5A">
        <w:rPr>
          <w:rFonts w:ascii="David" w:hAnsi="David" w:cs="David" w:hint="eastAsia"/>
          <w:b/>
          <w:bCs/>
          <w:sz w:val="24"/>
          <w:szCs w:val="24"/>
          <w:rtl/>
        </w:rPr>
        <w:t>ו</w:t>
      </w:r>
      <w:r w:rsidRPr="00A53A5A">
        <w:rPr>
          <w:rFonts w:ascii="David" w:hAnsi="David" w:cs="David"/>
          <w:sz w:val="24"/>
          <w:szCs w:val="24"/>
          <w:rtl/>
        </w:rPr>
        <w:t>.</w:t>
      </w:r>
      <w:r w:rsidRPr="00A53A5A">
        <w:rPr>
          <w:rFonts w:ascii="David" w:hAnsi="David" w:cs="David"/>
          <w:sz w:val="24"/>
          <w:szCs w:val="24"/>
          <w:rtl/>
        </w:rPr>
        <w:tab/>
      </w:r>
      <w:r w:rsidRPr="00A53A5A">
        <w:rPr>
          <w:rFonts w:ascii="David" w:hAnsi="David" w:cs="David" w:hint="eastAsia"/>
          <w:sz w:val="24"/>
          <w:szCs w:val="24"/>
          <w:rtl/>
        </w:rPr>
        <w:t>פיצוי</w:t>
      </w:r>
      <w:r w:rsidRPr="00A53A5A">
        <w:rPr>
          <w:rFonts w:ascii="David" w:hAnsi="David" w:cs="David"/>
          <w:sz w:val="24"/>
          <w:szCs w:val="24"/>
          <w:rtl/>
        </w:rPr>
        <w:t xml:space="preserve"> </w:t>
      </w:r>
      <w:r w:rsidRPr="00A53A5A">
        <w:rPr>
          <w:rFonts w:ascii="David" w:hAnsi="David" w:cs="David" w:hint="eastAsia"/>
          <w:sz w:val="24"/>
          <w:szCs w:val="24"/>
          <w:rtl/>
        </w:rPr>
        <w:t>לכל</w:t>
      </w:r>
      <w:r w:rsidRPr="00A53A5A">
        <w:rPr>
          <w:rFonts w:ascii="David" w:hAnsi="David" w:cs="David"/>
          <w:sz w:val="24"/>
          <w:szCs w:val="24"/>
          <w:rtl/>
        </w:rPr>
        <w:t xml:space="preserve"> </w:t>
      </w:r>
      <w:r w:rsidRPr="00A53A5A">
        <w:rPr>
          <w:rFonts w:ascii="David" w:hAnsi="David" w:cs="David" w:hint="eastAsia"/>
          <w:sz w:val="24"/>
          <w:szCs w:val="24"/>
          <w:rtl/>
        </w:rPr>
        <w:t>אחד</w:t>
      </w:r>
      <w:r w:rsidRPr="00A53A5A">
        <w:rPr>
          <w:rFonts w:ascii="David" w:hAnsi="David" w:cs="David"/>
          <w:sz w:val="24"/>
          <w:szCs w:val="24"/>
          <w:rtl/>
        </w:rPr>
        <w:t xml:space="preserve"> </w:t>
      </w:r>
      <w:r w:rsidRPr="00A53A5A">
        <w:rPr>
          <w:rFonts w:ascii="David" w:hAnsi="David" w:cs="David" w:hint="eastAsia"/>
          <w:sz w:val="24"/>
          <w:szCs w:val="24"/>
          <w:rtl/>
        </w:rPr>
        <w:t>מן</w:t>
      </w:r>
      <w:r w:rsidRPr="00A53A5A">
        <w:rPr>
          <w:rFonts w:ascii="David" w:hAnsi="David" w:cs="David"/>
          <w:sz w:val="24"/>
          <w:szCs w:val="24"/>
          <w:rtl/>
        </w:rPr>
        <w:t xml:space="preserve"> </w:t>
      </w:r>
      <w:r w:rsidRPr="00A53A5A">
        <w:rPr>
          <w:rFonts w:ascii="David" w:hAnsi="David" w:cs="David" w:hint="eastAsia"/>
          <w:sz w:val="24"/>
          <w:szCs w:val="24"/>
          <w:rtl/>
        </w:rPr>
        <w:t>המתלוננים</w:t>
      </w:r>
      <w:r w:rsidRPr="00A53A5A">
        <w:rPr>
          <w:rFonts w:ascii="David" w:hAnsi="David" w:cs="David"/>
          <w:sz w:val="24"/>
          <w:szCs w:val="24"/>
          <w:rtl/>
        </w:rPr>
        <w:t xml:space="preserve"> (</w:t>
      </w:r>
      <w:r w:rsidRPr="00A53A5A">
        <w:rPr>
          <w:rFonts w:ascii="David" w:hAnsi="David" w:cs="David" w:hint="eastAsia"/>
          <w:sz w:val="24"/>
          <w:szCs w:val="24"/>
          <w:rtl/>
        </w:rPr>
        <w:t>איהאב</w:t>
      </w:r>
      <w:r w:rsidRPr="00A53A5A">
        <w:rPr>
          <w:rFonts w:ascii="David" w:hAnsi="David" w:cs="David"/>
          <w:sz w:val="24"/>
          <w:szCs w:val="24"/>
          <w:rtl/>
        </w:rPr>
        <w:t xml:space="preserve"> </w:t>
      </w:r>
      <w:r w:rsidRPr="00A53A5A">
        <w:rPr>
          <w:rFonts w:ascii="David" w:hAnsi="David" w:cs="David" w:hint="eastAsia"/>
          <w:sz w:val="24"/>
          <w:szCs w:val="24"/>
          <w:rtl/>
        </w:rPr>
        <w:t>בשיר</w:t>
      </w:r>
      <w:r w:rsidRPr="00A53A5A">
        <w:rPr>
          <w:rFonts w:ascii="David" w:hAnsi="David" w:cs="David"/>
          <w:sz w:val="24"/>
          <w:szCs w:val="24"/>
          <w:rtl/>
        </w:rPr>
        <w:t xml:space="preserve"> </w:t>
      </w:r>
      <w:r w:rsidRPr="00A53A5A">
        <w:rPr>
          <w:rFonts w:ascii="David" w:hAnsi="David" w:cs="David" w:hint="eastAsia"/>
          <w:sz w:val="24"/>
          <w:szCs w:val="24"/>
          <w:rtl/>
        </w:rPr>
        <w:t>ועראד</w:t>
      </w:r>
      <w:r w:rsidRPr="00A53A5A">
        <w:rPr>
          <w:rFonts w:ascii="David" w:hAnsi="David" w:cs="David"/>
          <w:sz w:val="24"/>
          <w:szCs w:val="24"/>
          <w:rtl/>
        </w:rPr>
        <w:t xml:space="preserve"> </w:t>
      </w:r>
      <w:r w:rsidRPr="00A53A5A">
        <w:rPr>
          <w:rFonts w:ascii="David" w:hAnsi="David" w:cs="David" w:hint="eastAsia"/>
          <w:sz w:val="24"/>
          <w:szCs w:val="24"/>
          <w:rtl/>
        </w:rPr>
        <w:t>בשיר</w:t>
      </w:r>
      <w:r w:rsidRPr="00A53A5A">
        <w:rPr>
          <w:rFonts w:ascii="David" w:hAnsi="David" w:cs="David"/>
          <w:sz w:val="24"/>
          <w:szCs w:val="24"/>
          <w:rtl/>
        </w:rPr>
        <w:t xml:space="preserve">) </w:t>
      </w:r>
      <w:r w:rsidRPr="00A53A5A">
        <w:rPr>
          <w:rFonts w:ascii="David" w:hAnsi="David" w:cs="David" w:hint="eastAsia"/>
          <w:sz w:val="24"/>
          <w:szCs w:val="24"/>
          <w:rtl/>
        </w:rPr>
        <w:t>בסך</w:t>
      </w:r>
      <w:r w:rsidRPr="00A53A5A">
        <w:rPr>
          <w:rFonts w:ascii="David" w:hAnsi="David" w:cs="David"/>
          <w:sz w:val="24"/>
          <w:szCs w:val="24"/>
          <w:rtl/>
        </w:rPr>
        <w:t xml:space="preserve"> 5,000 </w:t>
      </w:r>
      <w:r w:rsidRPr="00A53A5A">
        <w:rPr>
          <w:rFonts w:ascii="David" w:hAnsi="David" w:cs="David" w:hint="eastAsia"/>
          <w:sz w:val="24"/>
          <w:szCs w:val="24"/>
          <w:rtl/>
        </w:rPr>
        <w:t>₪</w:t>
      </w:r>
      <w:r w:rsidRPr="00A53A5A">
        <w:rPr>
          <w:rFonts w:ascii="David" w:hAnsi="David" w:cs="David"/>
          <w:sz w:val="24"/>
          <w:szCs w:val="24"/>
          <w:rtl/>
        </w:rPr>
        <w:t>.</w:t>
      </w:r>
    </w:p>
    <w:p w14:paraId="22C5FEAD" w14:textId="77777777" w:rsidR="00A24187" w:rsidRPr="00A53A5A" w:rsidRDefault="00A24187" w:rsidP="00A53A5A">
      <w:pPr>
        <w:spacing w:after="0" w:line="360" w:lineRule="auto"/>
        <w:ind w:left="720" w:firstLine="720"/>
        <w:contextualSpacing/>
        <w:jc w:val="both"/>
        <w:rPr>
          <w:rFonts w:ascii="David" w:hAnsi="David" w:cs="David"/>
          <w:sz w:val="24"/>
          <w:szCs w:val="24"/>
          <w:rtl/>
        </w:rPr>
      </w:pPr>
      <w:r w:rsidRPr="00A53A5A">
        <w:rPr>
          <w:rFonts w:ascii="David" w:hAnsi="David" w:cs="David" w:hint="eastAsia"/>
          <w:sz w:val="24"/>
          <w:szCs w:val="24"/>
          <w:rtl/>
        </w:rPr>
        <w:t>הפיצוי</w:t>
      </w:r>
      <w:r w:rsidRPr="00A53A5A">
        <w:rPr>
          <w:rFonts w:ascii="David" w:hAnsi="David" w:cs="David"/>
          <w:sz w:val="24"/>
          <w:szCs w:val="24"/>
          <w:rtl/>
        </w:rPr>
        <w:t xml:space="preserve"> </w:t>
      </w:r>
      <w:r w:rsidRPr="00A53A5A">
        <w:rPr>
          <w:rFonts w:ascii="David" w:hAnsi="David" w:cs="David" w:hint="eastAsia"/>
          <w:sz w:val="24"/>
          <w:szCs w:val="24"/>
          <w:rtl/>
        </w:rPr>
        <w:t>ישולם</w:t>
      </w:r>
      <w:r w:rsidRPr="00A53A5A">
        <w:rPr>
          <w:rFonts w:ascii="David" w:hAnsi="David" w:cs="David"/>
          <w:sz w:val="24"/>
          <w:szCs w:val="24"/>
          <w:rtl/>
        </w:rPr>
        <w:t xml:space="preserve"> </w:t>
      </w:r>
      <w:r w:rsidRPr="00A53A5A">
        <w:rPr>
          <w:rFonts w:ascii="David" w:hAnsi="David" w:cs="David" w:hint="eastAsia"/>
          <w:sz w:val="24"/>
          <w:szCs w:val="24"/>
          <w:rtl/>
        </w:rPr>
        <w:t>עד</w:t>
      </w:r>
      <w:r w:rsidRPr="00A53A5A">
        <w:rPr>
          <w:rFonts w:ascii="David" w:hAnsi="David" w:cs="David"/>
          <w:sz w:val="24"/>
          <w:szCs w:val="24"/>
          <w:rtl/>
        </w:rPr>
        <w:t xml:space="preserve"> </w:t>
      </w:r>
      <w:r w:rsidRPr="00A53A5A">
        <w:rPr>
          <w:rFonts w:ascii="David" w:hAnsi="David" w:cs="David" w:hint="eastAsia"/>
          <w:sz w:val="24"/>
          <w:szCs w:val="24"/>
          <w:rtl/>
        </w:rPr>
        <w:t>ליום</w:t>
      </w:r>
      <w:r w:rsidRPr="00A53A5A">
        <w:rPr>
          <w:rFonts w:ascii="David" w:hAnsi="David" w:cs="David"/>
          <w:b/>
          <w:bCs/>
          <w:sz w:val="24"/>
          <w:szCs w:val="24"/>
          <w:rtl/>
        </w:rPr>
        <w:t xml:space="preserve"> 1.7.17.</w:t>
      </w:r>
    </w:p>
    <w:p w14:paraId="20C7ECEB" w14:textId="77777777" w:rsidR="00A24187" w:rsidRPr="00A53A5A" w:rsidRDefault="00A24187" w:rsidP="00A53A5A">
      <w:pPr>
        <w:spacing w:after="0" w:line="360" w:lineRule="auto"/>
        <w:jc w:val="both"/>
        <w:rPr>
          <w:rFonts w:ascii="David" w:hAnsi="David" w:cs="David"/>
          <w:sz w:val="24"/>
          <w:szCs w:val="24"/>
          <w:rtl/>
        </w:rPr>
      </w:pPr>
    </w:p>
    <w:p w14:paraId="30D8C472" w14:textId="77777777"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49.</w:t>
      </w:r>
      <w:r w:rsidRPr="00A53A5A">
        <w:rPr>
          <w:rFonts w:ascii="David" w:hAnsi="David" w:cs="David"/>
          <w:b/>
          <w:bCs/>
          <w:sz w:val="24"/>
          <w:szCs w:val="24"/>
          <w:rtl/>
        </w:rPr>
        <w:tab/>
      </w:r>
      <w:r w:rsidRPr="00A53A5A">
        <w:rPr>
          <w:rFonts w:ascii="David" w:hAnsi="David" w:cs="David" w:hint="eastAsia"/>
          <w:b/>
          <w:bCs/>
          <w:sz w:val="24"/>
          <w:szCs w:val="24"/>
          <w:rtl/>
        </w:rPr>
        <w:t>באשר</w:t>
      </w:r>
      <w:r w:rsidRPr="00A53A5A">
        <w:rPr>
          <w:rFonts w:ascii="David" w:hAnsi="David" w:cs="David"/>
          <w:b/>
          <w:bCs/>
          <w:sz w:val="24"/>
          <w:szCs w:val="24"/>
          <w:rtl/>
        </w:rPr>
        <w:t xml:space="preserve"> לעתירה להורות על חילוט הרכב</w:t>
      </w:r>
      <w:r w:rsidRPr="00A53A5A">
        <w:rPr>
          <w:rFonts w:ascii="David" w:hAnsi="David" w:cs="David"/>
          <w:sz w:val="24"/>
          <w:szCs w:val="24"/>
          <w:rtl/>
        </w:rPr>
        <w:t xml:space="preserve"> - בחינת "מהותה ועוצמתה של הזיקה" בין העבירה לבין מכוניתו של הנאשם, מלמדת כי העתירה לחילוט הרכב הינה מוצדקת. אמת המידה היא במהותה ובעוצמתה של הזיקה בין החפץ לבין העבירה ובחומרתה של העבירה (ראה </w:t>
      </w:r>
      <w:hyperlink r:id="rId75" w:history="1">
        <w:r w:rsidR="009506D2" w:rsidRPr="009506D2">
          <w:rPr>
            <w:rFonts w:ascii="David" w:hAnsi="David" w:cs="David"/>
            <w:color w:val="0000FF"/>
            <w:sz w:val="24"/>
            <w:szCs w:val="24"/>
            <w:u w:val="single"/>
            <w:rtl/>
          </w:rPr>
          <w:t>ע"פ 4148/92</w:t>
        </w:r>
      </w:hyperlink>
      <w:r w:rsidRPr="00A53A5A">
        <w:rPr>
          <w:rFonts w:ascii="David" w:hAnsi="David" w:cs="David"/>
          <w:sz w:val="24"/>
          <w:szCs w:val="24"/>
          <w:rtl/>
        </w:rPr>
        <w:t xml:space="preserve"> </w:t>
      </w:r>
      <w:r w:rsidRPr="00A53A5A">
        <w:rPr>
          <w:rFonts w:ascii="David" w:hAnsi="David" w:cs="David" w:hint="eastAsia"/>
          <w:b/>
          <w:bCs/>
          <w:sz w:val="24"/>
          <w:szCs w:val="24"/>
          <w:rtl/>
        </w:rPr>
        <w:t>מועד</w:t>
      </w:r>
      <w:r w:rsidRPr="00A53A5A">
        <w:rPr>
          <w:rFonts w:ascii="David" w:hAnsi="David" w:cs="David"/>
          <w:b/>
          <w:bCs/>
          <w:sz w:val="24"/>
          <w:szCs w:val="24"/>
          <w:rtl/>
        </w:rPr>
        <w:t xml:space="preserve"> נ' מדינת ישראל</w:t>
      </w:r>
      <w:r w:rsidRPr="00A53A5A">
        <w:rPr>
          <w:rFonts w:ascii="David" w:hAnsi="David" w:cs="David"/>
          <w:sz w:val="24"/>
          <w:szCs w:val="24"/>
          <w:rtl/>
        </w:rPr>
        <w:t xml:space="preserve"> </w:t>
      </w:r>
      <w:r w:rsidR="00B66733" w:rsidRPr="00B66733">
        <w:rPr>
          <w:rFonts w:ascii="Times New Roman" w:hAnsi="Times New Roman" w:cs="David"/>
          <w:szCs w:val="24"/>
          <w:rtl/>
        </w:rPr>
        <w:t xml:space="preserve">[פורסם בנבו] </w:t>
      </w:r>
      <w:r w:rsidRPr="00A53A5A">
        <w:rPr>
          <w:rFonts w:ascii="David" w:hAnsi="David" w:cs="David"/>
          <w:sz w:val="24"/>
          <w:szCs w:val="24"/>
          <w:rtl/>
        </w:rPr>
        <w:t xml:space="preserve">(22.9.1994). בעניינו קיימת זיקה ברורה וישירה בין העבירות לבין הרכב. הרכב היה כלי ישיר לביצוע העבירות כולן, הן אלה הקשורות לנשיאת הנשק והובלתו והירי לעבר המתלוננים והן עבירות התעבורה, ובלעדיו לא היו יכולות אלה להתבצע (ראה גם </w:t>
      </w:r>
      <w:hyperlink r:id="rId76" w:history="1">
        <w:r w:rsidR="009506D2" w:rsidRPr="009506D2">
          <w:rPr>
            <w:rFonts w:ascii="David" w:hAnsi="David" w:cs="David"/>
            <w:color w:val="0000FF"/>
            <w:sz w:val="24"/>
            <w:szCs w:val="24"/>
            <w:u w:val="single"/>
            <w:rtl/>
          </w:rPr>
          <w:t>ע"פ 1000/15</w:t>
        </w:r>
      </w:hyperlink>
      <w:r w:rsidRPr="00A53A5A">
        <w:rPr>
          <w:rFonts w:ascii="David" w:hAnsi="David" w:cs="David"/>
          <w:sz w:val="24"/>
          <w:szCs w:val="24"/>
          <w:rtl/>
        </w:rPr>
        <w:t xml:space="preserve"> </w:t>
      </w:r>
      <w:r w:rsidRPr="00A53A5A">
        <w:rPr>
          <w:rFonts w:ascii="David" w:hAnsi="David" w:cs="David" w:hint="eastAsia"/>
          <w:b/>
          <w:bCs/>
          <w:sz w:val="24"/>
          <w:szCs w:val="24"/>
          <w:rtl/>
        </w:rPr>
        <w:t>אבו</w:t>
      </w:r>
      <w:r w:rsidRPr="00A53A5A">
        <w:rPr>
          <w:rFonts w:ascii="David" w:hAnsi="David" w:cs="David"/>
          <w:b/>
          <w:bCs/>
          <w:sz w:val="24"/>
          <w:szCs w:val="24"/>
          <w:rtl/>
        </w:rPr>
        <w:t xml:space="preserve"> אלחווה נ' מדינת ישראל </w:t>
      </w:r>
      <w:r w:rsidR="00B66733" w:rsidRPr="00B66733">
        <w:rPr>
          <w:rFonts w:ascii="Times New Roman" w:hAnsi="Times New Roman" w:cs="David"/>
          <w:szCs w:val="24"/>
          <w:rtl/>
        </w:rPr>
        <w:t xml:space="preserve">[פורסם בנבו] </w:t>
      </w:r>
      <w:r w:rsidRPr="00A53A5A">
        <w:rPr>
          <w:rFonts w:ascii="David" w:hAnsi="David" w:cs="David"/>
          <w:sz w:val="24"/>
          <w:szCs w:val="24"/>
          <w:rtl/>
        </w:rPr>
        <w:t>(3.7.2015), ו</w:t>
      </w:r>
      <w:hyperlink r:id="rId77" w:history="1">
        <w:r w:rsidR="009506D2" w:rsidRPr="009506D2">
          <w:rPr>
            <w:rFonts w:ascii="David" w:hAnsi="David" w:cs="David"/>
            <w:color w:val="0000FF"/>
            <w:sz w:val="24"/>
            <w:szCs w:val="24"/>
            <w:u w:val="single"/>
            <w:rtl/>
          </w:rPr>
          <w:t>ע"פ 2963/13</w:t>
        </w:r>
      </w:hyperlink>
      <w:r w:rsidRPr="00A53A5A">
        <w:rPr>
          <w:rFonts w:ascii="David" w:hAnsi="David" w:cs="David"/>
          <w:sz w:val="24"/>
          <w:szCs w:val="24"/>
          <w:rtl/>
        </w:rPr>
        <w:t xml:space="preserve"> </w:t>
      </w:r>
      <w:r w:rsidRPr="00A53A5A">
        <w:rPr>
          <w:rFonts w:ascii="David" w:hAnsi="David" w:cs="David" w:hint="eastAsia"/>
          <w:b/>
          <w:bCs/>
          <w:sz w:val="24"/>
          <w:szCs w:val="24"/>
          <w:rtl/>
        </w:rPr>
        <w:t>מדינת</w:t>
      </w:r>
      <w:r w:rsidRPr="00A53A5A">
        <w:rPr>
          <w:rFonts w:ascii="David" w:hAnsi="David" w:cs="David"/>
          <w:b/>
          <w:bCs/>
          <w:sz w:val="24"/>
          <w:szCs w:val="24"/>
          <w:rtl/>
        </w:rPr>
        <w:t xml:space="preserve"> ישראל נ' פלוני</w:t>
      </w:r>
      <w:r w:rsidRPr="00A53A5A">
        <w:rPr>
          <w:rFonts w:ascii="David" w:hAnsi="David" w:cs="David"/>
          <w:sz w:val="24"/>
          <w:szCs w:val="24"/>
          <w:rtl/>
        </w:rPr>
        <w:t xml:space="preserve"> </w:t>
      </w:r>
      <w:r w:rsidR="00B66733" w:rsidRPr="00B66733">
        <w:rPr>
          <w:rFonts w:ascii="Times New Roman" w:hAnsi="Times New Roman" w:cs="David"/>
          <w:szCs w:val="24"/>
          <w:rtl/>
        </w:rPr>
        <w:t xml:space="preserve">[פורסם בנבו] </w:t>
      </w:r>
      <w:r w:rsidRPr="00A53A5A">
        <w:rPr>
          <w:rFonts w:ascii="David" w:hAnsi="David" w:cs="David"/>
          <w:sz w:val="24"/>
          <w:szCs w:val="24"/>
          <w:rtl/>
        </w:rPr>
        <w:t>(10.2.2014)). בנסיבות אלה אמליץ לחברי לקבל את הבקשה ולהורות על חילוט הרכב מסוג הונדה סיוויק שמספרו 3017617.</w:t>
      </w:r>
    </w:p>
    <w:p w14:paraId="06F5116D" w14:textId="77777777" w:rsidR="00A24187" w:rsidRPr="00A53A5A" w:rsidRDefault="00A24187" w:rsidP="00A53A5A">
      <w:pPr>
        <w:spacing w:after="0" w:line="360" w:lineRule="auto"/>
        <w:ind w:left="720" w:hanging="720"/>
        <w:jc w:val="both"/>
        <w:rPr>
          <w:rFonts w:cs="David"/>
          <w:sz w:val="24"/>
          <w:szCs w:val="24"/>
          <w:rtl/>
        </w:rPr>
      </w:pPr>
    </w:p>
    <w:p w14:paraId="02AA2512" w14:textId="77777777" w:rsidR="00A24187" w:rsidRPr="00A53A5A" w:rsidRDefault="00A24187" w:rsidP="00A53A5A">
      <w:pPr>
        <w:spacing w:after="0" w:line="360" w:lineRule="auto"/>
        <w:ind w:left="720" w:hanging="720"/>
        <w:jc w:val="both"/>
        <w:rPr>
          <w:rFonts w:ascii="David" w:hAnsi="David" w:cs="David"/>
          <w:b/>
          <w:bCs/>
          <w:sz w:val="24"/>
          <w:szCs w:val="24"/>
          <w:rtl/>
        </w:rPr>
      </w:pPr>
      <w:r w:rsidRPr="00A53A5A">
        <w:rPr>
          <w:rFonts w:ascii="David" w:hAnsi="David" w:cs="David"/>
          <w:b/>
          <w:bCs/>
          <w:sz w:val="24"/>
          <w:szCs w:val="24"/>
          <w:rtl/>
        </w:rPr>
        <w:t>50</w:t>
      </w:r>
      <w:r w:rsidRPr="00A53A5A">
        <w:rPr>
          <w:rFonts w:ascii="David" w:hAnsi="David" w:cs="David"/>
          <w:sz w:val="24"/>
          <w:szCs w:val="24"/>
          <w:rtl/>
        </w:rPr>
        <w:t>.</w:t>
      </w:r>
      <w:r w:rsidRPr="00A53A5A">
        <w:rPr>
          <w:rFonts w:ascii="David" w:hAnsi="David" w:cs="David"/>
          <w:sz w:val="24"/>
          <w:szCs w:val="24"/>
          <w:rtl/>
        </w:rPr>
        <w:tab/>
      </w:r>
      <w:r w:rsidRPr="00A53A5A">
        <w:rPr>
          <w:rFonts w:ascii="David" w:hAnsi="David" w:cs="David" w:hint="eastAsia"/>
          <w:b/>
          <w:bCs/>
          <w:sz w:val="24"/>
          <w:szCs w:val="24"/>
          <w:rtl/>
        </w:rPr>
        <w:t>נוכח</w:t>
      </w:r>
      <w:r w:rsidRPr="00A53A5A">
        <w:rPr>
          <w:rFonts w:ascii="David" w:hAnsi="David" w:cs="David"/>
          <w:b/>
          <w:bCs/>
          <w:sz w:val="24"/>
          <w:szCs w:val="24"/>
          <w:rtl/>
        </w:rPr>
        <w:t xml:space="preserve"> נכונותו של הנאשם להשתלב בהליך טיפולי וההמלצה בתסקיר שירות המבחן, אנו ממליצים לשב"ס לשלב את הנאשם בתכנית טיפולית שתתאים לצרכיו, והכל בהתאם לנהלי שב"ס. </w:t>
      </w:r>
    </w:p>
    <w:p w14:paraId="545CC5EE" w14:textId="77777777" w:rsidR="00A24187" w:rsidRPr="00A53A5A" w:rsidRDefault="00A24187" w:rsidP="00A53A5A">
      <w:pPr>
        <w:spacing w:after="0" w:line="360" w:lineRule="auto"/>
        <w:ind w:left="720" w:hanging="720"/>
        <w:jc w:val="both"/>
        <w:rPr>
          <w:rFonts w:ascii="David" w:hAnsi="David" w:cs="David"/>
          <w:sz w:val="24"/>
          <w:szCs w:val="24"/>
          <w:rtl/>
        </w:rPr>
      </w:pPr>
    </w:p>
    <w:p w14:paraId="0622239E" w14:textId="77777777" w:rsidR="00A24187" w:rsidRPr="00A53A5A" w:rsidRDefault="00A24187" w:rsidP="00A53A5A">
      <w:pPr>
        <w:spacing w:after="0" w:line="360" w:lineRule="auto"/>
        <w:ind w:left="720" w:hanging="720"/>
        <w:jc w:val="both"/>
        <w:rPr>
          <w:rFonts w:ascii="David" w:hAnsi="David" w:cs="David"/>
          <w:b/>
          <w:bCs/>
          <w:sz w:val="24"/>
          <w:szCs w:val="24"/>
        </w:rPr>
      </w:pPr>
      <w:r w:rsidRPr="00A53A5A">
        <w:rPr>
          <w:rFonts w:ascii="David" w:hAnsi="David" w:cs="David" w:hint="eastAsia"/>
          <w:b/>
          <w:bCs/>
          <w:sz w:val="24"/>
          <w:szCs w:val="24"/>
          <w:u w:val="single"/>
          <w:rtl/>
        </w:rPr>
        <w:t>הודעה</w:t>
      </w:r>
      <w:r w:rsidRPr="00A53A5A">
        <w:rPr>
          <w:rFonts w:ascii="David" w:hAnsi="David" w:cs="David"/>
          <w:b/>
          <w:bCs/>
          <w:sz w:val="24"/>
          <w:szCs w:val="24"/>
          <w:u w:val="single"/>
          <w:rtl/>
        </w:rPr>
        <w:t xml:space="preserve"> זכות ערעור לבית המשפט העליון בתוך 45 יום מהיום</w:t>
      </w:r>
      <w:r w:rsidRPr="00A53A5A">
        <w:rPr>
          <w:rFonts w:ascii="David" w:hAnsi="David" w:cs="David"/>
          <w:sz w:val="24"/>
          <w:szCs w:val="24"/>
          <w:rtl/>
        </w:rPr>
        <w:t xml:space="preserve">. </w:t>
      </w:r>
    </w:p>
    <w:p w14:paraId="66BD1AF2" w14:textId="77777777" w:rsidR="00A24187" w:rsidRPr="00A53A5A" w:rsidRDefault="009506D2" w:rsidP="00A53A5A">
      <w:pPr>
        <w:spacing w:after="0" w:line="360" w:lineRule="auto"/>
        <w:jc w:val="both"/>
        <w:rPr>
          <w:rFonts w:ascii="David" w:hAnsi="David" w:cs="David"/>
          <w:sz w:val="24"/>
          <w:szCs w:val="24"/>
          <w:rtl/>
        </w:rPr>
      </w:pPr>
      <w:r>
        <w:rPr>
          <w:rFonts w:ascii="David" w:hAnsi="David" w:cs="David"/>
          <w:b/>
          <w:bCs/>
          <w:sz w:val="24"/>
          <w:szCs w:val="24"/>
          <w:rtl/>
        </w:rPr>
        <w:t xml:space="preserve">ניתן והודע היום כ"ג אדר תשע"ז, 21/03/2017 במעמד הנוכחים.  </w:t>
      </w:r>
      <w:r w:rsidR="00A24187" w:rsidRPr="00A53A5A">
        <w:rPr>
          <w:rFonts w:ascii="David" w:hAnsi="David" w:cs="David"/>
          <w:sz w:val="24"/>
          <w:szCs w:val="24"/>
          <w:rtl/>
        </w:rPr>
        <w:t xml:space="preserve"> </w:t>
      </w:r>
    </w:p>
    <w:p w14:paraId="7FBF98BE" w14:textId="77777777" w:rsidR="009506D2" w:rsidRPr="009506D2" w:rsidRDefault="009506D2" w:rsidP="00A53A5A">
      <w:pPr>
        <w:spacing w:after="0" w:line="360" w:lineRule="auto"/>
        <w:rPr>
          <w:rFonts w:ascii="David" w:hAnsi="David" w:cs="David"/>
          <w:color w:val="FFFFFF"/>
          <w:sz w:val="2"/>
          <w:szCs w:val="2"/>
          <w:rtl/>
        </w:rPr>
      </w:pPr>
      <w:r w:rsidRPr="009506D2">
        <w:rPr>
          <w:rFonts w:ascii="David" w:hAnsi="David" w:cs="David"/>
          <w:color w:val="FFFFFF"/>
          <w:sz w:val="2"/>
          <w:szCs w:val="2"/>
          <w:rtl/>
        </w:rPr>
        <w:t>5129371</w:t>
      </w:r>
    </w:p>
    <w:tbl>
      <w:tblPr>
        <w:bidiVisual/>
        <w:tblW w:w="0" w:type="auto"/>
        <w:tblLook w:val="01E0" w:firstRow="1" w:lastRow="1" w:firstColumn="1" w:lastColumn="1" w:noHBand="0" w:noVBand="0"/>
      </w:tblPr>
      <w:tblGrid>
        <w:gridCol w:w="2993"/>
        <w:gridCol w:w="280"/>
        <w:gridCol w:w="2674"/>
        <w:gridCol w:w="275"/>
        <w:gridCol w:w="2498"/>
      </w:tblGrid>
      <w:tr w:rsidR="009506D2" w:rsidRPr="00D644E5" w14:paraId="0249F332" w14:textId="77777777" w:rsidTr="00B66733">
        <w:tc>
          <w:tcPr>
            <w:tcW w:w="2993" w:type="dxa"/>
            <w:tcBorders>
              <w:top w:val="single" w:sz="4" w:space="0" w:color="auto"/>
              <w:left w:val="nil"/>
              <w:bottom w:val="nil"/>
              <w:right w:val="nil"/>
            </w:tcBorders>
            <w:vAlign w:val="bottom"/>
          </w:tcPr>
          <w:p w14:paraId="7453A143" w14:textId="77777777" w:rsidR="009506D2" w:rsidRPr="00D644E5" w:rsidRDefault="009506D2" w:rsidP="009506D2">
            <w:pPr>
              <w:spacing w:after="0" w:line="360" w:lineRule="auto"/>
              <w:jc w:val="center"/>
              <w:rPr>
                <w:rFonts w:cs="Times New Roman"/>
                <w:b/>
                <w:bCs/>
                <w:sz w:val="20"/>
                <w:szCs w:val="20"/>
              </w:rPr>
            </w:pPr>
            <w:r w:rsidRPr="00D644E5">
              <w:rPr>
                <w:rFonts w:cs="Times New Roman" w:hint="eastAsia"/>
                <w:b/>
                <w:bCs/>
                <w:sz w:val="20"/>
                <w:szCs w:val="20"/>
                <w:rtl/>
              </w:rPr>
              <w:t>אסתר</w:t>
            </w:r>
            <w:r w:rsidRPr="00D644E5">
              <w:rPr>
                <w:rFonts w:cs="Times New Roman"/>
                <w:b/>
                <w:bCs/>
                <w:sz w:val="20"/>
                <w:szCs w:val="20"/>
                <w:rtl/>
              </w:rPr>
              <w:t xml:space="preserve"> </w:t>
            </w:r>
            <w:r w:rsidRPr="00D644E5">
              <w:rPr>
                <w:rFonts w:cs="Times New Roman" w:hint="eastAsia"/>
                <w:b/>
                <w:bCs/>
                <w:sz w:val="20"/>
                <w:szCs w:val="20"/>
                <w:rtl/>
              </w:rPr>
              <w:t>הלמן</w:t>
            </w:r>
            <w:r w:rsidRPr="00D644E5">
              <w:rPr>
                <w:rFonts w:cs="Times New Roman"/>
                <w:b/>
                <w:bCs/>
                <w:sz w:val="20"/>
                <w:szCs w:val="20"/>
                <w:rtl/>
              </w:rPr>
              <w:t xml:space="preserve">, </w:t>
            </w:r>
            <w:r w:rsidRPr="00D644E5">
              <w:rPr>
                <w:rFonts w:cs="Times New Roman" w:hint="eastAsia"/>
                <w:b/>
                <w:bCs/>
                <w:sz w:val="20"/>
                <w:szCs w:val="20"/>
                <w:rtl/>
              </w:rPr>
              <w:t>שופטת</w:t>
            </w:r>
            <w:r w:rsidRPr="00D644E5">
              <w:rPr>
                <w:rFonts w:cs="Times New Roman"/>
                <w:b/>
                <w:bCs/>
                <w:sz w:val="20"/>
                <w:szCs w:val="20"/>
                <w:rtl/>
              </w:rPr>
              <w:t xml:space="preserve"> </w:t>
            </w:r>
          </w:p>
          <w:p w14:paraId="475E8B70" w14:textId="77777777" w:rsidR="009506D2" w:rsidRPr="00D644E5" w:rsidRDefault="009506D2" w:rsidP="009506D2">
            <w:pPr>
              <w:spacing w:after="0" w:line="360" w:lineRule="auto"/>
              <w:jc w:val="center"/>
              <w:rPr>
                <w:rFonts w:ascii="Courier New" w:hAnsi="Courier New" w:cs="Times New Roman"/>
                <w:b/>
                <w:bCs/>
                <w:sz w:val="20"/>
                <w:szCs w:val="20"/>
              </w:rPr>
            </w:pPr>
            <w:r w:rsidRPr="00D644E5">
              <w:rPr>
                <w:rFonts w:ascii="Courier New" w:hAnsi="Courier New" w:cs="Times New Roman"/>
                <w:b/>
                <w:bCs/>
                <w:sz w:val="20"/>
                <w:szCs w:val="20"/>
                <w:rtl/>
              </w:rPr>
              <w:t>ס. נשיא [אב"ד]</w:t>
            </w:r>
          </w:p>
        </w:tc>
        <w:tc>
          <w:tcPr>
            <w:tcW w:w="280" w:type="dxa"/>
            <w:vAlign w:val="bottom"/>
          </w:tcPr>
          <w:p w14:paraId="11182A85" w14:textId="77777777" w:rsidR="009506D2" w:rsidRPr="00D644E5" w:rsidRDefault="009506D2" w:rsidP="009506D2">
            <w:pPr>
              <w:spacing w:after="0" w:line="360" w:lineRule="auto"/>
              <w:jc w:val="center"/>
              <w:rPr>
                <w:rFonts w:ascii="Courier New" w:hAnsi="Courier New" w:cs="Times New Roman"/>
                <w:b/>
                <w:bCs/>
                <w:sz w:val="20"/>
                <w:szCs w:val="20"/>
              </w:rPr>
            </w:pPr>
          </w:p>
        </w:tc>
        <w:tc>
          <w:tcPr>
            <w:tcW w:w="2674" w:type="dxa"/>
            <w:tcBorders>
              <w:top w:val="single" w:sz="4" w:space="0" w:color="auto"/>
              <w:left w:val="nil"/>
              <w:bottom w:val="nil"/>
              <w:right w:val="nil"/>
            </w:tcBorders>
          </w:tcPr>
          <w:p w14:paraId="6723FA32" w14:textId="77777777" w:rsidR="009506D2" w:rsidRPr="00D644E5" w:rsidRDefault="009506D2" w:rsidP="009506D2">
            <w:pPr>
              <w:spacing w:after="0" w:line="360" w:lineRule="auto"/>
              <w:jc w:val="center"/>
              <w:rPr>
                <w:rFonts w:ascii="Courier New" w:hAnsi="Courier New" w:cs="Times New Roman"/>
                <w:b/>
                <w:bCs/>
                <w:sz w:val="20"/>
                <w:szCs w:val="20"/>
                <w:rtl/>
              </w:rPr>
            </w:pPr>
            <w:r w:rsidRPr="00D644E5">
              <w:rPr>
                <w:rFonts w:ascii="Courier New" w:hAnsi="Courier New" w:cs="Times New Roman"/>
                <w:b/>
                <w:bCs/>
                <w:sz w:val="20"/>
                <w:szCs w:val="20"/>
                <w:rtl/>
              </w:rPr>
              <w:t>יפעת שיטרית, שופטת</w:t>
            </w:r>
          </w:p>
        </w:tc>
        <w:tc>
          <w:tcPr>
            <w:tcW w:w="275" w:type="dxa"/>
          </w:tcPr>
          <w:p w14:paraId="6A422DBF" w14:textId="77777777" w:rsidR="009506D2" w:rsidRPr="00D644E5" w:rsidRDefault="009506D2" w:rsidP="009506D2">
            <w:pPr>
              <w:spacing w:after="0" w:line="360" w:lineRule="auto"/>
              <w:jc w:val="center"/>
              <w:rPr>
                <w:rFonts w:ascii="Courier New" w:hAnsi="Courier New" w:cs="Times New Roman"/>
                <w:b/>
                <w:bCs/>
                <w:sz w:val="20"/>
                <w:szCs w:val="20"/>
              </w:rPr>
            </w:pPr>
          </w:p>
        </w:tc>
        <w:tc>
          <w:tcPr>
            <w:tcW w:w="2498" w:type="dxa"/>
            <w:tcBorders>
              <w:top w:val="single" w:sz="4" w:space="0" w:color="auto"/>
              <w:left w:val="nil"/>
              <w:bottom w:val="nil"/>
              <w:right w:val="nil"/>
            </w:tcBorders>
          </w:tcPr>
          <w:p w14:paraId="07E1F393" w14:textId="77777777" w:rsidR="009506D2" w:rsidRPr="00D644E5" w:rsidRDefault="009506D2" w:rsidP="009506D2">
            <w:pPr>
              <w:spacing w:after="0" w:line="360" w:lineRule="auto"/>
              <w:jc w:val="center"/>
              <w:rPr>
                <w:rFonts w:ascii="Courier New" w:hAnsi="Courier New" w:cs="Times New Roman"/>
                <w:b/>
                <w:bCs/>
                <w:sz w:val="20"/>
                <w:szCs w:val="20"/>
              </w:rPr>
            </w:pPr>
            <w:r w:rsidRPr="00D644E5">
              <w:rPr>
                <w:rFonts w:ascii="Courier New" w:hAnsi="Courier New" w:cs="Times New Roman"/>
                <w:b/>
                <w:bCs/>
                <w:sz w:val="20"/>
                <w:szCs w:val="20"/>
                <w:rtl/>
              </w:rPr>
              <w:t>סאאב דבור, שופט</w:t>
            </w:r>
          </w:p>
        </w:tc>
      </w:tr>
    </w:tbl>
    <w:p w14:paraId="6A037FC1" w14:textId="77777777" w:rsidR="00A24187" w:rsidRPr="00A53A5A" w:rsidRDefault="00A24187" w:rsidP="00A53A5A">
      <w:pPr>
        <w:spacing w:after="0" w:line="360" w:lineRule="auto"/>
        <w:rPr>
          <w:rFonts w:ascii="David" w:hAnsi="David" w:cs="David"/>
          <w:sz w:val="24"/>
          <w:szCs w:val="24"/>
          <w:rtl/>
        </w:rPr>
      </w:pPr>
    </w:p>
    <w:p w14:paraId="234910F8" w14:textId="77777777" w:rsidR="00A24187" w:rsidRPr="00A53A5A" w:rsidRDefault="00A24187" w:rsidP="00A53A5A">
      <w:pPr>
        <w:spacing w:after="0" w:line="240" w:lineRule="auto"/>
        <w:rPr>
          <w:rFonts w:ascii="David" w:hAnsi="David" w:cs="David"/>
          <w:sz w:val="24"/>
          <w:szCs w:val="24"/>
        </w:rPr>
      </w:pPr>
      <w:r w:rsidRPr="00A53A5A">
        <w:rPr>
          <w:rFonts w:ascii="David" w:hAnsi="David" w:cs="David" w:hint="eastAsia"/>
          <w:sz w:val="24"/>
          <w:szCs w:val="24"/>
          <w:rtl/>
        </w:rPr>
        <w:t>הוקלד</w:t>
      </w:r>
      <w:r w:rsidRPr="00A53A5A">
        <w:rPr>
          <w:rFonts w:ascii="David" w:hAnsi="David" w:cs="David"/>
          <w:sz w:val="24"/>
          <w:szCs w:val="24"/>
        </w:rPr>
        <w:t xml:space="preserve"> </w:t>
      </w:r>
      <w:r w:rsidRPr="00A53A5A">
        <w:rPr>
          <w:rFonts w:ascii="David" w:hAnsi="David" w:cs="David" w:hint="eastAsia"/>
          <w:sz w:val="24"/>
          <w:szCs w:val="24"/>
          <w:rtl/>
        </w:rPr>
        <w:t>על</w:t>
      </w:r>
      <w:r w:rsidRPr="00A53A5A">
        <w:rPr>
          <w:rFonts w:ascii="David" w:hAnsi="David" w:cs="David"/>
          <w:sz w:val="24"/>
          <w:szCs w:val="24"/>
        </w:rPr>
        <w:t xml:space="preserve"> </w:t>
      </w:r>
      <w:r w:rsidRPr="00A53A5A">
        <w:rPr>
          <w:rFonts w:ascii="David" w:hAnsi="David" w:cs="David" w:hint="eastAsia"/>
          <w:sz w:val="24"/>
          <w:szCs w:val="24"/>
          <w:rtl/>
        </w:rPr>
        <w:t>ידי</w:t>
      </w:r>
      <w:r w:rsidRPr="00A53A5A">
        <w:rPr>
          <w:rFonts w:ascii="David" w:hAnsi="David" w:cs="David"/>
          <w:sz w:val="24"/>
          <w:szCs w:val="24"/>
        </w:rPr>
        <w:t xml:space="preserve"> </w:t>
      </w:r>
      <w:r w:rsidRPr="00A53A5A">
        <w:rPr>
          <w:rFonts w:ascii="David" w:hAnsi="David" w:cs="David" w:hint="eastAsia"/>
          <w:sz w:val="24"/>
          <w:szCs w:val="24"/>
          <w:rtl/>
        </w:rPr>
        <w:t>עדן</w:t>
      </w:r>
      <w:r w:rsidRPr="00A53A5A">
        <w:rPr>
          <w:rFonts w:ascii="David" w:hAnsi="David" w:cs="David"/>
          <w:sz w:val="24"/>
          <w:szCs w:val="24"/>
        </w:rPr>
        <w:t xml:space="preserve"> </w:t>
      </w:r>
      <w:r w:rsidRPr="00A53A5A">
        <w:rPr>
          <w:rFonts w:ascii="David" w:hAnsi="David" w:cs="David" w:hint="eastAsia"/>
          <w:sz w:val="24"/>
          <w:szCs w:val="24"/>
          <w:rtl/>
        </w:rPr>
        <w:t>ונדר</w:t>
      </w:r>
    </w:p>
    <w:p w14:paraId="451CBC41" w14:textId="77777777" w:rsidR="009506D2" w:rsidRPr="009506D2" w:rsidRDefault="009506D2" w:rsidP="009506D2">
      <w:pPr>
        <w:keepNext/>
        <w:spacing w:after="0"/>
        <w:rPr>
          <w:rFonts w:ascii="David" w:hAnsi="David" w:cs="David"/>
          <w:color w:val="000000"/>
          <w:rtl/>
        </w:rPr>
      </w:pPr>
    </w:p>
    <w:p w14:paraId="7A6EF25C" w14:textId="77777777" w:rsidR="009506D2" w:rsidRPr="009506D2" w:rsidRDefault="009506D2" w:rsidP="009506D2">
      <w:pPr>
        <w:keepNext/>
        <w:spacing w:after="0"/>
        <w:rPr>
          <w:rFonts w:ascii="David" w:hAnsi="David" w:cs="David"/>
          <w:color w:val="000000"/>
          <w:rtl/>
        </w:rPr>
      </w:pPr>
      <w:r w:rsidRPr="009506D2">
        <w:rPr>
          <w:rFonts w:ascii="David" w:hAnsi="David" w:cs="David" w:hint="eastAsia"/>
          <w:color w:val="000000"/>
          <w:rtl/>
        </w:rPr>
        <w:t>אסתר</w:t>
      </w:r>
      <w:r w:rsidRPr="009506D2">
        <w:rPr>
          <w:rFonts w:ascii="David" w:hAnsi="David" w:cs="David"/>
          <w:color w:val="000000"/>
          <w:rtl/>
        </w:rPr>
        <w:t xml:space="preserve"> </w:t>
      </w:r>
      <w:r w:rsidRPr="009506D2">
        <w:rPr>
          <w:rFonts w:ascii="David" w:hAnsi="David" w:cs="David" w:hint="eastAsia"/>
          <w:color w:val="000000"/>
          <w:rtl/>
        </w:rPr>
        <w:t>הלמן</w:t>
      </w:r>
      <w:r w:rsidRPr="009506D2">
        <w:rPr>
          <w:rFonts w:ascii="David" w:hAnsi="David" w:cs="David"/>
          <w:color w:val="000000"/>
          <w:rtl/>
        </w:rPr>
        <w:t xml:space="preserve"> 54678313</w:t>
      </w:r>
    </w:p>
    <w:p w14:paraId="0D54B114" w14:textId="77777777" w:rsidR="009506D2" w:rsidRDefault="009506D2" w:rsidP="009506D2">
      <w:r w:rsidRPr="009506D2">
        <w:rPr>
          <w:rFonts w:hint="eastAsia"/>
          <w:color w:val="000000"/>
          <w:rtl/>
        </w:rPr>
        <w:t>נוסח</w:t>
      </w:r>
      <w:r w:rsidRPr="009506D2">
        <w:rPr>
          <w:color w:val="000000"/>
          <w:rtl/>
        </w:rPr>
        <w:t xml:space="preserve"> </w:t>
      </w:r>
      <w:r w:rsidRPr="009506D2">
        <w:rPr>
          <w:rFonts w:hint="eastAsia"/>
          <w:color w:val="000000"/>
          <w:rtl/>
        </w:rPr>
        <w:t>מסמך</w:t>
      </w:r>
      <w:r w:rsidRPr="009506D2">
        <w:rPr>
          <w:color w:val="000000"/>
          <w:rtl/>
        </w:rPr>
        <w:t xml:space="preserve"> </w:t>
      </w:r>
      <w:r w:rsidRPr="009506D2">
        <w:rPr>
          <w:rFonts w:hint="eastAsia"/>
          <w:color w:val="000000"/>
          <w:rtl/>
        </w:rPr>
        <w:t>זה</w:t>
      </w:r>
      <w:r w:rsidRPr="009506D2">
        <w:rPr>
          <w:color w:val="000000"/>
          <w:rtl/>
        </w:rPr>
        <w:t xml:space="preserve"> </w:t>
      </w:r>
      <w:r w:rsidRPr="009506D2">
        <w:rPr>
          <w:rFonts w:hint="eastAsia"/>
          <w:color w:val="000000"/>
          <w:rtl/>
        </w:rPr>
        <w:t>כפוף</w:t>
      </w:r>
      <w:r w:rsidRPr="009506D2">
        <w:rPr>
          <w:color w:val="000000"/>
          <w:rtl/>
        </w:rPr>
        <w:t xml:space="preserve"> </w:t>
      </w:r>
      <w:r w:rsidRPr="009506D2">
        <w:rPr>
          <w:rFonts w:hint="eastAsia"/>
          <w:color w:val="000000"/>
          <w:rtl/>
        </w:rPr>
        <w:t>לשינויי</w:t>
      </w:r>
      <w:r w:rsidRPr="009506D2">
        <w:rPr>
          <w:color w:val="000000"/>
          <w:rtl/>
        </w:rPr>
        <w:t xml:space="preserve"> </w:t>
      </w:r>
      <w:r w:rsidRPr="009506D2">
        <w:rPr>
          <w:rFonts w:hint="eastAsia"/>
          <w:color w:val="000000"/>
          <w:rtl/>
        </w:rPr>
        <w:t>ניסוח</w:t>
      </w:r>
      <w:r w:rsidRPr="009506D2">
        <w:rPr>
          <w:color w:val="000000"/>
          <w:rtl/>
        </w:rPr>
        <w:t xml:space="preserve"> </w:t>
      </w:r>
      <w:r w:rsidRPr="009506D2">
        <w:rPr>
          <w:rFonts w:hint="eastAsia"/>
          <w:color w:val="000000"/>
          <w:rtl/>
        </w:rPr>
        <w:t>ועריכה</w:t>
      </w:r>
    </w:p>
    <w:p w14:paraId="051A1746" w14:textId="77777777" w:rsidR="009506D2" w:rsidRDefault="009506D2" w:rsidP="009506D2">
      <w:pPr>
        <w:rPr>
          <w:rtl/>
        </w:rPr>
      </w:pPr>
    </w:p>
    <w:p w14:paraId="54FB8516" w14:textId="77777777" w:rsidR="009506D2" w:rsidRDefault="009506D2" w:rsidP="009506D2">
      <w:pPr>
        <w:jc w:val="center"/>
        <w:rPr>
          <w:rFonts w:cs="David"/>
          <w:color w:val="0000FF"/>
          <w:szCs w:val="24"/>
          <w:u w:val="single"/>
        </w:rPr>
      </w:pPr>
      <w:hyperlink r:id="rId78" w:history="1">
        <w:r>
          <w:rPr>
            <w:rFonts w:cs="David" w:hint="eastAsia"/>
            <w:color w:val="0000FF"/>
            <w:szCs w:val="24"/>
            <w:u w:val="single"/>
            <w:rtl/>
          </w:rPr>
          <w:t>בעניין</w:t>
        </w:r>
        <w:r>
          <w:rPr>
            <w:rFonts w:cs="David"/>
            <w:color w:val="0000FF"/>
            <w:szCs w:val="24"/>
            <w:u w:val="single"/>
            <w:rtl/>
          </w:rPr>
          <w:t xml:space="preserve"> </w:t>
        </w:r>
        <w:r>
          <w:rPr>
            <w:rFonts w:cs="David" w:hint="eastAsia"/>
            <w:color w:val="0000FF"/>
            <w:szCs w:val="24"/>
            <w:u w:val="single"/>
            <w:rtl/>
          </w:rPr>
          <w:t>עריכה</w:t>
        </w:r>
        <w:r>
          <w:rPr>
            <w:rFonts w:cs="David"/>
            <w:color w:val="0000FF"/>
            <w:szCs w:val="24"/>
            <w:u w:val="single"/>
            <w:rtl/>
          </w:rPr>
          <w:t xml:space="preserve"> </w:t>
        </w:r>
        <w:r>
          <w:rPr>
            <w:rFonts w:cs="David" w:hint="eastAsia"/>
            <w:color w:val="0000FF"/>
            <w:szCs w:val="24"/>
            <w:u w:val="single"/>
            <w:rtl/>
          </w:rPr>
          <w:t>ושינויים</w:t>
        </w:r>
        <w:r>
          <w:rPr>
            <w:rFonts w:cs="David"/>
            <w:color w:val="0000FF"/>
            <w:szCs w:val="24"/>
            <w:u w:val="single"/>
            <w:rtl/>
          </w:rPr>
          <w:t xml:space="preserve"> </w:t>
        </w:r>
        <w:r>
          <w:rPr>
            <w:rFonts w:cs="David" w:hint="eastAsia"/>
            <w:color w:val="0000FF"/>
            <w:szCs w:val="24"/>
            <w:u w:val="single"/>
            <w:rtl/>
          </w:rPr>
          <w:t>במסמכי</w:t>
        </w:r>
        <w:r>
          <w:rPr>
            <w:rFonts w:cs="David"/>
            <w:color w:val="0000FF"/>
            <w:szCs w:val="24"/>
            <w:u w:val="single"/>
            <w:rtl/>
          </w:rPr>
          <w:t xml:space="preserve"> </w:t>
        </w:r>
        <w:r>
          <w:rPr>
            <w:rFonts w:cs="David" w:hint="eastAsia"/>
            <w:color w:val="0000FF"/>
            <w:szCs w:val="24"/>
            <w:u w:val="single"/>
            <w:rtl/>
          </w:rPr>
          <w:t>פסיקה</w:t>
        </w:r>
        <w:r>
          <w:rPr>
            <w:rFonts w:cs="David"/>
            <w:color w:val="0000FF"/>
            <w:szCs w:val="24"/>
            <w:u w:val="single"/>
            <w:rtl/>
          </w:rPr>
          <w:t xml:space="preserve">, </w:t>
        </w:r>
        <w:r>
          <w:rPr>
            <w:rFonts w:cs="David" w:hint="eastAsia"/>
            <w:color w:val="0000FF"/>
            <w:szCs w:val="24"/>
            <w:u w:val="single"/>
            <w:rtl/>
          </w:rPr>
          <w:t>חקיקה</w:t>
        </w:r>
        <w:r>
          <w:rPr>
            <w:rFonts w:cs="David"/>
            <w:color w:val="0000FF"/>
            <w:szCs w:val="24"/>
            <w:u w:val="single"/>
            <w:rtl/>
          </w:rPr>
          <w:t xml:space="preserve"> </w:t>
        </w:r>
        <w:r>
          <w:rPr>
            <w:rFonts w:cs="David" w:hint="eastAsia"/>
            <w:color w:val="0000FF"/>
            <w:szCs w:val="24"/>
            <w:u w:val="single"/>
            <w:rtl/>
          </w:rPr>
          <w:t>ועוד</w:t>
        </w:r>
        <w:r>
          <w:rPr>
            <w:rFonts w:cs="David"/>
            <w:color w:val="0000FF"/>
            <w:szCs w:val="24"/>
            <w:u w:val="single"/>
            <w:rtl/>
          </w:rPr>
          <w:t xml:space="preserve"> </w:t>
        </w:r>
        <w:r>
          <w:rPr>
            <w:rFonts w:cs="David" w:hint="eastAsia"/>
            <w:color w:val="0000FF"/>
            <w:szCs w:val="24"/>
            <w:u w:val="single"/>
            <w:rtl/>
          </w:rPr>
          <w:t>באתר</w:t>
        </w:r>
        <w:r>
          <w:rPr>
            <w:rFonts w:cs="David"/>
            <w:color w:val="0000FF"/>
            <w:szCs w:val="24"/>
            <w:u w:val="single"/>
            <w:rtl/>
          </w:rPr>
          <w:t xml:space="preserve"> </w:t>
        </w:r>
        <w:r>
          <w:rPr>
            <w:rFonts w:cs="David" w:hint="eastAsia"/>
            <w:color w:val="0000FF"/>
            <w:szCs w:val="24"/>
            <w:u w:val="single"/>
            <w:rtl/>
          </w:rPr>
          <w:t>נבו</w:t>
        </w:r>
        <w:r>
          <w:rPr>
            <w:rFonts w:cs="David"/>
            <w:color w:val="0000FF"/>
            <w:szCs w:val="24"/>
            <w:u w:val="single"/>
            <w:rtl/>
          </w:rPr>
          <w:t xml:space="preserve"> – </w:t>
        </w:r>
        <w:r>
          <w:rPr>
            <w:rFonts w:cs="David" w:hint="eastAsia"/>
            <w:color w:val="0000FF"/>
            <w:szCs w:val="24"/>
            <w:u w:val="single"/>
            <w:rtl/>
          </w:rPr>
          <w:t>הקש</w:t>
        </w:r>
        <w:r>
          <w:rPr>
            <w:rFonts w:cs="David"/>
            <w:color w:val="0000FF"/>
            <w:szCs w:val="24"/>
            <w:u w:val="single"/>
            <w:rtl/>
          </w:rPr>
          <w:t xml:space="preserve"> </w:t>
        </w:r>
        <w:r>
          <w:rPr>
            <w:rFonts w:cs="David" w:hint="eastAsia"/>
            <w:color w:val="0000FF"/>
            <w:szCs w:val="24"/>
            <w:u w:val="single"/>
            <w:rtl/>
          </w:rPr>
          <w:t>כאן</w:t>
        </w:r>
      </w:hyperlink>
    </w:p>
    <w:p w14:paraId="502D80B9" w14:textId="77777777" w:rsidR="00A24187" w:rsidRPr="009506D2" w:rsidRDefault="00A24187" w:rsidP="009506D2">
      <w:pPr>
        <w:jc w:val="center"/>
        <w:rPr>
          <w:rFonts w:cs="David"/>
          <w:color w:val="0000FF"/>
          <w:szCs w:val="24"/>
          <w:u w:val="single"/>
        </w:rPr>
      </w:pPr>
    </w:p>
    <w:sectPr w:rsidR="00A24187" w:rsidRPr="009506D2" w:rsidSect="009506D2">
      <w:headerReference w:type="even" r:id="rId79"/>
      <w:headerReference w:type="default" r:id="rId80"/>
      <w:footerReference w:type="even" r:id="rId81"/>
      <w:footerReference w:type="default" r:id="rId8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7917A3" w14:textId="77777777" w:rsidR="00ED77C5" w:rsidRDefault="00ED77C5" w:rsidP="00A53A5A">
      <w:pPr>
        <w:spacing w:after="0" w:line="240" w:lineRule="auto"/>
      </w:pPr>
      <w:r>
        <w:separator/>
      </w:r>
    </w:p>
  </w:endnote>
  <w:endnote w:type="continuationSeparator" w:id="0">
    <w:p w14:paraId="2A3FF89A" w14:textId="77777777" w:rsidR="00ED77C5" w:rsidRDefault="00ED77C5" w:rsidP="00A53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5E9BC" w14:textId="77777777" w:rsidR="00B66733" w:rsidRDefault="00B66733" w:rsidP="009506D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180</w:t>
    </w:r>
    <w:r>
      <w:rPr>
        <w:rFonts w:ascii="FrankRuehl" w:hAnsi="FrankRuehl" w:cs="FrankRuehl"/>
        <w:rtl/>
      </w:rPr>
      <w:fldChar w:fldCharType="end"/>
    </w:r>
  </w:p>
  <w:p w14:paraId="0E748EF7" w14:textId="77777777" w:rsidR="00B66733" w:rsidRPr="009506D2" w:rsidRDefault="00B66733" w:rsidP="009506D2">
    <w:pPr>
      <w:pStyle w:val="a5"/>
      <w:pBdr>
        <w:top w:val="single" w:sz="4" w:space="1" w:color="auto"/>
        <w:between w:val="single" w:sz="4" w:space="0" w:color="auto"/>
      </w:pBdr>
      <w:spacing w:after="60"/>
      <w:jc w:val="center"/>
      <w:rPr>
        <w:rFonts w:ascii="FrankRuehl" w:hAnsi="FrankRuehl" w:cs="FrankRuehl"/>
        <w:color w:val="000000"/>
      </w:rPr>
    </w:pPr>
    <w:r w:rsidRPr="009506D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93B77" w14:textId="77777777" w:rsidR="00B66733" w:rsidRDefault="00B66733" w:rsidP="009506D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335DEB">
      <w:rPr>
        <w:rFonts w:ascii="FrankRuehl" w:hAnsi="FrankRuehl" w:cs="FrankRuehl"/>
        <w:noProof/>
        <w:rtl/>
      </w:rPr>
      <w:t>1</w:t>
    </w:r>
    <w:r>
      <w:rPr>
        <w:rFonts w:ascii="FrankRuehl" w:hAnsi="FrankRuehl" w:cs="FrankRuehl"/>
        <w:rtl/>
      </w:rPr>
      <w:fldChar w:fldCharType="end"/>
    </w:r>
  </w:p>
  <w:p w14:paraId="1DEB1F0C" w14:textId="77777777" w:rsidR="00B66733" w:rsidRPr="009506D2" w:rsidRDefault="00B66733" w:rsidP="009506D2">
    <w:pPr>
      <w:pStyle w:val="a5"/>
      <w:pBdr>
        <w:top w:val="single" w:sz="4" w:space="1" w:color="auto"/>
        <w:between w:val="single" w:sz="4" w:space="0" w:color="auto"/>
      </w:pBdr>
      <w:spacing w:after="60"/>
      <w:jc w:val="center"/>
      <w:rPr>
        <w:rFonts w:ascii="FrankRuehl" w:hAnsi="FrankRuehl" w:cs="FrankRuehl" w:hint="cs"/>
        <w:color w:val="000000"/>
      </w:rPr>
    </w:pPr>
    <w:r w:rsidRPr="009506D2">
      <w:rPr>
        <w:rFonts w:ascii="FrankRuehl" w:hAnsi="FrankRuehl" w:cs="FrankRuehl" w:hint="cs"/>
        <w:color w:val="000000"/>
      </w:rPr>
      <w:pict w14:anchorId="66F8F4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7BB4AF" w14:textId="77777777" w:rsidR="00ED77C5" w:rsidRDefault="00ED77C5" w:rsidP="00A53A5A">
      <w:pPr>
        <w:spacing w:after="0" w:line="240" w:lineRule="auto"/>
      </w:pPr>
      <w:r>
        <w:separator/>
      </w:r>
    </w:p>
  </w:footnote>
  <w:footnote w:type="continuationSeparator" w:id="0">
    <w:p w14:paraId="0853F22D" w14:textId="77777777" w:rsidR="00ED77C5" w:rsidRDefault="00ED77C5" w:rsidP="00A53A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6C8EF" w14:textId="77777777" w:rsidR="00B66733" w:rsidRPr="009506D2" w:rsidRDefault="00B66733" w:rsidP="009506D2">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(נצ') 41585-03-16</w:t>
    </w:r>
    <w:r>
      <w:rPr>
        <w:color w:val="000000"/>
        <w:sz w:val="22"/>
        <w:szCs w:val="22"/>
        <w:rtl/>
      </w:rPr>
      <w:tab/>
      <w:t xml:space="preserve"> מדינת ישראל נ' מועאד בן עלי הייב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694E9" w14:textId="77777777" w:rsidR="00B66733" w:rsidRPr="009506D2" w:rsidRDefault="00B66733" w:rsidP="009506D2">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(נצ') 41585-03-16</w:t>
    </w:r>
    <w:r>
      <w:rPr>
        <w:color w:val="000000"/>
        <w:sz w:val="22"/>
        <w:szCs w:val="22"/>
        <w:rtl/>
      </w:rPr>
      <w:tab/>
      <w:t xml:space="preserve"> מדינת ישראל נ' מועאד בן עלי הייב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53A5A"/>
    <w:rsid w:val="00335DEB"/>
    <w:rsid w:val="0037284E"/>
    <w:rsid w:val="003E648E"/>
    <w:rsid w:val="00430684"/>
    <w:rsid w:val="005B4ACC"/>
    <w:rsid w:val="0066216E"/>
    <w:rsid w:val="00670227"/>
    <w:rsid w:val="00714380"/>
    <w:rsid w:val="008B057B"/>
    <w:rsid w:val="00900E2B"/>
    <w:rsid w:val="009506D2"/>
    <w:rsid w:val="009D6AB6"/>
    <w:rsid w:val="00A04531"/>
    <w:rsid w:val="00A24187"/>
    <w:rsid w:val="00A53A5A"/>
    <w:rsid w:val="00B5220D"/>
    <w:rsid w:val="00B53CA8"/>
    <w:rsid w:val="00B66733"/>
    <w:rsid w:val="00C1063F"/>
    <w:rsid w:val="00D644E5"/>
    <w:rsid w:val="00DE3A32"/>
    <w:rsid w:val="00E36699"/>
    <w:rsid w:val="00ED77C5"/>
    <w:rsid w:val="00F15005"/>
    <w:rsid w:val="00F3323B"/>
    <w:rsid w:val="00F913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9896973"/>
  <w15:chartTrackingRefBased/>
  <w15:docId w15:val="{9D8CEF74-ECE6-4E84-86AD-4F9E5E384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D6AB6"/>
    <w:pPr>
      <w:bidi/>
      <w:spacing w:after="160" w:line="259" w:lineRule="auto"/>
    </w:pPr>
    <w:rPr>
      <w:rFonts w:eastAsia="Times New Roman"/>
      <w:sz w:val="22"/>
      <w:szCs w:val="2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A53A5A"/>
    <w:pPr>
      <w:tabs>
        <w:tab w:val="center" w:pos="4153"/>
        <w:tab w:val="right" w:pos="8306"/>
      </w:tabs>
      <w:spacing w:after="0" w:line="240" w:lineRule="auto"/>
    </w:pPr>
    <w:rPr>
      <w:rFonts w:ascii="David" w:eastAsia="Calibri" w:hAnsi="David" w:cs="David"/>
      <w:sz w:val="24"/>
      <w:szCs w:val="24"/>
    </w:rPr>
  </w:style>
  <w:style w:type="character" w:customStyle="1" w:styleId="a4">
    <w:name w:val="כותרת עליונה תו"/>
    <w:basedOn w:val="a0"/>
    <w:link w:val="a3"/>
    <w:locked/>
    <w:rsid w:val="00A53A5A"/>
    <w:rPr>
      <w:rFonts w:ascii="David" w:hAnsi="David" w:cs="David"/>
      <w:sz w:val="24"/>
      <w:szCs w:val="24"/>
      <w:lang w:bidi="he-IL"/>
    </w:rPr>
  </w:style>
  <w:style w:type="paragraph" w:styleId="a5">
    <w:name w:val="footer"/>
    <w:basedOn w:val="a"/>
    <w:link w:val="a6"/>
    <w:rsid w:val="00A53A5A"/>
    <w:pPr>
      <w:tabs>
        <w:tab w:val="center" w:pos="4153"/>
        <w:tab w:val="right" w:pos="8306"/>
      </w:tabs>
      <w:spacing w:after="0" w:line="240" w:lineRule="auto"/>
    </w:pPr>
    <w:rPr>
      <w:rFonts w:ascii="David" w:eastAsia="Calibri" w:hAnsi="David" w:cs="David"/>
      <w:sz w:val="24"/>
      <w:szCs w:val="24"/>
    </w:rPr>
  </w:style>
  <w:style w:type="character" w:customStyle="1" w:styleId="a6">
    <w:name w:val="כותרת תחתונה תו"/>
    <w:basedOn w:val="a0"/>
    <w:link w:val="a5"/>
    <w:locked/>
    <w:rsid w:val="00A53A5A"/>
    <w:rPr>
      <w:rFonts w:ascii="David" w:hAnsi="David" w:cs="David"/>
      <w:sz w:val="24"/>
      <w:szCs w:val="24"/>
      <w:lang w:bidi="he-IL"/>
    </w:rPr>
  </w:style>
  <w:style w:type="table" w:styleId="a7">
    <w:name w:val="Table Grid"/>
    <w:basedOn w:val="a1"/>
    <w:rsid w:val="00A53A5A"/>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rsid w:val="00A53A5A"/>
    <w:rPr>
      <w:rFonts w:cs="Times New Roman"/>
    </w:rPr>
  </w:style>
  <w:style w:type="character" w:customStyle="1" w:styleId="TimesNewRomanTimesNewRoman">
    <w:name w:val="סגנון (לטיני) Times New Roman (עברית ושפות אחרות) Times New Roman..."/>
    <w:basedOn w:val="a0"/>
    <w:rsid w:val="00A53A5A"/>
    <w:rPr>
      <w:rFonts w:ascii="Times New Roman" w:hAnsi="Times New Roman" w:cs="David"/>
      <w:b/>
      <w:bCs/>
      <w:sz w:val="26"/>
      <w:szCs w:val="26"/>
      <w:lang w:bidi="he-IL"/>
    </w:rPr>
  </w:style>
  <w:style w:type="character" w:styleId="Hyperlink">
    <w:name w:val="Hyperlink"/>
    <w:basedOn w:val="a0"/>
    <w:semiHidden/>
    <w:rsid w:val="00A53A5A"/>
    <w:rPr>
      <w:rFonts w:ascii="Times New Roman" w:hAnsi="Times New Roman" w:cs="Times New Roman"/>
      <w:color w:val="0000FF"/>
      <w:u w:val="single"/>
    </w:rPr>
  </w:style>
  <w:style w:type="paragraph" w:styleId="a9">
    <w:name w:val="Title"/>
    <w:basedOn w:val="a"/>
    <w:link w:val="aa"/>
    <w:qFormat/>
    <w:rsid w:val="00A53A5A"/>
    <w:pPr>
      <w:shd w:val="pct20" w:color="auto" w:fill="FFFFFF"/>
      <w:spacing w:after="0" w:line="480" w:lineRule="auto"/>
      <w:ind w:left="1701" w:hanging="1701"/>
      <w:jc w:val="center"/>
    </w:pPr>
    <w:rPr>
      <w:rFonts w:ascii="Times New Roman" w:eastAsia="Calibri" w:hAnsi="Times New Roman" w:cs="Times New Roman"/>
      <w:b/>
      <w:bCs/>
      <w:sz w:val="20"/>
      <w:szCs w:val="28"/>
      <w:u w:val="single"/>
      <w:lang w:eastAsia="he-IL"/>
    </w:rPr>
  </w:style>
  <w:style w:type="character" w:customStyle="1" w:styleId="aa">
    <w:name w:val="כותרת טקסט תו"/>
    <w:basedOn w:val="a0"/>
    <w:link w:val="a9"/>
    <w:locked/>
    <w:rsid w:val="00A53A5A"/>
    <w:rPr>
      <w:rFonts w:ascii="Times New Roman" w:hAnsi="Times New Roman" w:cs="Times New Roman"/>
      <w:b/>
      <w:bCs/>
      <w:sz w:val="28"/>
      <w:szCs w:val="28"/>
      <w:u w:val="single"/>
      <w:shd w:val="pct20" w:color="auto" w:fill="FFFFFF"/>
      <w:lang w:val="x-none" w:eastAsia="he-IL" w:bidi="he-IL"/>
    </w:rPr>
  </w:style>
  <w:style w:type="paragraph" w:customStyle="1" w:styleId="ListParagraph">
    <w:name w:val="List Paragraph"/>
    <w:basedOn w:val="a"/>
    <w:rsid w:val="00A53A5A"/>
    <w:pPr>
      <w:spacing w:line="256" w:lineRule="auto"/>
      <w:ind w:left="720"/>
      <w:contextualSpacing/>
    </w:pPr>
    <w:rPr>
      <w:rFonts w:eastAsia="Calibri"/>
    </w:rPr>
  </w:style>
  <w:style w:type="character" w:styleId="ab">
    <w:name w:val="line number"/>
    <w:basedOn w:val="a0"/>
    <w:semiHidden/>
    <w:rsid w:val="00A53A5A"/>
    <w:rPr>
      <w:rFonts w:cs="Times New Roman"/>
    </w:rPr>
  </w:style>
  <w:style w:type="paragraph" w:styleId="ac">
    <w:name w:val="Balloon Text"/>
    <w:basedOn w:val="a"/>
    <w:link w:val="ad"/>
    <w:semiHidden/>
    <w:rsid w:val="00670227"/>
    <w:pPr>
      <w:spacing w:after="0" w:line="240" w:lineRule="auto"/>
    </w:pPr>
    <w:rPr>
      <w:rFonts w:ascii="Tahoma" w:hAnsi="Tahoma" w:cs="Tahoma"/>
      <w:sz w:val="16"/>
      <w:szCs w:val="16"/>
    </w:rPr>
  </w:style>
  <w:style w:type="character" w:customStyle="1" w:styleId="ad">
    <w:name w:val="טקסט בלונים תו"/>
    <w:basedOn w:val="a0"/>
    <w:link w:val="ac"/>
    <w:semiHidden/>
    <w:locked/>
    <w:rsid w:val="006702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5227/10.a" TargetMode="External"/><Relationship Id="rId42" Type="http://schemas.openxmlformats.org/officeDocument/2006/relationships/hyperlink" Target="http://www.nevo.co.il/case/16932425" TargetMode="External"/><Relationship Id="rId47" Type="http://schemas.openxmlformats.org/officeDocument/2006/relationships/hyperlink" Target="http://www.nevo.co.il/law/70301" TargetMode="External"/><Relationship Id="rId63" Type="http://schemas.openxmlformats.org/officeDocument/2006/relationships/hyperlink" Target="http://www.nevo.co.il/law/70301" TargetMode="External"/><Relationship Id="rId68" Type="http://schemas.openxmlformats.org/officeDocument/2006/relationships/hyperlink" Target="http://www.nevo.co.il/case/6064371" TargetMode="External"/><Relationship Id="rId84" Type="http://schemas.openxmlformats.org/officeDocument/2006/relationships/theme" Target="theme/theme1.xml"/><Relationship Id="rId16" Type="http://schemas.openxmlformats.org/officeDocument/2006/relationships/hyperlink" Target="http://www.nevo.co.il/law/70301/40ja" TargetMode="External"/><Relationship Id="rId11" Type="http://schemas.openxmlformats.org/officeDocument/2006/relationships/hyperlink" Target="http://www.nevo.co.il/law/70301/40i" TargetMode="External"/><Relationship Id="rId32" Type="http://schemas.openxmlformats.org/officeDocument/2006/relationships/hyperlink" Target="http://www.nevo.co.il/law/5227" TargetMode="External"/><Relationship Id="rId37" Type="http://schemas.openxmlformats.org/officeDocument/2006/relationships/hyperlink" Target="http://www.nevo.co.il/law/74501/2" TargetMode="External"/><Relationship Id="rId53" Type="http://schemas.openxmlformats.org/officeDocument/2006/relationships/hyperlink" Target="http://www.nevo.co.il/law/70301/40e" TargetMode="External"/><Relationship Id="rId58" Type="http://schemas.openxmlformats.org/officeDocument/2006/relationships/hyperlink" Target="http://www.nevo.co.il/case/20420489" TargetMode="External"/><Relationship Id="rId74" Type="http://schemas.openxmlformats.org/officeDocument/2006/relationships/hyperlink" Target="http://www.nevo.co.il/case/6030667" TargetMode="External"/><Relationship Id="rId79" Type="http://schemas.openxmlformats.org/officeDocument/2006/relationships/header" Target="header1.xml"/><Relationship Id="rId5" Type="http://schemas.openxmlformats.org/officeDocument/2006/relationships/endnotes" Target="endnotes.xml"/><Relationship Id="rId61" Type="http://schemas.openxmlformats.org/officeDocument/2006/relationships/hyperlink" Target="http://www.nevo.co.il/law/70301/40i" TargetMode="External"/><Relationship Id="rId82" Type="http://schemas.openxmlformats.org/officeDocument/2006/relationships/footer" Target="footer2.xml"/><Relationship Id="rId19" Type="http://schemas.openxmlformats.org/officeDocument/2006/relationships/hyperlink" Target="http://www.nevo.co.il/law/5227" TargetMode="External"/><Relationship Id="rId14" Type="http://schemas.openxmlformats.org/officeDocument/2006/relationships/hyperlink" Target="http://www.nevo.co.il/law/70301/329.a.2" TargetMode="External"/><Relationship Id="rId22" Type="http://schemas.openxmlformats.org/officeDocument/2006/relationships/hyperlink" Target="http://www.nevo.co.il/law/5227/43" TargetMode="External"/><Relationship Id="rId27" Type="http://schemas.openxmlformats.org/officeDocument/2006/relationships/hyperlink" Target="http://www.nevo.co.il/law/70301/144.b" TargetMode="External"/><Relationship Id="rId30" Type="http://schemas.openxmlformats.org/officeDocument/2006/relationships/hyperlink" Target="http://www.nevo.co.il/law/70301" TargetMode="External"/><Relationship Id="rId35" Type="http://schemas.openxmlformats.org/officeDocument/2006/relationships/hyperlink" Target="http://www.nevo.co.il/law/5227/2" TargetMode="External"/><Relationship Id="rId43" Type="http://schemas.openxmlformats.org/officeDocument/2006/relationships/hyperlink" Target="http://www.nevo.co.il/case/17922225" TargetMode="External"/><Relationship Id="rId48" Type="http://schemas.openxmlformats.org/officeDocument/2006/relationships/hyperlink" Target="http://www.nevo.co.il/case/2514237" TargetMode="External"/><Relationship Id="rId56" Type="http://schemas.openxmlformats.org/officeDocument/2006/relationships/hyperlink" Target="http://www.nevo.co.il/case/13093721" TargetMode="External"/><Relationship Id="rId64" Type="http://schemas.openxmlformats.org/officeDocument/2006/relationships/hyperlink" Target="http://www.nevo.co.il/law/70301/40jb" TargetMode="External"/><Relationship Id="rId69" Type="http://schemas.openxmlformats.org/officeDocument/2006/relationships/hyperlink" Target="http://www.nevo.co.il/case/6135151" TargetMode="External"/><Relationship Id="rId77" Type="http://schemas.openxmlformats.org/officeDocument/2006/relationships/hyperlink" Target="http://www.nevo.co.il/case/11312605" TargetMode="External"/><Relationship Id="rId8" Type="http://schemas.openxmlformats.org/officeDocument/2006/relationships/hyperlink" Target="http://www.nevo.co.il/law/70301/40c" TargetMode="External"/><Relationship Id="rId51" Type="http://schemas.openxmlformats.org/officeDocument/2006/relationships/hyperlink" Target="http://www.nevo.co.il/law/70301/40d" TargetMode="External"/><Relationship Id="rId72" Type="http://schemas.openxmlformats.org/officeDocument/2006/relationships/hyperlink" Target="http://www.nevo.co.il/case/5743421" TargetMode="External"/><Relationship Id="rId80" Type="http://schemas.openxmlformats.org/officeDocument/2006/relationships/header" Target="header2.xml"/><Relationship Id="rId3" Type="http://schemas.openxmlformats.org/officeDocument/2006/relationships/webSettings" Target="web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40jb" TargetMode="External"/><Relationship Id="rId25" Type="http://schemas.openxmlformats.org/officeDocument/2006/relationships/hyperlink" Target="http://www.nevo.co.il/law/70301/329.a.2" TargetMode="External"/><Relationship Id="rId33" Type="http://schemas.openxmlformats.org/officeDocument/2006/relationships/hyperlink" Target="http://www.nevo.co.il/law/5227/10.a" TargetMode="External"/><Relationship Id="rId38" Type="http://schemas.openxmlformats.org/officeDocument/2006/relationships/hyperlink" Target="http://www.nevo.co.il/law/74501" TargetMode="External"/><Relationship Id="rId46" Type="http://schemas.openxmlformats.org/officeDocument/2006/relationships/hyperlink" Target="http://www.nevo.co.il/law/70301/329.2" TargetMode="External"/><Relationship Id="rId59" Type="http://schemas.openxmlformats.org/officeDocument/2006/relationships/hyperlink" Target="http://www.nevo.co.il/law/70301/40c" TargetMode="External"/><Relationship Id="rId67" Type="http://schemas.openxmlformats.org/officeDocument/2006/relationships/hyperlink" Target="http://www.nevo.co.il/case/5580733" TargetMode="External"/><Relationship Id="rId20" Type="http://schemas.openxmlformats.org/officeDocument/2006/relationships/hyperlink" Target="http://www.nevo.co.il/law/5227/2" TargetMode="External"/><Relationship Id="rId41" Type="http://schemas.openxmlformats.org/officeDocument/2006/relationships/hyperlink" Target="http://www.nevo.co.il/case/5172636" TargetMode="External"/><Relationship Id="rId54" Type="http://schemas.openxmlformats.org/officeDocument/2006/relationships/hyperlink" Target="http://www.nevo.co.il/law/70301/40jc" TargetMode="External"/><Relationship Id="rId62" Type="http://schemas.openxmlformats.org/officeDocument/2006/relationships/hyperlink" Target="http://www.nevo.co.il/law/70301/40ja" TargetMode="External"/><Relationship Id="rId70" Type="http://schemas.openxmlformats.org/officeDocument/2006/relationships/hyperlink" Target="http://www.nevo.co.il/case/5734605" TargetMode="External"/><Relationship Id="rId75" Type="http://schemas.openxmlformats.org/officeDocument/2006/relationships/hyperlink" Target="http://www.nevo.co.il/case/17922225" TargetMode="External"/><Relationship Id="rId83"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340a" TargetMode="External"/><Relationship Id="rId23" Type="http://schemas.openxmlformats.org/officeDocument/2006/relationships/hyperlink" Target="http://www.nevo.co.il/law/74501" TargetMode="External"/><Relationship Id="rId28" Type="http://schemas.openxmlformats.org/officeDocument/2006/relationships/hyperlink" Target="http://www.nevo.co.il/law/70301" TargetMode="External"/><Relationship Id="rId36" Type="http://schemas.openxmlformats.org/officeDocument/2006/relationships/hyperlink" Target="http://www.nevo.co.il/law/5227" TargetMode="External"/><Relationship Id="rId49" Type="http://schemas.openxmlformats.org/officeDocument/2006/relationships/hyperlink" Target="http://www.nevo.co.il/law/70301/40b" TargetMode="External"/><Relationship Id="rId57" Type="http://schemas.openxmlformats.org/officeDocument/2006/relationships/hyperlink" Target="http://www.nevo.co.il/case/6018516" TargetMode="External"/><Relationship Id="rId10" Type="http://schemas.openxmlformats.org/officeDocument/2006/relationships/hyperlink" Target="http://www.nevo.co.il/law/70301/40e" TargetMode="External"/><Relationship Id="rId31" Type="http://schemas.openxmlformats.org/officeDocument/2006/relationships/hyperlink" Target="http://www.nevo.co.il/law/5227/43" TargetMode="External"/><Relationship Id="rId44" Type="http://schemas.openxmlformats.org/officeDocument/2006/relationships/hyperlink" Target="http://www.nevo.co.il/case/6865924" TargetMode="External"/><Relationship Id="rId52" Type="http://schemas.openxmlformats.org/officeDocument/2006/relationships/hyperlink" Target="http://www.nevo.co.il/law/70301" TargetMode="External"/><Relationship Id="rId60" Type="http://schemas.openxmlformats.org/officeDocument/2006/relationships/hyperlink" Target="http://www.nevo.co.il/law/70301" TargetMode="External"/><Relationship Id="rId65" Type="http://schemas.openxmlformats.org/officeDocument/2006/relationships/hyperlink" Target="http://www.nevo.co.il/law/70301" TargetMode="External"/><Relationship Id="rId73" Type="http://schemas.openxmlformats.org/officeDocument/2006/relationships/hyperlink" Target="http://www.nevo.co.il/case/5699762" TargetMode="External"/><Relationship Id="rId78" Type="http://schemas.openxmlformats.org/officeDocument/2006/relationships/hyperlink" Target="http://www.nevo.co.il/advertisements/nevo-100.doc" TargetMode="External"/><Relationship Id="rId8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40d" TargetMode="External"/><Relationship Id="rId13" Type="http://schemas.openxmlformats.org/officeDocument/2006/relationships/hyperlink" Target="http://www.nevo.co.il/law/70301/329.2" TargetMode="External"/><Relationship Id="rId18" Type="http://schemas.openxmlformats.org/officeDocument/2006/relationships/hyperlink" Target="http://www.nevo.co.il/law/70301/40jc" TargetMode="External"/><Relationship Id="rId39" Type="http://schemas.openxmlformats.org/officeDocument/2006/relationships/hyperlink" Target="http://www.nevo.co.il/case/6245959" TargetMode="External"/><Relationship Id="rId34" Type="http://schemas.openxmlformats.org/officeDocument/2006/relationships/hyperlink" Target="http://www.nevo.co.il/law/5227" TargetMode="External"/><Relationship Id="rId50" Type="http://schemas.openxmlformats.org/officeDocument/2006/relationships/hyperlink" Target="http://www.nevo.co.il/law/70301" TargetMode="External"/><Relationship Id="rId55" Type="http://schemas.openxmlformats.org/officeDocument/2006/relationships/hyperlink" Target="http://www.nevo.co.il/law/70301" TargetMode="External"/><Relationship Id="rId76" Type="http://schemas.openxmlformats.org/officeDocument/2006/relationships/hyperlink" Target="http://www.nevo.co.il/case/20138359" TargetMode="External"/><Relationship Id="rId7" Type="http://schemas.openxmlformats.org/officeDocument/2006/relationships/hyperlink" Target="http://www.nevo.co.il/law/70301/40b" TargetMode="External"/><Relationship Id="rId71" Type="http://schemas.openxmlformats.org/officeDocument/2006/relationships/hyperlink" Target="http://www.nevo.co.il/case/5573783" TargetMode="External"/><Relationship Id="rId2" Type="http://schemas.openxmlformats.org/officeDocument/2006/relationships/settings" Target="settings.xml"/><Relationship Id="rId29" Type="http://schemas.openxmlformats.org/officeDocument/2006/relationships/hyperlink" Target="http://www.nevo.co.il/law/70301/340a" TargetMode="External"/><Relationship Id="rId24" Type="http://schemas.openxmlformats.org/officeDocument/2006/relationships/hyperlink" Target="http://www.nevo.co.il/law/74501/2" TargetMode="External"/><Relationship Id="rId40" Type="http://schemas.openxmlformats.org/officeDocument/2006/relationships/hyperlink" Target="http://www.nevo.co.il/case/21472824" TargetMode="External"/><Relationship Id="rId45" Type="http://schemas.openxmlformats.org/officeDocument/2006/relationships/hyperlink" Target="http://www.nevo.co.il/case/333529" TargetMode="External"/><Relationship Id="rId66" Type="http://schemas.openxmlformats.org/officeDocument/2006/relationships/hyperlink" Target="http://www.nevo.co.il/case/2029130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5547</Words>
  <Characters>27740</Characters>
  <Application>Microsoft Office Word</Application>
  <DocSecurity>0</DocSecurity>
  <Lines>231</Lines>
  <Paragraphs>66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33221</CharactersWithSpaces>
  <SharedDoc>false</SharedDoc>
  <HLinks>
    <vt:vector size="438" baseType="variant">
      <vt:variant>
        <vt:i4>393283</vt:i4>
      </vt:variant>
      <vt:variant>
        <vt:i4>216</vt:i4>
      </vt:variant>
      <vt:variant>
        <vt:i4>0</vt:i4>
      </vt:variant>
      <vt:variant>
        <vt:i4>5</vt:i4>
      </vt:variant>
      <vt:variant>
        <vt:lpwstr>http://www.nevo.co.il/advertisements/nevo-100.doc</vt:lpwstr>
      </vt:variant>
      <vt:variant>
        <vt:lpwstr/>
      </vt:variant>
      <vt:variant>
        <vt:i4>3145842</vt:i4>
      </vt:variant>
      <vt:variant>
        <vt:i4>213</vt:i4>
      </vt:variant>
      <vt:variant>
        <vt:i4>0</vt:i4>
      </vt:variant>
      <vt:variant>
        <vt:i4>5</vt:i4>
      </vt:variant>
      <vt:variant>
        <vt:lpwstr>http://www.nevo.co.il/case/11312605</vt:lpwstr>
      </vt:variant>
      <vt:variant>
        <vt:lpwstr/>
      </vt:variant>
      <vt:variant>
        <vt:i4>4063348</vt:i4>
      </vt:variant>
      <vt:variant>
        <vt:i4>210</vt:i4>
      </vt:variant>
      <vt:variant>
        <vt:i4>0</vt:i4>
      </vt:variant>
      <vt:variant>
        <vt:i4>5</vt:i4>
      </vt:variant>
      <vt:variant>
        <vt:lpwstr>http://www.nevo.co.il/case/20138359</vt:lpwstr>
      </vt:variant>
      <vt:variant>
        <vt:lpwstr/>
      </vt:variant>
      <vt:variant>
        <vt:i4>3670131</vt:i4>
      </vt:variant>
      <vt:variant>
        <vt:i4>207</vt:i4>
      </vt:variant>
      <vt:variant>
        <vt:i4>0</vt:i4>
      </vt:variant>
      <vt:variant>
        <vt:i4>5</vt:i4>
      </vt:variant>
      <vt:variant>
        <vt:lpwstr>http://www.nevo.co.il/case/17922225</vt:lpwstr>
      </vt:variant>
      <vt:variant>
        <vt:lpwstr/>
      </vt:variant>
      <vt:variant>
        <vt:i4>3407986</vt:i4>
      </vt:variant>
      <vt:variant>
        <vt:i4>204</vt:i4>
      </vt:variant>
      <vt:variant>
        <vt:i4>0</vt:i4>
      </vt:variant>
      <vt:variant>
        <vt:i4>5</vt:i4>
      </vt:variant>
      <vt:variant>
        <vt:lpwstr>http://www.nevo.co.il/case/6030667</vt:lpwstr>
      </vt:variant>
      <vt:variant>
        <vt:lpwstr/>
      </vt:variant>
      <vt:variant>
        <vt:i4>3735677</vt:i4>
      </vt:variant>
      <vt:variant>
        <vt:i4>201</vt:i4>
      </vt:variant>
      <vt:variant>
        <vt:i4>0</vt:i4>
      </vt:variant>
      <vt:variant>
        <vt:i4>5</vt:i4>
      </vt:variant>
      <vt:variant>
        <vt:lpwstr>http://www.nevo.co.il/case/5699762</vt:lpwstr>
      </vt:variant>
      <vt:variant>
        <vt:lpwstr/>
      </vt:variant>
      <vt:variant>
        <vt:i4>3407986</vt:i4>
      </vt:variant>
      <vt:variant>
        <vt:i4>198</vt:i4>
      </vt:variant>
      <vt:variant>
        <vt:i4>0</vt:i4>
      </vt:variant>
      <vt:variant>
        <vt:i4>5</vt:i4>
      </vt:variant>
      <vt:variant>
        <vt:lpwstr>http://www.nevo.co.il/case/5743421</vt:lpwstr>
      </vt:variant>
      <vt:variant>
        <vt:lpwstr/>
      </vt:variant>
      <vt:variant>
        <vt:i4>3539066</vt:i4>
      </vt:variant>
      <vt:variant>
        <vt:i4>195</vt:i4>
      </vt:variant>
      <vt:variant>
        <vt:i4>0</vt:i4>
      </vt:variant>
      <vt:variant>
        <vt:i4>5</vt:i4>
      </vt:variant>
      <vt:variant>
        <vt:lpwstr>http://www.nevo.co.il/case/5573783</vt:lpwstr>
      </vt:variant>
      <vt:variant>
        <vt:lpwstr/>
      </vt:variant>
      <vt:variant>
        <vt:i4>3473527</vt:i4>
      </vt:variant>
      <vt:variant>
        <vt:i4>192</vt:i4>
      </vt:variant>
      <vt:variant>
        <vt:i4>0</vt:i4>
      </vt:variant>
      <vt:variant>
        <vt:i4>5</vt:i4>
      </vt:variant>
      <vt:variant>
        <vt:lpwstr>http://www.nevo.co.il/case/5734605</vt:lpwstr>
      </vt:variant>
      <vt:variant>
        <vt:lpwstr/>
      </vt:variant>
      <vt:variant>
        <vt:i4>3473525</vt:i4>
      </vt:variant>
      <vt:variant>
        <vt:i4>189</vt:i4>
      </vt:variant>
      <vt:variant>
        <vt:i4>0</vt:i4>
      </vt:variant>
      <vt:variant>
        <vt:i4>5</vt:i4>
      </vt:variant>
      <vt:variant>
        <vt:lpwstr>http://www.nevo.co.il/case/6135151</vt:lpwstr>
      </vt:variant>
      <vt:variant>
        <vt:lpwstr/>
      </vt:variant>
      <vt:variant>
        <vt:i4>3276919</vt:i4>
      </vt:variant>
      <vt:variant>
        <vt:i4>186</vt:i4>
      </vt:variant>
      <vt:variant>
        <vt:i4>0</vt:i4>
      </vt:variant>
      <vt:variant>
        <vt:i4>5</vt:i4>
      </vt:variant>
      <vt:variant>
        <vt:lpwstr>http://www.nevo.co.il/case/6064371</vt:lpwstr>
      </vt:variant>
      <vt:variant>
        <vt:lpwstr/>
      </vt:variant>
      <vt:variant>
        <vt:i4>3735666</vt:i4>
      </vt:variant>
      <vt:variant>
        <vt:i4>183</vt:i4>
      </vt:variant>
      <vt:variant>
        <vt:i4>0</vt:i4>
      </vt:variant>
      <vt:variant>
        <vt:i4>5</vt:i4>
      </vt:variant>
      <vt:variant>
        <vt:lpwstr>http://www.nevo.co.il/case/5580733</vt:lpwstr>
      </vt:variant>
      <vt:variant>
        <vt:lpwstr/>
      </vt:variant>
      <vt:variant>
        <vt:i4>3211390</vt:i4>
      </vt:variant>
      <vt:variant>
        <vt:i4>180</vt:i4>
      </vt:variant>
      <vt:variant>
        <vt:i4>0</vt:i4>
      </vt:variant>
      <vt:variant>
        <vt:i4>5</vt:i4>
      </vt:variant>
      <vt:variant>
        <vt:lpwstr>http://www.nevo.co.il/case/20291305</vt:lpwstr>
      </vt:variant>
      <vt:variant>
        <vt:lpwstr/>
      </vt:variant>
      <vt:variant>
        <vt:i4>7995492</vt:i4>
      </vt:variant>
      <vt:variant>
        <vt:i4>177</vt:i4>
      </vt:variant>
      <vt:variant>
        <vt:i4>0</vt:i4>
      </vt:variant>
      <vt:variant>
        <vt:i4>5</vt:i4>
      </vt:variant>
      <vt:variant>
        <vt:lpwstr>http://www.nevo.co.il/law/70301</vt:lpwstr>
      </vt:variant>
      <vt:variant>
        <vt:lpwstr/>
      </vt:variant>
      <vt:variant>
        <vt:i4>458763</vt:i4>
      </vt:variant>
      <vt:variant>
        <vt:i4>174</vt:i4>
      </vt:variant>
      <vt:variant>
        <vt:i4>0</vt:i4>
      </vt:variant>
      <vt:variant>
        <vt:i4>5</vt:i4>
      </vt:variant>
      <vt:variant>
        <vt:lpwstr>http://www.nevo.co.il/law/70301/40jb</vt:lpwstr>
      </vt:variant>
      <vt:variant>
        <vt:lpwstr/>
      </vt:variant>
      <vt:variant>
        <vt:i4>7995492</vt:i4>
      </vt:variant>
      <vt:variant>
        <vt:i4>171</vt:i4>
      </vt:variant>
      <vt:variant>
        <vt:i4>0</vt:i4>
      </vt:variant>
      <vt:variant>
        <vt:i4>5</vt:i4>
      </vt:variant>
      <vt:variant>
        <vt:lpwstr>http://www.nevo.co.il/law/70301</vt:lpwstr>
      </vt:variant>
      <vt:variant>
        <vt:lpwstr/>
      </vt:variant>
      <vt:variant>
        <vt:i4>262155</vt:i4>
      </vt:variant>
      <vt:variant>
        <vt:i4>168</vt:i4>
      </vt:variant>
      <vt:variant>
        <vt:i4>0</vt:i4>
      </vt:variant>
      <vt:variant>
        <vt:i4>5</vt:i4>
      </vt:variant>
      <vt:variant>
        <vt:lpwstr>http://www.nevo.co.il/law/70301/40ja</vt:lpwstr>
      </vt:variant>
      <vt:variant>
        <vt:lpwstr/>
      </vt:variant>
      <vt:variant>
        <vt:i4>6619233</vt:i4>
      </vt:variant>
      <vt:variant>
        <vt:i4>165</vt:i4>
      </vt:variant>
      <vt:variant>
        <vt:i4>0</vt:i4>
      </vt:variant>
      <vt:variant>
        <vt:i4>5</vt:i4>
      </vt:variant>
      <vt:variant>
        <vt:lpwstr>http://www.nevo.co.il/law/70301/40i</vt:lpwstr>
      </vt:variant>
      <vt:variant>
        <vt:lpwstr/>
      </vt:variant>
      <vt:variant>
        <vt:i4>7995492</vt:i4>
      </vt:variant>
      <vt:variant>
        <vt:i4>162</vt:i4>
      </vt:variant>
      <vt:variant>
        <vt:i4>0</vt:i4>
      </vt:variant>
      <vt:variant>
        <vt:i4>5</vt:i4>
      </vt:variant>
      <vt:variant>
        <vt:lpwstr>http://www.nevo.co.il/law/70301</vt:lpwstr>
      </vt:variant>
      <vt:variant>
        <vt:lpwstr/>
      </vt:variant>
      <vt:variant>
        <vt:i4>6619233</vt:i4>
      </vt:variant>
      <vt:variant>
        <vt:i4>159</vt:i4>
      </vt:variant>
      <vt:variant>
        <vt:i4>0</vt:i4>
      </vt:variant>
      <vt:variant>
        <vt:i4>5</vt:i4>
      </vt:variant>
      <vt:variant>
        <vt:lpwstr>http://www.nevo.co.il/law/70301/40c</vt:lpwstr>
      </vt:variant>
      <vt:variant>
        <vt:lpwstr/>
      </vt:variant>
      <vt:variant>
        <vt:i4>4063346</vt:i4>
      </vt:variant>
      <vt:variant>
        <vt:i4>156</vt:i4>
      </vt:variant>
      <vt:variant>
        <vt:i4>0</vt:i4>
      </vt:variant>
      <vt:variant>
        <vt:i4>5</vt:i4>
      </vt:variant>
      <vt:variant>
        <vt:lpwstr>http://www.nevo.co.il/case/20420489</vt:lpwstr>
      </vt:variant>
      <vt:variant>
        <vt:lpwstr/>
      </vt:variant>
      <vt:variant>
        <vt:i4>3407997</vt:i4>
      </vt:variant>
      <vt:variant>
        <vt:i4>153</vt:i4>
      </vt:variant>
      <vt:variant>
        <vt:i4>0</vt:i4>
      </vt:variant>
      <vt:variant>
        <vt:i4>5</vt:i4>
      </vt:variant>
      <vt:variant>
        <vt:lpwstr>http://www.nevo.co.il/case/6018516</vt:lpwstr>
      </vt:variant>
      <vt:variant>
        <vt:lpwstr/>
      </vt:variant>
      <vt:variant>
        <vt:i4>3145849</vt:i4>
      </vt:variant>
      <vt:variant>
        <vt:i4>150</vt:i4>
      </vt:variant>
      <vt:variant>
        <vt:i4>0</vt:i4>
      </vt:variant>
      <vt:variant>
        <vt:i4>5</vt:i4>
      </vt:variant>
      <vt:variant>
        <vt:lpwstr>http://www.nevo.co.il/case/13093721</vt:lpwstr>
      </vt:variant>
      <vt:variant>
        <vt:lpwstr/>
      </vt:variant>
      <vt:variant>
        <vt:i4>7995492</vt:i4>
      </vt:variant>
      <vt:variant>
        <vt:i4>147</vt:i4>
      </vt:variant>
      <vt:variant>
        <vt:i4>0</vt:i4>
      </vt:variant>
      <vt:variant>
        <vt:i4>5</vt:i4>
      </vt:variant>
      <vt:variant>
        <vt:lpwstr>http://www.nevo.co.il/law/70301</vt:lpwstr>
      </vt:variant>
      <vt:variant>
        <vt:lpwstr/>
      </vt:variant>
      <vt:variant>
        <vt:i4>393227</vt:i4>
      </vt:variant>
      <vt:variant>
        <vt:i4>144</vt:i4>
      </vt:variant>
      <vt:variant>
        <vt:i4>0</vt:i4>
      </vt:variant>
      <vt:variant>
        <vt:i4>5</vt:i4>
      </vt:variant>
      <vt:variant>
        <vt:lpwstr>http://www.nevo.co.il/law/70301/40jc</vt:lpwstr>
      </vt:variant>
      <vt:variant>
        <vt:lpwstr/>
      </vt:variant>
      <vt:variant>
        <vt:i4>6619233</vt:i4>
      </vt:variant>
      <vt:variant>
        <vt:i4>141</vt:i4>
      </vt:variant>
      <vt:variant>
        <vt:i4>0</vt:i4>
      </vt:variant>
      <vt:variant>
        <vt:i4>5</vt:i4>
      </vt:variant>
      <vt:variant>
        <vt:lpwstr>http://www.nevo.co.il/law/70301/40e</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6619233</vt:i4>
      </vt:variant>
      <vt:variant>
        <vt:i4>135</vt:i4>
      </vt:variant>
      <vt:variant>
        <vt:i4>0</vt:i4>
      </vt:variant>
      <vt:variant>
        <vt:i4>5</vt:i4>
      </vt:variant>
      <vt:variant>
        <vt:lpwstr>http://www.nevo.co.il/law/70301/40d</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6619233</vt:i4>
      </vt:variant>
      <vt:variant>
        <vt:i4>129</vt:i4>
      </vt:variant>
      <vt:variant>
        <vt:i4>0</vt:i4>
      </vt:variant>
      <vt:variant>
        <vt:i4>5</vt:i4>
      </vt:variant>
      <vt:variant>
        <vt:lpwstr>http://www.nevo.co.il/law/70301/40b</vt:lpwstr>
      </vt:variant>
      <vt:variant>
        <vt:lpwstr/>
      </vt:variant>
      <vt:variant>
        <vt:i4>3539062</vt:i4>
      </vt:variant>
      <vt:variant>
        <vt:i4>126</vt:i4>
      </vt:variant>
      <vt:variant>
        <vt:i4>0</vt:i4>
      </vt:variant>
      <vt:variant>
        <vt:i4>5</vt:i4>
      </vt:variant>
      <vt:variant>
        <vt:lpwstr>http://www.nevo.co.il/case/2514237</vt:lpwstr>
      </vt:variant>
      <vt:variant>
        <vt:lpwstr/>
      </vt:variant>
      <vt:variant>
        <vt:i4>7995492</vt:i4>
      </vt:variant>
      <vt:variant>
        <vt:i4>123</vt:i4>
      </vt:variant>
      <vt:variant>
        <vt:i4>0</vt:i4>
      </vt:variant>
      <vt:variant>
        <vt:i4>5</vt:i4>
      </vt:variant>
      <vt:variant>
        <vt:lpwstr>http://www.nevo.co.il/law/70301</vt:lpwstr>
      </vt:variant>
      <vt:variant>
        <vt:lpwstr/>
      </vt:variant>
      <vt:variant>
        <vt:i4>4784223</vt:i4>
      </vt:variant>
      <vt:variant>
        <vt:i4>120</vt:i4>
      </vt:variant>
      <vt:variant>
        <vt:i4>0</vt:i4>
      </vt:variant>
      <vt:variant>
        <vt:i4>5</vt:i4>
      </vt:variant>
      <vt:variant>
        <vt:lpwstr>http://www.nevo.co.il/law/70301/329.2</vt:lpwstr>
      </vt:variant>
      <vt:variant>
        <vt:lpwstr/>
      </vt:variant>
      <vt:variant>
        <vt:i4>131138</vt:i4>
      </vt:variant>
      <vt:variant>
        <vt:i4>117</vt:i4>
      </vt:variant>
      <vt:variant>
        <vt:i4>0</vt:i4>
      </vt:variant>
      <vt:variant>
        <vt:i4>5</vt:i4>
      </vt:variant>
      <vt:variant>
        <vt:lpwstr>http://www.nevo.co.il/case/333529</vt:lpwstr>
      </vt:variant>
      <vt:variant>
        <vt:lpwstr/>
      </vt:variant>
      <vt:variant>
        <vt:i4>3997819</vt:i4>
      </vt:variant>
      <vt:variant>
        <vt:i4>114</vt:i4>
      </vt:variant>
      <vt:variant>
        <vt:i4>0</vt:i4>
      </vt:variant>
      <vt:variant>
        <vt:i4>5</vt:i4>
      </vt:variant>
      <vt:variant>
        <vt:lpwstr>http://www.nevo.co.il/case/6865924</vt:lpwstr>
      </vt:variant>
      <vt:variant>
        <vt:lpwstr/>
      </vt:variant>
      <vt:variant>
        <vt:i4>3670131</vt:i4>
      </vt:variant>
      <vt:variant>
        <vt:i4>111</vt:i4>
      </vt:variant>
      <vt:variant>
        <vt:i4>0</vt:i4>
      </vt:variant>
      <vt:variant>
        <vt:i4>5</vt:i4>
      </vt:variant>
      <vt:variant>
        <vt:lpwstr>http://www.nevo.co.il/case/17922225</vt:lpwstr>
      </vt:variant>
      <vt:variant>
        <vt:lpwstr/>
      </vt:variant>
      <vt:variant>
        <vt:i4>3670133</vt:i4>
      </vt:variant>
      <vt:variant>
        <vt:i4>108</vt:i4>
      </vt:variant>
      <vt:variant>
        <vt:i4>0</vt:i4>
      </vt:variant>
      <vt:variant>
        <vt:i4>5</vt:i4>
      </vt:variant>
      <vt:variant>
        <vt:lpwstr>http://www.nevo.co.il/case/16932425</vt:lpwstr>
      </vt:variant>
      <vt:variant>
        <vt:lpwstr/>
      </vt:variant>
      <vt:variant>
        <vt:i4>3276916</vt:i4>
      </vt:variant>
      <vt:variant>
        <vt:i4>105</vt:i4>
      </vt:variant>
      <vt:variant>
        <vt:i4>0</vt:i4>
      </vt:variant>
      <vt:variant>
        <vt:i4>5</vt:i4>
      </vt:variant>
      <vt:variant>
        <vt:lpwstr>http://www.nevo.co.il/case/5172636</vt:lpwstr>
      </vt:variant>
      <vt:variant>
        <vt:lpwstr/>
      </vt:variant>
      <vt:variant>
        <vt:i4>3539066</vt:i4>
      </vt:variant>
      <vt:variant>
        <vt:i4>102</vt:i4>
      </vt:variant>
      <vt:variant>
        <vt:i4>0</vt:i4>
      </vt:variant>
      <vt:variant>
        <vt:i4>5</vt:i4>
      </vt:variant>
      <vt:variant>
        <vt:lpwstr>http://www.nevo.co.il/case/21472824</vt:lpwstr>
      </vt:variant>
      <vt:variant>
        <vt:lpwstr/>
      </vt:variant>
      <vt:variant>
        <vt:i4>3276918</vt:i4>
      </vt:variant>
      <vt:variant>
        <vt:i4>99</vt:i4>
      </vt:variant>
      <vt:variant>
        <vt:i4>0</vt:i4>
      </vt:variant>
      <vt:variant>
        <vt:i4>5</vt:i4>
      </vt:variant>
      <vt:variant>
        <vt:lpwstr>http://www.nevo.co.il/case/6245959</vt:lpwstr>
      </vt:variant>
      <vt:variant>
        <vt:lpwstr/>
      </vt:variant>
      <vt:variant>
        <vt:i4>8257634</vt:i4>
      </vt:variant>
      <vt:variant>
        <vt:i4>96</vt:i4>
      </vt:variant>
      <vt:variant>
        <vt:i4>0</vt:i4>
      </vt:variant>
      <vt:variant>
        <vt:i4>5</vt:i4>
      </vt:variant>
      <vt:variant>
        <vt:lpwstr>http://www.nevo.co.il/law/74501</vt:lpwstr>
      </vt:variant>
      <vt:variant>
        <vt:lpwstr/>
      </vt:variant>
      <vt:variant>
        <vt:i4>5308499</vt:i4>
      </vt:variant>
      <vt:variant>
        <vt:i4>93</vt:i4>
      </vt:variant>
      <vt:variant>
        <vt:i4>0</vt:i4>
      </vt:variant>
      <vt:variant>
        <vt:i4>5</vt:i4>
      </vt:variant>
      <vt:variant>
        <vt:lpwstr>http://www.nevo.co.il/law/74501/2</vt:lpwstr>
      </vt:variant>
      <vt:variant>
        <vt:lpwstr/>
      </vt:variant>
      <vt:variant>
        <vt:i4>8323175</vt:i4>
      </vt:variant>
      <vt:variant>
        <vt:i4>90</vt:i4>
      </vt:variant>
      <vt:variant>
        <vt:i4>0</vt:i4>
      </vt:variant>
      <vt:variant>
        <vt:i4>5</vt:i4>
      </vt:variant>
      <vt:variant>
        <vt:lpwstr>http://www.nevo.co.il/law/5227</vt:lpwstr>
      </vt:variant>
      <vt:variant>
        <vt:lpwstr/>
      </vt:variant>
      <vt:variant>
        <vt:i4>5046344</vt:i4>
      </vt:variant>
      <vt:variant>
        <vt:i4>87</vt:i4>
      </vt:variant>
      <vt:variant>
        <vt:i4>0</vt:i4>
      </vt:variant>
      <vt:variant>
        <vt:i4>5</vt:i4>
      </vt:variant>
      <vt:variant>
        <vt:lpwstr>http://www.nevo.co.il/law/5227/2</vt:lpwstr>
      </vt:variant>
      <vt:variant>
        <vt:lpwstr/>
      </vt:variant>
      <vt:variant>
        <vt:i4>8323175</vt:i4>
      </vt:variant>
      <vt:variant>
        <vt:i4>84</vt:i4>
      </vt:variant>
      <vt:variant>
        <vt:i4>0</vt:i4>
      </vt:variant>
      <vt:variant>
        <vt:i4>5</vt:i4>
      </vt:variant>
      <vt:variant>
        <vt:lpwstr>http://www.nevo.co.il/law/5227</vt:lpwstr>
      </vt:variant>
      <vt:variant>
        <vt:lpwstr/>
      </vt:variant>
      <vt:variant>
        <vt:i4>6291576</vt:i4>
      </vt:variant>
      <vt:variant>
        <vt:i4>81</vt:i4>
      </vt:variant>
      <vt:variant>
        <vt:i4>0</vt:i4>
      </vt:variant>
      <vt:variant>
        <vt:i4>5</vt:i4>
      </vt:variant>
      <vt:variant>
        <vt:lpwstr>http://www.nevo.co.il/law/5227/10.a</vt:lpwstr>
      </vt:variant>
      <vt:variant>
        <vt:lpwstr/>
      </vt:variant>
      <vt:variant>
        <vt:i4>8323175</vt:i4>
      </vt:variant>
      <vt:variant>
        <vt:i4>78</vt:i4>
      </vt:variant>
      <vt:variant>
        <vt:i4>0</vt:i4>
      </vt:variant>
      <vt:variant>
        <vt:i4>5</vt:i4>
      </vt:variant>
      <vt:variant>
        <vt:lpwstr>http://www.nevo.co.il/law/5227</vt:lpwstr>
      </vt:variant>
      <vt:variant>
        <vt:lpwstr/>
      </vt:variant>
      <vt:variant>
        <vt:i4>4915272</vt:i4>
      </vt:variant>
      <vt:variant>
        <vt:i4>75</vt:i4>
      </vt:variant>
      <vt:variant>
        <vt:i4>0</vt:i4>
      </vt:variant>
      <vt:variant>
        <vt:i4>5</vt:i4>
      </vt:variant>
      <vt:variant>
        <vt:lpwstr>http://www.nevo.co.il/law/5227/43</vt:lpwstr>
      </vt:variant>
      <vt:variant>
        <vt:lpwstr/>
      </vt:variant>
      <vt:variant>
        <vt:i4>7995492</vt:i4>
      </vt:variant>
      <vt:variant>
        <vt:i4>72</vt:i4>
      </vt:variant>
      <vt:variant>
        <vt:i4>0</vt:i4>
      </vt:variant>
      <vt:variant>
        <vt:i4>5</vt:i4>
      </vt:variant>
      <vt:variant>
        <vt:lpwstr>http://www.nevo.co.il/law/70301</vt:lpwstr>
      </vt:variant>
      <vt:variant>
        <vt:lpwstr/>
      </vt:variant>
      <vt:variant>
        <vt:i4>86</vt:i4>
      </vt:variant>
      <vt:variant>
        <vt:i4>69</vt:i4>
      </vt:variant>
      <vt:variant>
        <vt:i4>0</vt:i4>
      </vt:variant>
      <vt:variant>
        <vt:i4>5</vt:i4>
      </vt:variant>
      <vt:variant>
        <vt:lpwstr>http://www.nevo.co.il/law/70301/340a</vt:lpwstr>
      </vt:variant>
      <vt:variant>
        <vt:lpwstr/>
      </vt:variant>
      <vt:variant>
        <vt:i4>7995492</vt:i4>
      </vt:variant>
      <vt:variant>
        <vt:i4>66</vt:i4>
      </vt:variant>
      <vt:variant>
        <vt:i4>0</vt:i4>
      </vt:variant>
      <vt:variant>
        <vt:i4>5</vt:i4>
      </vt:variant>
      <vt:variant>
        <vt:lpwstr>http://www.nevo.co.il/law/70301</vt:lpwstr>
      </vt:variant>
      <vt:variant>
        <vt:lpwstr/>
      </vt:variant>
      <vt:variant>
        <vt:i4>5177424</vt:i4>
      </vt:variant>
      <vt:variant>
        <vt:i4>63</vt:i4>
      </vt:variant>
      <vt:variant>
        <vt:i4>0</vt:i4>
      </vt:variant>
      <vt:variant>
        <vt:i4>5</vt:i4>
      </vt:variant>
      <vt:variant>
        <vt:lpwstr>http://www.nevo.co.il/law/70301/144.b</vt:lpwstr>
      </vt:variant>
      <vt:variant>
        <vt:lpwstr/>
      </vt:variant>
      <vt:variant>
        <vt:i4>7995492</vt:i4>
      </vt:variant>
      <vt:variant>
        <vt:i4>60</vt:i4>
      </vt:variant>
      <vt:variant>
        <vt:i4>0</vt:i4>
      </vt:variant>
      <vt:variant>
        <vt:i4>5</vt:i4>
      </vt:variant>
      <vt:variant>
        <vt:lpwstr>http://www.nevo.co.il/law/70301</vt:lpwstr>
      </vt:variant>
      <vt:variant>
        <vt:lpwstr/>
      </vt:variant>
      <vt:variant>
        <vt:i4>6750270</vt:i4>
      </vt:variant>
      <vt:variant>
        <vt:i4>57</vt:i4>
      </vt:variant>
      <vt:variant>
        <vt:i4>0</vt:i4>
      </vt:variant>
      <vt:variant>
        <vt:i4>5</vt:i4>
      </vt:variant>
      <vt:variant>
        <vt:lpwstr>http://www.nevo.co.il/law/70301/329.a.2</vt:lpwstr>
      </vt:variant>
      <vt:variant>
        <vt:lpwstr/>
      </vt:variant>
      <vt:variant>
        <vt:i4>5308499</vt:i4>
      </vt:variant>
      <vt:variant>
        <vt:i4>54</vt:i4>
      </vt:variant>
      <vt:variant>
        <vt:i4>0</vt:i4>
      </vt:variant>
      <vt:variant>
        <vt:i4>5</vt:i4>
      </vt:variant>
      <vt:variant>
        <vt:lpwstr>http://www.nevo.co.il/law/74501/2</vt:lpwstr>
      </vt:variant>
      <vt:variant>
        <vt:lpwstr/>
      </vt:variant>
      <vt:variant>
        <vt:i4>8257634</vt:i4>
      </vt:variant>
      <vt:variant>
        <vt:i4>51</vt:i4>
      </vt:variant>
      <vt:variant>
        <vt:i4>0</vt:i4>
      </vt:variant>
      <vt:variant>
        <vt:i4>5</vt:i4>
      </vt:variant>
      <vt:variant>
        <vt:lpwstr>http://www.nevo.co.il/law/74501</vt:lpwstr>
      </vt:variant>
      <vt:variant>
        <vt:lpwstr/>
      </vt:variant>
      <vt:variant>
        <vt:i4>4915272</vt:i4>
      </vt:variant>
      <vt:variant>
        <vt:i4>48</vt:i4>
      </vt:variant>
      <vt:variant>
        <vt:i4>0</vt:i4>
      </vt:variant>
      <vt:variant>
        <vt:i4>5</vt:i4>
      </vt:variant>
      <vt:variant>
        <vt:lpwstr>http://www.nevo.co.il/law/5227/43</vt:lpwstr>
      </vt:variant>
      <vt:variant>
        <vt:lpwstr/>
      </vt:variant>
      <vt:variant>
        <vt:i4>6291576</vt:i4>
      </vt:variant>
      <vt:variant>
        <vt:i4>45</vt:i4>
      </vt:variant>
      <vt:variant>
        <vt:i4>0</vt:i4>
      </vt:variant>
      <vt:variant>
        <vt:i4>5</vt:i4>
      </vt:variant>
      <vt:variant>
        <vt:lpwstr>http://www.nevo.co.il/law/5227/10.a</vt:lpwstr>
      </vt:variant>
      <vt:variant>
        <vt:lpwstr/>
      </vt:variant>
      <vt:variant>
        <vt:i4>5046344</vt:i4>
      </vt:variant>
      <vt:variant>
        <vt:i4>42</vt:i4>
      </vt:variant>
      <vt:variant>
        <vt:i4>0</vt:i4>
      </vt:variant>
      <vt:variant>
        <vt:i4>5</vt:i4>
      </vt:variant>
      <vt:variant>
        <vt:lpwstr>http://www.nevo.co.il/law/5227/2</vt:lpwstr>
      </vt:variant>
      <vt:variant>
        <vt:lpwstr/>
      </vt:variant>
      <vt:variant>
        <vt:i4>8323175</vt:i4>
      </vt:variant>
      <vt:variant>
        <vt:i4>39</vt:i4>
      </vt:variant>
      <vt:variant>
        <vt:i4>0</vt:i4>
      </vt:variant>
      <vt:variant>
        <vt:i4>5</vt:i4>
      </vt:variant>
      <vt:variant>
        <vt:lpwstr>http://www.nevo.co.il/law/5227</vt:lpwstr>
      </vt:variant>
      <vt:variant>
        <vt:lpwstr/>
      </vt:variant>
      <vt:variant>
        <vt:i4>393227</vt:i4>
      </vt:variant>
      <vt:variant>
        <vt:i4>36</vt:i4>
      </vt:variant>
      <vt:variant>
        <vt:i4>0</vt:i4>
      </vt:variant>
      <vt:variant>
        <vt:i4>5</vt:i4>
      </vt:variant>
      <vt:variant>
        <vt:lpwstr>http://www.nevo.co.il/law/70301/40jc</vt:lpwstr>
      </vt:variant>
      <vt:variant>
        <vt:lpwstr/>
      </vt:variant>
      <vt:variant>
        <vt:i4>458763</vt:i4>
      </vt:variant>
      <vt:variant>
        <vt:i4>33</vt:i4>
      </vt:variant>
      <vt:variant>
        <vt:i4>0</vt:i4>
      </vt:variant>
      <vt:variant>
        <vt:i4>5</vt:i4>
      </vt:variant>
      <vt:variant>
        <vt:lpwstr>http://www.nevo.co.il/law/70301/40jb</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86</vt:i4>
      </vt:variant>
      <vt:variant>
        <vt:i4>27</vt:i4>
      </vt:variant>
      <vt:variant>
        <vt:i4>0</vt:i4>
      </vt:variant>
      <vt:variant>
        <vt:i4>5</vt:i4>
      </vt:variant>
      <vt:variant>
        <vt:lpwstr>http://www.nevo.co.il/law/70301/340a</vt:lpwstr>
      </vt:variant>
      <vt:variant>
        <vt:lpwstr/>
      </vt:variant>
      <vt:variant>
        <vt:i4>6750270</vt:i4>
      </vt:variant>
      <vt:variant>
        <vt:i4>24</vt:i4>
      </vt:variant>
      <vt:variant>
        <vt:i4>0</vt:i4>
      </vt:variant>
      <vt:variant>
        <vt:i4>5</vt:i4>
      </vt:variant>
      <vt:variant>
        <vt:lpwstr>http://www.nevo.co.il/law/70301/329.a.2</vt:lpwstr>
      </vt:variant>
      <vt:variant>
        <vt:lpwstr/>
      </vt:variant>
      <vt:variant>
        <vt:i4>4784223</vt:i4>
      </vt:variant>
      <vt:variant>
        <vt:i4>21</vt:i4>
      </vt:variant>
      <vt:variant>
        <vt:i4>0</vt:i4>
      </vt:variant>
      <vt:variant>
        <vt:i4>5</vt:i4>
      </vt:variant>
      <vt:variant>
        <vt:lpwstr>http://www.nevo.co.il/law/70301/329.2</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6619233</vt:i4>
      </vt:variant>
      <vt:variant>
        <vt:i4>12</vt:i4>
      </vt:variant>
      <vt:variant>
        <vt:i4>0</vt:i4>
      </vt:variant>
      <vt:variant>
        <vt:i4>5</vt:i4>
      </vt:variant>
      <vt:variant>
        <vt:lpwstr>http://www.nevo.co.il/law/70301/40e</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2025-01-19T16:08:00Z</dcterms:created>
  <dcterms:modified xsi:type="dcterms:W3CDTF">2025-01-19T16:08:00Z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41585</vt:lpwstr>
  </property>
  <property fmtid="{D5CDD505-2E9C-101B-9397-08002B2CF9AE}" pid="6" name="NEWPARTB">
    <vt:lpwstr>03</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מועאד בן עלי הייב</vt:lpwstr>
  </property>
  <property fmtid="{D5CDD505-2E9C-101B-9397-08002B2CF9AE}" pid="10" name="LAWYER">
    <vt:lpwstr>מייסא זועבי;ראיד עומרי</vt:lpwstr>
  </property>
  <property fmtid="{D5CDD505-2E9C-101B-9397-08002B2CF9AE}" pid="11" name="JUDGE">
    <vt:lpwstr>אסתר הלמן;יפעת שטרית;סאאב דבור</vt:lpwstr>
  </property>
  <property fmtid="{D5CDD505-2E9C-101B-9397-08002B2CF9AE}" pid="12" name="CITY">
    <vt:lpwstr>נצ'</vt:lpwstr>
  </property>
  <property fmtid="{D5CDD505-2E9C-101B-9397-08002B2CF9AE}" pid="13" name="DATE">
    <vt:lpwstr>20170321</vt:lpwstr>
  </property>
  <property fmtid="{D5CDD505-2E9C-101B-9397-08002B2CF9AE}" pid="14" name="TYPE_N_DATE">
    <vt:lpwstr>39020170321</vt:lpwstr>
  </property>
  <property fmtid="{D5CDD505-2E9C-101B-9397-08002B2CF9AE}" pid="15" name="WORDNUMPAGES">
    <vt:lpwstr>16</vt:lpwstr>
  </property>
  <property fmtid="{D5CDD505-2E9C-101B-9397-08002B2CF9AE}" pid="16" name="TYPE_ABS_DATE">
    <vt:lpwstr>390120170321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METAKZER">
    <vt:lpwstr>עומרי</vt:lpwstr>
  </property>
  <property fmtid="{D5CDD505-2E9C-101B-9397-08002B2CF9AE}" pid="36" name="NOSE1ID">
    <vt:lpwstr>77</vt:lpwstr>
  </property>
  <property fmtid="{D5CDD505-2E9C-101B-9397-08002B2CF9AE}" pid="37" name="NOSE2ID">
    <vt:lpwstr>1446</vt:lpwstr>
  </property>
  <property fmtid="{D5CDD505-2E9C-101B-9397-08002B2CF9AE}" pid="38" name="NOSE3ID">
    <vt:lpwstr>13800</vt:lpwstr>
  </property>
  <property fmtid="{D5CDD505-2E9C-101B-9397-08002B2CF9AE}" pid="39" name="NOSE11">
    <vt:lpwstr>עונשין</vt:lpwstr>
  </property>
  <property fmtid="{D5CDD505-2E9C-101B-9397-08002B2CF9AE}" pid="40" name="NOSE21">
    <vt:lpwstr>ענישה</vt:lpwstr>
  </property>
  <property fmtid="{D5CDD505-2E9C-101B-9397-08002B2CF9AE}" pid="41" name="NOSE31">
    <vt:lpwstr>מדיניות ענישה: עבירות נשק</vt:lpwstr>
  </property>
  <property fmtid="{D5CDD505-2E9C-101B-9397-08002B2CF9AE}" pid="42" name="NOSE12">
    <vt:lpwstr/>
  </property>
  <property fmtid="{D5CDD505-2E9C-101B-9397-08002B2CF9AE}" pid="43" name="NOSE22">
    <vt:lpwstr/>
  </property>
  <property fmtid="{D5CDD505-2E9C-101B-9397-08002B2CF9AE}" pid="44" name="NOSE32">
    <vt:lpwstr/>
  </property>
  <property fmtid="{D5CDD505-2E9C-101B-9397-08002B2CF9AE}" pid="45" name="NOSE13">
    <vt:lpwstr/>
  </property>
  <property fmtid="{D5CDD505-2E9C-101B-9397-08002B2CF9AE}" pid="46" name="NOSE23">
    <vt:lpwstr/>
  </property>
  <property fmtid="{D5CDD505-2E9C-101B-9397-08002B2CF9AE}" pid="47" name="NOSE33">
    <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20170405</vt:lpwstr>
  </property>
  <property fmtid="{D5CDD505-2E9C-101B-9397-08002B2CF9AE}" pid="70" name="CASESLISTTMP1">
    <vt:lpwstr>6245959;21472824;5172636;16932425;17922225:2;6865924;333529;2514237;13093721;6018516;20420489;20291305;5580733;6064371;6135151;5734605;5573783;5743421;5699762;6030667;20138359;11312605</vt:lpwstr>
  </property>
  <property fmtid="{D5CDD505-2E9C-101B-9397-08002B2CF9AE}" pid="71" name="LAWLISTTMP1">
    <vt:lpwstr>70301/329.a.2;144.b;340a;329.2;040b;040d;040e;40jc;040c;040i;40ja;40jb</vt:lpwstr>
  </property>
  <property fmtid="{D5CDD505-2E9C-101B-9397-08002B2CF9AE}" pid="72" name="LAWLISTTMP2">
    <vt:lpwstr>5227/043;010.a;002</vt:lpwstr>
  </property>
  <property fmtid="{D5CDD505-2E9C-101B-9397-08002B2CF9AE}" pid="73" name="LAWLISTTMP3">
    <vt:lpwstr>74501/002</vt:lpwstr>
  </property>
</Properties>
</file>