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F36433" w:rsidRPr="00893049" w14:paraId="4711F07F" w14:textId="77777777">
        <w:trPr>
          <w:trHeight w:hRule="exact" w:val="418"/>
          <w:jc w:val="center"/>
        </w:trPr>
        <w:tc>
          <w:tcPr>
            <w:tcW w:w="8721" w:type="dxa"/>
            <w:gridSpan w:val="2"/>
          </w:tcPr>
          <w:p w14:paraId="40C0FF61" w14:textId="77777777" w:rsidR="00F36433" w:rsidRPr="00893049" w:rsidRDefault="00893049">
            <w:pPr>
              <w:pStyle w:val="a3"/>
              <w:jc w:val="center"/>
              <w:rPr>
                <w:rFonts w:ascii="Tahoma" w:hAnsi="Tahoma" w:cs="Tahoma"/>
                <w:color w:val="000080"/>
                <w:rtl/>
              </w:rPr>
            </w:pPr>
            <w:bookmarkStart w:id="0" w:name="FirstLawyer"/>
            <w:bookmarkStart w:id="1" w:name="LastJudge"/>
            <w:r w:rsidRPr="00893049">
              <w:rPr>
                <w:rFonts w:ascii="Tahoma" w:hAnsi="Tahoma" w:cs="Tahoma"/>
                <w:b/>
                <w:bCs/>
                <w:color w:val="000080"/>
                <w:rtl/>
              </w:rPr>
              <w:t>בית המשפט המחוזי בחיפה</w:t>
            </w:r>
          </w:p>
        </w:tc>
      </w:tr>
      <w:tr w:rsidR="00F36433" w:rsidRPr="00893049" w14:paraId="1E0B06C2" w14:textId="77777777">
        <w:trPr>
          <w:trHeight w:val="337"/>
          <w:jc w:val="center"/>
        </w:trPr>
        <w:tc>
          <w:tcPr>
            <w:tcW w:w="5054" w:type="dxa"/>
          </w:tcPr>
          <w:p w14:paraId="16442430" w14:textId="77777777" w:rsidR="00F36433" w:rsidRPr="00893049" w:rsidRDefault="00893049">
            <w:pPr>
              <w:rPr>
                <w:rFonts w:cs="FrankRuehl"/>
                <w:sz w:val="28"/>
                <w:szCs w:val="28"/>
                <w:rtl/>
              </w:rPr>
            </w:pPr>
            <w:r w:rsidRPr="00893049">
              <w:rPr>
                <w:rFonts w:cs="FrankRuehl"/>
                <w:sz w:val="28"/>
                <w:szCs w:val="28"/>
                <w:rtl/>
              </w:rPr>
              <w:t>ת"פ</w:t>
            </w:r>
            <w:r w:rsidRPr="00893049">
              <w:rPr>
                <w:rFonts w:cs="FrankRuehl" w:hint="cs"/>
                <w:sz w:val="28"/>
                <w:szCs w:val="28"/>
                <w:rtl/>
              </w:rPr>
              <w:t xml:space="preserve"> </w:t>
            </w:r>
            <w:r w:rsidRPr="00893049">
              <w:rPr>
                <w:rFonts w:cs="FrankRuehl"/>
                <w:sz w:val="28"/>
                <w:szCs w:val="28"/>
                <w:rtl/>
              </w:rPr>
              <w:t>50321-03-16</w:t>
            </w:r>
            <w:r w:rsidRPr="00893049">
              <w:rPr>
                <w:rFonts w:cs="FrankRuehl" w:hint="cs"/>
                <w:sz w:val="28"/>
                <w:szCs w:val="28"/>
                <w:rtl/>
              </w:rPr>
              <w:t xml:space="preserve"> </w:t>
            </w:r>
            <w:r w:rsidRPr="00893049">
              <w:rPr>
                <w:rFonts w:cs="FrankRuehl"/>
                <w:sz w:val="28"/>
                <w:szCs w:val="28"/>
                <w:rtl/>
              </w:rPr>
              <w:t>מדינת ישראל נ' מואסי ואח'</w:t>
            </w:r>
          </w:p>
          <w:p w14:paraId="4F2CF611" w14:textId="77777777" w:rsidR="00F36433" w:rsidRPr="00893049" w:rsidRDefault="00F36433">
            <w:pPr>
              <w:pStyle w:val="a3"/>
              <w:rPr>
                <w:rFonts w:cs="FrankRuehl"/>
                <w:sz w:val="28"/>
                <w:szCs w:val="28"/>
                <w:rtl/>
              </w:rPr>
            </w:pPr>
          </w:p>
        </w:tc>
        <w:tc>
          <w:tcPr>
            <w:tcW w:w="3667" w:type="dxa"/>
          </w:tcPr>
          <w:p w14:paraId="0AE8BF99" w14:textId="77777777" w:rsidR="00F36433" w:rsidRPr="00893049" w:rsidRDefault="00F36433">
            <w:pPr>
              <w:pStyle w:val="a3"/>
              <w:jc w:val="right"/>
              <w:rPr>
                <w:rFonts w:cs="FrankRuehl"/>
                <w:sz w:val="28"/>
                <w:szCs w:val="28"/>
                <w:rtl/>
              </w:rPr>
            </w:pPr>
          </w:p>
        </w:tc>
      </w:tr>
    </w:tbl>
    <w:p w14:paraId="280F0078" w14:textId="77777777" w:rsidR="00F36433" w:rsidRPr="00893049" w:rsidRDefault="00893049">
      <w:pPr>
        <w:pStyle w:val="a3"/>
        <w:rPr>
          <w:rtl/>
        </w:rPr>
      </w:pPr>
      <w:r w:rsidRPr="00893049">
        <w:rPr>
          <w:rFonts w:hint="cs"/>
          <w:rtl/>
        </w:rPr>
        <w:t xml:space="preserve"> </w:t>
      </w:r>
    </w:p>
    <w:p w14:paraId="6291B3B7" w14:textId="77777777" w:rsidR="00F36433" w:rsidRPr="00893049" w:rsidRDefault="00F36433">
      <w:pPr>
        <w:rPr>
          <w:rFonts w:ascii="Arial" w:hAnsi="Arial"/>
          <w:rtl/>
        </w:rPr>
      </w:pPr>
    </w:p>
    <w:tbl>
      <w:tblPr>
        <w:bidiVisual/>
        <w:tblW w:w="8820" w:type="dxa"/>
        <w:jc w:val="center"/>
        <w:tblLook w:val="01E0" w:firstRow="1" w:lastRow="1" w:firstColumn="1" w:lastColumn="1" w:noHBand="0" w:noVBand="0"/>
      </w:tblPr>
      <w:tblGrid>
        <w:gridCol w:w="743"/>
        <w:gridCol w:w="2506"/>
        <w:gridCol w:w="5571"/>
      </w:tblGrid>
      <w:tr w:rsidR="00F36433" w:rsidRPr="00893049" w14:paraId="6CE8A36B" w14:textId="77777777">
        <w:trPr>
          <w:jc w:val="center"/>
        </w:trPr>
        <w:tc>
          <w:tcPr>
            <w:tcW w:w="743" w:type="dxa"/>
            <w:shd w:val="clear" w:color="auto" w:fill="auto"/>
          </w:tcPr>
          <w:p w14:paraId="0AA84F32" w14:textId="77777777" w:rsidR="00F36433" w:rsidRPr="00893049" w:rsidRDefault="00893049">
            <w:pPr>
              <w:jc w:val="both"/>
              <w:rPr>
                <w:rFonts w:ascii="Arial" w:hAnsi="Arial"/>
                <w:b/>
                <w:bCs/>
              </w:rPr>
            </w:pPr>
            <w:r w:rsidRPr="00893049">
              <w:rPr>
                <w:rFonts w:ascii="Arial" w:hAnsi="Arial" w:hint="cs"/>
                <w:b/>
                <w:bCs/>
                <w:rtl/>
              </w:rPr>
              <w:t xml:space="preserve">בפני </w:t>
            </w:r>
          </w:p>
        </w:tc>
        <w:tc>
          <w:tcPr>
            <w:tcW w:w="8077" w:type="dxa"/>
            <w:gridSpan w:val="2"/>
            <w:shd w:val="clear" w:color="auto" w:fill="auto"/>
          </w:tcPr>
          <w:p w14:paraId="75F2F13A" w14:textId="77777777" w:rsidR="00F36433" w:rsidRPr="00893049" w:rsidRDefault="00893049">
            <w:pPr>
              <w:rPr>
                <w:rFonts w:ascii="Arial" w:hAnsi="Arial"/>
                <w:b/>
                <w:bCs/>
                <w:rtl/>
              </w:rPr>
            </w:pPr>
            <w:r w:rsidRPr="00893049">
              <w:rPr>
                <w:rFonts w:ascii="Arial" w:hAnsi="Arial" w:hint="cs"/>
                <w:b/>
                <w:bCs/>
                <w:rtl/>
              </w:rPr>
              <w:t>כבוד ה</w:t>
            </w:r>
            <w:r w:rsidRPr="00893049">
              <w:rPr>
                <w:rFonts w:hint="cs"/>
                <w:b/>
                <w:bCs/>
                <w:rtl/>
              </w:rPr>
              <w:t>שופט</w:t>
            </w:r>
            <w:r w:rsidRPr="00893049">
              <w:rPr>
                <w:rFonts w:ascii="Arial" w:hAnsi="Arial" w:hint="cs"/>
                <w:b/>
                <w:bCs/>
                <w:rtl/>
              </w:rPr>
              <w:t xml:space="preserve">  </w:t>
            </w:r>
            <w:r w:rsidRPr="00893049">
              <w:rPr>
                <w:rFonts w:hint="cs"/>
                <w:b/>
                <w:bCs/>
                <w:rtl/>
              </w:rPr>
              <w:t>דניאל פיש</w:t>
            </w:r>
          </w:p>
          <w:p w14:paraId="041D2387" w14:textId="77777777" w:rsidR="00F36433" w:rsidRPr="00893049" w:rsidRDefault="00F36433">
            <w:pPr>
              <w:rPr>
                <w:rFonts w:ascii="Arial" w:hAnsi="Arial" w:cs="FrankRuehl"/>
                <w:b/>
                <w:bCs/>
                <w:rtl/>
              </w:rPr>
            </w:pPr>
          </w:p>
        </w:tc>
      </w:tr>
      <w:tr w:rsidR="00F36433" w:rsidRPr="00893049" w14:paraId="6B1A2C28" w14:textId="77777777">
        <w:trPr>
          <w:jc w:val="center"/>
        </w:trPr>
        <w:tc>
          <w:tcPr>
            <w:tcW w:w="3249" w:type="dxa"/>
            <w:gridSpan w:val="2"/>
            <w:shd w:val="clear" w:color="auto" w:fill="auto"/>
          </w:tcPr>
          <w:p w14:paraId="33D2349C" w14:textId="77777777" w:rsidR="00F36433" w:rsidRPr="00893049" w:rsidRDefault="00F36433">
            <w:pPr>
              <w:rPr>
                <w:rFonts w:ascii="Arial" w:hAnsi="Arial"/>
                <w:b/>
                <w:bCs/>
              </w:rPr>
            </w:pPr>
            <w:bookmarkStart w:id="2" w:name="FirstAppellant"/>
          </w:p>
          <w:p w14:paraId="22391E83" w14:textId="77777777" w:rsidR="00F36433" w:rsidRPr="00893049" w:rsidRDefault="00893049">
            <w:pPr>
              <w:rPr>
                <w:rFonts w:ascii="Arial" w:hAnsi="Arial"/>
                <w:b/>
                <w:bCs/>
              </w:rPr>
            </w:pPr>
            <w:r w:rsidRPr="00893049">
              <w:rPr>
                <w:rFonts w:hint="cs"/>
                <w:b/>
                <w:bCs/>
                <w:rtl/>
              </w:rPr>
              <w:t>מאשימה</w:t>
            </w:r>
          </w:p>
        </w:tc>
        <w:tc>
          <w:tcPr>
            <w:tcW w:w="5571" w:type="dxa"/>
            <w:shd w:val="clear" w:color="auto" w:fill="auto"/>
          </w:tcPr>
          <w:p w14:paraId="04545944" w14:textId="77777777" w:rsidR="00F36433" w:rsidRPr="00893049" w:rsidRDefault="00F36433">
            <w:pPr>
              <w:rPr>
                <w:rFonts w:ascii="Arial" w:hAnsi="Arial"/>
                <w:b/>
                <w:bCs/>
                <w:rtl/>
              </w:rPr>
            </w:pPr>
          </w:p>
          <w:p w14:paraId="32F138BB" w14:textId="77777777" w:rsidR="00F36433" w:rsidRPr="00893049" w:rsidRDefault="00893049">
            <w:pPr>
              <w:rPr>
                <w:b/>
                <w:bCs/>
                <w:rtl/>
              </w:rPr>
            </w:pPr>
            <w:r w:rsidRPr="00893049">
              <w:rPr>
                <w:rFonts w:hint="cs"/>
                <w:b/>
                <w:bCs/>
                <w:rtl/>
              </w:rPr>
              <w:t>מדינת ישראל</w:t>
            </w:r>
            <w:r w:rsidRPr="00893049">
              <w:rPr>
                <w:rFonts w:hint="cs"/>
                <w:b/>
                <w:bCs/>
                <w:rtl/>
              </w:rPr>
              <w:br/>
              <w:t xml:space="preserve">ע"י ב"כ עו"ד מפרקליטות מחוז חיפה – פלילי </w:t>
            </w:r>
          </w:p>
        </w:tc>
      </w:tr>
      <w:bookmarkEnd w:id="2"/>
      <w:tr w:rsidR="00F36433" w:rsidRPr="00893049" w14:paraId="73D08531" w14:textId="77777777">
        <w:trPr>
          <w:jc w:val="center"/>
        </w:trPr>
        <w:tc>
          <w:tcPr>
            <w:tcW w:w="8820" w:type="dxa"/>
            <w:gridSpan w:val="3"/>
            <w:shd w:val="clear" w:color="auto" w:fill="auto"/>
          </w:tcPr>
          <w:p w14:paraId="661CECA5" w14:textId="77777777" w:rsidR="00F36433" w:rsidRPr="00893049" w:rsidRDefault="00F36433">
            <w:pPr>
              <w:rPr>
                <w:rFonts w:ascii="Arial" w:hAnsi="Arial"/>
                <w:b/>
                <w:bCs/>
              </w:rPr>
            </w:pPr>
          </w:p>
          <w:p w14:paraId="7EAF685A" w14:textId="77777777" w:rsidR="00F36433" w:rsidRPr="00893049" w:rsidRDefault="00893049">
            <w:pPr>
              <w:jc w:val="center"/>
              <w:rPr>
                <w:rFonts w:ascii="Arial" w:hAnsi="Arial"/>
                <w:b/>
                <w:bCs/>
                <w:rtl/>
              </w:rPr>
            </w:pPr>
            <w:r w:rsidRPr="00893049">
              <w:rPr>
                <w:rFonts w:ascii="Arial" w:hAnsi="Arial" w:hint="cs"/>
                <w:b/>
                <w:bCs/>
                <w:rtl/>
              </w:rPr>
              <w:t>נגד</w:t>
            </w:r>
          </w:p>
          <w:p w14:paraId="2A4352E9" w14:textId="77777777" w:rsidR="00F36433" w:rsidRPr="00893049" w:rsidRDefault="00F36433">
            <w:pPr>
              <w:rPr>
                <w:rFonts w:ascii="Arial" w:hAnsi="Arial"/>
                <w:b/>
                <w:bCs/>
                <w:rtl/>
              </w:rPr>
            </w:pPr>
          </w:p>
        </w:tc>
      </w:tr>
      <w:tr w:rsidR="00F36433" w:rsidRPr="00893049" w14:paraId="0538E4EE" w14:textId="77777777">
        <w:trPr>
          <w:jc w:val="center"/>
        </w:trPr>
        <w:tc>
          <w:tcPr>
            <w:tcW w:w="3249" w:type="dxa"/>
            <w:gridSpan w:val="2"/>
            <w:shd w:val="clear" w:color="auto" w:fill="auto"/>
          </w:tcPr>
          <w:p w14:paraId="21928CC2" w14:textId="77777777" w:rsidR="00F36433" w:rsidRPr="00893049" w:rsidRDefault="00F36433">
            <w:pPr>
              <w:rPr>
                <w:rFonts w:ascii="Arial" w:hAnsi="Arial"/>
                <w:b/>
                <w:bCs/>
              </w:rPr>
            </w:pPr>
          </w:p>
          <w:p w14:paraId="0E2EADF2" w14:textId="77777777" w:rsidR="00F36433" w:rsidRPr="00893049" w:rsidRDefault="00893049">
            <w:pPr>
              <w:rPr>
                <w:rFonts w:ascii="Arial" w:hAnsi="Arial"/>
                <w:b/>
                <w:bCs/>
                <w:rtl/>
              </w:rPr>
            </w:pPr>
            <w:r w:rsidRPr="00893049">
              <w:rPr>
                <w:rFonts w:hint="cs"/>
                <w:b/>
                <w:bCs/>
                <w:rtl/>
              </w:rPr>
              <w:t>נאשמים</w:t>
            </w:r>
          </w:p>
        </w:tc>
        <w:tc>
          <w:tcPr>
            <w:tcW w:w="5571" w:type="dxa"/>
            <w:shd w:val="clear" w:color="auto" w:fill="auto"/>
          </w:tcPr>
          <w:p w14:paraId="2FD3CA9F" w14:textId="77777777" w:rsidR="00F36433" w:rsidRPr="00893049" w:rsidRDefault="00F36433">
            <w:pPr>
              <w:rPr>
                <w:rFonts w:ascii="Arial" w:hAnsi="Arial"/>
                <w:b/>
                <w:bCs/>
              </w:rPr>
            </w:pPr>
          </w:p>
          <w:p w14:paraId="6B1107F5" w14:textId="77777777" w:rsidR="00F36433" w:rsidRPr="00893049" w:rsidRDefault="00893049">
            <w:pPr>
              <w:rPr>
                <w:b/>
                <w:bCs/>
                <w:rtl/>
              </w:rPr>
            </w:pPr>
            <w:r w:rsidRPr="00893049">
              <w:rPr>
                <w:rFonts w:hint="cs"/>
                <w:b/>
                <w:bCs/>
                <w:rtl/>
              </w:rPr>
              <w:t>1</w:t>
            </w:r>
            <w:r w:rsidRPr="00893049">
              <w:rPr>
                <w:rFonts w:ascii="Arial" w:hAnsi="Arial" w:hint="cs"/>
                <w:b/>
                <w:bCs/>
                <w:rtl/>
              </w:rPr>
              <w:t xml:space="preserve">. </w:t>
            </w:r>
            <w:r w:rsidRPr="00893049">
              <w:rPr>
                <w:rFonts w:hint="cs"/>
                <w:b/>
                <w:bCs/>
                <w:rtl/>
              </w:rPr>
              <w:t xml:space="preserve">אסמאעיל מואסי ת.ז. </w:t>
            </w:r>
            <w:r>
              <w:rPr>
                <w:b/>
                <w:bCs/>
              </w:rPr>
              <w:t>xxxxxxxxxx</w:t>
            </w:r>
          </w:p>
          <w:p w14:paraId="076B25D0" w14:textId="77777777" w:rsidR="00F36433" w:rsidRPr="00893049" w:rsidRDefault="00893049">
            <w:pPr>
              <w:rPr>
                <w:b/>
                <w:bCs/>
                <w:rtl/>
              </w:rPr>
            </w:pPr>
            <w:r w:rsidRPr="00893049">
              <w:rPr>
                <w:rFonts w:hint="cs"/>
                <w:b/>
                <w:bCs/>
                <w:rtl/>
              </w:rPr>
              <w:t>2</w:t>
            </w:r>
            <w:r w:rsidRPr="00893049">
              <w:rPr>
                <w:rFonts w:ascii="Arial" w:hAnsi="Arial" w:hint="cs"/>
                <w:b/>
                <w:bCs/>
                <w:rtl/>
              </w:rPr>
              <w:t xml:space="preserve">. </w:t>
            </w:r>
            <w:r w:rsidRPr="00893049">
              <w:rPr>
                <w:rFonts w:hint="cs"/>
                <w:b/>
                <w:bCs/>
                <w:rtl/>
              </w:rPr>
              <w:t xml:space="preserve">מוסא חוג'יראת ת.ז. </w:t>
            </w:r>
            <w:r>
              <w:rPr>
                <w:b/>
                <w:bCs/>
              </w:rPr>
              <w:t>xxxxxxxxxx</w:t>
            </w:r>
          </w:p>
          <w:p w14:paraId="34964DF1" w14:textId="77777777" w:rsidR="00F36433" w:rsidRPr="00893049" w:rsidRDefault="00893049">
            <w:pPr>
              <w:rPr>
                <w:b/>
                <w:bCs/>
                <w:rtl/>
              </w:rPr>
            </w:pPr>
            <w:r w:rsidRPr="00893049">
              <w:rPr>
                <w:rFonts w:hint="cs"/>
                <w:b/>
                <w:bCs/>
                <w:rtl/>
              </w:rPr>
              <w:t>3</w:t>
            </w:r>
            <w:r w:rsidRPr="00893049">
              <w:rPr>
                <w:rFonts w:ascii="Arial" w:hAnsi="Arial" w:hint="cs"/>
                <w:b/>
                <w:bCs/>
                <w:rtl/>
              </w:rPr>
              <w:t xml:space="preserve">. </w:t>
            </w:r>
            <w:r w:rsidRPr="00893049">
              <w:rPr>
                <w:rFonts w:hint="cs"/>
                <w:b/>
                <w:bCs/>
                <w:rtl/>
              </w:rPr>
              <w:t xml:space="preserve">מוחמד מריסאת ת.ז. </w:t>
            </w:r>
            <w:r>
              <w:rPr>
                <w:b/>
                <w:bCs/>
              </w:rPr>
              <w:t>xxxxxxxxxx</w:t>
            </w:r>
          </w:p>
        </w:tc>
      </w:tr>
      <w:tr w:rsidR="00F36433" w:rsidRPr="00893049" w14:paraId="01E230F9" w14:textId="77777777">
        <w:trPr>
          <w:jc w:val="center"/>
        </w:trPr>
        <w:tc>
          <w:tcPr>
            <w:tcW w:w="8820" w:type="dxa"/>
            <w:gridSpan w:val="3"/>
            <w:shd w:val="clear" w:color="auto" w:fill="auto"/>
          </w:tcPr>
          <w:p w14:paraId="72B331C9" w14:textId="77777777" w:rsidR="00F36433" w:rsidRPr="00893049" w:rsidRDefault="00F36433">
            <w:pPr>
              <w:rPr>
                <w:rFonts w:ascii="Arial" w:hAnsi="Arial"/>
                <w:b/>
                <w:bCs/>
                <w:rtl/>
              </w:rPr>
            </w:pPr>
          </w:p>
          <w:p w14:paraId="5F89D61E" w14:textId="77777777" w:rsidR="00F36433" w:rsidRPr="00893049" w:rsidRDefault="00893049">
            <w:pPr>
              <w:pStyle w:val="12"/>
              <w:rPr>
                <w:b w:val="0"/>
                <w:bCs w:val="0"/>
                <w:u w:val="none"/>
                <w:rtl/>
              </w:rPr>
            </w:pPr>
            <w:r w:rsidRPr="00893049">
              <w:rPr>
                <w:rFonts w:hint="cs"/>
                <w:u w:val="none"/>
                <w:rtl/>
              </w:rPr>
              <w:t>נוכחים:</w:t>
            </w:r>
          </w:p>
          <w:p w14:paraId="45E81E88" w14:textId="77777777" w:rsidR="00F36433" w:rsidRPr="00893049" w:rsidRDefault="00893049">
            <w:pPr>
              <w:pStyle w:val="12"/>
              <w:rPr>
                <w:b w:val="0"/>
                <w:bCs w:val="0"/>
                <w:u w:val="none"/>
                <w:rtl/>
              </w:rPr>
            </w:pPr>
            <w:r w:rsidRPr="00893049">
              <w:rPr>
                <w:rFonts w:hint="cs"/>
                <w:b w:val="0"/>
                <w:bCs w:val="0"/>
                <w:u w:val="none"/>
                <w:rtl/>
              </w:rPr>
              <w:t>ב"כ המאשימה- עו"ד אילנה קוזמינר</w:t>
            </w:r>
          </w:p>
          <w:p w14:paraId="74E814E1" w14:textId="77777777" w:rsidR="00F36433" w:rsidRPr="00893049" w:rsidRDefault="00893049">
            <w:pPr>
              <w:pStyle w:val="12"/>
              <w:rPr>
                <w:b w:val="0"/>
                <w:bCs w:val="0"/>
                <w:u w:val="none"/>
                <w:rtl/>
              </w:rPr>
            </w:pPr>
            <w:r w:rsidRPr="00893049">
              <w:rPr>
                <w:rFonts w:hint="cs"/>
                <w:b w:val="0"/>
                <w:bCs w:val="0"/>
                <w:u w:val="none"/>
                <w:rtl/>
              </w:rPr>
              <w:t xml:space="preserve">ב"כ הנאשמים 1 </w:t>
            </w:r>
            <w:r w:rsidRPr="00893049">
              <w:rPr>
                <w:b w:val="0"/>
                <w:bCs w:val="0"/>
                <w:u w:val="none"/>
                <w:rtl/>
              </w:rPr>
              <w:t>–</w:t>
            </w:r>
            <w:r w:rsidRPr="00893049">
              <w:rPr>
                <w:rFonts w:hint="cs"/>
                <w:b w:val="0"/>
                <w:bCs w:val="0"/>
                <w:u w:val="none"/>
                <w:rtl/>
              </w:rPr>
              <w:t xml:space="preserve"> 3 </w:t>
            </w:r>
            <w:r w:rsidRPr="00893049">
              <w:rPr>
                <w:b w:val="0"/>
                <w:bCs w:val="0"/>
                <w:u w:val="none"/>
                <w:rtl/>
              </w:rPr>
              <w:t>–</w:t>
            </w:r>
            <w:r w:rsidRPr="00893049">
              <w:rPr>
                <w:rFonts w:hint="cs"/>
                <w:b w:val="0"/>
                <w:bCs w:val="0"/>
                <w:u w:val="none"/>
                <w:rtl/>
              </w:rPr>
              <w:t xml:space="preserve"> עו"ד מטאנס זידאן</w:t>
            </w:r>
          </w:p>
          <w:p w14:paraId="0675F4E7" w14:textId="77777777" w:rsidR="00F36433" w:rsidRPr="00893049" w:rsidRDefault="00893049">
            <w:pPr>
              <w:pStyle w:val="12"/>
              <w:rPr>
                <w:b w:val="0"/>
                <w:bCs w:val="0"/>
                <w:u w:val="none"/>
                <w:rtl/>
              </w:rPr>
            </w:pPr>
            <w:r w:rsidRPr="00893049">
              <w:rPr>
                <w:rFonts w:hint="cs"/>
                <w:b w:val="0"/>
                <w:bCs w:val="0"/>
                <w:u w:val="none"/>
                <w:rtl/>
              </w:rPr>
              <w:t xml:space="preserve">הנאשמים 1 </w:t>
            </w:r>
            <w:r w:rsidRPr="00893049">
              <w:rPr>
                <w:b w:val="0"/>
                <w:bCs w:val="0"/>
                <w:u w:val="none"/>
                <w:rtl/>
              </w:rPr>
              <w:t>–</w:t>
            </w:r>
            <w:r w:rsidRPr="00893049">
              <w:rPr>
                <w:rFonts w:hint="cs"/>
                <w:b w:val="0"/>
                <w:bCs w:val="0"/>
                <w:u w:val="none"/>
                <w:rtl/>
              </w:rPr>
              <w:t xml:space="preserve"> 3 בעצמם </w:t>
            </w:r>
          </w:p>
          <w:p w14:paraId="7640EA74" w14:textId="77777777" w:rsidR="00F36433" w:rsidRPr="00893049" w:rsidRDefault="00893049">
            <w:pPr>
              <w:pStyle w:val="12"/>
              <w:rPr>
                <w:b w:val="0"/>
                <w:bCs w:val="0"/>
                <w:u w:val="none"/>
                <w:rtl/>
              </w:rPr>
            </w:pPr>
            <w:r w:rsidRPr="00893049">
              <w:rPr>
                <w:rFonts w:hint="cs"/>
                <w:b w:val="0"/>
                <w:bCs w:val="0"/>
                <w:u w:val="none"/>
                <w:rtl/>
              </w:rPr>
              <w:t xml:space="preserve">מתורגמנית לשפה הערבית </w:t>
            </w:r>
            <w:r w:rsidRPr="00893049">
              <w:rPr>
                <w:b w:val="0"/>
                <w:bCs w:val="0"/>
                <w:u w:val="none"/>
                <w:rtl/>
              </w:rPr>
              <w:t>–</w:t>
            </w:r>
            <w:r w:rsidRPr="00893049">
              <w:rPr>
                <w:rFonts w:hint="cs"/>
                <w:b w:val="0"/>
                <w:bCs w:val="0"/>
                <w:u w:val="none"/>
                <w:rtl/>
              </w:rPr>
              <w:t xml:space="preserve"> גב' עיסאווי זויה </w:t>
            </w:r>
          </w:p>
          <w:p w14:paraId="336F483F" w14:textId="77777777" w:rsidR="00F36433" w:rsidRPr="00893049" w:rsidRDefault="00893049">
            <w:pPr>
              <w:pStyle w:val="12"/>
              <w:rPr>
                <w:b w:val="0"/>
                <w:bCs w:val="0"/>
                <w:u w:val="none"/>
                <w:rtl/>
              </w:rPr>
            </w:pPr>
            <w:r w:rsidRPr="00893049">
              <w:rPr>
                <w:rFonts w:hint="cs"/>
                <w:b w:val="0"/>
                <w:bCs w:val="0"/>
                <w:u w:val="none"/>
                <w:rtl/>
              </w:rPr>
              <w:t xml:space="preserve">אביו ודוד של הנאשם 1, אמו של הנאשם 2, אביו של הנאשם 3 </w:t>
            </w:r>
          </w:p>
          <w:p w14:paraId="4F336623" w14:textId="77777777" w:rsidR="00F36433" w:rsidRPr="00893049" w:rsidRDefault="00F36433">
            <w:pPr>
              <w:pStyle w:val="12"/>
              <w:rPr>
                <w:rFonts w:ascii="Arial" w:hAnsi="Arial"/>
                <w:u w:val="none"/>
                <w:rtl/>
              </w:rPr>
            </w:pPr>
          </w:p>
        </w:tc>
      </w:tr>
      <w:tr w:rsidR="00F36433" w14:paraId="04C853A7"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5"/>
          <w:jc w:val="center"/>
        </w:trPr>
        <w:tc>
          <w:tcPr>
            <w:tcW w:w="8820" w:type="dxa"/>
            <w:gridSpan w:val="3"/>
            <w:tcBorders>
              <w:top w:val="nil"/>
              <w:left w:val="nil"/>
              <w:bottom w:val="nil"/>
              <w:right w:val="nil"/>
            </w:tcBorders>
            <w:shd w:val="clear" w:color="auto" w:fill="auto"/>
          </w:tcPr>
          <w:p w14:paraId="5D7D7548" w14:textId="77777777" w:rsidR="00D63F48" w:rsidRDefault="00D63F48" w:rsidP="00893049">
            <w:pPr>
              <w:jc w:val="center"/>
              <w:rPr>
                <w:rFonts w:ascii="Arial" w:hAnsi="Arial" w:cs="FrankRuehl"/>
                <w:sz w:val="32"/>
                <w:szCs w:val="32"/>
                <w:rtl/>
              </w:rPr>
            </w:pPr>
            <w:bookmarkStart w:id="3" w:name="PsakDin" w:colFirst="0" w:colLast="0"/>
            <w:bookmarkStart w:id="4" w:name="LawTable"/>
            <w:bookmarkEnd w:id="0"/>
            <w:bookmarkEnd w:id="1"/>
            <w:bookmarkEnd w:id="4"/>
          </w:p>
          <w:p w14:paraId="3109272C" w14:textId="77777777" w:rsidR="00D63F48" w:rsidRPr="00D63F48" w:rsidRDefault="00D63F48" w:rsidP="00D63F48">
            <w:pPr>
              <w:spacing w:after="120" w:line="240" w:lineRule="exact"/>
              <w:ind w:left="283" w:hanging="283"/>
              <w:jc w:val="both"/>
              <w:rPr>
                <w:rFonts w:ascii="FrankRuehl" w:hAnsi="FrankRuehl" w:cs="FrankRuehl"/>
                <w:rtl/>
              </w:rPr>
            </w:pPr>
            <w:r w:rsidRPr="00D63F48">
              <w:rPr>
                <w:rFonts w:ascii="FrankRuehl" w:hAnsi="FrankRuehl" w:cs="FrankRuehl"/>
                <w:rtl/>
              </w:rPr>
              <w:t xml:space="preserve">חקיקה שאוזכרה: </w:t>
            </w:r>
          </w:p>
          <w:p w14:paraId="47308F90" w14:textId="77777777" w:rsidR="00D63F48" w:rsidRPr="00D63F48" w:rsidRDefault="00D63F48" w:rsidP="00D63F48">
            <w:pPr>
              <w:spacing w:after="120" w:line="240" w:lineRule="exact"/>
              <w:ind w:left="283" w:hanging="283"/>
              <w:jc w:val="both"/>
              <w:rPr>
                <w:rFonts w:ascii="FrankRuehl" w:hAnsi="FrankRuehl" w:cs="FrankRuehl"/>
                <w:rtl/>
              </w:rPr>
            </w:pPr>
            <w:hyperlink r:id="rId7" w:history="1">
              <w:r w:rsidRPr="00D63F48">
                <w:rPr>
                  <w:rFonts w:ascii="FrankRuehl" w:hAnsi="FrankRuehl" w:cs="FrankRuehl"/>
                  <w:color w:val="0000FF"/>
                  <w:u w:val="single"/>
                  <w:rtl/>
                </w:rPr>
                <w:t>חוק העונשין, תשל"ז-1977</w:t>
              </w:r>
            </w:hyperlink>
            <w:r w:rsidRPr="00D63F48">
              <w:rPr>
                <w:rFonts w:ascii="FrankRuehl" w:hAnsi="FrankRuehl" w:cs="FrankRuehl"/>
                <w:rtl/>
              </w:rPr>
              <w:t xml:space="preserve">: סע'  </w:t>
            </w:r>
            <w:hyperlink r:id="rId8" w:history="1">
              <w:r w:rsidRPr="00D63F48">
                <w:rPr>
                  <w:rFonts w:ascii="FrankRuehl" w:hAnsi="FrankRuehl" w:cs="FrankRuehl"/>
                  <w:color w:val="0000FF"/>
                  <w:u w:val="single"/>
                  <w:rtl/>
                </w:rPr>
                <w:t>29</w:t>
              </w:r>
            </w:hyperlink>
            <w:r w:rsidRPr="00D63F48">
              <w:rPr>
                <w:rFonts w:ascii="FrankRuehl" w:hAnsi="FrankRuehl" w:cs="FrankRuehl"/>
                <w:rtl/>
              </w:rPr>
              <w:t xml:space="preserve">, </w:t>
            </w:r>
            <w:hyperlink r:id="rId9" w:history="1">
              <w:r w:rsidRPr="00D63F48">
                <w:rPr>
                  <w:rFonts w:ascii="FrankRuehl" w:hAnsi="FrankRuehl" w:cs="FrankRuehl"/>
                  <w:color w:val="0000FF"/>
                  <w:u w:val="single"/>
                  <w:rtl/>
                </w:rPr>
                <w:t>40ד</w:t>
              </w:r>
            </w:hyperlink>
            <w:r w:rsidRPr="00D63F48">
              <w:rPr>
                <w:rFonts w:ascii="FrankRuehl" w:hAnsi="FrankRuehl" w:cs="FrankRuehl"/>
                <w:rtl/>
              </w:rPr>
              <w:t xml:space="preserve">, </w:t>
            </w:r>
            <w:hyperlink r:id="rId10" w:history="1">
              <w:r w:rsidRPr="00D63F48">
                <w:rPr>
                  <w:rFonts w:ascii="FrankRuehl" w:hAnsi="FrankRuehl" w:cs="FrankRuehl"/>
                  <w:color w:val="0000FF"/>
                  <w:u w:val="single"/>
                  <w:rtl/>
                </w:rPr>
                <w:t>144(ב)(</w:t>
              </w:r>
            </w:hyperlink>
            <w:r w:rsidRPr="00D63F48">
              <w:rPr>
                <w:rFonts w:ascii="FrankRuehl" w:hAnsi="FrankRuehl" w:cs="FrankRuehl"/>
                <w:rtl/>
              </w:rPr>
              <w:t xml:space="preserve">, </w:t>
            </w:r>
            <w:hyperlink r:id="rId11" w:history="1">
              <w:r w:rsidRPr="00D63F48">
                <w:rPr>
                  <w:rFonts w:ascii="FrankRuehl" w:hAnsi="FrankRuehl" w:cs="FrankRuehl"/>
                  <w:color w:val="0000FF"/>
                  <w:u w:val="single"/>
                  <w:rtl/>
                </w:rPr>
                <w:t>144(ס)(2)</w:t>
              </w:r>
            </w:hyperlink>
            <w:r w:rsidRPr="00D63F48">
              <w:rPr>
                <w:rFonts w:ascii="FrankRuehl" w:hAnsi="FrankRuehl" w:cs="FrankRuehl"/>
                <w:rtl/>
              </w:rPr>
              <w:t xml:space="preserve">, </w:t>
            </w:r>
            <w:hyperlink r:id="rId12" w:history="1">
              <w:r w:rsidRPr="00D63F48">
                <w:rPr>
                  <w:rFonts w:ascii="FrankRuehl" w:hAnsi="FrankRuehl" w:cs="FrankRuehl"/>
                  <w:color w:val="0000FF"/>
                  <w:u w:val="single"/>
                  <w:rtl/>
                </w:rPr>
                <w:t>275א</w:t>
              </w:r>
            </w:hyperlink>
            <w:r w:rsidRPr="00D63F48">
              <w:rPr>
                <w:rFonts w:ascii="FrankRuehl" w:hAnsi="FrankRuehl" w:cs="FrankRuehl"/>
                <w:rtl/>
              </w:rPr>
              <w:t xml:space="preserve">, </w:t>
            </w:r>
            <w:hyperlink r:id="rId13" w:history="1">
              <w:r w:rsidRPr="00D63F48">
                <w:rPr>
                  <w:rFonts w:ascii="FrankRuehl" w:hAnsi="FrankRuehl" w:cs="FrankRuehl"/>
                  <w:color w:val="0000FF"/>
                  <w:u w:val="single"/>
                  <w:rtl/>
                </w:rPr>
                <w:t>332(1)</w:t>
              </w:r>
            </w:hyperlink>
            <w:r w:rsidRPr="00D63F48">
              <w:rPr>
                <w:rFonts w:ascii="FrankRuehl" w:hAnsi="FrankRuehl" w:cs="FrankRuehl"/>
                <w:rtl/>
              </w:rPr>
              <w:t xml:space="preserve">, </w:t>
            </w:r>
            <w:hyperlink r:id="rId14" w:history="1">
              <w:r w:rsidRPr="00D63F48">
                <w:rPr>
                  <w:rFonts w:ascii="FrankRuehl" w:hAnsi="FrankRuehl" w:cs="FrankRuehl"/>
                  <w:color w:val="0000FF"/>
                  <w:u w:val="single"/>
                  <w:rtl/>
                </w:rPr>
                <w:t>(2)</w:t>
              </w:r>
            </w:hyperlink>
          </w:p>
          <w:p w14:paraId="2D005337" w14:textId="77777777" w:rsidR="00D63F48" w:rsidRPr="00D63F48" w:rsidRDefault="00D63F48" w:rsidP="00D63F48">
            <w:pPr>
              <w:spacing w:after="120" w:line="240" w:lineRule="exact"/>
              <w:ind w:left="283" w:hanging="283"/>
              <w:jc w:val="both"/>
              <w:rPr>
                <w:rFonts w:ascii="FrankRuehl" w:hAnsi="FrankRuehl" w:cs="FrankRuehl"/>
                <w:rtl/>
              </w:rPr>
            </w:pPr>
          </w:p>
          <w:p w14:paraId="00853EE6" w14:textId="77777777" w:rsidR="00893049" w:rsidRPr="00893049" w:rsidRDefault="00893049" w:rsidP="00893049">
            <w:pPr>
              <w:jc w:val="center"/>
              <w:rPr>
                <w:rFonts w:ascii="Arial" w:hAnsi="Arial" w:cs="FrankRuehl"/>
                <w:b/>
                <w:bCs/>
                <w:sz w:val="32"/>
                <w:szCs w:val="32"/>
                <w:rtl/>
              </w:rPr>
            </w:pPr>
            <w:bookmarkStart w:id="5" w:name="LawTable_End"/>
            <w:bookmarkEnd w:id="5"/>
            <w:r w:rsidRPr="00893049">
              <w:rPr>
                <w:rFonts w:ascii="Arial" w:hAnsi="Arial" w:cs="FrankRuehl"/>
                <w:b/>
                <w:bCs/>
                <w:sz w:val="32"/>
                <w:szCs w:val="32"/>
                <w:rtl/>
              </w:rPr>
              <w:t>גזר דין</w:t>
            </w:r>
          </w:p>
          <w:p w14:paraId="12CAAFD6" w14:textId="77777777" w:rsidR="00F36433" w:rsidRPr="00893049" w:rsidRDefault="00F36433" w:rsidP="00893049">
            <w:pPr>
              <w:jc w:val="center"/>
              <w:rPr>
                <w:rFonts w:ascii="Arial" w:hAnsi="Arial" w:cs="FrankRuehl"/>
                <w:bCs/>
                <w:sz w:val="32"/>
                <w:szCs w:val="32"/>
                <w:rtl/>
              </w:rPr>
            </w:pPr>
          </w:p>
        </w:tc>
      </w:tr>
      <w:bookmarkEnd w:id="3"/>
    </w:tbl>
    <w:p w14:paraId="143DE169" w14:textId="77777777" w:rsidR="00F36433" w:rsidRDefault="00F36433">
      <w:pPr>
        <w:rPr>
          <w:rFonts w:ascii="Arial" w:hAnsi="Arial"/>
          <w:rtl/>
        </w:rPr>
      </w:pPr>
    </w:p>
    <w:p w14:paraId="24FD29AA" w14:textId="77777777" w:rsidR="00F36433" w:rsidRDefault="00893049">
      <w:pPr>
        <w:pStyle w:val="ListParagraph"/>
        <w:numPr>
          <w:ilvl w:val="0"/>
          <w:numId w:val="1"/>
        </w:numPr>
        <w:spacing w:line="360" w:lineRule="auto"/>
        <w:jc w:val="both"/>
        <w:rPr>
          <w:rtl/>
        </w:rPr>
      </w:pPr>
      <w:bookmarkStart w:id="6" w:name="ABSTRACT_START"/>
      <w:bookmarkEnd w:id="6"/>
      <w:r>
        <w:rPr>
          <w:rtl/>
        </w:rPr>
        <w:t xml:space="preserve">הנאשמים 1 -3 הודו בכתב אישום מתוקן במסגרת הסדר טיעון שלא כלל הסדר אודות העונש  בביצוע עבירות של יצור נשק לפי </w:t>
      </w:r>
      <w:hyperlink r:id="rId15" w:history="1">
        <w:r w:rsidR="00D63F48" w:rsidRPr="00D63F48">
          <w:rPr>
            <w:color w:val="0000FF"/>
            <w:u w:val="single"/>
            <w:rtl/>
          </w:rPr>
          <w:t>סעיף 144(ס)(2)</w:t>
        </w:r>
      </w:hyperlink>
      <w:r>
        <w:rPr>
          <w:rtl/>
        </w:rPr>
        <w:t xml:space="preserve"> + </w:t>
      </w:r>
      <w:hyperlink r:id="rId16" w:history="1">
        <w:r w:rsidR="00D63F48" w:rsidRPr="00D63F48">
          <w:rPr>
            <w:color w:val="0000FF"/>
            <w:u w:val="single"/>
            <w:rtl/>
          </w:rPr>
          <w:t>29</w:t>
        </w:r>
      </w:hyperlink>
      <w:r>
        <w:rPr>
          <w:rtl/>
        </w:rPr>
        <w:t xml:space="preserve"> ל</w:t>
      </w:r>
      <w:hyperlink r:id="rId17" w:history="1">
        <w:r w:rsidRPr="00893049">
          <w:rPr>
            <w:rStyle w:val="Hyperlink"/>
            <w:rtl/>
          </w:rPr>
          <w:t>חוק העונשין</w:t>
        </w:r>
      </w:hyperlink>
      <w:r>
        <w:rPr>
          <w:rtl/>
        </w:rPr>
        <w:t xml:space="preserve">; נשיאת נשק לפי סעיפים </w:t>
      </w:r>
      <w:hyperlink r:id="rId18" w:history="1">
        <w:r w:rsidR="00D63F48" w:rsidRPr="00D63F48">
          <w:rPr>
            <w:color w:val="0000FF"/>
            <w:u w:val="single"/>
            <w:rtl/>
          </w:rPr>
          <w:t>144(ב)(</w:t>
        </w:r>
      </w:hyperlink>
      <w:r>
        <w:rPr>
          <w:rtl/>
        </w:rPr>
        <w:t xml:space="preserve">רישא) + </w:t>
      </w:r>
      <w:hyperlink r:id="rId19" w:history="1">
        <w:r w:rsidR="00D63F48" w:rsidRPr="00D63F48">
          <w:rPr>
            <w:color w:val="0000FF"/>
            <w:u w:val="single"/>
            <w:rtl/>
          </w:rPr>
          <w:t>29</w:t>
        </w:r>
      </w:hyperlink>
      <w:r>
        <w:rPr>
          <w:rtl/>
        </w:rPr>
        <w:t xml:space="preserve"> לחוק העונשין; סיכון חיי אנשים במזיד בנתיב תחבורה לפי </w:t>
      </w:r>
      <w:hyperlink r:id="rId20" w:history="1">
        <w:r w:rsidR="00D63F48" w:rsidRPr="00D63F48">
          <w:rPr>
            <w:color w:val="0000FF"/>
            <w:u w:val="single"/>
            <w:rtl/>
          </w:rPr>
          <w:t>סעיפים 332(1)</w:t>
        </w:r>
      </w:hyperlink>
      <w:r>
        <w:rPr>
          <w:rtl/>
        </w:rPr>
        <w:t xml:space="preserve"> ו- </w:t>
      </w:r>
      <w:hyperlink r:id="rId21" w:history="1">
        <w:r w:rsidR="00D63F48" w:rsidRPr="00D63F48">
          <w:rPr>
            <w:color w:val="0000FF"/>
            <w:u w:val="single"/>
            <w:rtl/>
          </w:rPr>
          <w:t>(2)</w:t>
        </w:r>
      </w:hyperlink>
      <w:r>
        <w:rPr>
          <w:rtl/>
        </w:rPr>
        <w:t xml:space="preserve"> + </w:t>
      </w:r>
      <w:hyperlink r:id="rId22" w:history="1">
        <w:r w:rsidR="00D63F48" w:rsidRPr="00D63F48">
          <w:rPr>
            <w:color w:val="0000FF"/>
            <w:u w:val="single"/>
            <w:rtl/>
          </w:rPr>
          <w:t>29</w:t>
        </w:r>
      </w:hyperlink>
      <w:r>
        <w:rPr>
          <w:rtl/>
        </w:rPr>
        <w:t xml:space="preserve"> לחוק העונשין והפרעה לשוטר בנסיבות מחמירות לפי </w:t>
      </w:r>
      <w:hyperlink r:id="rId23" w:history="1">
        <w:r w:rsidR="00D63F48" w:rsidRPr="00D63F48">
          <w:rPr>
            <w:color w:val="0000FF"/>
            <w:u w:val="single"/>
            <w:rtl/>
          </w:rPr>
          <w:t>סעיף 275א</w:t>
        </w:r>
      </w:hyperlink>
      <w:r>
        <w:rPr>
          <w:rtl/>
        </w:rPr>
        <w:t xml:space="preserve"> + </w:t>
      </w:r>
      <w:hyperlink r:id="rId24" w:history="1">
        <w:r w:rsidR="00D63F48" w:rsidRPr="00D63F48">
          <w:rPr>
            <w:color w:val="0000FF"/>
            <w:u w:val="single"/>
            <w:rtl/>
          </w:rPr>
          <w:t>29</w:t>
        </w:r>
      </w:hyperlink>
      <w:r>
        <w:rPr>
          <w:rtl/>
        </w:rPr>
        <w:t xml:space="preserve"> לחוק העונשין. </w:t>
      </w:r>
    </w:p>
    <w:p w14:paraId="1F34168B" w14:textId="77777777" w:rsidR="00F36433" w:rsidRDefault="00F36433">
      <w:pPr>
        <w:spacing w:line="360" w:lineRule="auto"/>
        <w:jc w:val="both"/>
        <w:rPr>
          <w:sz w:val="16"/>
          <w:szCs w:val="16"/>
          <w:rtl/>
        </w:rPr>
      </w:pPr>
      <w:bookmarkStart w:id="7" w:name="ABSTRACT_END"/>
      <w:bookmarkEnd w:id="7"/>
    </w:p>
    <w:p w14:paraId="2C51A209" w14:textId="77777777" w:rsidR="00F36433" w:rsidRDefault="00893049">
      <w:pPr>
        <w:pStyle w:val="ListParagraph"/>
        <w:numPr>
          <w:ilvl w:val="0"/>
          <w:numId w:val="1"/>
        </w:numPr>
        <w:spacing w:line="360" w:lineRule="auto"/>
        <w:jc w:val="both"/>
        <w:rPr>
          <w:rtl/>
        </w:rPr>
      </w:pPr>
      <w:r>
        <w:rPr>
          <w:rtl/>
        </w:rPr>
        <w:t>כאמור בכתב האישום, בין הנאשמים היו קשרי חברות. האירועים בוצעו על רקע המתיחות הב</w:t>
      </w:r>
      <w:r>
        <w:rPr>
          <w:rFonts w:hint="cs"/>
          <w:rtl/>
        </w:rPr>
        <w:t>י</w:t>
      </w:r>
      <w:r>
        <w:rPr>
          <w:rtl/>
        </w:rPr>
        <w:t xml:space="preserve">טחונית ששררה במדינה בתקופה הרלוונטית נוכח ריבוי אירועי טרור שארעו ברחבי הארץ כאשר התקיימו פעולות מחאה נגד מדיניות רשויות המדינה לרבות בדרך של חסימת כבישים, הפגנות ועימותים עם כוחות הבטחון. </w:t>
      </w:r>
    </w:p>
    <w:p w14:paraId="52C1F2B2" w14:textId="77777777" w:rsidR="00F36433" w:rsidRDefault="00F36433">
      <w:pPr>
        <w:spacing w:line="360" w:lineRule="auto"/>
        <w:jc w:val="both"/>
        <w:rPr>
          <w:sz w:val="16"/>
          <w:szCs w:val="16"/>
          <w:rtl/>
        </w:rPr>
      </w:pPr>
    </w:p>
    <w:p w14:paraId="75887A6E" w14:textId="77777777" w:rsidR="00F36433" w:rsidRDefault="00893049">
      <w:pPr>
        <w:pStyle w:val="ListParagraph"/>
        <w:numPr>
          <w:ilvl w:val="0"/>
          <w:numId w:val="1"/>
        </w:numPr>
        <w:spacing w:line="360" w:lineRule="auto"/>
        <w:jc w:val="both"/>
        <w:rPr>
          <w:rtl/>
        </w:rPr>
      </w:pPr>
      <w:r>
        <w:rPr>
          <w:rtl/>
        </w:rPr>
        <w:lastRenderedPageBreak/>
        <w:t>על רקע זה, ביום 10.10.15 החליטו הנאשמים לייצר בקבוקי תבערה וליידות אותם לעבר ניידות משטרה ו</w:t>
      </w:r>
      <w:r>
        <w:rPr>
          <w:rFonts w:hint="cs"/>
          <w:rtl/>
        </w:rPr>
        <w:t xml:space="preserve">כן </w:t>
      </w:r>
      <w:r>
        <w:rPr>
          <w:rtl/>
        </w:rPr>
        <w:t xml:space="preserve">ליידות אבנים לעבר כביש 781 הסמוך לצומת אעבלין מערב ולהניח צמיגים בוערים על הכביש. בחצות בלילה של אותו יום, בחורשה בסמוך לצומת, שאבו הנאשמים דלק ממכוניתו של הנאשם 3 והכינו 2 בקבוקי זכוכית עם פיסות בד בצווארם על מנת לייצר בקבוקי תבערה. הם צעדו רגלית לעבר הכביש עם הבקבוקים, ואספו </w:t>
      </w:r>
      <w:r>
        <w:rPr>
          <w:rFonts w:hint="cs"/>
          <w:rtl/>
        </w:rPr>
        <w:t>ב</w:t>
      </w:r>
      <w:r>
        <w:rPr>
          <w:rtl/>
        </w:rPr>
        <w:t>דרך מזרון ושלושה צמיגים שהיו במצבור אשפה בתוך החורשה. הם התמקמו על גבעה סמוכה המשקיפה לכביש ונושקת לו בשוליה כאשר באמתחתם הציוד האמור. בשלב זה הם נ</w:t>
      </w:r>
      <w:r>
        <w:rPr>
          <w:rFonts w:hint="cs"/>
          <w:rtl/>
        </w:rPr>
        <w:t>י</w:t>
      </w:r>
      <w:r>
        <w:rPr>
          <w:rtl/>
        </w:rPr>
        <w:t>גשו לכביש והניחו בסמוך לקו ההפרדה בין שני הנתיבים את המזרון ועליו שלושת הצמיגים. הם הבעירו אותם באמצעות מצית. לאחר מכן, שבו לגבעה</w:t>
      </w:r>
      <w:r>
        <w:rPr>
          <w:rFonts w:hint="cs"/>
          <w:rtl/>
        </w:rPr>
        <w:t>,</w:t>
      </w:r>
      <w:r>
        <w:rPr>
          <w:rtl/>
        </w:rPr>
        <w:t xml:space="preserve"> נטלו אבנים</w:t>
      </w:r>
      <w:r>
        <w:rPr>
          <w:rFonts w:hint="cs"/>
          <w:rtl/>
        </w:rPr>
        <w:t>,</w:t>
      </w:r>
      <w:r>
        <w:rPr>
          <w:rtl/>
        </w:rPr>
        <w:t xml:space="preserve"> ידו אותם לעבר הכביש והמתינו במקום עד להגעת כוחות משטרה על מנת ליידות לעברם את בקבוקי התבערה. </w:t>
      </w:r>
    </w:p>
    <w:p w14:paraId="0FCDB55E" w14:textId="77777777" w:rsidR="00F36433" w:rsidRDefault="00F36433">
      <w:pPr>
        <w:spacing w:line="360" w:lineRule="auto"/>
        <w:jc w:val="both"/>
        <w:rPr>
          <w:sz w:val="16"/>
          <w:szCs w:val="16"/>
          <w:rtl/>
        </w:rPr>
      </w:pPr>
    </w:p>
    <w:p w14:paraId="61B37DBC" w14:textId="77777777" w:rsidR="00F36433" w:rsidRDefault="00893049">
      <w:pPr>
        <w:pStyle w:val="ListParagraph"/>
        <w:numPr>
          <w:ilvl w:val="0"/>
          <w:numId w:val="1"/>
        </w:numPr>
        <w:spacing w:line="360" w:lineRule="auto"/>
        <w:jc w:val="both"/>
        <w:rPr>
          <w:rtl/>
        </w:rPr>
      </w:pPr>
      <w:r>
        <w:rPr>
          <w:rtl/>
        </w:rPr>
        <w:t>אזרחים שנסעו בכביש דיווחו למשטרה והוזעקו למקום שתי ניידות בהן ארבעה שוטרים. השוטרים חסמו את נתיב הנסיעה מכיוון כללי שפרעם לכיוון מצפה עדי במרחק של כמה עשרות מטרים מהצומת וירדו מן הניידות. הנאשמים שהבחינו בהגעתם</w:t>
      </w:r>
      <w:r>
        <w:rPr>
          <w:rFonts w:hint="cs"/>
          <w:rtl/>
        </w:rPr>
        <w:t>,</w:t>
      </w:r>
      <w:r>
        <w:rPr>
          <w:rtl/>
        </w:rPr>
        <w:t xml:space="preserve"> הדליקו את בקבוקי התבערה וזרקו אותם לנתיב הנסיעה לכיוון הכללי של הניידות. הבקבוקים פגעו </w:t>
      </w:r>
      <w:r>
        <w:rPr>
          <w:rFonts w:hint="cs"/>
          <w:rtl/>
        </w:rPr>
        <w:t xml:space="preserve">בכביש </w:t>
      </w:r>
      <w:r>
        <w:rPr>
          <w:rtl/>
        </w:rPr>
        <w:t xml:space="preserve">במרחק של 30 – 50 מ' מהניידות והתלקחו. </w:t>
      </w:r>
    </w:p>
    <w:p w14:paraId="3DEB840B" w14:textId="77777777" w:rsidR="00F36433" w:rsidRDefault="00F36433">
      <w:pPr>
        <w:spacing w:line="360" w:lineRule="auto"/>
        <w:jc w:val="both"/>
        <w:rPr>
          <w:sz w:val="16"/>
          <w:szCs w:val="16"/>
          <w:rtl/>
        </w:rPr>
      </w:pPr>
    </w:p>
    <w:p w14:paraId="0F355F4F" w14:textId="77777777" w:rsidR="00F36433" w:rsidRDefault="00893049">
      <w:pPr>
        <w:pStyle w:val="ListParagraph"/>
        <w:spacing w:line="360" w:lineRule="auto"/>
        <w:ind w:left="360"/>
        <w:jc w:val="both"/>
        <w:rPr>
          <w:rtl/>
        </w:rPr>
      </w:pPr>
      <w:r>
        <w:rPr>
          <w:b/>
          <w:bCs/>
          <w:u w:val="single"/>
          <w:rtl/>
        </w:rPr>
        <w:t>טיעוני המדינה לעונש</w:t>
      </w:r>
    </w:p>
    <w:p w14:paraId="0D960DDA" w14:textId="77777777" w:rsidR="00F36433" w:rsidRDefault="00F36433">
      <w:pPr>
        <w:spacing w:line="360" w:lineRule="auto"/>
        <w:jc w:val="both"/>
        <w:rPr>
          <w:sz w:val="16"/>
          <w:szCs w:val="16"/>
          <w:rtl/>
        </w:rPr>
      </w:pPr>
    </w:p>
    <w:p w14:paraId="509E27DB" w14:textId="77777777" w:rsidR="00F36433" w:rsidRDefault="00893049">
      <w:pPr>
        <w:pStyle w:val="ListParagraph"/>
        <w:numPr>
          <w:ilvl w:val="0"/>
          <w:numId w:val="1"/>
        </w:numPr>
        <w:spacing w:line="360" w:lineRule="auto"/>
        <w:jc w:val="both"/>
        <w:rPr>
          <w:rtl/>
        </w:rPr>
      </w:pPr>
      <w:r>
        <w:rPr>
          <w:rtl/>
        </w:rPr>
        <w:t>המדינה פרטה את העונשים המירביים בגין העבירות השונות שעומדים בין 15 עד 20 שנות מאסר. פורט בנוסף חומרת המעשים של יידוי בקבוקי תבערה כפי שמשתקף בפסיקה</w:t>
      </w:r>
      <w:r>
        <w:rPr>
          <w:rFonts w:hint="cs"/>
          <w:rtl/>
        </w:rPr>
        <w:t>.</w:t>
      </w:r>
      <w:r>
        <w:rPr>
          <w:rtl/>
        </w:rPr>
        <w:t xml:space="preserve"> נטען שהעבירות אותן ביצעו הנאשמים חמורות מאין כמותן ונטען שנפסק לא אחת שיידוי בקבוקי תבערה מהווה למעשה שימוש בנשק חם העלול לגרום לפגיעות בגוף או ברכוש (</w:t>
      </w:r>
      <w:hyperlink r:id="rId25" w:history="1">
        <w:r w:rsidRPr="00893049">
          <w:rPr>
            <w:rStyle w:val="Hyperlink"/>
            <w:rtl/>
          </w:rPr>
          <w:t>ע"פ 2337/13</w:t>
        </w:r>
      </w:hyperlink>
      <w:r>
        <w:rPr>
          <w:rtl/>
        </w:rPr>
        <w:t xml:space="preserve">). נטען עוד שיש לתת ביטוי לצורת ההתארגנות בה בוצעו העבירות בצוותא ובתכנון המוקדם שנערך והמניע האידיאולוגי שעמד ביסודן. </w:t>
      </w:r>
    </w:p>
    <w:p w14:paraId="5E6BD738" w14:textId="77777777" w:rsidR="00F36433" w:rsidRDefault="00F36433">
      <w:pPr>
        <w:spacing w:line="360" w:lineRule="auto"/>
        <w:jc w:val="both"/>
        <w:rPr>
          <w:sz w:val="16"/>
          <w:szCs w:val="16"/>
          <w:rtl/>
        </w:rPr>
      </w:pPr>
    </w:p>
    <w:p w14:paraId="6A2C774D" w14:textId="77777777" w:rsidR="00F36433" w:rsidRDefault="00893049">
      <w:pPr>
        <w:pStyle w:val="ListParagraph"/>
        <w:numPr>
          <w:ilvl w:val="0"/>
          <w:numId w:val="1"/>
        </w:numPr>
        <w:spacing w:line="360" w:lineRule="auto"/>
        <w:jc w:val="both"/>
        <w:rPr>
          <w:rtl/>
        </w:rPr>
      </w:pPr>
      <w:r>
        <w:rPr>
          <w:rtl/>
        </w:rPr>
        <w:t>נטען שעל בית המשפט לשלוח מסר תקיף, חד וברור לנאשמים ולכמותם</w:t>
      </w:r>
      <w:r>
        <w:rPr>
          <w:rFonts w:hint="cs"/>
          <w:rtl/>
        </w:rPr>
        <w:t>,</w:t>
      </w:r>
      <w:r>
        <w:rPr>
          <w:rtl/>
        </w:rPr>
        <w:t xml:space="preserve"> </w:t>
      </w:r>
      <w:r>
        <w:rPr>
          <w:rFonts w:hint="cs"/>
          <w:rtl/>
        </w:rPr>
        <w:t xml:space="preserve">כי </w:t>
      </w:r>
      <w:r>
        <w:rPr>
          <w:rtl/>
        </w:rPr>
        <w:t>החברה סולדת מתופעת האלימות הגואה המלווה  בשימוש בנשק ו</w:t>
      </w:r>
      <w:r>
        <w:rPr>
          <w:rFonts w:hint="cs"/>
          <w:rtl/>
        </w:rPr>
        <w:t xml:space="preserve">כי </w:t>
      </w:r>
      <w:r>
        <w:rPr>
          <w:rtl/>
        </w:rPr>
        <w:t>מי שמשתמש בנשק</w:t>
      </w:r>
      <w:r>
        <w:rPr>
          <w:rFonts w:hint="cs"/>
          <w:rtl/>
        </w:rPr>
        <w:t>,</w:t>
      </w:r>
      <w:r>
        <w:rPr>
          <w:rtl/>
        </w:rPr>
        <w:t xml:space="preserve"> ישא בעונש חמור על כך. המדינה המשיכה והדגישה את חומרת עבירות הנשק ככלל וחומרת העבירות של הכשלת שוטרים בביצוע תפקידם. </w:t>
      </w:r>
    </w:p>
    <w:p w14:paraId="46E9BDC2" w14:textId="77777777" w:rsidR="00F36433" w:rsidRDefault="00F36433">
      <w:pPr>
        <w:spacing w:line="360" w:lineRule="auto"/>
        <w:jc w:val="both"/>
        <w:rPr>
          <w:sz w:val="16"/>
          <w:szCs w:val="16"/>
          <w:rtl/>
        </w:rPr>
      </w:pPr>
    </w:p>
    <w:p w14:paraId="10218DD3" w14:textId="77777777" w:rsidR="00F36433" w:rsidRDefault="00893049">
      <w:pPr>
        <w:pStyle w:val="ListParagraph"/>
        <w:numPr>
          <w:ilvl w:val="0"/>
          <w:numId w:val="1"/>
        </w:numPr>
        <w:spacing w:line="360" w:lineRule="auto"/>
        <w:jc w:val="both"/>
        <w:rPr>
          <w:rtl/>
        </w:rPr>
      </w:pPr>
      <w:r>
        <w:rPr>
          <w:rtl/>
        </w:rPr>
        <w:t xml:space="preserve">באשר לקביעת מתחם העונש ההולם, נטען שנפגעו הערכים החברתיים של שלום הציבור ובטחונו והערך של חיי אדם ושלמות הגוף. נטען שבוצע תכנון מוקדם, שחלקו היחסי של כל אחד מהנאשמים היה מהותי כאשר הם פעלו כחבורה והורשעו גם על פי דיני השותפות כמבצעים בצוותא. נטען שיש לתת משקל למניעים הפסולים שעמדו מאחורי ביצוע העבירות והיה צפוי נזק משמעותי מביצוע העבירות ורק בדרך נס לא נפגעו השוטרים ולא נפגע רכוש. </w:t>
      </w:r>
    </w:p>
    <w:p w14:paraId="724AA307" w14:textId="77777777" w:rsidR="00F36433" w:rsidRDefault="00F36433">
      <w:pPr>
        <w:spacing w:line="360" w:lineRule="auto"/>
        <w:jc w:val="both"/>
        <w:rPr>
          <w:sz w:val="16"/>
          <w:szCs w:val="16"/>
          <w:rtl/>
        </w:rPr>
      </w:pPr>
    </w:p>
    <w:p w14:paraId="345D3968" w14:textId="77777777" w:rsidR="00F36433" w:rsidRDefault="00893049">
      <w:pPr>
        <w:pStyle w:val="ListParagraph"/>
        <w:numPr>
          <w:ilvl w:val="0"/>
          <w:numId w:val="1"/>
        </w:numPr>
        <w:spacing w:line="360" w:lineRule="auto"/>
        <w:jc w:val="both"/>
        <w:rPr>
          <w:rtl/>
        </w:rPr>
      </w:pPr>
      <w:r>
        <w:rPr>
          <w:rtl/>
        </w:rPr>
        <w:lastRenderedPageBreak/>
        <w:t xml:space="preserve">המדינה צידדה במתחם עונש שבין 2.5 עד 4.5 שנות מאסר בפועל. בנוסף נטען שיש להטיל עונש ברף הגבוה מתוך המתחם משיקולים של הרתעת הרבים. עוד נטען שאין ליתן משקל רב לקולא להודאת הנאשמים כיוון שהיא ניתנה רק לאחר שהעידו חלק מעדי התביעה ונטען עוד שלא הוכח בראיות שעונש מאסר משמעותי יביא לפגיעה מיוחדת בנאשמים ובבני משפחותיהם. </w:t>
      </w:r>
    </w:p>
    <w:p w14:paraId="777019FA" w14:textId="77777777" w:rsidR="00F36433" w:rsidRDefault="00F36433">
      <w:pPr>
        <w:spacing w:line="360" w:lineRule="auto"/>
        <w:jc w:val="both"/>
        <w:rPr>
          <w:sz w:val="16"/>
          <w:szCs w:val="16"/>
          <w:rtl/>
        </w:rPr>
      </w:pPr>
    </w:p>
    <w:p w14:paraId="22A18BCD" w14:textId="77777777" w:rsidR="00F36433" w:rsidRDefault="00893049">
      <w:pPr>
        <w:pStyle w:val="ListParagraph"/>
        <w:numPr>
          <w:ilvl w:val="0"/>
          <w:numId w:val="1"/>
        </w:numPr>
        <w:spacing w:line="360" w:lineRule="auto"/>
        <w:jc w:val="both"/>
        <w:rPr>
          <w:rtl/>
        </w:rPr>
      </w:pPr>
      <w:r>
        <w:rPr>
          <w:rtl/>
        </w:rPr>
        <w:t>ביחס לנאשם 1 נטען שהוא ביצע את העבירה כאשר לחובתו מאסר על תנאי בר הפעלה שהמדינה ביקשה להפעיל במצטבר. נטען שעבירה של סיכון אדם בנתיב תחבורה סווגה כעבירת אלימות (</w:t>
      </w:r>
      <w:hyperlink r:id="rId26" w:history="1">
        <w:r w:rsidRPr="00893049">
          <w:rPr>
            <w:rStyle w:val="Hyperlink"/>
            <w:rtl/>
          </w:rPr>
          <w:t>ע"פ 308/06</w:t>
        </w:r>
      </w:hyperlink>
      <w:r>
        <w:rPr>
          <w:rtl/>
        </w:rPr>
        <w:t xml:space="preserve"> </w:t>
      </w:r>
      <w:r>
        <w:rPr>
          <w:b/>
          <w:bCs/>
          <w:rtl/>
        </w:rPr>
        <w:t>מדינת ישראל נ' יונתן סבן</w:t>
      </w:r>
      <w:r>
        <w:rPr>
          <w:rtl/>
        </w:rPr>
        <w:t xml:space="preserve">). </w:t>
      </w:r>
    </w:p>
    <w:p w14:paraId="2A7CF43E" w14:textId="77777777" w:rsidR="00F36433" w:rsidRDefault="00F36433">
      <w:pPr>
        <w:pStyle w:val="ListParagraph"/>
        <w:spacing w:line="360" w:lineRule="auto"/>
        <w:jc w:val="both"/>
        <w:rPr>
          <w:rtl/>
        </w:rPr>
      </w:pPr>
    </w:p>
    <w:p w14:paraId="16B2ADEA" w14:textId="77777777" w:rsidR="00F36433" w:rsidRDefault="00893049">
      <w:pPr>
        <w:pStyle w:val="ListParagraph"/>
        <w:numPr>
          <w:ilvl w:val="0"/>
          <w:numId w:val="1"/>
        </w:numPr>
        <w:spacing w:line="360" w:lineRule="auto"/>
        <w:jc w:val="both"/>
        <w:rPr>
          <w:rtl/>
        </w:rPr>
      </w:pPr>
      <w:r>
        <w:rPr>
          <w:rtl/>
        </w:rPr>
        <w:t xml:space="preserve">בהסתמך על התסקיר נטען שהנאשם </w:t>
      </w:r>
      <w:r>
        <w:rPr>
          <w:rFonts w:hint="cs"/>
          <w:rtl/>
        </w:rPr>
        <w:t xml:space="preserve">1 </w:t>
      </w:r>
      <w:r>
        <w:rPr>
          <w:rtl/>
        </w:rPr>
        <w:t xml:space="preserve">קיבל אחריות פורמלית בלבד והודגשה ההערכה כי קיים סיכון להישנות עבירות בעתיד. </w:t>
      </w:r>
    </w:p>
    <w:p w14:paraId="5FC6B71B" w14:textId="77777777" w:rsidR="00F36433" w:rsidRDefault="00893049">
      <w:pPr>
        <w:spacing w:line="360" w:lineRule="auto"/>
        <w:ind w:left="720"/>
        <w:jc w:val="both"/>
        <w:rPr>
          <w:rtl/>
        </w:rPr>
      </w:pPr>
      <w:r>
        <w:rPr>
          <w:rtl/>
        </w:rPr>
        <w:t xml:space="preserve">ביחס לכל הנאשמים נטען כי אין לקבל את המלצת שירות המבחן לריצוי עונשם בעבודות שירות. </w:t>
      </w:r>
    </w:p>
    <w:p w14:paraId="656B837D" w14:textId="77777777" w:rsidR="00F36433" w:rsidRDefault="00F36433">
      <w:pPr>
        <w:spacing w:line="360" w:lineRule="auto"/>
        <w:jc w:val="both"/>
        <w:rPr>
          <w:sz w:val="16"/>
          <w:szCs w:val="16"/>
          <w:rtl/>
        </w:rPr>
      </w:pPr>
    </w:p>
    <w:p w14:paraId="68A035D6" w14:textId="77777777" w:rsidR="00F36433" w:rsidRDefault="00893049">
      <w:pPr>
        <w:pStyle w:val="ListParagraph"/>
        <w:numPr>
          <w:ilvl w:val="0"/>
          <w:numId w:val="1"/>
        </w:numPr>
        <w:spacing w:line="360" w:lineRule="auto"/>
        <w:jc w:val="both"/>
        <w:rPr>
          <w:rtl/>
        </w:rPr>
      </w:pPr>
      <w:r>
        <w:rPr>
          <w:rtl/>
        </w:rPr>
        <w:t>המדינה איזכרה פסיקה כדלקמן: ב</w:t>
      </w:r>
      <w:hyperlink r:id="rId27" w:history="1">
        <w:r w:rsidRPr="00893049">
          <w:rPr>
            <w:rStyle w:val="Hyperlink"/>
            <w:rtl/>
          </w:rPr>
          <w:t>ת"פ 7975-08-14</w:t>
        </w:r>
      </w:hyperlink>
      <w:r>
        <w:rPr>
          <w:rtl/>
        </w:rPr>
        <w:t xml:space="preserve"> </w:t>
      </w:r>
      <w:r>
        <w:rPr>
          <w:b/>
          <w:bCs/>
          <w:rtl/>
        </w:rPr>
        <w:t>מדינת ישראל נ' אגבריה</w:t>
      </w:r>
      <w:r>
        <w:rPr>
          <w:rtl/>
        </w:rPr>
        <w:t xml:space="preserve"> (29.4.2015) הורשעו הנאשמים בחבלה בכוונה מחמירה, התפרעות, ניסיון תקיפת שוטר, ייצור נשק</w:t>
      </w:r>
      <w:r>
        <w:rPr>
          <w:rFonts w:hint="cs"/>
          <w:rtl/>
        </w:rPr>
        <w:t>,</w:t>
      </w:r>
      <w:r>
        <w:rPr>
          <w:rtl/>
        </w:rPr>
        <w:t xml:space="preserve"> נשיאה והובלה כאשר הכינו בקבוקי תבערה ויידו אותם לעבר שוטרים. לגבי הנאשמים הדומיננטיים נקבע מתחם שבין 18 עד 40 חודשי מאסר ונגזר עונש של 36 חודשי מאסר.</w:t>
      </w:r>
    </w:p>
    <w:p w14:paraId="653E545E" w14:textId="77777777" w:rsidR="00F36433" w:rsidRDefault="00893049">
      <w:pPr>
        <w:pStyle w:val="ListParagraph"/>
        <w:spacing w:line="360" w:lineRule="auto"/>
        <w:jc w:val="both"/>
        <w:rPr>
          <w:rtl/>
        </w:rPr>
      </w:pPr>
      <w:r>
        <w:rPr>
          <w:rtl/>
        </w:rPr>
        <w:t>ב</w:t>
      </w:r>
      <w:hyperlink r:id="rId28" w:history="1">
        <w:r w:rsidRPr="00893049">
          <w:rPr>
            <w:rStyle w:val="Hyperlink"/>
            <w:rtl/>
          </w:rPr>
          <w:t>ת"פ 525-06-15</w:t>
        </w:r>
      </w:hyperlink>
      <w:r>
        <w:rPr>
          <w:rtl/>
        </w:rPr>
        <w:t xml:space="preserve"> </w:t>
      </w:r>
      <w:r>
        <w:rPr>
          <w:b/>
          <w:bCs/>
          <w:rtl/>
        </w:rPr>
        <w:t>מדינת ישראל נ' סיאד באסל</w:t>
      </w:r>
      <w:r>
        <w:rPr>
          <w:rtl/>
        </w:rPr>
        <w:t xml:space="preserve"> (20.9.2016)– בגין מספר אישומים שכללו חבלה בכוונה מחמירה כאשר הנאשמים השתתפו בהתפרעויות, יידו אבנים ובקבוקי תבערה, נקבע מתחם ענישה שבין 20 – 45 חודשי מאסר למקרים בהם נזרקו בקבוקי תבערה ומתחם שבין 12  עד 30 חודשי מאסר בגין זריקת אבנים. </w:t>
      </w:r>
    </w:p>
    <w:p w14:paraId="23377D21" w14:textId="77777777" w:rsidR="00F36433" w:rsidRDefault="00F36433">
      <w:pPr>
        <w:pStyle w:val="ListParagraph"/>
        <w:spacing w:line="360" w:lineRule="auto"/>
        <w:ind w:left="360"/>
        <w:jc w:val="both"/>
        <w:rPr>
          <w:b/>
          <w:bCs/>
          <w:sz w:val="18"/>
          <w:szCs w:val="18"/>
          <w:u w:val="single"/>
          <w:rtl/>
        </w:rPr>
      </w:pPr>
    </w:p>
    <w:p w14:paraId="22C832CE" w14:textId="77777777" w:rsidR="00F36433" w:rsidRDefault="00893049">
      <w:pPr>
        <w:pStyle w:val="ListParagraph"/>
        <w:spacing w:line="360" w:lineRule="auto"/>
        <w:ind w:left="360"/>
        <w:jc w:val="both"/>
        <w:rPr>
          <w:rtl/>
        </w:rPr>
      </w:pPr>
      <w:r>
        <w:rPr>
          <w:b/>
          <w:bCs/>
          <w:u w:val="single"/>
          <w:rtl/>
        </w:rPr>
        <w:t>טיעוני ב"כ הנאשמים 1- 3 לעונש</w:t>
      </w:r>
    </w:p>
    <w:p w14:paraId="7551DE2D" w14:textId="77777777" w:rsidR="00F36433" w:rsidRDefault="00F36433">
      <w:pPr>
        <w:spacing w:line="360" w:lineRule="auto"/>
        <w:jc w:val="both"/>
        <w:rPr>
          <w:sz w:val="18"/>
          <w:szCs w:val="18"/>
          <w:rtl/>
        </w:rPr>
      </w:pPr>
    </w:p>
    <w:p w14:paraId="60C56047" w14:textId="77777777" w:rsidR="00F36433" w:rsidRDefault="00893049">
      <w:pPr>
        <w:pStyle w:val="ListParagraph"/>
        <w:numPr>
          <w:ilvl w:val="0"/>
          <w:numId w:val="1"/>
        </w:numPr>
        <w:spacing w:line="360" w:lineRule="auto"/>
        <w:jc w:val="both"/>
        <w:rPr>
          <w:rtl/>
        </w:rPr>
      </w:pPr>
      <w:r>
        <w:rPr>
          <w:rtl/>
        </w:rPr>
        <w:t xml:space="preserve">הסניגור טען שההסדר כלל מחיקת חלק מהעבירות והעובדות שיוחסו לנאשמים בתחילת ההליך וכי מדובר בתיקון לא מבוטל של כתב האישום כאשר בין היתר, נמחקו העבירות של קשר לפשע ומעשי פזיזות ורשלנות. בנוסף, נטען שתוקן המרחק בין מיקום ניידות המשטרה לבין התפוצצות הבקבוקים מ- 20  עד 30 מ' ל- 30 עד 50 מ'. </w:t>
      </w:r>
    </w:p>
    <w:p w14:paraId="0F0B6E6B" w14:textId="77777777" w:rsidR="00F36433" w:rsidRDefault="00F36433">
      <w:pPr>
        <w:spacing w:line="360" w:lineRule="auto"/>
        <w:jc w:val="both"/>
        <w:rPr>
          <w:rtl/>
        </w:rPr>
      </w:pPr>
    </w:p>
    <w:p w14:paraId="4497C48E" w14:textId="77777777" w:rsidR="00F36433" w:rsidRDefault="00893049">
      <w:pPr>
        <w:pStyle w:val="ListParagraph"/>
        <w:numPr>
          <w:ilvl w:val="0"/>
          <w:numId w:val="1"/>
        </w:numPr>
        <w:spacing w:line="360" w:lineRule="auto"/>
        <w:jc w:val="both"/>
        <w:rPr>
          <w:rtl/>
        </w:rPr>
      </w:pPr>
      <w:r>
        <w:rPr>
          <w:rtl/>
        </w:rPr>
        <w:t xml:space="preserve">ביחס לתסקירים נטען שניתנו תסקירים חיוביים (הוער שיש להתעלם מעובדות שנטענו בתסקירים ולא נטענו בכתב האישום המתוקן) ויש לפעול על פיהם. </w:t>
      </w:r>
    </w:p>
    <w:p w14:paraId="0D5C5295" w14:textId="77777777" w:rsidR="00F36433" w:rsidRDefault="00F36433">
      <w:pPr>
        <w:spacing w:line="360" w:lineRule="auto"/>
        <w:jc w:val="both"/>
        <w:rPr>
          <w:sz w:val="18"/>
          <w:szCs w:val="18"/>
          <w:rtl/>
        </w:rPr>
      </w:pPr>
    </w:p>
    <w:p w14:paraId="29D8CD30" w14:textId="77777777" w:rsidR="00F36433" w:rsidRDefault="00893049">
      <w:pPr>
        <w:pStyle w:val="ListParagraph"/>
        <w:numPr>
          <w:ilvl w:val="0"/>
          <w:numId w:val="1"/>
        </w:numPr>
        <w:spacing w:line="360" w:lineRule="auto"/>
        <w:jc w:val="both"/>
        <w:rPr>
          <w:rtl/>
        </w:rPr>
      </w:pPr>
      <w:r>
        <w:rPr>
          <w:rtl/>
        </w:rPr>
        <w:t>הסניגור הוסיף טיעונים בנוגע לסוגיית מתחם הענישה ואפשרות לחרוג ממנ</w:t>
      </w:r>
      <w:r>
        <w:rPr>
          <w:rFonts w:hint="cs"/>
          <w:rtl/>
        </w:rPr>
        <w:t>ו</w:t>
      </w:r>
      <w:r>
        <w:rPr>
          <w:rtl/>
        </w:rPr>
        <w:t xml:space="preserve"> מטעמי שיקום. נטען שבמקרה זה מדובר בהחלטה רגעית שלא קדם לה תכנ</w:t>
      </w:r>
      <w:r>
        <w:rPr>
          <w:rFonts w:hint="cs"/>
          <w:rtl/>
        </w:rPr>
        <w:t>ו</w:t>
      </w:r>
      <w:r>
        <w:rPr>
          <w:rtl/>
        </w:rPr>
        <w:t>ן מהותי לב</w:t>
      </w:r>
      <w:r>
        <w:rPr>
          <w:rFonts w:hint="cs"/>
          <w:rtl/>
        </w:rPr>
        <w:t>י</w:t>
      </w:r>
      <w:r>
        <w:rPr>
          <w:rtl/>
        </w:rPr>
        <w:t>צ</w:t>
      </w:r>
      <w:r>
        <w:rPr>
          <w:rFonts w:hint="cs"/>
          <w:rtl/>
        </w:rPr>
        <w:t>ו</w:t>
      </w:r>
      <w:r>
        <w:rPr>
          <w:rtl/>
        </w:rPr>
        <w:t>ע</w:t>
      </w:r>
      <w:r>
        <w:rPr>
          <w:rFonts w:hint="cs"/>
          <w:rtl/>
        </w:rPr>
        <w:t xml:space="preserve"> </w:t>
      </w:r>
      <w:r>
        <w:rPr>
          <w:rtl/>
        </w:rPr>
        <w:t xml:space="preserve">העבירות וכי התסיסה בקרב מנהיגי הציבור בחברה הערבית היא זו שהציתה את פעולות הנאשמים. </w:t>
      </w:r>
    </w:p>
    <w:p w14:paraId="7D44609B" w14:textId="77777777" w:rsidR="00F36433" w:rsidRDefault="00F36433">
      <w:pPr>
        <w:spacing w:line="360" w:lineRule="auto"/>
        <w:jc w:val="both"/>
        <w:rPr>
          <w:rtl/>
        </w:rPr>
      </w:pPr>
    </w:p>
    <w:p w14:paraId="433B2706" w14:textId="77777777" w:rsidR="00F36433" w:rsidRDefault="00893049">
      <w:pPr>
        <w:pStyle w:val="ListParagraph"/>
        <w:numPr>
          <w:ilvl w:val="0"/>
          <w:numId w:val="1"/>
        </w:numPr>
        <w:spacing w:line="360" w:lineRule="auto"/>
        <w:jc w:val="both"/>
        <w:rPr>
          <w:rtl/>
        </w:rPr>
      </w:pPr>
      <w:r>
        <w:rPr>
          <w:rtl/>
        </w:rPr>
        <w:t>הסניגור הודה שהיה צפוי נזק משמעותי אך טען שבסופו של דבר לא נגרם  נזק לגוף או לרכוש. נטען שהעבירות לא נבעו מרקע אידיאולוגי, כאמור בתסקירי שירות המבחן. נטען שהנאשמים הודו בשלב מוקדם בביצוע העבירות הן  בפני חוקרי השב"כ והן בפני בית המשפט לאחר מכן. נטען שעונש מאסר בפועל לתקופה ממושכה עלול לפגוע בנאשמים נוכח גילם הצעיר ולפגוע בסיכויי שיקומם וגם לפגוע במשפחותיהם. הודגש שהנאשמים נטלו אחריות על מעשיהם והם עושים מאמצים לתקן את דרכם ומשתפים פעולה עם רשויות המדינה. נטען עוד שחלף זמן עד שנעצרו כאשר בתקופה זו לא נזקף לחובתם ביצוע עבירות נוספות. נטען שלנאשמים 2 ו- 3 אין עבר פלילי כלל ולנאשם 1 הרשעה בודדת בלבד. הוספו טענות באשר לכך שיש לראות את האירוע כאירוע אחד.</w:t>
      </w:r>
    </w:p>
    <w:p w14:paraId="4F54EFD0" w14:textId="77777777" w:rsidR="00F36433" w:rsidRDefault="00F36433">
      <w:pPr>
        <w:spacing w:line="360" w:lineRule="auto"/>
        <w:jc w:val="both"/>
        <w:rPr>
          <w:rtl/>
        </w:rPr>
      </w:pPr>
    </w:p>
    <w:p w14:paraId="0880E837" w14:textId="77777777" w:rsidR="00F36433" w:rsidRDefault="00893049">
      <w:pPr>
        <w:pStyle w:val="ListParagraph"/>
        <w:numPr>
          <w:ilvl w:val="0"/>
          <w:numId w:val="1"/>
        </w:numPr>
        <w:spacing w:line="360" w:lineRule="auto"/>
        <w:jc w:val="both"/>
        <w:rPr>
          <w:rtl/>
        </w:rPr>
      </w:pPr>
      <w:r>
        <w:rPr>
          <w:rtl/>
        </w:rPr>
        <w:t xml:space="preserve">באשר למדיניות הענישה אוזכר </w:t>
      </w:r>
      <w:hyperlink r:id="rId29" w:history="1">
        <w:r w:rsidRPr="00893049">
          <w:rPr>
            <w:rStyle w:val="Hyperlink"/>
            <w:rtl/>
          </w:rPr>
          <w:t>ת"פ 51186-09-14</w:t>
        </w:r>
      </w:hyperlink>
      <w:r>
        <w:rPr>
          <w:rtl/>
        </w:rPr>
        <w:t xml:space="preserve"> </w:t>
      </w:r>
      <w:r>
        <w:rPr>
          <w:b/>
          <w:bCs/>
          <w:rtl/>
        </w:rPr>
        <w:t>מדינת ישראל נ' חוסאם אלעל</w:t>
      </w:r>
      <w:r>
        <w:rPr>
          <w:rtl/>
        </w:rPr>
        <w:t xml:space="preserve"> בעבירות דומות שם הודגש שאין להתייחס לעובדות או נסיבות שלא נכללו בכתב האישום. </w:t>
      </w:r>
    </w:p>
    <w:p w14:paraId="54593DCD" w14:textId="77777777" w:rsidR="00F36433" w:rsidRDefault="00F36433">
      <w:pPr>
        <w:spacing w:line="360" w:lineRule="auto"/>
        <w:jc w:val="both"/>
        <w:rPr>
          <w:rtl/>
        </w:rPr>
      </w:pPr>
    </w:p>
    <w:p w14:paraId="7EA4C7AC" w14:textId="77777777" w:rsidR="00F36433" w:rsidRDefault="00893049">
      <w:pPr>
        <w:pStyle w:val="ListParagraph"/>
        <w:numPr>
          <w:ilvl w:val="0"/>
          <w:numId w:val="1"/>
        </w:numPr>
        <w:spacing w:line="360" w:lineRule="auto"/>
        <w:jc w:val="both"/>
        <w:rPr>
          <w:rtl/>
        </w:rPr>
      </w:pPr>
      <w:r>
        <w:rPr>
          <w:rtl/>
        </w:rPr>
        <w:t>הסניגור טען למתחם ענישה שבין 10 – 24 חודשי מאסר. כמו כן טען הסניגור שבמקרה זה</w:t>
      </w:r>
      <w:r>
        <w:rPr>
          <w:rFonts w:hint="cs"/>
          <w:rtl/>
        </w:rPr>
        <w:t xml:space="preserve"> </w:t>
      </w:r>
      <w:r>
        <w:rPr>
          <w:rtl/>
        </w:rPr>
        <w:t xml:space="preserve"> יש לחרוג ממתחם הענישה לטובת שיקולי שיקום בהתאם להמלצות שנכללו בתסקיר שירות המבחן. </w:t>
      </w:r>
    </w:p>
    <w:p w14:paraId="128D0866" w14:textId="77777777" w:rsidR="00F36433" w:rsidRDefault="00F36433">
      <w:pPr>
        <w:spacing w:line="360" w:lineRule="auto"/>
        <w:jc w:val="both"/>
        <w:rPr>
          <w:rtl/>
        </w:rPr>
      </w:pPr>
    </w:p>
    <w:p w14:paraId="4787EEB8" w14:textId="77777777" w:rsidR="00F36433" w:rsidRDefault="00893049">
      <w:pPr>
        <w:pStyle w:val="ListParagraph"/>
        <w:numPr>
          <w:ilvl w:val="0"/>
          <w:numId w:val="1"/>
        </w:numPr>
        <w:spacing w:line="360" w:lineRule="auto"/>
        <w:jc w:val="both"/>
        <w:rPr>
          <w:rtl/>
        </w:rPr>
      </w:pPr>
      <w:r>
        <w:rPr>
          <w:rtl/>
        </w:rPr>
        <w:t xml:space="preserve">הסניגור בדיון הוסיף שבני משפחות הנאשמים משרתים בצה"ל, דבר המעיד על זיקתם והשתייכותם למדינה. </w:t>
      </w:r>
    </w:p>
    <w:p w14:paraId="44DDF57D" w14:textId="77777777" w:rsidR="00F36433" w:rsidRDefault="00F36433">
      <w:pPr>
        <w:spacing w:line="360" w:lineRule="auto"/>
        <w:jc w:val="both"/>
        <w:rPr>
          <w:rtl/>
        </w:rPr>
      </w:pPr>
    </w:p>
    <w:p w14:paraId="121FA4CA" w14:textId="77777777" w:rsidR="00F36433" w:rsidRDefault="00893049">
      <w:pPr>
        <w:pStyle w:val="ListParagraph"/>
        <w:spacing w:line="360" w:lineRule="auto"/>
        <w:ind w:left="360"/>
        <w:jc w:val="both"/>
        <w:rPr>
          <w:rtl/>
        </w:rPr>
      </w:pPr>
      <w:r>
        <w:rPr>
          <w:b/>
          <w:bCs/>
          <w:u w:val="single"/>
          <w:rtl/>
        </w:rPr>
        <w:t>תסקירי שירות המבחן</w:t>
      </w:r>
    </w:p>
    <w:p w14:paraId="63018DD5" w14:textId="77777777" w:rsidR="00F36433" w:rsidRDefault="00F36433">
      <w:pPr>
        <w:spacing w:line="360" w:lineRule="auto"/>
        <w:jc w:val="both"/>
        <w:rPr>
          <w:rtl/>
        </w:rPr>
      </w:pPr>
    </w:p>
    <w:p w14:paraId="4DAB03E9" w14:textId="77777777" w:rsidR="00F36433" w:rsidRDefault="00893049">
      <w:pPr>
        <w:pStyle w:val="ListParagraph"/>
        <w:numPr>
          <w:ilvl w:val="0"/>
          <w:numId w:val="1"/>
        </w:numPr>
        <w:spacing w:line="360" w:lineRule="auto"/>
        <w:jc w:val="both"/>
        <w:rPr>
          <w:rtl/>
        </w:rPr>
      </w:pPr>
      <w:r>
        <w:rPr>
          <w:rtl/>
        </w:rPr>
        <w:t xml:space="preserve">בתסקירו של נאשם 1 תואר שהוא בן 22, רווק, טרם מעצרו עבד בחברה למערכות ציוד כיבוי אש ומתגורר עם משפחתו שהינה נורמטיבית. תואר קשר קודם עם שירות המבחן בגין העבירה הקודמת אך לא הוצג מידע בקשר לכך. תואר שילובו בקבוצת עצורי בית וכי הוא מקפיד על הגעה לקבוצה ומביע חרטה בגין התנהלותו ועושה תהליך של בדיקה עצמית. תואר שהוא קיבל אחריות פורמלית לביצוע העבירות ותאר את הרקע לביצוען (אשר חורג מהמתואר בכתב האישום ועל כן אין מקום לעשות בו שימוש). תואר שהעבירות בוצעו ללא חשיבה מעמיקה על ההשלכות. בסופו של עניין, תואר שהנאשם 1 מקבל אחריות לביצוע העבירות והוערך שההליך המשפטי חידד את חומרת הסתבכותו. שירות המבחן התרשם כי קיים צורך בהליך טיפולי שימזער סיכון להישנות עבירות והומלץ על העמדתו בפיקוח למשך 24 חודשים במהלכם ישתלב בהליך טיפולי לצד עונש מאסר קצר שיומר לעבודות שירות ומאסר מותנה. </w:t>
      </w:r>
    </w:p>
    <w:p w14:paraId="34C1F230" w14:textId="77777777" w:rsidR="00F36433" w:rsidRDefault="00F36433">
      <w:pPr>
        <w:spacing w:line="360" w:lineRule="auto"/>
        <w:jc w:val="both"/>
        <w:rPr>
          <w:rtl/>
        </w:rPr>
      </w:pPr>
    </w:p>
    <w:p w14:paraId="0F74EE89" w14:textId="77777777" w:rsidR="00F36433" w:rsidRDefault="00893049">
      <w:pPr>
        <w:pStyle w:val="ListParagraph"/>
        <w:numPr>
          <w:ilvl w:val="0"/>
          <w:numId w:val="1"/>
        </w:numPr>
        <w:spacing w:line="360" w:lineRule="auto"/>
        <w:jc w:val="both"/>
        <w:rPr>
          <w:rtl/>
        </w:rPr>
      </w:pPr>
      <w:r>
        <w:rPr>
          <w:rtl/>
        </w:rPr>
        <w:t xml:space="preserve">הנאשם 2 תואר כבן 22, רווק שהתגורר בבית הוריו טרם ביצוע העבירות ומשפחתו נורמטיבית. צויינה הערכה לסיכון נמוך, אם יעבור טיפול, להישנות עבירות ותואר הליך טיפולי חיובי במסגרת המעצר. בסיכומו של עניין הומלץ על העדפת פן טיפולי בדמות צו מבחן לתקופה של 18 חודשים במהלכה ישולב בקבוצה ארוכת טווח, הומלץ על מאסר קצר שיומר בעבודות שירות. </w:t>
      </w:r>
    </w:p>
    <w:p w14:paraId="13EFC21B" w14:textId="77777777" w:rsidR="00F36433" w:rsidRDefault="00F36433">
      <w:pPr>
        <w:spacing w:line="360" w:lineRule="auto"/>
        <w:jc w:val="both"/>
        <w:rPr>
          <w:sz w:val="16"/>
          <w:szCs w:val="16"/>
          <w:rtl/>
        </w:rPr>
      </w:pPr>
    </w:p>
    <w:p w14:paraId="6FF65275" w14:textId="77777777" w:rsidR="00F36433" w:rsidRDefault="00893049">
      <w:pPr>
        <w:pStyle w:val="ListParagraph"/>
        <w:numPr>
          <w:ilvl w:val="0"/>
          <w:numId w:val="1"/>
        </w:numPr>
        <w:spacing w:line="360" w:lineRule="auto"/>
        <w:jc w:val="both"/>
        <w:rPr>
          <w:rtl/>
        </w:rPr>
      </w:pPr>
      <w:r>
        <w:rPr>
          <w:rtl/>
        </w:rPr>
        <w:t xml:space="preserve">הנאשם 3 </w:t>
      </w:r>
      <w:r>
        <w:rPr>
          <w:rFonts w:hint="cs"/>
          <w:rtl/>
        </w:rPr>
        <w:t xml:space="preserve">הינו </w:t>
      </w:r>
      <w:r>
        <w:rPr>
          <w:rtl/>
        </w:rPr>
        <w:t xml:space="preserve">בן 23, רווק שגר בבית הוריו ומשפחתו נורמטיבית. הוא קיבל אחריות מלאה על הסתבכותו. שירות המבחן התרשם שההשתתפות בקבוצה לעצורי בית משפיעה באופן חיובי על התנהגותו והוערכה רמת סיכון נמוכה ונזקקות טיפולית והומלץ על צו מבחן לתקופה של 18 חודשים במהלכה ישולב בקבוצה טיפולית ארוכת טווח לצד מאסר שיומר בעבודות שירות ומאסר מותנה. </w:t>
      </w:r>
    </w:p>
    <w:p w14:paraId="57C64BBD" w14:textId="77777777" w:rsidR="00F36433" w:rsidRDefault="00F36433">
      <w:pPr>
        <w:spacing w:line="360" w:lineRule="auto"/>
        <w:jc w:val="both"/>
        <w:rPr>
          <w:sz w:val="16"/>
          <w:szCs w:val="16"/>
          <w:rtl/>
        </w:rPr>
      </w:pPr>
    </w:p>
    <w:p w14:paraId="6D54679A" w14:textId="77777777" w:rsidR="00F36433" w:rsidRDefault="00893049">
      <w:pPr>
        <w:pStyle w:val="ListParagraph"/>
        <w:numPr>
          <w:ilvl w:val="0"/>
          <w:numId w:val="1"/>
        </w:numPr>
        <w:spacing w:line="360" w:lineRule="auto"/>
        <w:jc w:val="both"/>
        <w:rPr>
          <w:rtl/>
        </w:rPr>
      </w:pPr>
      <w:r>
        <w:rPr>
          <w:rtl/>
        </w:rPr>
        <w:t xml:space="preserve">בהמשך התקבלו חוות דעת מהממונה על עבודות השירות. כל שלושת הנאשמים נמצאו מתאימים לביצוע עבודות שירות. </w:t>
      </w:r>
    </w:p>
    <w:p w14:paraId="5A1765E5" w14:textId="77777777" w:rsidR="00F36433" w:rsidRDefault="00F36433">
      <w:pPr>
        <w:spacing w:line="360" w:lineRule="auto"/>
        <w:jc w:val="both"/>
        <w:rPr>
          <w:sz w:val="16"/>
          <w:szCs w:val="16"/>
          <w:rtl/>
        </w:rPr>
      </w:pPr>
    </w:p>
    <w:p w14:paraId="4EACF235" w14:textId="77777777" w:rsidR="00F36433" w:rsidRDefault="00893049">
      <w:pPr>
        <w:pStyle w:val="ListParagraph"/>
        <w:numPr>
          <w:ilvl w:val="0"/>
          <w:numId w:val="1"/>
        </w:numPr>
        <w:spacing w:line="360" w:lineRule="auto"/>
        <w:jc w:val="both"/>
        <w:rPr>
          <w:rtl/>
        </w:rPr>
      </w:pPr>
      <w:r>
        <w:rPr>
          <w:rtl/>
        </w:rPr>
        <w:t xml:space="preserve">בדיון שהתקיים בפניי, כל שלושת הנאשמים הביעו חרטה על מעשיהם. </w:t>
      </w:r>
    </w:p>
    <w:p w14:paraId="5BD4CA4C" w14:textId="77777777" w:rsidR="00F36433" w:rsidRDefault="00F36433">
      <w:pPr>
        <w:spacing w:line="360" w:lineRule="auto"/>
        <w:jc w:val="both"/>
        <w:rPr>
          <w:sz w:val="16"/>
          <w:szCs w:val="16"/>
          <w:rtl/>
        </w:rPr>
      </w:pPr>
    </w:p>
    <w:p w14:paraId="0D61A6CB" w14:textId="77777777" w:rsidR="00F36433" w:rsidRDefault="00893049">
      <w:pPr>
        <w:pStyle w:val="ListParagraph"/>
        <w:spacing w:line="360" w:lineRule="auto"/>
        <w:ind w:left="360"/>
        <w:jc w:val="both"/>
        <w:rPr>
          <w:rtl/>
        </w:rPr>
      </w:pPr>
      <w:r>
        <w:rPr>
          <w:b/>
          <w:bCs/>
          <w:u w:val="single"/>
          <w:rtl/>
        </w:rPr>
        <w:t>דיון</w:t>
      </w:r>
    </w:p>
    <w:p w14:paraId="764883C6" w14:textId="77777777" w:rsidR="00F36433" w:rsidRDefault="00F36433">
      <w:pPr>
        <w:spacing w:line="360" w:lineRule="auto"/>
        <w:jc w:val="both"/>
        <w:rPr>
          <w:rtl/>
        </w:rPr>
      </w:pPr>
    </w:p>
    <w:p w14:paraId="56F42E73" w14:textId="77777777" w:rsidR="00F36433" w:rsidRDefault="00893049">
      <w:pPr>
        <w:pStyle w:val="ListParagraph"/>
        <w:numPr>
          <w:ilvl w:val="0"/>
          <w:numId w:val="1"/>
        </w:numPr>
        <w:spacing w:line="360" w:lineRule="auto"/>
        <w:jc w:val="both"/>
        <w:rPr>
          <w:rtl/>
        </w:rPr>
      </w:pPr>
      <w:r>
        <w:rPr>
          <w:rtl/>
        </w:rPr>
        <w:t xml:space="preserve">נאשם 1 </w:t>
      </w:r>
      <w:r>
        <w:rPr>
          <w:rFonts w:hint="cs"/>
          <w:rtl/>
        </w:rPr>
        <w:t xml:space="preserve">הינו </w:t>
      </w:r>
      <w:r>
        <w:rPr>
          <w:rtl/>
        </w:rPr>
        <w:t>כמעט בן 22 והיה עצור מיום 7.3.16 עד ליום 5.5.16 אז שוחרר למעצר בית. לחובתו הרשעה מיום 9.6.14 ב</w:t>
      </w:r>
      <w:hyperlink r:id="rId30" w:history="1">
        <w:r w:rsidRPr="00893049">
          <w:rPr>
            <w:rStyle w:val="Hyperlink"/>
            <w:rtl/>
          </w:rPr>
          <w:t>ת"פ 55838-06-13</w:t>
        </w:r>
      </w:hyperlink>
      <w:r>
        <w:rPr>
          <w:rtl/>
        </w:rPr>
        <w:t xml:space="preserve"> בגין עבירה של תגרה במקום ציבורי ולחובתו עונש מאסר על תנאי בן 3 חודשים בגין כל עבירת אלימות. </w:t>
      </w:r>
    </w:p>
    <w:p w14:paraId="70A6E4CA" w14:textId="77777777" w:rsidR="00F36433" w:rsidRDefault="00893049">
      <w:pPr>
        <w:pStyle w:val="ListParagraph"/>
        <w:spacing w:line="360" w:lineRule="auto"/>
        <w:jc w:val="both"/>
        <w:rPr>
          <w:rtl/>
        </w:rPr>
      </w:pPr>
      <w:r>
        <w:rPr>
          <w:rtl/>
        </w:rPr>
        <w:t xml:space="preserve">נאשם 2 </w:t>
      </w:r>
      <w:r>
        <w:rPr>
          <w:rFonts w:hint="cs"/>
          <w:rtl/>
        </w:rPr>
        <w:t xml:space="preserve">הינו </w:t>
      </w:r>
      <w:r>
        <w:rPr>
          <w:rtl/>
        </w:rPr>
        <w:t xml:space="preserve">בן 21.5, נעדר עבר פלילי. הוא היה עצור מיום 7.3.16 עד ליום 20.4.16 אז שוחרר למעצר בית. </w:t>
      </w:r>
    </w:p>
    <w:p w14:paraId="4DA4129E" w14:textId="77777777" w:rsidR="00F36433" w:rsidRDefault="00893049">
      <w:pPr>
        <w:pStyle w:val="ListParagraph"/>
        <w:spacing w:line="360" w:lineRule="auto"/>
        <w:jc w:val="both"/>
        <w:rPr>
          <w:rtl/>
        </w:rPr>
      </w:pPr>
      <w:r>
        <w:rPr>
          <w:rtl/>
        </w:rPr>
        <w:t xml:space="preserve">נאשם 3 </w:t>
      </w:r>
      <w:r>
        <w:rPr>
          <w:rFonts w:hint="cs"/>
          <w:rtl/>
        </w:rPr>
        <w:t xml:space="preserve">הינו </w:t>
      </w:r>
      <w:r>
        <w:rPr>
          <w:rtl/>
        </w:rPr>
        <w:t xml:space="preserve">בן 23, נעדר עבר פלילי והיה עצור מיום 10.3.16 עד ליום 20.4.16 אז שוחרר למעצר בית. </w:t>
      </w:r>
    </w:p>
    <w:p w14:paraId="2A6B0D58" w14:textId="77777777" w:rsidR="00F36433" w:rsidRDefault="00F36433">
      <w:pPr>
        <w:spacing w:line="360" w:lineRule="auto"/>
        <w:jc w:val="both"/>
        <w:rPr>
          <w:rtl/>
        </w:rPr>
      </w:pPr>
    </w:p>
    <w:p w14:paraId="67EBA98E" w14:textId="77777777" w:rsidR="00F36433" w:rsidRDefault="00893049">
      <w:pPr>
        <w:pStyle w:val="ListParagraph"/>
        <w:numPr>
          <w:ilvl w:val="0"/>
          <w:numId w:val="1"/>
        </w:numPr>
        <w:spacing w:line="360" w:lineRule="auto"/>
        <w:jc w:val="both"/>
        <w:rPr>
          <w:rtl/>
        </w:rPr>
      </w:pPr>
      <w:r>
        <w:rPr>
          <w:rtl/>
        </w:rPr>
        <w:t xml:space="preserve">במקרה זה מדובר באירוע אחד המערב מספר מעשים כאשר קיים קשר הדוק בין כל המעשים. הערכים החברתיים שנפגעו הם שמירה על שלום הציבור והסדר הציבורי, שמירה על הקניין וציות לרשויות החוק. הפגיעה בערכים היתה בינונית לאור נסיבות ביצוע העבירה כאשר יצויין כי למזלם של הנאשמים לא אירעה פגיעה ברכוש או בנפש. </w:t>
      </w:r>
    </w:p>
    <w:p w14:paraId="56D49C74" w14:textId="77777777" w:rsidR="00F36433" w:rsidRDefault="00F36433">
      <w:pPr>
        <w:spacing w:line="360" w:lineRule="auto"/>
        <w:jc w:val="both"/>
        <w:rPr>
          <w:rtl/>
        </w:rPr>
      </w:pPr>
    </w:p>
    <w:p w14:paraId="3582EF40" w14:textId="77777777" w:rsidR="00F36433" w:rsidRDefault="00893049">
      <w:pPr>
        <w:pStyle w:val="ListParagraph"/>
        <w:numPr>
          <w:ilvl w:val="0"/>
          <w:numId w:val="1"/>
        </w:numPr>
        <w:spacing w:line="360" w:lineRule="auto"/>
        <w:jc w:val="both"/>
        <w:rPr>
          <w:rtl/>
        </w:rPr>
      </w:pPr>
      <w:r>
        <w:rPr>
          <w:rtl/>
        </w:rPr>
        <w:t xml:space="preserve">באשר לנסיבות הקשורות, אין ספק שקדם לביצוע העבירות תכנון. חלקם היחסי של כל אחד מן הנאשמים היה שווה. אין להכחיש כי היה פוטנציאל נזק משמעותי בעבירות. אולם, יחד עם זאת, יש לציין כי הבקבוקים נזרקו הרחק מכוחות הבטחון. הסיבות שהביאו את הנאשמים לביצוע העבירות היו כמובן פסולות, יחד עם זאת, אין להתעלם מכך שמדובר באנשים צעירים שטרם גיבשו את אישיותם והושפעו, כפי הנראה, כפי שטען הסניגור, מרוחות שליליות ששררו בחלק מן המגזר הערבי באותה עת. </w:t>
      </w:r>
    </w:p>
    <w:p w14:paraId="7B212D4F" w14:textId="77777777" w:rsidR="00F36433" w:rsidRDefault="00F36433">
      <w:pPr>
        <w:spacing w:line="360" w:lineRule="auto"/>
        <w:jc w:val="both"/>
        <w:rPr>
          <w:rtl/>
        </w:rPr>
      </w:pPr>
    </w:p>
    <w:p w14:paraId="42D41F58" w14:textId="77777777" w:rsidR="00F36433" w:rsidRDefault="00893049">
      <w:pPr>
        <w:pStyle w:val="ListParagraph"/>
        <w:numPr>
          <w:ilvl w:val="0"/>
          <w:numId w:val="1"/>
        </w:numPr>
        <w:spacing w:line="360" w:lineRule="auto"/>
        <w:jc w:val="both"/>
        <w:rPr>
          <w:rtl/>
        </w:rPr>
      </w:pPr>
      <w:r>
        <w:rPr>
          <w:rtl/>
        </w:rPr>
        <w:t xml:space="preserve">מכל האמור לעיל הגעתי למסקנה שמתחם הענישה ההולם נמצא בין 12 עד 40 חודשי מאסר. ברם, במקרה זה, יש מקום לסטות ממתחם העונש ההולם מהסיבות המפורטות </w:t>
      </w:r>
      <w:hyperlink r:id="rId31" w:history="1">
        <w:r w:rsidR="00D63F48" w:rsidRPr="00D63F48">
          <w:rPr>
            <w:color w:val="0000FF"/>
            <w:u w:val="single"/>
            <w:rtl/>
          </w:rPr>
          <w:t>בסעיף 40ד</w:t>
        </w:r>
      </w:hyperlink>
      <w:r>
        <w:rPr>
          <w:rtl/>
        </w:rPr>
        <w:t xml:space="preserve"> ב</w:t>
      </w:r>
      <w:hyperlink r:id="rId32" w:history="1">
        <w:r w:rsidRPr="00893049">
          <w:rPr>
            <w:rStyle w:val="Hyperlink"/>
            <w:rtl/>
          </w:rPr>
          <w:t>חוק העונשין</w:t>
        </w:r>
      </w:hyperlink>
      <w:r>
        <w:rPr>
          <w:rtl/>
        </w:rPr>
        <w:t>, כאשר כל שלושת הנאשמים נמצאים בתהליכי שיקום ובהתחשב בגילם, עברם (לרבות עברו של הנאשם 1) ונסיבותיהם,  נראה שיש להעדיף שיקולי שיקום על פני שיקולי ענישה, הכל כאמור בתסקירי שירות המבחן שהוגשו.</w:t>
      </w:r>
    </w:p>
    <w:p w14:paraId="5EC33F52" w14:textId="77777777" w:rsidR="00F36433" w:rsidRDefault="00F36433">
      <w:pPr>
        <w:spacing w:line="360" w:lineRule="auto"/>
        <w:jc w:val="both"/>
        <w:rPr>
          <w:rtl/>
        </w:rPr>
      </w:pPr>
    </w:p>
    <w:p w14:paraId="03610A27" w14:textId="77777777" w:rsidR="00F36433" w:rsidRDefault="00893049">
      <w:pPr>
        <w:pStyle w:val="ListParagraph"/>
        <w:numPr>
          <w:ilvl w:val="0"/>
          <w:numId w:val="1"/>
        </w:numPr>
        <w:spacing w:line="360" w:lineRule="auto"/>
        <w:jc w:val="both"/>
        <w:rPr>
          <w:rtl/>
        </w:rPr>
      </w:pPr>
      <w:r>
        <w:rPr>
          <w:rtl/>
        </w:rPr>
        <w:t>אשר על כן, אני מטיל על הנאשמים עונשים כדלקמן:</w:t>
      </w:r>
    </w:p>
    <w:p w14:paraId="3CCF3A15" w14:textId="77777777" w:rsidR="00F36433" w:rsidRDefault="00893049">
      <w:pPr>
        <w:spacing w:line="360" w:lineRule="auto"/>
        <w:ind w:firstLine="720"/>
        <w:jc w:val="both"/>
        <w:rPr>
          <w:rtl/>
        </w:rPr>
      </w:pPr>
      <w:r>
        <w:rPr>
          <w:u w:val="single"/>
          <w:rtl/>
        </w:rPr>
        <w:t>הנאשם 1</w:t>
      </w:r>
    </w:p>
    <w:p w14:paraId="74F40F24" w14:textId="77777777" w:rsidR="00F36433" w:rsidRDefault="00893049">
      <w:pPr>
        <w:pStyle w:val="ListParagraph"/>
        <w:numPr>
          <w:ilvl w:val="0"/>
          <w:numId w:val="2"/>
        </w:numPr>
        <w:spacing w:line="360" w:lineRule="auto"/>
        <w:jc w:val="both"/>
        <w:rPr>
          <w:rtl/>
        </w:rPr>
      </w:pPr>
      <w:r>
        <w:rPr>
          <w:rtl/>
        </w:rPr>
        <w:t xml:space="preserve">מאסר לתקופה של 6 חודשים שירוצו בעבודות שירות כאמור בחוות דעתו של הממונה על עבודות השירות. </w:t>
      </w:r>
    </w:p>
    <w:p w14:paraId="51F5DE46" w14:textId="77777777" w:rsidR="00F36433" w:rsidRDefault="00893049">
      <w:pPr>
        <w:pStyle w:val="ListParagraph"/>
        <w:numPr>
          <w:ilvl w:val="0"/>
          <w:numId w:val="2"/>
        </w:numPr>
        <w:spacing w:line="360" w:lineRule="auto"/>
        <w:jc w:val="both"/>
        <w:rPr>
          <w:rtl/>
        </w:rPr>
      </w:pPr>
      <w:r>
        <w:rPr>
          <w:rtl/>
        </w:rPr>
        <w:t>המאסר על תנאי מ</w:t>
      </w:r>
      <w:hyperlink r:id="rId33" w:history="1">
        <w:r w:rsidRPr="00893049">
          <w:rPr>
            <w:rStyle w:val="Hyperlink"/>
            <w:rtl/>
          </w:rPr>
          <w:t>ת"פ 55838-06-13</w:t>
        </w:r>
      </w:hyperlink>
      <w:r>
        <w:rPr>
          <w:rtl/>
        </w:rPr>
        <w:t xml:space="preserve"> מיום 9.6.14 ירוצה בחופף למאסר כאן. </w:t>
      </w:r>
    </w:p>
    <w:p w14:paraId="605D098E" w14:textId="77777777" w:rsidR="00F36433" w:rsidRDefault="00893049">
      <w:pPr>
        <w:pStyle w:val="ListParagraph"/>
        <w:numPr>
          <w:ilvl w:val="0"/>
          <w:numId w:val="2"/>
        </w:numPr>
        <w:spacing w:line="360" w:lineRule="auto"/>
        <w:jc w:val="both"/>
        <w:rPr>
          <w:rtl/>
        </w:rPr>
      </w:pPr>
      <w:r>
        <w:rPr>
          <w:rtl/>
        </w:rPr>
        <w:t xml:space="preserve">תקופת מבחן למשך שנתיים בהתאם להוראות שירות המבחן. </w:t>
      </w:r>
    </w:p>
    <w:p w14:paraId="6C447C87" w14:textId="77777777" w:rsidR="00F36433" w:rsidRDefault="00893049">
      <w:pPr>
        <w:pStyle w:val="ListParagraph"/>
        <w:numPr>
          <w:ilvl w:val="0"/>
          <w:numId w:val="2"/>
        </w:numPr>
        <w:spacing w:line="360" w:lineRule="auto"/>
        <w:jc w:val="both"/>
        <w:rPr>
          <w:rtl/>
        </w:rPr>
      </w:pPr>
      <w:r>
        <w:rPr>
          <w:rtl/>
        </w:rPr>
        <w:t xml:space="preserve">מאסר על תנאי של 9 חודשים למשך 3 שנים כאשר התנאי יופעל במידה והנאשם יבצע עבירות אלימות מסוג פשע. </w:t>
      </w:r>
    </w:p>
    <w:p w14:paraId="1A6A2F1F" w14:textId="77777777" w:rsidR="00F36433" w:rsidRDefault="00893049">
      <w:pPr>
        <w:pStyle w:val="ListParagraph"/>
        <w:numPr>
          <w:ilvl w:val="0"/>
          <w:numId w:val="2"/>
        </w:numPr>
        <w:spacing w:line="360" w:lineRule="auto"/>
        <w:jc w:val="both"/>
        <w:rPr>
          <w:rtl/>
        </w:rPr>
      </w:pPr>
      <w:r>
        <w:rPr>
          <w:rtl/>
        </w:rPr>
        <w:t xml:space="preserve">קנס בסך 5,000 ₪ לתשלום עד ליום 31.12.16. </w:t>
      </w:r>
    </w:p>
    <w:p w14:paraId="769E7746" w14:textId="77777777" w:rsidR="00F36433" w:rsidRDefault="00893049">
      <w:pPr>
        <w:spacing w:line="360" w:lineRule="auto"/>
        <w:ind w:firstLine="720"/>
        <w:jc w:val="both"/>
        <w:rPr>
          <w:rtl/>
        </w:rPr>
      </w:pPr>
      <w:r>
        <w:rPr>
          <w:u w:val="single"/>
          <w:rtl/>
        </w:rPr>
        <w:t>הנאשם 2</w:t>
      </w:r>
    </w:p>
    <w:p w14:paraId="3852AF6B" w14:textId="77777777" w:rsidR="00F36433" w:rsidRDefault="00893049">
      <w:pPr>
        <w:pStyle w:val="ListParagraph"/>
        <w:numPr>
          <w:ilvl w:val="0"/>
          <w:numId w:val="3"/>
        </w:numPr>
        <w:spacing w:line="360" w:lineRule="auto"/>
        <w:jc w:val="both"/>
        <w:rPr>
          <w:rtl/>
        </w:rPr>
      </w:pPr>
      <w:r>
        <w:rPr>
          <w:rtl/>
        </w:rPr>
        <w:t xml:space="preserve">מאסר לתקופה של 4 חודשים שירוצו בעבודות שירות כאמור בחוות דעתו של הממונה על עבודות השירות. </w:t>
      </w:r>
    </w:p>
    <w:p w14:paraId="5720606E" w14:textId="77777777" w:rsidR="00F36433" w:rsidRDefault="00893049">
      <w:pPr>
        <w:pStyle w:val="ListParagraph"/>
        <w:numPr>
          <w:ilvl w:val="0"/>
          <w:numId w:val="3"/>
        </w:numPr>
        <w:spacing w:line="360" w:lineRule="auto"/>
        <w:jc w:val="both"/>
        <w:rPr>
          <w:rtl/>
        </w:rPr>
      </w:pPr>
      <w:r>
        <w:rPr>
          <w:rtl/>
        </w:rPr>
        <w:t xml:space="preserve">תקופת מבחן למשך 18 חודשים בהתאם להוראות שירות המבחן. </w:t>
      </w:r>
    </w:p>
    <w:p w14:paraId="10203D85" w14:textId="77777777" w:rsidR="00F36433" w:rsidRDefault="00893049">
      <w:pPr>
        <w:pStyle w:val="ListParagraph"/>
        <w:numPr>
          <w:ilvl w:val="0"/>
          <w:numId w:val="3"/>
        </w:numPr>
        <w:spacing w:line="360" w:lineRule="auto"/>
        <w:jc w:val="both"/>
        <w:rPr>
          <w:rtl/>
        </w:rPr>
      </w:pPr>
      <w:r>
        <w:rPr>
          <w:rtl/>
        </w:rPr>
        <w:t xml:space="preserve">מאסר על תנאי של 9 חודשים למשך 3 שנים כאשר התנאי יופעל  במידה והנאשם יבצע עבירות אלימות מסוג פשע. </w:t>
      </w:r>
    </w:p>
    <w:p w14:paraId="3FE4DDD3" w14:textId="77777777" w:rsidR="00F36433" w:rsidRDefault="00893049">
      <w:pPr>
        <w:pStyle w:val="ListParagraph"/>
        <w:numPr>
          <w:ilvl w:val="0"/>
          <w:numId w:val="3"/>
        </w:numPr>
        <w:spacing w:line="360" w:lineRule="auto"/>
        <w:jc w:val="both"/>
        <w:rPr>
          <w:rtl/>
        </w:rPr>
      </w:pPr>
      <w:r>
        <w:rPr>
          <w:rtl/>
        </w:rPr>
        <w:t xml:space="preserve">קנס בסך 5,000 ₪ לתשלום עד ליום 31.12.16. </w:t>
      </w:r>
    </w:p>
    <w:p w14:paraId="4A1EBE92" w14:textId="77777777" w:rsidR="00F36433" w:rsidRDefault="00893049">
      <w:pPr>
        <w:spacing w:line="360" w:lineRule="auto"/>
        <w:ind w:firstLine="720"/>
        <w:jc w:val="both"/>
        <w:rPr>
          <w:rtl/>
        </w:rPr>
      </w:pPr>
      <w:r>
        <w:rPr>
          <w:u w:val="single"/>
          <w:rtl/>
        </w:rPr>
        <w:t>הנאשם 3</w:t>
      </w:r>
    </w:p>
    <w:p w14:paraId="1881B57E" w14:textId="77777777" w:rsidR="00F36433" w:rsidRDefault="00893049">
      <w:pPr>
        <w:pStyle w:val="ListParagraph"/>
        <w:numPr>
          <w:ilvl w:val="0"/>
          <w:numId w:val="4"/>
        </w:numPr>
        <w:spacing w:line="360" w:lineRule="auto"/>
        <w:jc w:val="both"/>
        <w:rPr>
          <w:rtl/>
        </w:rPr>
      </w:pPr>
      <w:r>
        <w:rPr>
          <w:rtl/>
        </w:rPr>
        <w:t xml:space="preserve">מאסר לתקופה של 4 חודשים שירוצו בעבודות שירות כאמור בחוות דעתו של הממונה על עבודות השירות. </w:t>
      </w:r>
    </w:p>
    <w:p w14:paraId="431C5D11" w14:textId="77777777" w:rsidR="00F36433" w:rsidRDefault="00893049">
      <w:pPr>
        <w:pStyle w:val="ListParagraph"/>
        <w:numPr>
          <w:ilvl w:val="0"/>
          <w:numId w:val="4"/>
        </w:numPr>
        <w:spacing w:line="360" w:lineRule="auto"/>
        <w:jc w:val="both"/>
        <w:rPr>
          <w:rtl/>
        </w:rPr>
      </w:pPr>
      <w:r>
        <w:rPr>
          <w:rtl/>
        </w:rPr>
        <w:t xml:space="preserve">תקופת מבחן למשך 18 חודשים בהתאם להוראות שירות המבחן. </w:t>
      </w:r>
    </w:p>
    <w:p w14:paraId="322B3B28" w14:textId="77777777" w:rsidR="00F36433" w:rsidRDefault="00893049">
      <w:pPr>
        <w:pStyle w:val="ListParagraph"/>
        <w:numPr>
          <w:ilvl w:val="0"/>
          <w:numId w:val="4"/>
        </w:numPr>
        <w:spacing w:line="360" w:lineRule="auto"/>
        <w:jc w:val="both"/>
        <w:rPr>
          <w:rtl/>
        </w:rPr>
      </w:pPr>
      <w:r>
        <w:rPr>
          <w:rtl/>
        </w:rPr>
        <w:t xml:space="preserve">מאסר על תנאי של 9 חודשים למשך 3 שנים כאשר התנאי יופעל  במידה והנאשם יבצע עבירות אלימות מסוג פשע. </w:t>
      </w:r>
    </w:p>
    <w:p w14:paraId="3F89292D" w14:textId="77777777" w:rsidR="00F36433" w:rsidRDefault="00893049">
      <w:pPr>
        <w:pStyle w:val="ListParagraph"/>
        <w:numPr>
          <w:ilvl w:val="0"/>
          <w:numId w:val="4"/>
        </w:numPr>
        <w:spacing w:line="360" w:lineRule="auto"/>
        <w:jc w:val="both"/>
        <w:rPr>
          <w:rtl/>
        </w:rPr>
      </w:pPr>
      <w:r>
        <w:rPr>
          <w:rtl/>
        </w:rPr>
        <w:t xml:space="preserve">קנס בסך 5,000 ₪ לתשלום עד ליום 31.12.16. </w:t>
      </w:r>
    </w:p>
    <w:p w14:paraId="0BFD6D4E" w14:textId="77777777" w:rsidR="00F36433" w:rsidRDefault="00F36433">
      <w:pPr>
        <w:spacing w:line="360" w:lineRule="auto"/>
        <w:jc w:val="both"/>
        <w:rPr>
          <w:rtl/>
        </w:rPr>
      </w:pPr>
    </w:p>
    <w:p w14:paraId="14570788" w14:textId="77777777" w:rsidR="00F36433" w:rsidRDefault="00893049">
      <w:pPr>
        <w:spacing w:line="360" w:lineRule="auto"/>
        <w:jc w:val="both"/>
        <w:rPr>
          <w:rtl/>
        </w:rPr>
      </w:pPr>
      <w:r>
        <w:rPr>
          <w:rFonts w:hint="cs"/>
          <w:b/>
          <w:bCs/>
          <w:u w:val="single"/>
          <w:rtl/>
        </w:rPr>
        <w:t xml:space="preserve">זכות ערעור תוך 45 ימים. </w:t>
      </w:r>
    </w:p>
    <w:p w14:paraId="69C896BD" w14:textId="77777777" w:rsidR="00F36433" w:rsidRDefault="00F36433">
      <w:pPr>
        <w:rPr>
          <w:rtl/>
        </w:rPr>
      </w:pPr>
    </w:p>
    <w:p w14:paraId="4F4BC28D" w14:textId="77777777" w:rsidR="00F36433" w:rsidRDefault="00893049">
      <w:pPr>
        <w:jc w:val="center"/>
        <w:rPr>
          <w:rtl/>
        </w:rPr>
      </w:pPr>
      <w:r>
        <w:rPr>
          <w:rFonts w:ascii="Arial" w:hAnsi="Arial"/>
          <w:rtl/>
        </w:rPr>
        <w:t xml:space="preserve">ניתן היום,  ז' כסלו תשע"ז, 07 דצמבר 2016, בנוכחות הצדדים. </w:t>
      </w:r>
    </w:p>
    <w:p w14:paraId="287378A9" w14:textId="77777777" w:rsidR="00F36433" w:rsidRPr="00893049" w:rsidRDefault="00893049">
      <w:pPr>
        <w:spacing w:line="360" w:lineRule="auto"/>
        <w:jc w:val="both"/>
        <w:rPr>
          <w:rFonts w:ascii="Arial" w:hAnsi="Arial"/>
          <w:color w:val="FFFFFF"/>
          <w:sz w:val="2"/>
          <w:szCs w:val="2"/>
          <w:rtl/>
        </w:rPr>
      </w:pPr>
      <w:r w:rsidRPr="00893049">
        <w:rPr>
          <w:rFonts w:ascii="Arial" w:hAnsi="Arial"/>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F36433" w14:paraId="2E620EB9" w14:textId="77777777">
        <w:trPr>
          <w:trHeight w:val="316"/>
          <w:jc w:val="right"/>
        </w:trPr>
        <w:tc>
          <w:tcPr>
            <w:tcW w:w="3936" w:type="dxa"/>
            <w:shd w:val="clear" w:color="auto" w:fill="auto"/>
          </w:tcPr>
          <w:p w14:paraId="70E8B246" w14:textId="77777777" w:rsidR="00F36433" w:rsidRPr="00893049" w:rsidRDefault="00893049">
            <w:pPr>
              <w:jc w:val="center"/>
              <w:rPr>
                <w:color w:val="FFFFFF"/>
                <w:sz w:val="2"/>
                <w:szCs w:val="2"/>
              </w:rPr>
            </w:pPr>
            <w:r w:rsidRPr="00893049">
              <w:rPr>
                <w:color w:val="FFFFFF"/>
                <w:sz w:val="2"/>
                <w:szCs w:val="2"/>
                <w:rtl/>
              </w:rPr>
              <w:t>54678313</w:t>
            </w:r>
          </w:p>
          <w:p w14:paraId="2A0C2131" w14:textId="77777777" w:rsidR="00F36433" w:rsidRDefault="00F36433">
            <w:pPr>
              <w:jc w:val="center"/>
              <w:rPr>
                <w:rtl/>
              </w:rPr>
            </w:pPr>
          </w:p>
        </w:tc>
      </w:tr>
      <w:tr w:rsidR="00F36433" w14:paraId="3C8A0A38" w14:textId="77777777">
        <w:trPr>
          <w:trHeight w:val="361"/>
          <w:jc w:val="right"/>
        </w:trPr>
        <w:tc>
          <w:tcPr>
            <w:tcW w:w="3936" w:type="dxa"/>
            <w:shd w:val="clear" w:color="auto" w:fill="auto"/>
          </w:tcPr>
          <w:p w14:paraId="02DB9259" w14:textId="77777777" w:rsidR="00F36433" w:rsidRDefault="00893049">
            <w:pPr>
              <w:jc w:val="center"/>
              <w:rPr>
                <w:b/>
                <w:bCs/>
                <w:rtl/>
              </w:rPr>
            </w:pPr>
            <w:r>
              <w:rPr>
                <w:rFonts w:hint="cs"/>
                <w:b/>
                <w:bCs/>
                <w:rtl/>
              </w:rPr>
              <w:t>דניאל פיש</w:t>
            </w:r>
            <w:r>
              <w:rPr>
                <w:b/>
                <w:bCs/>
                <w:rtl/>
              </w:rPr>
              <w:t xml:space="preserve"> </w:t>
            </w:r>
            <w:r>
              <w:rPr>
                <w:rFonts w:hint="cs"/>
                <w:b/>
                <w:bCs/>
                <w:rtl/>
              </w:rPr>
              <w:t>, שופט</w:t>
            </w:r>
            <w:r>
              <w:rPr>
                <w:b/>
                <w:bCs/>
                <w:rtl/>
              </w:rPr>
              <w:t xml:space="preserve"> </w:t>
            </w:r>
          </w:p>
        </w:tc>
      </w:tr>
    </w:tbl>
    <w:p w14:paraId="16B6CE6E" w14:textId="77777777" w:rsidR="00F36433" w:rsidRPr="00BB3B9E" w:rsidRDefault="00BB3B9E">
      <w:pPr>
        <w:spacing w:line="360" w:lineRule="auto"/>
        <w:jc w:val="both"/>
        <w:rPr>
          <w:rFonts w:ascii="Arial" w:hAnsi="Arial"/>
          <w:color w:val="FFFFFF"/>
          <w:sz w:val="2"/>
          <w:szCs w:val="2"/>
          <w:rtl/>
        </w:rPr>
      </w:pPr>
      <w:r w:rsidRPr="00BB3B9E">
        <w:rPr>
          <w:rFonts w:ascii="Arial" w:hAnsi="Arial"/>
          <w:color w:val="FFFFFF"/>
          <w:sz w:val="2"/>
          <w:szCs w:val="2"/>
          <w:rtl/>
        </w:rPr>
        <w:t>5129371</w:t>
      </w:r>
    </w:p>
    <w:p w14:paraId="7E1A1265" w14:textId="77777777" w:rsidR="00893049" w:rsidRPr="00BB3B9E" w:rsidRDefault="00BB3B9E" w:rsidP="00893049">
      <w:pPr>
        <w:keepNext/>
        <w:rPr>
          <w:rFonts w:ascii="David" w:hAnsi="David"/>
          <w:color w:val="FFFFFF"/>
          <w:sz w:val="2"/>
          <w:szCs w:val="2"/>
          <w:rtl/>
        </w:rPr>
      </w:pPr>
      <w:r w:rsidRPr="00BB3B9E">
        <w:rPr>
          <w:rFonts w:ascii="David" w:hAnsi="David"/>
          <w:color w:val="FFFFFF"/>
          <w:sz w:val="2"/>
          <w:szCs w:val="2"/>
          <w:rtl/>
        </w:rPr>
        <w:t>54678313</w:t>
      </w:r>
    </w:p>
    <w:p w14:paraId="4940B4FC" w14:textId="77777777" w:rsidR="00893049" w:rsidRPr="00893049" w:rsidRDefault="00893049" w:rsidP="00893049">
      <w:pPr>
        <w:keepNext/>
        <w:rPr>
          <w:rFonts w:ascii="David" w:hAnsi="David"/>
          <w:color w:val="000000"/>
          <w:sz w:val="22"/>
          <w:szCs w:val="22"/>
          <w:rtl/>
        </w:rPr>
      </w:pPr>
      <w:r w:rsidRPr="00893049">
        <w:rPr>
          <w:rFonts w:ascii="David" w:hAnsi="David"/>
          <w:color w:val="000000"/>
          <w:sz w:val="22"/>
          <w:szCs w:val="22"/>
          <w:rtl/>
        </w:rPr>
        <w:t>דניאל פיש 54678313</w:t>
      </w:r>
    </w:p>
    <w:p w14:paraId="526C10F8" w14:textId="77777777" w:rsidR="00893049" w:rsidRDefault="00893049" w:rsidP="00893049">
      <w:pPr>
        <w:rPr>
          <w:color w:val="000000"/>
          <w:rtl/>
        </w:rPr>
      </w:pPr>
      <w:r w:rsidRPr="00893049">
        <w:rPr>
          <w:color w:val="000000"/>
          <w:rtl/>
        </w:rPr>
        <w:t>נוסח מסמך זה כפוף לשינויי ניסוח ועריכה</w:t>
      </w:r>
      <w:r w:rsidR="002B2F05">
        <w:rPr>
          <w:color w:val="000000"/>
        </w:rPr>
        <w:t xml:space="preserve">   </w:t>
      </w:r>
    </w:p>
    <w:p w14:paraId="16D3E9BD" w14:textId="77777777" w:rsidR="00893049" w:rsidRDefault="00893049" w:rsidP="00893049">
      <w:pPr>
        <w:rPr>
          <w:rtl/>
        </w:rPr>
      </w:pPr>
    </w:p>
    <w:p w14:paraId="5ABAC3DC" w14:textId="77777777" w:rsidR="00893049" w:rsidRDefault="00893049" w:rsidP="00893049">
      <w:pPr>
        <w:jc w:val="center"/>
        <w:rPr>
          <w:color w:val="0000FF"/>
          <w:u w:val="single"/>
          <w:rtl/>
        </w:rPr>
      </w:pPr>
      <w:hyperlink r:id="rId34" w:history="1">
        <w:r>
          <w:rPr>
            <w:rStyle w:val="Hyperlink"/>
            <w:rtl/>
          </w:rPr>
          <w:t>בעניין עריכה ושינויים במסמכי פסיקה, חקיקה ועוד באתר נבו – הקש כאן</w:t>
        </w:r>
      </w:hyperlink>
    </w:p>
    <w:p w14:paraId="49F8C4B5" w14:textId="77777777" w:rsidR="00BB3B9E" w:rsidRPr="00BB3B9E" w:rsidRDefault="00BB3B9E" w:rsidP="00BB3B9E">
      <w:pPr>
        <w:keepNext/>
        <w:rPr>
          <w:rFonts w:ascii="David" w:hAnsi="David"/>
          <w:color w:val="000000"/>
          <w:sz w:val="22"/>
          <w:szCs w:val="22"/>
          <w:rtl/>
        </w:rPr>
      </w:pPr>
    </w:p>
    <w:sectPr w:rsidR="00BB3B9E" w:rsidRPr="00BB3B9E" w:rsidSect="00BB3B9E">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C4ECFA" w14:textId="77777777" w:rsidR="009E3BB4" w:rsidRPr="00C74B2E" w:rsidRDefault="009E3BB4">
      <w:pPr>
        <w:rPr>
          <w:rFonts w:cs="Arial"/>
          <w:sz w:val="20"/>
          <w:szCs w:val="20"/>
        </w:rPr>
      </w:pPr>
      <w:r>
        <w:separator/>
      </w:r>
    </w:p>
  </w:endnote>
  <w:endnote w:type="continuationSeparator" w:id="0">
    <w:p w14:paraId="783DAB8A" w14:textId="77777777" w:rsidR="009E3BB4" w:rsidRPr="00C74B2E" w:rsidRDefault="009E3BB4">
      <w:pPr>
        <w:rPr>
          <w:rFonts w:cs="Arial"/>
          <w:sz w:val="20"/>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A6198" w14:textId="77777777" w:rsidR="007E298A" w:rsidRDefault="007E298A" w:rsidP="00BB3B9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474EC4BB" w14:textId="77777777" w:rsidR="007E298A" w:rsidRPr="00BB3B9E" w:rsidRDefault="007E298A" w:rsidP="00BB3B9E">
    <w:pPr>
      <w:pStyle w:val="a4"/>
      <w:pBdr>
        <w:top w:val="single" w:sz="4" w:space="1" w:color="auto"/>
        <w:between w:val="single" w:sz="4" w:space="0" w:color="auto"/>
      </w:pBdr>
      <w:spacing w:after="60"/>
      <w:jc w:val="center"/>
      <w:rPr>
        <w:rFonts w:ascii="FrankRuehl" w:hAnsi="FrankRuehl" w:cs="FrankRuehl"/>
        <w:color w:val="000000"/>
      </w:rPr>
    </w:pPr>
    <w:r w:rsidRPr="00BB3B9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B2A9B" w14:textId="77777777" w:rsidR="007E298A" w:rsidRDefault="007E298A" w:rsidP="00BB3B9E">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35F3">
      <w:rPr>
        <w:rFonts w:ascii="FrankRuehl" w:hAnsi="FrankRuehl" w:cs="FrankRuehl"/>
        <w:noProof/>
        <w:rtl/>
      </w:rPr>
      <w:t>1</w:t>
    </w:r>
    <w:r>
      <w:rPr>
        <w:rFonts w:ascii="FrankRuehl" w:hAnsi="FrankRuehl" w:cs="FrankRuehl"/>
        <w:rtl/>
      </w:rPr>
      <w:fldChar w:fldCharType="end"/>
    </w:r>
  </w:p>
  <w:p w14:paraId="37CE655C" w14:textId="77777777" w:rsidR="007E298A" w:rsidRPr="00BB3B9E" w:rsidRDefault="007E298A" w:rsidP="00BB3B9E">
    <w:pPr>
      <w:pStyle w:val="a4"/>
      <w:pBdr>
        <w:top w:val="single" w:sz="4" w:space="1" w:color="auto"/>
        <w:between w:val="single" w:sz="4" w:space="0" w:color="auto"/>
      </w:pBdr>
      <w:spacing w:after="60"/>
      <w:jc w:val="center"/>
      <w:rPr>
        <w:rFonts w:ascii="FrankRuehl" w:hAnsi="FrankRuehl" w:cs="FrankRuehl"/>
        <w:color w:val="000000"/>
      </w:rPr>
    </w:pPr>
    <w:r w:rsidRPr="00BB3B9E">
      <w:rPr>
        <w:rFonts w:ascii="FrankRuehl" w:hAnsi="FrankRuehl" w:cs="FrankRuehl"/>
        <w:color w:val="000000"/>
      </w:rPr>
      <w:pict w14:anchorId="63E50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BE4E32" w14:textId="77777777" w:rsidR="009E3BB4" w:rsidRPr="00C74B2E" w:rsidRDefault="009E3BB4">
      <w:pPr>
        <w:rPr>
          <w:rFonts w:cs="Arial"/>
          <w:sz w:val="20"/>
          <w:szCs w:val="20"/>
        </w:rPr>
      </w:pPr>
      <w:r>
        <w:separator/>
      </w:r>
    </w:p>
  </w:footnote>
  <w:footnote w:type="continuationSeparator" w:id="0">
    <w:p w14:paraId="7A765787" w14:textId="77777777" w:rsidR="009E3BB4" w:rsidRPr="00C74B2E" w:rsidRDefault="009E3BB4">
      <w:pPr>
        <w:rPr>
          <w:rFonts w:cs="Arial"/>
          <w:sz w:val="20"/>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B2279" w14:textId="77777777" w:rsidR="007E298A" w:rsidRPr="00BB3B9E" w:rsidRDefault="007E298A" w:rsidP="00BB3B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50321-03-16</w:t>
    </w:r>
    <w:r>
      <w:rPr>
        <w:rFonts w:ascii="David" w:hAnsi="David"/>
        <w:color w:val="000000"/>
        <w:sz w:val="22"/>
        <w:szCs w:val="22"/>
        <w:rtl/>
      </w:rPr>
      <w:tab/>
      <w:t xml:space="preserve"> מדינת ישראל נ' אסמאעיל מואסי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D7DFD" w14:textId="77777777" w:rsidR="007E298A" w:rsidRPr="00BB3B9E" w:rsidRDefault="007E298A" w:rsidP="00BB3B9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50321-03-16</w:t>
    </w:r>
    <w:r>
      <w:rPr>
        <w:rFonts w:ascii="David" w:hAnsi="David"/>
        <w:color w:val="000000"/>
        <w:sz w:val="22"/>
        <w:szCs w:val="22"/>
        <w:rtl/>
      </w:rPr>
      <w:tab/>
      <w:t xml:space="preserve"> מדינת ישראל נ' אסמאעיל מואסי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60E1B"/>
    <w:multiLevelType w:val="hybridMultilevel"/>
    <w:tmpl w:val="8FD41AA4"/>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D6560C"/>
    <w:multiLevelType w:val="hybridMultilevel"/>
    <w:tmpl w:val="A0B6E264"/>
    <w:lvl w:ilvl="0" w:tplc="893E91A2">
      <w:start w:val="1"/>
      <w:numFmt w:val="decimal"/>
      <w:lvlText w:val="%1."/>
      <w:lvlJc w:val="left"/>
      <w:pPr>
        <w:ind w:left="720" w:hanging="360"/>
      </w:pPr>
      <w:rPr>
        <w:rFonts w:cs="David" w:hint="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F6681D"/>
    <w:multiLevelType w:val="hybridMultilevel"/>
    <w:tmpl w:val="B6428C30"/>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05C6403"/>
    <w:multiLevelType w:val="hybridMultilevel"/>
    <w:tmpl w:val="45F4086E"/>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06504309">
    <w:abstractNumId w:val="1"/>
  </w:num>
  <w:num w:numId="2" w16cid:durableId="1562593109">
    <w:abstractNumId w:val="3"/>
  </w:num>
  <w:num w:numId="3" w16cid:durableId="1253198973">
    <w:abstractNumId w:val="2"/>
  </w:num>
  <w:num w:numId="4" w16cid:durableId="201480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36433"/>
    <w:rsid w:val="00107B2A"/>
    <w:rsid w:val="002B2F05"/>
    <w:rsid w:val="003535F3"/>
    <w:rsid w:val="00476BFB"/>
    <w:rsid w:val="007902D1"/>
    <w:rsid w:val="007E298A"/>
    <w:rsid w:val="00893049"/>
    <w:rsid w:val="009E3BB4"/>
    <w:rsid w:val="00BB3B9E"/>
    <w:rsid w:val="00D63F48"/>
    <w:rsid w:val="00DD0EEB"/>
    <w:rsid w:val="00F36433"/>
    <w:rsid w:val="00FE51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D53ACD"/>
  <w15:chartTrackingRefBased/>
  <w15:docId w15:val="{F1542E77-C7E6-41A1-995C-B7BAEAEB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36433"/>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F36433"/>
    <w:pPr>
      <w:tabs>
        <w:tab w:val="center" w:pos="4153"/>
        <w:tab w:val="right" w:pos="8306"/>
      </w:tabs>
    </w:pPr>
  </w:style>
  <w:style w:type="paragraph" w:styleId="a4">
    <w:name w:val="footer"/>
    <w:basedOn w:val="a"/>
    <w:rsid w:val="00F36433"/>
    <w:pPr>
      <w:tabs>
        <w:tab w:val="center" w:pos="4153"/>
        <w:tab w:val="right" w:pos="8306"/>
      </w:tabs>
    </w:pPr>
  </w:style>
  <w:style w:type="character" w:styleId="a5">
    <w:name w:val="page number"/>
    <w:basedOn w:val="a0"/>
    <w:rsid w:val="00F36433"/>
  </w:style>
  <w:style w:type="paragraph" w:customStyle="1" w:styleId="12">
    <w:name w:val="רגיל + ‏12 נק'"/>
    <w:aliases w:val="מיושר לשני הצדדים,מרווח בין שורות:  שורה וחצי"/>
    <w:basedOn w:val="a"/>
    <w:rsid w:val="00F36433"/>
    <w:rPr>
      <w:b/>
      <w:bCs/>
      <w:u w:val="single"/>
    </w:rPr>
  </w:style>
  <w:style w:type="paragraph" w:customStyle="1" w:styleId="ListParagraph">
    <w:name w:val="List Paragraph"/>
    <w:basedOn w:val="a"/>
    <w:qFormat/>
    <w:rsid w:val="00F36433"/>
    <w:pPr>
      <w:ind w:left="720"/>
      <w:contextualSpacing/>
    </w:pPr>
  </w:style>
  <w:style w:type="character" w:styleId="Hyperlink">
    <w:name w:val="Hyperlink"/>
    <w:rsid w:val="008930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32.1" TargetMode="External"/><Relationship Id="rId18" Type="http://schemas.openxmlformats.org/officeDocument/2006/relationships/hyperlink" Target="http://www.nevo.co.il/law/70301/144.b" TargetMode="External"/><Relationship Id="rId26" Type="http://schemas.openxmlformats.org/officeDocument/2006/relationships/hyperlink" Target="http://www.nevo.co.il/case/5691883" TargetMode="External"/><Relationship Id="rId39" Type="http://schemas.openxmlformats.org/officeDocument/2006/relationships/fontTable" Target="fontTable.xml"/><Relationship Id="rId21" Type="http://schemas.openxmlformats.org/officeDocument/2006/relationships/hyperlink" Target="http://www.nevo.co.il/law/70301/332.2"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75a"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6859579" TargetMode="External"/><Relationship Id="rId33" Type="http://schemas.openxmlformats.org/officeDocument/2006/relationships/hyperlink" Target="http://www.nevo.co.il/case/7699730"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29" TargetMode="External"/><Relationship Id="rId20" Type="http://schemas.openxmlformats.org/officeDocument/2006/relationships/hyperlink" Target="http://www.nevo.co.il/law/70301/332.1" TargetMode="External"/><Relationship Id="rId29" Type="http://schemas.openxmlformats.org/officeDocument/2006/relationships/hyperlink" Target="http://www.nevo.co.il/case/180502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o.2" TargetMode="External"/><Relationship Id="rId24" Type="http://schemas.openxmlformats.org/officeDocument/2006/relationships/hyperlink" Target="http://www.nevo.co.il/law/70301/29" TargetMode="External"/><Relationship Id="rId32" Type="http://schemas.openxmlformats.org/officeDocument/2006/relationships/hyperlink" Target="http://www.nevo.co.il/law/7030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144.o.2" TargetMode="External"/><Relationship Id="rId23" Type="http://schemas.openxmlformats.org/officeDocument/2006/relationships/hyperlink" Target="http://www.nevo.co.il/law/70301/275a" TargetMode="External"/><Relationship Id="rId28" Type="http://schemas.openxmlformats.org/officeDocument/2006/relationships/hyperlink" Target="http://www.nevo.co.il/case/20327935" TargetMode="External"/><Relationship Id="rId36"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law/70301/29" TargetMode="External"/><Relationship Id="rId31" Type="http://schemas.openxmlformats.org/officeDocument/2006/relationships/hyperlink" Target="http://www.nevo.co.il/law/70301/40d" TargetMode="External"/><Relationship Id="rId4" Type="http://schemas.openxmlformats.org/officeDocument/2006/relationships/webSettings" Target="webSettings.xml"/><Relationship Id="rId9" Type="http://schemas.openxmlformats.org/officeDocument/2006/relationships/hyperlink" Target="http://www.nevo.co.il/law/70301/40d" TargetMode="External"/><Relationship Id="rId14" Type="http://schemas.openxmlformats.org/officeDocument/2006/relationships/hyperlink" Target="http://www.nevo.co.il/law/70301/332.2" TargetMode="External"/><Relationship Id="rId22" Type="http://schemas.openxmlformats.org/officeDocument/2006/relationships/hyperlink" Target="http://www.nevo.co.il/law/70301/29" TargetMode="External"/><Relationship Id="rId27" Type="http://schemas.openxmlformats.org/officeDocument/2006/relationships/hyperlink" Target="http://www.nevo.co.il/case/17906409" TargetMode="External"/><Relationship Id="rId30" Type="http://schemas.openxmlformats.org/officeDocument/2006/relationships/hyperlink" Target="http://www.nevo.co.il/case/7699730" TargetMode="External"/><Relationship Id="rId35" Type="http://schemas.openxmlformats.org/officeDocument/2006/relationships/header" Target="header1.xml"/><Relationship Id="rId8" Type="http://schemas.openxmlformats.org/officeDocument/2006/relationships/hyperlink" Target="http://www.nevo.co.il/law/70301/29"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2047</Words>
  <Characters>10240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12263</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3735672</vt:i4>
      </vt:variant>
      <vt:variant>
        <vt:i4>78</vt:i4>
      </vt:variant>
      <vt:variant>
        <vt:i4>0</vt:i4>
      </vt:variant>
      <vt:variant>
        <vt:i4>5</vt:i4>
      </vt:variant>
      <vt:variant>
        <vt:lpwstr>http://www.nevo.co.il/case/7699730</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3735672</vt:i4>
      </vt:variant>
      <vt:variant>
        <vt:i4>69</vt:i4>
      </vt:variant>
      <vt:variant>
        <vt:i4>0</vt:i4>
      </vt:variant>
      <vt:variant>
        <vt:i4>5</vt:i4>
      </vt:variant>
      <vt:variant>
        <vt:lpwstr>http://www.nevo.co.il/case/7699730</vt:lpwstr>
      </vt:variant>
      <vt:variant>
        <vt:lpwstr/>
      </vt:variant>
      <vt:variant>
        <vt:i4>3539067</vt:i4>
      </vt:variant>
      <vt:variant>
        <vt:i4>66</vt:i4>
      </vt:variant>
      <vt:variant>
        <vt:i4>0</vt:i4>
      </vt:variant>
      <vt:variant>
        <vt:i4>5</vt:i4>
      </vt:variant>
      <vt:variant>
        <vt:lpwstr>http://www.nevo.co.il/case/18050273</vt:lpwstr>
      </vt:variant>
      <vt:variant>
        <vt:lpwstr/>
      </vt:variant>
      <vt:variant>
        <vt:i4>3473535</vt:i4>
      </vt:variant>
      <vt:variant>
        <vt:i4>63</vt:i4>
      </vt:variant>
      <vt:variant>
        <vt:i4>0</vt:i4>
      </vt:variant>
      <vt:variant>
        <vt:i4>5</vt:i4>
      </vt:variant>
      <vt:variant>
        <vt:lpwstr>http://www.nevo.co.il/case/20327935</vt:lpwstr>
      </vt:variant>
      <vt:variant>
        <vt:lpwstr/>
      </vt:variant>
      <vt:variant>
        <vt:i4>4063351</vt:i4>
      </vt:variant>
      <vt:variant>
        <vt:i4>60</vt:i4>
      </vt:variant>
      <vt:variant>
        <vt:i4>0</vt:i4>
      </vt:variant>
      <vt:variant>
        <vt:i4>5</vt:i4>
      </vt:variant>
      <vt:variant>
        <vt:lpwstr>http://www.nevo.co.il/case/17906409</vt:lpwstr>
      </vt:variant>
      <vt:variant>
        <vt:lpwstr/>
      </vt:variant>
      <vt:variant>
        <vt:i4>3604603</vt:i4>
      </vt:variant>
      <vt:variant>
        <vt:i4>57</vt:i4>
      </vt:variant>
      <vt:variant>
        <vt:i4>0</vt:i4>
      </vt:variant>
      <vt:variant>
        <vt:i4>5</vt:i4>
      </vt:variant>
      <vt:variant>
        <vt:lpwstr>http://www.nevo.co.il/case/5691883</vt:lpwstr>
      </vt:variant>
      <vt:variant>
        <vt:lpwstr/>
      </vt:variant>
      <vt:variant>
        <vt:i4>4128882</vt:i4>
      </vt:variant>
      <vt:variant>
        <vt:i4>54</vt:i4>
      </vt:variant>
      <vt:variant>
        <vt:i4>0</vt:i4>
      </vt:variant>
      <vt:variant>
        <vt:i4>5</vt:i4>
      </vt:variant>
      <vt:variant>
        <vt:lpwstr>http://www.nevo.co.il/case/6859579</vt:lpwstr>
      </vt:variant>
      <vt:variant>
        <vt:lpwstr/>
      </vt:variant>
      <vt:variant>
        <vt:i4>7077991</vt:i4>
      </vt:variant>
      <vt:variant>
        <vt:i4>51</vt:i4>
      </vt:variant>
      <vt:variant>
        <vt:i4>0</vt:i4>
      </vt:variant>
      <vt:variant>
        <vt:i4>5</vt:i4>
      </vt:variant>
      <vt:variant>
        <vt:lpwstr>http://www.nevo.co.il/law/70301/29</vt:lpwstr>
      </vt:variant>
      <vt:variant>
        <vt:lpwstr/>
      </vt:variant>
      <vt:variant>
        <vt:i4>196690</vt:i4>
      </vt:variant>
      <vt:variant>
        <vt:i4>48</vt:i4>
      </vt:variant>
      <vt:variant>
        <vt:i4>0</vt:i4>
      </vt:variant>
      <vt:variant>
        <vt:i4>5</vt:i4>
      </vt:variant>
      <vt:variant>
        <vt:lpwstr>http://www.nevo.co.il/law/70301/275a</vt:lpwstr>
      </vt:variant>
      <vt:variant>
        <vt:lpwstr/>
      </vt:variant>
      <vt:variant>
        <vt:i4>7077991</vt:i4>
      </vt:variant>
      <vt:variant>
        <vt:i4>45</vt:i4>
      </vt:variant>
      <vt:variant>
        <vt:i4>0</vt:i4>
      </vt:variant>
      <vt:variant>
        <vt:i4>5</vt:i4>
      </vt:variant>
      <vt:variant>
        <vt:lpwstr>http://www.nevo.co.il/law/70301/29</vt:lpwstr>
      </vt:variant>
      <vt:variant>
        <vt:lpwstr/>
      </vt:variant>
      <vt:variant>
        <vt:i4>4718676</vt:i4>
      </vt:variant>
      <vt:variant>
        <vt:i4>42</vt:i4>
      </vt:variant>
      <vt:variant>
        <vt:i4>0</vt:i4>
      </vt:variant>
      <vt:variant>
        <vt:i4>5</vt:i4>
      </vt:variant>
      <vt:variant>
        <vt:lpwstr>http://www.nevo.co.il/law/70301/332.2</vt:lpwstr>
      </vt:variant>
      <vt:variant>
        <vt:lpwstr/>
      </vt:variant>
      <vt:variant>
        <vt:i4>4718676</vt:i4>
      </vt:variant>
      <vt:variant>
        <vt:i4>39</vt:i4>
      </vt:variant>
      <vt:variant>
        <vt:i4>0</vt:i4>
      </vt:variant>
      <vt:variant>
        <vt:i4>5</vt:i4>
      </vt:variant>
      <vt:variant>
        <vt:lpwstr>http://www.nevo.co.il/law/70301/332.1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5177424</vt:i4>
      </vt:variant>
      <vt:variant>
        <vt:i4>33</vt:i4>
      </vt:variant>
      <vt:variant>
        <vt:i4>0</vt:i4>
      </vt:variant>
      <vt:variant>
        <vt:i4>5</vt:i4>
      </vt:variant>
      <vt:variant>
        <vt:lpwstr>http://www.nevo.co.il/law/70301/144.b</vt:lpwstr>
      </vt:variant>
      <vt:variant>
        <vt:lpwstr/>
      </vt:variant>
      <vt:variant>
        <vt:i4>7995492</vt:i4>
      </vt:variant>
      <vt:variant>
        <vt:i4>30</vt:i4>
      </vt:variant>
      <vt:variant>
        <vt:i4>0</vt:i4>
      </vt:variant>
      <vt:variant>
        <vt:i4>5</vt:i4>
      </vt:variant>
      <vt:variant>
        <vt:lpwstr>http://www.nevo.co.il/law/70301</vt:lpwstr>
      </vt:variant>
      <vt:variant>
        <vt:lpwstr/>
      </vt:variant>
      <vt:variant>
        <vt:i4>7077991</vt:i4>
      </vt:variant>
      <vt:variant>
        <vt:i4>27</vt:i4>
      </vt:variant>
      <vt:variant>
        <vt:i4>0</vt:i4>
      </vt:variant>
      <vt:variant>
        <vt:i4>5</vt:i4>
      </vt:variant>
      <vt:variant>
        <vt:lpwstr>http://www.nevo.co.il/law/70301/29</vt:lpwstr>
      </vt:variant>
      <vt:variant>
        <vt:lpwstr/>
      </vt:variant>
      <vt:variant>
        <vt:i4>6357055</vt:i4>
      </vt:variant>
      <vt:variant>
        <vt:i4>24</vt:i4>
      </vt:variant>
      <vt:variant>
        <vt:i4>0</vt:i4>
      </vt:variant>
      <vt:variant>
        <vt:i4>5</vt:i4>
      </vt:variant>
      <vt:variant>
        <vt:lpwstr>http://www.nevo.co.il/law/70301/144.o.2</vt:lpwstr>
      </vt:variant>
      <vt:variant>
        <vt:lpwstr/>
      </vt:variant>
      <vt:variant>
        <vt:i4>4718676</vt:i4>
      </vt:variant>
      <vt:variant>
        <vt:i4>21</vt:i4>
      </vt:variant>
      <vt:variant>
        <vt:i4>0</vt:i4>
      </vt:variant>
      <vt:variant>
        <vt:i4>5</vt:i4>
      </vt:variant>
      <vt:variant>
        <vt:lpwstr>http://www.nevo.co.il/law/70301/332.2</vt:lpwstr>
      </vt:variant>
      <vt:variant>
        <vt:lpwstr/>
      </vt:variant>
      <vt:variant>
        <vt:i4>4718676</vt:i4>
      </vt:variant>
      <vt:variant>
        <vt:i4>18</vt:i4>
      </vt:variant>
      <vt:variant>
        <vt:i4>0</vt:i4>
      </vt:variant>
      <vt:variant>
        <vt:i4>5</vt:i4>
      </vt:variant>
      <vt:variant>
        <vt:lpwstr>http://www.nevo.co.il/law/70301/332.1</vt:lpwstr>
      </vt:variant>
      <vt:variant>
        <vt:lpwstr/>
      </vt:variant>
      <vt:variant>
        <vt:i4>196690</vt:i4>
      </vt:variant>
      <vt:variant>
        <vt:i4>15</vt:i4>
      </vt:variant>
      <vt:variant>
        <vt:i4>0</vt:i4>
      </vt:variant>
      <vt:variant>
        <vt:i4>5</vt:i4>
      </vt:variant>
      <vt:variant>
        <vt:lpwstr>http://www.nevo.co.il/law/70301/275a</vt:lpwstr>
      </vt:variant>
      <vt:variant>
        <vt:lpwstr/>
      </vt:variant>
      <vt:variant>
        <vt:i4>6357055</vt:i4>
      </vt:variant>
      <vt:variant>
        <vt:i4>12</vt:i4>
      </vt:variant>
      <vt:variant>
        <vt:i4>0</vt:i4>
      </vt:variant>
      <vt:variant>
        <vt:i4>5</vt:i4>
      </vt:variant>
      <vt:variant>
        <vt:lpwstr>http://www.nevo.co.il/law/70301/144.o.2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http://www.nevo.co.il/law/70301/40d</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2025-04-25T10:38:00Z</dcterms:created>
  <dcterms:modified xsi:type="dcterms:W3CDTF">2025-04-25T10:38:00Z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50321</vt:lpwstr>
  </property>
  <property fmtid="{D5CDD505-2E9C-101B-9397-08002B2CF9AE}" pid="6" name="NEWPARTB">
    <vt:lpwstr>03</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אסמאעיל מואסי;מוסא חוג'יראת;מוחמד מריסאת</vt:lpwstr>
  </property>
  <property fmtid="{D5CDD505-2E9C-101B-9397-08002B2CF9AE}" pid="10" name="LAWYER">
    <vt:lpwstr>אילנה קוזמינר;מטאנס זידאן</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20161207</vt:lpwstr>
  </property>
  <property fmtid="{D5CDD505-2E9C-101B-9397-08002B2CF9AE}" pid="14" name="TYPE_N_DATE">
    <vt:lpwstr>39020161207</vt:lpwstr>
  </property>
  <property fmtid="{D5CDD505-2E9C-101B-9397-08002B2CF9AE}" pid="15" name="CASESLISTTMP1">
    <vt:lpwstr>6859579;5691883;17906409;20327935;18050273;7699730:2</vt:lpwstr>
  </property>
  <property fmtid="{D5CDD505-2E9C-101B-9397-08002B2CF9AE}" pid="16" name="WORDNUMPAGES">
    <vt:lpwstr>7</vt:lpwstr>
  </property>
  <property fmtid="{D5CDD505-2E9C-101B-9397-08002B2CF9AE}" pid="17" name="TYPE_ABS_DATE">
    <vt:lpwstr>390020161207</vt:lpwstr>
  </property>
  <property fmtid="{D5CDD505-2E9C-101B-9397-08002B2CF9AE}" pid="18" name="ISABSTRACT">
    <vt:lpwstr>Y</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70301/144.o.2;029:4;144.b;332.1;332.2;275a;040d</vt:lpwstr>
  </property>
</Properties>
</file>