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3F026C" w:rsidRPr="00B26AD1" w14:paraId="4B67318B" w14:textId="77777777" w:rsidTr="00B26AD1">
        <w:trPr>
          <w:trHeight w:hRule="exact" w:val="418"/>
          <w:jc w:val="center"/>
        </w:trPr>
        <w:tc>
          <w:tcPr>
            <w:tcW w:w="8505" w:type="dxa"/>
          </w:tcPr>
          <w:p w14:paraId="4A58CAC1" w14:textId="77777777" w:rsidR="003F026C" w:rsidRPr="00B26AD1" w:rsidRDefault="003F026C" w:rsidP="00B26AD1">
            <w:pPr>
              <w:pStyle w:val="a3"/>
              <w:jc w:val="center"/>
              <w:rPr>
                <w:rFonts w:ascii="Tahoma" w:hAnsi="Tahoma"/>
                <w:color w:val="000080"/>
                <w:sz w:val="32"/>
                <w:szCs w:val="32"/>
                <w:rtl/>
              </w:rPr>
            </w:pPr>
            <w:bookmarkStart w:id="0" w:name="LastJudge"/>
            <w:r w:rsidRPr="00B26AD1">
              <w:rPr>
                <w:rFonts w:ascii="Tahoma" w:hAnsi="Tahoma"/>
                <w:b/>
                <w:bCs/>
                <w:color w:val="000080"/>
                <w:sz w:val="32"/>
                <w:szCs w:val="32"/>
                <w:rtl/>
              </w:rPr>
              <w:t>בית</w:t>
            </w:r>
            <w:r w:rsidRPr="00B26AD1">
              <w:rPr>
                <w:rFonts w:ascii="Tahoma" w:hAnsi="Tahoma" w:hint="cs"/>
                <w:b/>
                <w:bCs/>
                <w:color w:val="000080"/>
                <w:sz w:val="32"/>
                <w:szCs w:val="32"/>
                <w:rtl/>
              </w:rPr>
              <w:t>-</w:t>
            </w:r>
            <w:r w:rsidRPr="00B26AD1">
              <w:rPr>
                <w:rFonts w:ascii="Tahoma" w:hAnsi="Tahoma"/>
                <w:b/>
                <w:bCs/>
                <w:color w:val="000080"/>
                <w:sz w:val="32"/>
                <w:szCs w:val="32"/>
                <w:rtl/>
              </w:rPr>
              <w:t>המשפט המחוזי בתל</w:t>
            </w:r>
            <w:r w:rsidRPr="00B26AD1">
              <w:rPr>
                <w:rFonts w:ascii="Tahoma" w:hAnsi="Tahoma" w:hint="cs"/>
                <w:b/>
                <w:bCs/>
                <w:color w:val="000080"/>
                <w:sz w:val="32"/>
                <w:szCs w:val="32"/>
                <w:rtl/>
              </w:rPr>
              <w:t>-</w:t>
            </w:r>
            <w:r w:rsidRPr="00B26AD1">
              <w:rPr>
                <w:rFonts w:ascii="Tahoma" w:hAnsi="Tahoma"/>
                <w:b/>
                <w:bCs/>
                <w:color w:val="000080"/>
                <w:sz w:val="32"/>
                <w:szCs w:val="32"/>
                <w:rtl/>
              </w:rPr>
              <w:t>אביב - יפו</w:t>
            </w:r>
          </w:p>
        </w:tc>
      </w:tr>
      <w:tr w:rsidR="003F026C" w:rsidRPr="00B26AD1" w14:paraId="68930174" w14:textId="77777777" w:rsidTr="00B26AD1">
        <w:trPr>
          <w:trHeight w:val="337"/>
          <w:jc w:val="center"/>
        </w:trPr>
        <w:tc>
          <w:tcPr>
            <w:tcW w:w="8505" w:type="dxa"/>
          </w:tcPr>
          <w:p w14:paraId="50E47CC2" w14:textId="77777777" w:rsidR="003F026C" w:rsidRPr="00B26AD1" w:rsidRDefault="003F026C" w:rsidP="00B26AD1">
            <w:pPr>
              <w:rPr>
                <w:sz w:val="22"/>
                <w:szCs w:val="22"/>
                <w:rtl/>
              </w:rPr>
            </w:pPr>
            <w:r w:rsidRPr="00B26AD1">
              <w:rPr>
                <w:sz w:val="22"/>
                <w:szCs w:val="22"/>
                <w:rtl/>
              </w:rPr>
              <w:t>ת"פ</w:t>
            </w:r>
            <w:r w:rsidRPr="00B26AD1">
              <w:rPr>
                <w:rFonts w:hint="cs"/>
                <w:sz w:val="22"/>
                <w:szCs w:val="22"/>
                <w:rtl/>
              </w:rPr>
              <w:t xml:space="preserve"> </w:t>
            </w:r>
            <w:r w:rsidRPr="00B26AD1">
              <w:rPr>
                <w:sz w:val="22"/>
                <w:szCs w:val="22"/>
                <w:rtl/>
              </w:rPr>
              <w:t>59260-03-16</w:t>
            </w:r>
            <w:r w:rsidRPr="00B26AD1">
              <w:rPr>
                <w:rFonts w:hint="cs"/>
                <w:sz w:val="22"/>
                <w:szCs w:val="22"/>
                <w:rtl/>
              </w:rPr>
              <w:t xml:space="preserve"> </w:t>
            </w:r>
            <w:r w:rsidRPr="00B26AD1">
              <w:rPr>
                <w:sz w:val="22"/>
                <w:szCs w:val="22"/>
                <w:rtl/>
              </w:rPr>
              <w:t>מדינת ישראל נ' חוסין</w:t>
            </w:r>
            <w:r w:rsidRPr="00B26AD1">
              <w:rPr>
                <w:rFonts w:hint="cs"/>
                <w:sz w:val="22"/>
                <w:szCs w:val="22"/>
                <w:rtl/>
              </w:rPr>
              <w:t xml:space="preserve">                                                                            28 בפברואר 2017</w:t>
            </w:r>
          </w:p>
        </w:tc>
      </w:tr>
    </w:tbl>
    <w:p w14:paraId="6AABBD51" w14:textId="77777777" w:rsidR="003F026C" w:rsidRPr="00B26AD1" w:rsidRDefault="003F026C" w:rsidP="003F026C">
      <w:pPr>
        <w:pStyle w:val="a3"/>
        <w:rPr>
          <w:rtl/>
        </w:rPr>
      </w:pPr>
    </w:p>
    <w:p w14:paraId="598AC822" w14:textId="77777777" w:rsidR="003F026C" w:rsidRPr="00B26AD1" w:rsidRDefault="003F026C" w:rsidP="003F026C">
      <w:pPr>
        <w:spacing w:line="48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863"/>
        <w:gridCol w:w="3367"/>
      </w:tblGrid>
      <w:tr w:rsidR="003F026C" w:rsidRPr="00B26AD1" w14:paraId="01E7AB01" w14:textId="77777777" w:rsidTr="00B26AD1">
        <w:trPr>
          <w:trHeight w:val="295"/>
          <w:jc w:val="center"/>
        </w:trPr>
        <w:tc>
          <w:tcPr>
            <w:tcW w:w="8820" w:type="dxa"/>
            <w:gridSpan w:val="3"/>
            <w:tcBorders>
              <w:top w:val="nil"/>
              <w:left w:val="nil"/>
              <w:bottom w:val="nil"/>
              <w:right w:val="nil"/>
            </w:tcBorders>
            <w:shd w:val="clear" w:color="auto" w:fill="auto"/>
          </w:tcPr>
          <w:p w14:paraId="3C2C95EC" w14:textId="77777777" w:rsidR="003F026C" w:rsidRPr="00B26AD1" w:rsidRDefault="003F026C" w:rsidP="00B26AD1">
            <w:pPr>
              <w:jc w:val="both"/>
              <w:rPr>
                <w:rFonts w:ascii="Arial" w:hAnsi="Arial"/>
                <w:b/>
                <w:bCs/>
                <w:sz w:val="26"/>
                <w:szCs w:val="26"/>
                <w:rtl/>
              </w:rPr>
            </w:pPr>
            <w:r w:rsidRPr="00B26AD1">
              <w:rPr>
                <w:rFonts w:ascii="Arial" w:hAnsi="Arial" w:hint="cs"/>
                <w:b/>
                <w:bCs/>
                <w:sz w:val="26"/>
                <w:szCs w:val="26"/>
                <w:rtl/>
              </w:rPr>
              <w:t>ל</w:t>
            </w:r>
            <w:r w:rsidRPr="00B26AD1">
              <w:rPr>
                <w:rFonts w:ascii="Arial" w:hAnsi="Arial"/>
                <w:b/>
                <w:bCs/>
                <w:sz w:val="26"/>
                <w:szCs w:val="26"/>
                <w:rtl/>
              </w:rPr>
              <w:t xml:space="preserve">פני </w:t>
            </w:r>
            <w:r w:rsidRPr="00B26AD1">
              <w:rPr>
                <w:rFonts w:ascii="Arial" w:hAnsi="Arial" w:hint="cs"/>
                <w:b/>
                <w:bCs/>
                <w:sz w:val="26"/>
                <w:szCs w:val="26"/>
                <w:rtl/>
              </w:rPr>
              <w:t>כבוד ה</w:t>
            </w:r>
            <w:r w:rsidRPr="00B26AD1">
              <w:rPr>
                <w:rFonts w:hint="cs"/>
                <w:b/>
                <w:bCs/>
                <w:sz w:val="26"/>
                <w:szCs w:val="26"/>
                <w:rtl/>
              </w:rPr>
              <w:t>שופט</w:t>
            </w:r>
            <w:r w:rsidRPr="00B26AD1">
              <w:rPr>
                <w:rFonts w:ascii="Arial" w:hAnsi="Arial" w:hint="cs"/>
                <w:b/>
                <w:bCs/>
                <w:sz w:val="26"/>
                <w:szCs w:val="26"/>
                <w:rtl/>
              </w:rPr>
              <w:t xml:space="preserve"> </w:t>
            </w:r>
            <w:r w:rsidRPr="00B26AD1">
              <w:rPr>
                <w:rFonts w:hint="cs"/>
                <w:b/>
                <w:bCs/>
                <w:sz w:val="26"/>
                <w:szCs w:val="26"/>
                <w:rtl/>
              </w:rPr>
              <w:t>ירון לוי</w:t>
            </w:r>
          </w:p>
          <w:p w14:paraId="158042D9" w14:textId="77777777" w:rsidR="003F026C" w:rsidRPr="00B26AD1" w:rsidRDefault="003F026C" w:rsidP="00B26AD1">
            <w:pPr>
              <w:rPr>
                <w:b/>
                <w:bCs/>
                <w:sz w:val="26"/>
                <w:szCs w:val="26"/>
                <w:rtl/>
              </w:rPr>
            </w:pPr>
          </w:p>
          <w:p w14:paraId="74913693" w14:textId="77777777" w:rsidR="003F026C" w:rsidRPr="00B26AD1" w:rsidRDefault="003F026C" w:rsidP="00B26AD1">
            <w:pPr>
              <w:jc w:val="both"/>
              <w:rPr>
                <w:rFonts w:ascii="Arial" w:hAnsi="Arial"/>
                <w:b/>
                <w:bCs/>
                <w:sz w:val="26"/>
                <w:szCs w:val="26"/>
              </w:rPr>
            </w:pPr>
          </w:p>
        </w:tc>
      </w:tr>
      <w:tr w:rsidR="003F026C" w:rsidRPr="00B26AD1" w14:paraId="4A9CBEA4" w14:textId="77777777" w:rsidTr="00B26AD1">
        <w:trPr>
          <w:trHeight w:val="355"/>
          <w:jc w:val="center"/>
        </w:trPr>
        <w:tc>
          <w:tcPr>
            <w:tcW w:w="1590" w:type="dxa"/>
            <w:tcBorders>
              <w:top w:val="nil"/>
              <w:left w:val="nil"/>
              <w:bottom w:val="nil"/>
              <w:right w:val="nil"/>
            </w:tcBorders>
            <w:shd w:val="clear" w:color="auto" w:fill="auto"/>
          </w:tcPr>
          <w:p w14:paraId="2F97F3BF" w14:textId="77777777" w:rsidR="003F026C" w:rsidRPr="00B26AD1" w:rsidRDefault="003F026C" w:rsidP="00B26AD1">
            <w:pPr>
              <w:jc w:val="both"/>
              <w:rPr>
                <w:rFonts w:ascii="Arial" w:hAnsi="Arial"/>
                <w:b/>
                <w:bCs/>
                <w:sz w:val="26"/>
                <w:szCs w:val="26"/>
              </w:rPr>
            </w:pPr>
            <w:bookmarkStart w:id="1" w:name="FirstAppellant"/>
            <w:bookmarkStart w:id="2" w:name="FirstLawyer"/>
            <w:r w:rsidRPr="00B26AD1">
              <w:rPr>
                <w:rFonts w:ascii="Arial" w:hAnsi="Arial" w:hint="cs"/>
                <w:b/>
                <w:bCs/>
                <w:sz w:val="26"/>
                <w:szCs w:val="26"/>
                <w:rtl/>
              </w:rPr>
              <w:t>ה</w:t>
            </w:r>
            <w:r w:rsidRPr="00B26AD1">
              <w:rPr>
                <w:rFonts w:hint="cs"/>
                <w:b/>
                <w:bCs/>
                <w:sz w:val="26"/>
                <w:szCs w:val="26"/>
                <w:rtl/>
              </w:rPr>
              <w:t>מאשימה</w:t>
            </w:r>
          </w:p>
        </w:tc>
        <w:tc>
          <w:tcPr>
            <w:tcW w:w="3863" w:type="dxa"/>
            <w:tcBorders>
              <w:top w:val="nil"/>
              <w:left w:val="nil"/>
              <w:bottom w:val="nil"/>
              <w:right w:val="nil"/>
            </w:tcBorders>
            <w:shd w:val="clear" w:color="auto" w:fill="auto"/>
          </w:tcPr>
          <w:p w14:paraId="736EAA92" w14:textId="77777777" w:rsidR="003F026C" w:rsidRPr="00B26AD1" w:rsidRDefault="003F026C" w:rsidP="00B26AD1">
            <w:pPr>
              <w:rPr>
                <w:b/>
                <w:bCs/>
                <w:sz w:val="26"/>
                <w:szCs w:val="26"/>
                <w:rtl/>
              </w:rPr>
            </w:pPr>
            <w:r w:rsidRPr="00B26AD1">
              <w:rPr>
                <w:rFonts w:hint="cs"/>
                <w:b/>
                <w:bCs/>
                <w:sz w:val="26"/>
                <w:szCs w:val="26"/>
                <w:rtl/>
              </w:rPr>
              <w:t>מדינת ישראל</w:t>
            </w:r>
          </w:p>
          <w:p w14:paraId="77929F1E" w14:textId="77777777" w:rsidR="003F026C" w:rsidRPr="00B26AD1" w:rsidRDefault="003F026C" w:rsidP="00B26AD1">
            <w:pPr>
              <w:rPr>
                <w:b/>
                <w:bCs/>
                <w:sz w:val="26"/>
                <w:szCs w:val="26"/>
              </w:rPr>
            </w:pPr>
            <w:r w:rsidRPr="00B26AD1">
              <w:rPr>
                <w:rFonts w:hint="cs"/>
                <w:b/>
                <w:bCs/>
                <w:sz w:val="26"/>
                <w:szCs w:val="26"/>
                <w:rtl/>
              </w:rPr>
              <w:t>ע"י ב"כ עו"ד דפנה יבין</w:t>
            </w:r>
          </w:p>
        </w:tc>
        <w:tc>
          <w:tcPr>
            <w:tcW w:w="3367" w:type="dxa"/>
            <w:tcBorders>
              <w:top w:val="nil"/>
              <w:left w:val="nil"/>
              <w:bottom w:val="nil"/>
              <w:right w:val="nil"/>
            </w:tcBorders>
            <w:shd w:val="clear" w:color="auto" w:fill="auto"/>
          </w:tcPr>
          <w:p w14:paraId="4EEF3A4F" w14:textId="77777777" w:rsidR="003F026C" w:rsidRPr="00B26AD1" w:rsidRDefault="003F026C" w:rsidP="00B26AD1">
            <w:pPr>
              <w:jc w:val="both"/>
              <w:rPr>
                <w:rFonts w:ascii="Arial" w:hAnsi="Arial"/>
                <w:b/>
                <w:bCs/>
                <w:sz w:val="26"/>
                <w:szCs w:val="26"/>
              </w:rPr>
            </w:pPr>
          </w:p>
        </w:tc>
      </w:tr>
      <w:bookmarkEnd w:id="1"/>
      <w:bookmarkEnd w:id="2"/>
      <w:tr w:rsidR="003F026C" w:rsidRPr="00B26AD1" w14:paraId="4A2BC80B" w14:textId="77777777" w:rsidTr="00B26AD1">
        <w:trPr>
          <w:trHeight w:val="355"/>
          <w:jc w:val="center"/>
        </w:trPr>
        <w:tc>
          <w:tcPr>
            <w:tcW w:w="1590" w:type="dxa"/>
            <w:tcBorders>
              <w:top w:val="nil"/>
              <w:left w:val="nil"/>
              <w:bottom w:val="nil"/>
              <w:right w:val="nil"/>
            </w:tcBorders>
            <w:shd w:val="clear" w:color="auto" w:fill="auto"/>
          </w:tcPr>
          <w:p w14:paraId="7A4A8087" w14:textId="77777777" w:rsidR="003F026C" w:rsidRPr="00B26AD1" w:rsidRDefault="003F026C" w:rsidP="00B26AD1">
            <w:pPr>
              <w:jc w:val="both"/>
              <w:rPr>
                <w:rFonts w:ascii="Arial" w:hAnsi="Arial"/>
                <w:b/>
                <w:bCs/>
                <w:sz w:val="26"/>
                <w:szCs w:val="26"/>
                <w:rtl/>
              </w:rPr>
            </w:pPr>
          </w:p>
        </w:tc>
        <w:tc>
          <w:tcPr>
            <w:tcW w:w="3863" w:type="dxa"/>
            <w:tcBorders>
              <w:top w:val="nil"/>
              <w:left w:val="nil"/>
              <w:bottom w:val="nil"/>
              <w:right w:val="nil"/>
            </w:tcBorders>
            <w:shd w:val="clear" w:color="auto" w:fill="auto"/>
          </w:tcPr>
          <w:p w14:paraId="1731AAEA" w14:textId="77777777" w:rsidR="003F026C" w:rsidRPr="00B26AD1" w:rsidRDefault="003F026C" w:rsidP="00B26AD1">
            <w:pPr>
              <w:rPr>
                <w:rFonts w:ascii="Arial" w:hAnsi="Arial"/>
                <w:b/>
                <w:bCs/>
                <w:sz w:val="26"/>
                <w:szCs w:val="26"/>
                <w:rtl/>
              </w:rPr>
            </w:pPr>
          </w:p>
        </w:tc>
        <w:tc>
          <w:tcPr>
            <w:tcW w:w="3367" w:type="dxa"/>
            <w:tcBorders>
              <w:top w:val="nil"/>
              <w:left w:val="nil"/>
              <w:bottom w:val="nil"/>
              <w:right w:val="nil"/>
            </w:tcBorders>
            <w:shd w:val="clear" w:color="auto" w:fill="auto"/>
          </w:tcPr>
          <w:p w14:paraId="67768DD3" w14:textId="77777777" w:rsidR="003F026C" w:rsidRPr="00B26AD1" w:rsidRDefault="003F026C" w:rsidP="00B26AD1">
            <w:pPr>
              <w:jc w:val="right"/>
              <w:rPr>
                <w:rFonts w:ascii="Arial" w:hAnsi="Arial"/>
                <w:b/>
                <w:bCs/>
                <w:sz w:val="26"/>
                <w:szCs w:val="26"/>
                <w:rtl/>
              </w:rPr>
            </w:pPr>
          </w:p>
        </w:tc>
      </w:tr>
      <w:tr w:rsidR="003F026C" w:rsidRPr="00B26AD1" w14:paraId="6008797D" w14:textId="77777777" w:rsidTr="00B26AD1">
        <w:trPr>
          <w:trHeight w:val="355"/>
          <w:jc w:val="center"/>
        </w:trPr>
        <w:tc>
          <w:tcPr>
            <w:tcW w:w="1590" w:type="dxa"/>
            <w:tcBorders>
              <w:top w:val="nil"/>
              <w:left w:val="nil"/>
              <w:bottom w:val="nil"/>
              <w:right w:val="nil"/>
            </w:tcBorders>
            <w:shd w:val="clear" w:color="auto" w:fill="auto"/>
          </w:tcPr>
          <w:p w14:paraId="0CA63986" w14:textId="77777777" w:rsidR="003F026C" w:rsidRPr="00B26AD1" w:rsidRDefault="003F026C" w:rsidP="00B26AD1">
            <w:pPr>
              <w:jc w:val="both"/>
              <w:rPr>
                <w:rFonts w:ascii="Arial" w:hAnsi="Arial"/>
                <w:b/>
                <w:bCs/>
                <w:sz w:val="26"/>
                <w:szCs w:val="26"/>
                <w:rtl/>
              </w:rPr>
            </w:pPr>
          </w:p>
        </w:tc>
        <w:tc>
          <w:tcPr>
            <w:tcW w:w="7230" w:type="dxa"/>
            <w:gridSpan w:val="2"/>
            <w:tcBorders>
              <w:top w:val="nil"/>
              <w:left w:val="nil"/>
              <w:bottom w:val="nil"/>
              <w:right w:val="nil"/>
            </w:tcBorders>
            <w:shd w:val="clear" w:color="auto" w:fill="auto"/>
          </w:tcPr>
          <w:p w14:paraId="5FF96FE4" w14:textId="77777777" w:rsidR="003F026C" w:rsidRPr="00B26AD1" w:rsidRDefault="003F026C" w:rsidP="00B26AD1">
            <w:pPr>
              <w:jc w:val="center"/>
              <w:rPr>
                <w:rFonts w:ascii="Arial" w:hAnsi="Arial"/>
                <w:b/>
                <w:bCs/>
                <w:sz w:val="26"/>
                <w:szCs w:val="26"/>
                <w:rtl/>
              </w:rPr>
            </w:pPr>
          </w:p>
          <w:p w14:paraId="7F467017" w14:textId="77777777" w:rsidR="003F026C" w:rsidRPr="00B26AD1" w:rsidRDefault="003F026C" w:rsidP="00B26AD1">
            <w:pPr>
              <w:rPr>
                <w:rFonts w:ascii="Arial" w:hAnsi="Arial"/>
                <w:b/>
                <w:bCs/>
                <w:sz w:val="26"/>
                <w:szCs w:val="26"/>
                <w:rtl/>
              </w:rPr>
            </w:pPr>
            <w:r w:rsidRPr="00B26AD1">
              <w:rPr>
                <w:rFonts w:ascii="Arial" w:hAnsi="Arial" w:hint="cs"/>
                <w:b/>
                <w:bCs/>
                <w:sz w:val="26"/>
                <w:szCs w:val="26"/>
                <w:rtl/>
              </w:rPr>
              <w:t xml:space="preserve">      </w:t>
            </w:r>
            <w:r w:rsidRPr="00B26AD1">
              <w:rPr>
                <w:rFonts w:ascii="Arial" w:hAnsi="Arial"/>
                <w:b/>
                <w:bCs/>
                <w:sz w:val="26"/>
                <w:szCs w:val="26"/>
                <w:rtl/>
              </w:rPr>
              <w:t>נגד</w:t>
            </w:r>
          </w:p>
          <w:p w14:paraId="4C4722A2" w14:textId="77777777" w:rsidR="003F026C" w:rsidRPr="00B26AD1" w:rsidRDefault="003F026C" w:rsidP="00B26AD1">
            <w:pPr>
              <w:jc w:val="both"/>
              <w:rPr>
                <w:rFonts w:ascii="Arial" w:hAnsi="Arial"/>
                <w:b/>
                <w:bCs/>
                <w:sz w:val="26"/>
                <w:szCs w:val="26"/>
              </w:rPr>
            </w:pPr>
          </w:p>
        </w:tc>
      </w:tr>
      <w:tr w:rsidR="003F026C" w:rsidRPr="00B26AD1" w14:paraId="4E39585D" w14:textId="77777777" w:rsidTr="00B26AD1">
        <w:trPr>
          <w:trHeight w:val="355"/>
          <w:jc w:val="center"/>
        </w:trPr>
        <w:tc>
          <w:tcPr>
            <w:tcW w:w="1590" w:type="dxa"/>
            <w:tcBorders>
              <w:top w:val="nil"/>
              <w:left w:val="nil"/>
              <w:bottom w:val="nil"/>
              <w:right w:val="nil"/>
            </w:tcBorders>
            <w:shd w:val="clear" w:color="auto" w:fill="auto"/>
          </w:tcPr>
          <w:p w14:paraId="4029AC0B" w14:textId="77777777" w:rsidR="003F026C" w:rsidRPr="00B26AD1" w:rsidRDefault="003F026C" w:rsidP="00B26AD1">
            <w:pPr>
              <w:rPr>
                <w:rFonts w:ascii="Arial" w:hAnsi="Arial"/>
                <w:b/>
                <w:bCs/>
                <w:sz w:val="26"/>
                <w:szCs w:val="26"/>
                <w:rtl/>
              </w:rPr>
            </w:pPr>
            <w:r w:rsidRPr="00B26AD1">
              <w:rPr>
                <w:rFonts w:ascii="Arial" w:hAnsi="Arial" w:hint="cs"/>
                <w:b/>
                <w:bCs/>
                <w:sz w:val="26"/>
                <w:szCs w:val="26"/>
                <w:rtl/>
              </w:rPr>
              <w:t>ה</w:t>
            </w:r>
            <w:r w:rsidRPr="00B26AD1">
              <w:rPr>
                <w:rFonts w:hint="cs"/>
                <w:b/>
                <w:bCs/>
                <w:sz w:val="26"/>
                <w:szCs w:val="26"/>
                <w:rtl/>
              </w:rPr>
              <w:t>נאשם</w:t>
            </w:r>
          </w:p>
        </w:tc>
        <w:tc>
          <w:tcPr>
            <w:tcW w:w="3863" w:type="dxa"/>
            <w:tcBorders>
              <w:top w:val="nil"/>
              <w:left w:val="nil"/>
              <w:bottom w:val="nil"/>
              <w:right w:val="nil"/>
            </w:tcBorders>
            <w:shd w:val="clear" w:color="auto" w:fill="auto"/>
          </w:tcPr>
          <w:p w14:paraId="19B9F099" w14:textId="77777777" w:rsidR="003F026C" w:rsidRPr="00B26AD1" w:rsidRDefault="003F026C" w:rsidP="00B26AD1">
            <w:pPr>
              <w:rPr>
                <w:b/>
                <w:bCs/>
                <w:sz w:val="26"/>
                <w:szCs w:val="26"/>
                <w:rtl/>
              </w:rPr>
            </w:pPr>
            <w:r w:rsidRPr="00B26AD1">
              <w:rPr>
                <w:rFonts w:hint="cs"/>
                <w:b/>
                <w:bCs/>
                <w:sz w:val="26"/>
                <w:szCs w:val="26"/>
                <w:rtl/>
              </w:rPr>
              <w:t>אכראם חוסין</w:t>
            </w:r>
          </w:p>
          <w:p w14:paraId="0D4FE5D1" w14:textId="77777777" w:rsidR="003F026C" w:rsidRPr="00B26AD1" w:rsidRDefault="003F026C" w:rsidP="00B26AD1">
            <w:pPr>
              <w:rPr>
                <w:b/>
                <w:bCs/>
                <w:sz w:val="26"/>
                <w:szCs w:val="26"/>
                <w:rtl/>
              </w:rPr>
            </w:pPr>
            <w:r w:rsidRPr="00B26AD1">
              <w:rPr>
                <w:rFonts w:hint="cs"/>
                <w:b/>
                <w:bCs/>
                <w:sz w:val="26"/>
                <w:szCs w:val="26"/>
                <w:rtl/>
              </w:rPr>
              <w:t>ע"י ב"כ עו"ד אסף גונן</w:t>
            </w:r>
          </w:p>
        </w:tc>
        <w:tc>
          <w:tcPr>
            <w:tcW w:w="3367" w:type="dxa"/>
            <w:tcBorders>
              <w:top w:val="nil"/>
              <w:left w:val="nil"/>
              <w:bottom w:val="nil"/>
              <w:right w:val="nil"/>
            </w:tcBorders>
            <w:shd w:val="clear" w:color="auto" w:fill="auto"/>
          </w:tcPr>
          <w:p w14:paraId="4D303A4C" w14:textId="77777777" w:rsidR="003F026C" w:rsidRPr="00B26AD1" w:rsidRDefault="003F026C" w:rsidP="00B26AD1">
            <w:pPr>
              <w:jc w:val="right"/>
              <w:rPr>
                <w:rFonts w:ascii="Arial" w:hAnsi="Arial"/>
                <w:b/>
                <w:bCs/>
                <w:sz w:val="26"/>
                <w:szCs w:val="26"/>
              </w:rPr>
            </w:pPr>
          </w:p>
        </w:tc>
      </w:tr>
      <w:tr w:rsidR="003F026C" w:rsidRPr="00B26AD1" w14:paraId="10B98D80" w14:textId="77777777" w:rsidTr="00B26AD1">
        <w:trPr>
          <w:trHeight w:val="355"/>
          <w:jc w:val="center"/>
        </w:trPr>
        <w:tc>
          <w:tcPr>
            <w:tcW w:w="1590" w:type="dxa"/>
            <w:tcBorders>
              <w:top w:val="nil"/>
              <w:left w:val="nil"/>
              <w:bottom w:val="nil"/>
              <w:right w:val="nil"/>
            </w:tcBorders>
            <w:shd w:val="clear" w:color="auto" w:fill="auto"/>
          </w:tcPr>
          <w:p w14:paraId="08FFD110" w14:textId="77777777" w:rsidR="003F026C" w:rsidRPr="00B26AD1" w:rsidRDefault="003F026C" w:rsidP="00B26AD1">
            <w:pPr>
              <w:jc w:val="both"/>
              <w:rPr>
                <w:rFonts w:ascii="Arial" w:hAnsi="Arial"/>
                <w:b/>
                <w:bCs/>
                <w:sz w:val="26"/>
                <w:szCs w:val="26"/>
                <w:rtl/>
              </w:rPr>
            </w:pPr>
          </w:p>
        </w:tc>
        <w:tc>
          <w:tcPr>
            <w:tcW w:w="3863" w:type="dxa"/>
            <w:tcBorders>
              <w:top w:val="nil"/>
              <w:left w:val="nil"/>
              <w:bottom w:val="nil"/>
              <w:right w:val="nil"/>
            </w:tcBorders>
            <w:shd w:val="clear" w:color="auto" w:fill="auto"/>
          </w:tcPr>
          <w:p w14:paraId="59040E28" w14:textId="77777777" w:rsidR="003F026C" w:rsidRPr="00B26AD1" w:rsidRDefault="003F026C" w:rsidP="00B26AD1">
            <w:pPr>
              <w:rPr>
                <w:rFonts w:ascii="Arial" w:hAnsi="Arial"/>
                <w:b/>
                <w:bCs/>
                <w:sz w:val="26"/>
                <w:szCs w:val="26"/>
              </w:rPr>
            </w:pPr>
          </w:p>
        </w:tc>
        <w:tc>
          <w:tcPr>
            <w:tcW w:w="3367" w:type="dxa"/>
            <w:tcBorders>
              <w:top w:val="nil"/>
              <w:left w:val="nil"/>
              <w:bottom w:val="nil"/>
              <w:right w:val="nil"/>
            </w:tcBorders>
            <w:shd w:val="clear" w:color="auto" w:fill="auto"/>
          </w:tcPr>
          <w:p w14:paraId="0B9FE8FB" w14:textId="77777777" w:rsidR="003F026C" w:rsidRPr="00B26AD1" w:rsidRDefault="003F026C" w:rsidP="00B26AD1">
            <w:pPr>
              <w:jc w:val="right"/>
              <w:rPr>
                <w:rFonts w:ascii="Arial" w:hAnsi="Arial"/>
                <w:b/>
                <w:bCs/>
                <w:sz w:val="26"/>
                <w:szCs w:val="26"/>
              </w:rPr>
            </w:pPr>
          </w:p>
        </w:tc>
      </w:tr>
    </w:tbl>
    <w:p w14:paraId="39761056" w14:textId="77777777" w:rsidR="00DA487A" w:rsidRPr="00DA487A" w:rsidRDefault="00DA487A" w:rsidP="00DA487A">
      <w:pPr>
        <w:spacing w:after="120" w:line="240" w:lineRule="exact"/>
        <w:ind w:left="283" w:hanging="283"/>
        <w:jc w:val="both"/>
        <w:rPr>
          <w:rFonts w:ascii="FrankRuehl" w:hAnsi="FrankRuehl" w:cs="FrankRuehl"/>
          <w:rtl/>
        </w:rPr>
      </w:pPr>
      <w:bookmarkStart w:id="3" w:name="LawTable"/>
      <w:bookmarkEnd w:id="3"/>
      <w:r w:rsidRPr="00DA487A">
        <w:rPr>
          <w:rFonts w:ascii="FrankRuehl" w:hAnsi="FrankRuehl" w:cs="FrankRuehl"/>
          <w:rtl/>
        </w:rPr>
        <w:t xml:space="preserve">חקיקה שאוזכרה: </w:t>
      </w:r>
    </w:p>
    <w:p w14:paraId="015D8CDC" w14:textId="77777777" w:rsidR="00DA487A" w:rsidRPr="00DA487A" w:rsidRDefault="00DA487A" w:rsidP="00DA487A">
      <w:pPr>
        <w:spacing w:after="120" w:line="240" w:lineRule="exact"/>
        <w:ind w:left="283" w:hanging="283"/>
        <w:jc w:val="both"/>
        <w:rPr>
          <w:rFonts w:ascii="FrankRuehl" w:hAnsi="FrankRuehl" w:cs="FrankRuehl"/>
          <w:rtl/>
        </w:rPr>
      </w:pPr>
      <w:hyperlink r:id="rId7" w:history="1">
        <w:r w:rsidRPr="00DA487A">
          <w:rPr>
            <w:rFonts w:ascii="FrankRuehl" w:hAnsi="FrankRuehl" w:cs="FrankRuehl"/>
            <w:color w:val="0000FF"/>
            <w:u w:val="single"/>
            <w:rtl/>
          </w:rPr>
          <w:t>חוק העונשין, תשל"ז-1977</w:t>
        </w:r>
      </w:hyperlink>
      <w:r w:rsidRPr="00DA487A">
        <w:rPr>
          <w:rFonts w:ascii="FrankRuehl" w:hAnsi="FrankRuehl" w:cs="FrankRuehl"/>
          <w:rtl/>
        </w:rPr>
        <w:t xml:space="preserve">: סע'  </w:t>
      </w:r>
      <w:hyperlink r:id="rId8" w:history="1">
        <w:r w:rsidRPr="00DA487A">
          <w:rPr>
            <w:rFonts w:ascii="FrankRuehl" w:hAnsi="FrankRuehl" w:cs="FrankRuehl"/>
            <w:color w:val="0000FF"/>
            <w:u w:val="single"/>
            <w:rtl/>
          </w:rPr>
          <w:t>144(א)</w:t>
        </w:r>
      </w:hyperlink>
      <w:r w:rsidRPr="00DA487A">
        <w:rPr>
          <w:rFonts w:ascii="FrankRuehl" w:hAnsi="FrankRuehl" w:cs="FrankRuehl"/>
          <w:rtl/>
        </w:rPr>
        <w:t xml:space="preserve">, </w:t>
      </w:r>
      <w:hyperlink r:id="rId9" w:history="1">
        <w:r w:rsidRPr="00DA487A">
          <w:rPr>
            <w:rFonts w:ascii="FrankRuehl" w:hAnsi="FrankRuehl" w:cs="FrankRuehl"/>
            <w:color w:val="0000FF"/>
            <w:u w:val="single"/>
            <w:rtl/>
          </w:rPr>
          <w:t>144(ב)</w:t>
        </w:r>
      </w:hyperlink>
    </w:p>
    <w:p w14:paraId="7CF190AF" w14:textId="77777777" w:rsidR="003F026C" w:rsidRPr="00B26AD1" w:rsidRDefault="003F026C" w:rsidP="003F026C">
      <w:pPr>
        <w:spacing w:line="360" w:lineRule="auto"/>
        <w:jc w:val="both"/>
        <w:rPr>
          <w:b/>
          <w:bCs/>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026C" w14:paraId="747015D1" w14:textId="77777777" w:rsidTr="00B26AD1">
        <w:trPr>
          <w:trHeight w:val="355"/>
          <w:jc w:val="center"/>
        </w:trPr>
        <w:tc>
          <w:tcPr>
            <w:tcW w:w="8820" w:type="dxa"/>
            <w:tcBorders>
              <w:top w:val="nil"/>
              <w:left w:val="nil"/>
              <w:bottom w:val="nil"/>
              <w:right w:val="nil"/>
            </w:tcBorders>
            <w:shd w:val="clear" w:color="auto" w:fill="auto"/>
          </w:tcPr>
          <w:p w14:paraId="5A4895B1" w14:textId="77777777" w:rsidR="00B26AD1" w:rsidRPr="00B26AD1" w:rsidRDefault="00B26AD1" w:rsidP="00B26AD1">
            <w:pPr>
              <w:jc w:val="center"/>
              <w:rPr>
                <w:rFonts w:ascii="Arial" w:hAnsi="Arial"/>
                <w:b/>
                <w:bCs/>
                <w:sz w:val="32"/>
                <w:szCs w:val="32"/>
                <w:u w:val="single"/>
                <w:rtl/>
              </w:rPr>
            </w:pPr>
            <w:bookmarkStart w:id="4" w:name="PsakDin" w:colFirst="0" w:colLast="0"/>
            <w:bookmarkEnd w:id="0"/>
            <w:r w:rsidRPr="00B26AD1">
              <w:rPr>
                <w:rFonts w:ascii="Arial" w:hAnsi="Arial"/>
                <w:b/>
                <w:bCs/>
                <w:sz w:val="32"/>
                <w:szCs w:val="32"/>
                <w:u w:val="single"/>
                <w:rtl/>
              </w:rPr>
              <w:t>גזר-דין</w:t>
            </w:r>
          </w:p>
          <w:p w14:paraId="2DA37FF1" w14:textId="77777777" w:rsidR="003F026C" w:rsidRPr="00B26AD1" w:rsidRDefault="003F026C" w:rsidP="00B26AD1">
            <w:pPr>
              <w:jc w:val="center"/>
              <w:rPr>
                <w:rFonts w:ascii="Arial" w:hAnsi="Arial"/>
                <w:bCs/>
                <w:sz w:val="28"/>
                <w:szCs w:val="28"/>
                <w:u w:val="single"/>
                <w:rtl/>
              </w:rPr>
            </w:pPr>
          </w:p>
        </w:tc>
      </w:tr>
    </w:tbl>
    <w:bookmarkEnd w:id="4"/>
    <w:p w14:paraId="0B01E7E4" w14:textId="77777777" w:rsidR="003F026C" w:rsidRDefault="003F026C" w:rsidP="003F026C">
      <w:pPr>
        <w:spacing w:line="360" w:lineRule="auto"/>
        <w:jc w:val="both"/>
        <w:rPr>
          <w:b/>
          <w:bCs/>
          <w:sz w:val="26"/>
          <w:szCs w:val="26"/>
          <w:rtl/>
        </w:rPr>
      </w:pPr>
      <w:r>
        <w:rPr>
          <w:rFonts w:hint="cs"/>
          <w:b/>
          <w:bCs/>
          <w:sz w:val="26"/>
          <w:szCs w:val="26"/>
          <w:u w:val="single"/>
          <w:rtl/>
        </w:rPr>
        <w:t>העבירות</w:t>
      </w:r>
    </w:p>
    <w:p w14:paraId="6329DE22"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הנאשם הורשע, על יסוד הודאתו, במסגרת הסדר טיעון, ב</w:t>
      </w:r>
      <w:bookmarkStart w:id="5" w:name="ABSTRACT_START"/>
      <w:bookmarkEnd w:id="5"/>
      <w:r>
        <w:rPr>
          <w:rFonts w:cs="David" w:hint="cs"/>
          <w:sz w:val="24"/>
          <w:szCs w:val="24"/>
          <w:rtl/>
        </w:rPr>
        <w:t xml:space="preserve">כתב אישום מתוקן, בעבירות של נשיאת נשק בלא רשות, על פי דין, לפי </w:t>
      </w:r>
      <w:hyperlink r:id="rId10" w:history="1">
        <w:r w:rsidR="00DA487A" w:rsidRPr="00DA487A">
          <w:rPr>
            <w:rFonts w:cs="David" w:hint="cs"/>
            <w:color w:val="0000FF"/>
            <w:sz w:val="24"/>
            <w:szCs w:val="24"/>
            <w:u w:val="single"/>
            <w:rtl/>
          </w:rPr>
          <w:t>סעיף</w:t>
        </w:r>
        <w:r w:rsidR="00DA487A" w:rsidRPr="00DA487A">
          <w:rPr>
            <w:rFonts w:cs="David"/>
            <w:color w:val="0000FF"/>
            <w:sz w:val="24"/>
            <w:szCs w:val="24"/>
            <w:u w:val="single"/>
            <w:rtl/>
          </w:rPr>
          <w:t xml:space="preserve"> 144(</w:t>
        </w:r>
        <w:r w:rsidR="00DA487A" w:rsidRPr="00DA487A">
          <w:rPr>
            <w:rFonts w:cs="David" w:hint="cs"/>
            <w:color w:val="0000FF"/>
            <w:sz w:val="24"/>
            <w:szCs w:val="24"/>
            <w:u w:val="single"/>
            <w:rtl/>
          </w:rPr>
          <w:t>ב</w:t>
        </w:r>
        <w:r w:rsidR="00DA487A" w:rsidRPr="00DA487A">
          <w:rPr>
            <w:rFonts w:cs="David"/>
            <w:color w:val="0000FF"/>
            <w:sz w:val="24"/>
            <w:szCs w:val="24"/>
            <w:u w:val="single"/>
            <w:rtl/>
          </w:rPr>
          <w:t>)</w:t>
        </w:r>
      </w:hyperlink>
      <w:r>
        <w:rPr>
          <w:rFonts w:cs="David" w:hint="cs"/>
          <w:sz w:val="24"/>
          <w:szCs w:val="24"/>
          <w:rtl/>
        </w:rPr>
        <w:t xml:space="preserve"> רישא+סיפא ל</w:t>
      </w:r>
      <w:hyperlink r:id="rId11" w:history="1">
        <w:r w:rsidR="00B26AD1" w:rsidRPr="00B26AD1">
          <w:rPr>
            <w:rFonts w:cs="David" w:hint="cs"/>
            <w:color w:val="0000FF"/>
            <w:sz w:val="24"/>
            <w:szCs w:val="24"/>
            <w:u w:val="single"/>
            <w:rtl/>
          </w:rPr>
          <w:t>חוק</w:t>
        </w:r>
        <w:r w:rsidR="00B26AD1" w:rsidRPr="00B26AD1">
          <w:rPr>
            <w:rFonts w:cs="David"/>
            <w:color w:val="0000FF"/>
            <w:sz w:val="24"/>
            <w:szCs w:val="24"/>
            <w:u w:val="single"/>
            <w:rtl/>
          </w:rPr>
          <w:t xml:space="preserve"> </w:t>
        </w:r>
        <w:r w:rsidR="00B26AD1" w:rsidRPr="00B26AD1">
          <w:rPr>
            <w:rFonts w:cs="David" w:hint="cs"/>
            <w:color w:val="0000FF"/>
            <w:sz w:val="24"/>
            <w:szCs w:val="24"/>
            <w:u w:val="single"/>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 xml:space="preserve">") והחזקת נשק בלא רשות על פי דין, לפי </w:t>
      </w:r>
      <w:hyperlink r:id="rId12" w:history="1">
        <w:r w:rsidR="00DA487A" w:rsidRPr="00DA487A">
          <w:rPr>
            <w:rFonts w:cs="David" w:hint="cs"/>
            <w:color w:val="0000FF"/>
            <w:sz w:val="24"/>
            <w:szCs w:val="24"/>
            <w:u w:val="single"/>
            <w:rtl/>
          </w:rPr>
          <w:t>סעיף</w:t>
        </w:r>
        <w:r w:rsidR="00DA487A" w:rsidRPr="00DA487A">
          <w:rPr>
            <w:rFonts w:cs="David"/>
            <w:color w:val="0000FF"/>
            <w:sz w:val="24"/>
            <w:szCs w:val="24"/>
            <w:u w:val="single"/>
            <w:rtl/>
          </w:rPr>
          <w:t xml:space="preserve"> 144(</w:t>
        </w:r>
        <w:r w:rsidR="00DA487A" w:rsidRPr="00DA487A">
          <w:rPr>
            <w:rFonts w:cs="David" w:hint="cs"/>
            <w:color w:val="0000FF"/>
            <w:sz w:val="24"/>
            <w:szCs w:val="24"/>
            <w:u w:val="single"/>
            <w:rtl/>
          </w:rPr>
          <w:t>א</w:t>
        </w:r>
        <w:r w:rsidR="00DA487A" w:rsidRPr="00DA487A">
          <w:rPr>
            <w:rFonts w:cs="David"/>
            <w:color w:val="0000FF"/>
            <w:sz w:val="24"/>
            <w:szCs w:val="24"/>
            <w:u w:val="single"/>
            <w:rtl/>
          </w:rPr>
          <w:t>)</w:t>
        </w:r>
      </w:hyperlink>
      <w:r>
        <w:rPr>
          <w:rFonts w:cs="David" w:hint="cs"/>
          <w:sz w:val="24"/>
          <w:szCs w:val="24"/>
          <w:rtl/>
        </w:rPr>
        <w:t xml:space="preserve"> רישא+סיפא לחוק. </w:t>
      </w:r>
      <w:bookmarkStart w:id="6" w:name="ABSTRACT_END"/>
      <w:bookmarkEnd w:id="6"/>
    </w:p>
    <w:p w14:paraId="583BA30E" w14:textId="77777777" w:rsidR="003F026C" w:rsidRDefault="003F026C" w:rsidP="003F026C">
      <w:pPr>
        <w:spacing w:line="360" w:lineRule="auto"/>
        <w:jc w:val="both"/>
        <w:rPr>
          <w:rtl/>
        </w:rPr>
      </w:pPr>
    </w:p>
    <w:p w14:paraId="02EB2EB9" w14:textId="77777777" w:rsidR="003F026C" w:rsidRPr="008A34B5" w:rsidRDefault="003F026C" w:rsidP="003F026C">
      <w:pPr>
        <w:spacing w:line="360" w:lineRule="auto"/>
        <w:jc w:val="both"/>
        <w:rPr>
          <w:b/>
          <w:bCs/>
          <w:sz w:val="26"/>
          <w:szCs w:val="26"/>
          <w:rtl/>
        </w:rPr>
      </w:pPr>
      <w:r w:rsidRPr="008A34B5">
        <w:rPr>
          <w:rFonts w:hint="cs"/>
          <w:b/>
          <w:bCs/>
          <w:sz w:val="26"/>
          <w:szCs w:val="26"/>
          <w:u w:val="single"/>
          <w:rtl/>
        </w:rPr>
        <w:t>העובדות</w:t>
      </w:r>
    </w:p>
    <w:p w14:paraId="136C327F"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ואלה העובדות שעל-יסודן הורשע הנאשם:</w:t>
      </w:r>
    </w:p>
    <w:p w14:paraId="38D9E9F6" w14:textId="77777777" w:rsidR="003F026C" w:rsidRDefault="003F026C" w:rsidP="003F026C">
      <w:pPr>
        <w:pStyle w:val="ListParagraph"/>
        <w:numPr>
          <w:ilvl w:val="0"/>
          <w:numId w:val="2"/>
        </w:numPr>
        <w:spacing w:line="360" w:lineRule="auto"/>
        <w:jc w:val="both"/>
        <w:rPr>
          <w:rFonts w:cs="David"/>
          <w:sz w:val="24"/>
          <w:szCs w:val="24"/>
          <w:rtl/>
        </w:rPr>
      </w:pPr>
      <w:r>
        <w:rPr>
          <w:rFonts w:cs="David" w:hint="cs"/>
          <w:sz w:val="24"/>
          <w:szCs w:val="24"/>
          <w:rtl/>
        </w:rPr>
        <w:t>החל ממועד שאינו ידוע למאשימה ועד לתאריך 23.3.16, החזיק הנאשם במחסן חנות הדגים שבה עבד, ברחוב נווה שאנן 37 בתל-אביב (להלן: "</w:t>
      </w:r>
      <w:r>
        <w:rPr>
          <w:rFonts w:cs="David" w:hint="cs"/>
          <w:b/>
          <w:bCs/>
          <w:sz w:val="24"/>
          <w:szCs w:val="24"/>
          <w:rtl/>
        </w:rPr>
        <w:t>החנות</w:t>
      </w:r>
      <w:r>
        <w:rPr>
          <w:rFonts w:cs="David" w:hint="cs"/>
          <w:sz w:val="24"/>
          <w:szCs w:val="24"/>
          <w:rtl/>
        </w:rPr>
        <w:t xml:space="preserve">"), אקדח 9 מ"מ מסוג 'גלוק' בצבע שחור, מ.ר. </w:t>
      </w:r>
      <w:r>
        <w:rPr>
          <w:rFonts w:cs="David"/>
          <w:sz w:val="24"/>
          <w:szCs w:val="24"/>
        </w:rPr>
        <w:t>F.V.458</w:t>
      </w:r>
      <w:r>
        <w:rPr>
          <w:rFonts w:cs="David" w:hint="cs"/>
          <w:sz w:val="24"/>
          <w:szCs w:val="24"/>
          <w:rtl/>
        </w:rPr>
        <w:t xml:space="preserve"> (להלן: "</w:t>
      </w:r>
      <w:r>
        <w:rPr>
          <w:rFonts w:cs="David" w:hint="cs"/>
          <w:b/>
          <w:bCs/>
          <w:sz w:val="24"/>
          <w:szCs w:val="24"/>
          <w:rtl/>
        </w:rPr>
        <w:t>האקדח</w:t>
      </w:r>
      <w:r>
        <w:rPr>
          <w:rFonts w:cs="David" w:hint="cs"/>
          <w:sz w:val="24"/>
          <w:szCs w:val="24"/>
          <w:rtl/>
        </w:rPr>
        <w:t>") ללא היתר כדין, כשהוא עטוף בשקית שחורה, וכן תחמושת מסוג מחסנית המתאימה לאקדח שבתוכה 14 כדורי קליבר 9 מ"מ (להלן יחד: "</w:t>
      </w:r>
      <w:r>
        <w:rPr>
          <w:rFonts w:cs="David" w:hint="cs"/>
          <w:b/>
          <w:bCs/>
          <w:sz w:val="24"/>
          <w:szCs w:val="24"/>
          <w:rtl/>
        </w:rPr>
        <w:t>הנשק</w:t>
      </w:r>
      <w:r>
        <w:rPr>
          <w:rFonts w:cs="David" w:hint="cs"/>
          <w:sz w:val="24"/>
          <w:szCs w:val="24"/>
          <w:rtl/>
        </w:rPr>
        <w:t>").</w:t>
      </w:r>
    </w:p>
    <w:p w14:paraId="1AF15936" w14:textId="77777777" w:rsidR="003F026C" w:rsidRDefault="003F026C" w:rsidP="003F026C">
      <w:pPr>
        <w:pStyle w:val="ListParagraph"/>
        <w:numPr>
          <w:ilvl w:val="0"/>
          <w:numId w:val="2"/>
        </w:numPr>
        <w:spacing w:line="360" w:lineRule="auto"/>
        <w:jc w:val="both"/>
        <w:rPr>
          <w:rFonts w:cs="David"/>
          <w:sz w:val="24"/>
          <w:szCs w:val="24"/>
        </w:rPr>
      </w:pPr>
      <w:r>
        <w:rPr>
          <w:rFonts w:cs="David" w:hint="cs"/>
          <w:sz w:val="24"/>
          <w:szCs w:val="24"/>
          <w:rtl/>
        </w:rPr>
        <w:t xml:space="preserve">ביום 23.3.16 סמוך לשעה 7:30 הגיעו הנאשם ואחר לרחוב התחייה 19, תל אביב-יפו, ומיד לאחר הגיעם למקום, נורו יריות לעבר האחר. בעקבות הירי ומיד לאחריו, </w:t>
      </w:r>
      <w:r>
        <w:rPr>
          <w:rFonts w:cs="David" w:hint="cs"/>
          <w:sz w:val="24"/>
          <w:szCs w:val="24"/>
          <w:rtl/>
        </w:rPr>
        <w:lastRenderedPageBreak/>
        <w:t>ולאחר שהאחר נמלט רגלית מהמקום, נסע הנאשם לבדו ברכב מסוג "מרצדס" (להלן: "</w:t>
      </w:r>
      <w:r>
        <w:rPr>
          <w:rFonts w:cs="David" w:hint="cs"/>
          <w:b/>
          <w:bCs/>
          <w:sz w:val="24"/>
          <w:szCs w:val="24"/>
          <w:rtl/>
        </w:rPr>
        <w:t>הרכב</w:t>
      </w:r>
      <w:r>
        <w:rPr>
          <w:rFonts w:cs="David" w:hint="cs"/>
          <w:sz w:val="24"/>
          <w:szCs w:val="24"/>
          <w:rtl/>
        </w:rPr>
        <w:t xml:space="preserve">"), למחסן החנות שבו הוחזק הנשק, נטל ונשא משם את הנשק. </w:t>
      </w:r>
    </w:p>
    <w:p w14:paraId="37F83419" w14:textId="77777777" w:rsidR="003F026C" w:rsidRDefault="003F026C" w:rsidP="003F026C">
      <w:pPr>
        <w:pStyle w:val="ListParagraph"/>
        <w:numPr>
          <w:ilvl w:val="0"/>
          <w:numId w:val="2"/>
        </w:numPr>
        <w:spacing w:line="360" w:lineRule="auto"/>
        <w:jc w:val="both"/>
        <w:rPr>
          <w:rFonts w:cs="David"/>
          <w:sz w:val="24"/>
          <w:szCs w:val="24"/>
        </w:rPr>
      </w:pPr>
      <w:r>
        <w:rPr>
          <w:rFonts w:cs="David" w:hint="cs"/>
          <w:sz w:val="24"/>
          <w:szCs w:val="24"/>
          <w:rtl/>
        </w:rPr>
        <w:t>הנאשם שב לרכב כשהוא מצויד בנשק ובתחמושת ונסע מהמקום. בהמשך לכך, נסע הנאשם לבדו ברכב על מנת לחפש את האחר, עד שהגיע לרחוב המנוע 2, תל אביב-יפו.</w:t>
      </w:r>
    </w:p>
    <w:p w14:paraId="47F387DC" w14:textId="77777777" w:rsidR="003F026C" w:rsidRDefault="003F026C" w:rsidP="003F026C">
      <w:pPr>
        <w:spacing w:line="360" w:lineRule="auto"/>
        <w:jc w:val="both"/>
        <w:rPr>
          <w:rtl/>
        </w:rPr>
      </w:pPr>
    </w:p>
    <w:p w14:paraId="64AFE886" w14:textId="77777777" w:rsidR="003F026C" w:rsidRDefault="003F026C" w:rsidP="003F026C">
      <w:pPr>
        <w:spacing w:line="360" w:lineRule="auto"/>
        <w:jc w:val="both"/>
        <w:rPr>
          <w:b/>
          <w:bCs/>
          <w:sz w:val="26"/>
          <w:szCs w:val="26"/>
          <w:rtl/>
        </w:rPr>
      </w:pPr>
      <w:r>
        <w:rPr>
          <w:rFonts w:hint="cs"/>
          <w:b/>
          <w:bCs/>
          <w:sz w:val="26"/>
          <w:szCs w:val="26"/>
          <w:u w:val="single"/>
          <w:rtl/>
        </w:rPr>
        <w:t>הסדר-הטיעון</w:t>
      </w:r>
    </w:p>
    <w:p w14:paraId="4B784235"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במסגרת ההסדר תוקן כתב האישום, ובהסכמת הצדדים הופנה הנאשם לקבלת תסקיר שירות המבחן, תוך שהודגש שהתביעה אינה מחויבת לאימוץ המלצותיו.</w:t>
      </w:r>
    </w:p>
    <w:p w14:paraId="5F90C9D0" w14:textId="77777777" w:rsidR="003F026C" w:rsidRDefault="003F026C" w:rsidP="003F026C">
      <w:pPr>
        <w:pStyle w:val="ListParagraph"/>
        <w:spacing w:line="360" w:lineRule="auto"/>
        <w:jc w:val="both"/>
        <w:rPr>
          <w:rFonts w:cs="David"/>
          <w:sz w:val="24"/>
          <w:szCs w:val="24"/>
        </w:rPr>
      </w:pPr>
      <w:r>
        <w:rPr>
          <w:rFonts w:cs="David" w:hint="cs"/>
          <w:sz w:val="24"/>
          <w:szCs w:val="24"/>
          <w:rtl/>
        </w:rPr>
        <w:t>הצדדים לא הגיעו להסכמה עונשית.</w:t>
      </w:r>
    </w:p>
    <w:p w14:paraId="509B133E" w14:textId="77777777" w:rsidR="003F026C" w:rsidRDefault="003F026C" w:rsidP="003F026C">
      <w:pPr>
        <w:spacing w:line="360" w:lineRule="auto"/>
        <w:jc w:val="both"/>
        <w:rPr>
          <w:rtl/>
        </w:rPr>
      </w:pPr>
    </w:p>
    <w:p w14:paraId="683E13D4" w14:textId="77777777" w:rsidR="003F026C" w:rsidRDefault="003F026C" w:rsidP="003F026C">
      <w:pPr>
        <w:spacing w:line="360" w:lineRule="auto"/>
        <w:jc w:val="both"/>
        <w:rPr>
          <w:b/>
          <w:bCs/>
          <w:sz w:val="26"/>
          <w:szCs w:val="26"/>
          <w:rtl/>
        </w:rPr>
      </w:pPr>
      <w:r>
        <w:rPr>
          <w:rFonts w:hint="cs"/>
          <w:b/>
          <w:bCs/>
          <w:sz w:val="26"/>
          <w:szCs w:val="26"/>
          <w:u w:val="single"/>
          <w:rtl/>
        </w:rPr>
        <w:t>השתלשלות ההליכים</w:t>
      </w:r>
    </w:p>
    <w:p w14:paraId="308B91D8"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לאור התנהלות הנאשם והיעדר שיתוף פעולה מצדו, לא הוגש תסקיר שירות המבחן, כפי שיפורט להלן: </w:t>
      </w:r>
    </w:p>
    <w:p w14:paraId="7566DF89" w14:textId="77777777" w:rsidR="003F026C" w:rsidRDefault="003F026C" w:rsidP="003F026C">
      <w:pPr>
        <w:pStyle w:val="ListParagraph"/>
        <w:numPr>
          <w:ilvl w:val="0"/>
          <w:numId w:val="3"/>
        </w:numPr>
        <w:spacing w:line="360" w:lineRule="auto"/>
        <w:jc w:val="both"/>
        <w:rPr>
          <w:rFonts w:cs="David"/>
          <w:sz w:val="24"/>
          <w:szCs w:val="24"/>
          <w:rtl/>
        </w:rPr>
      </w:pPr>
      <w:r>
        <w:rPr>
          <w:rFonts w:cs="David" w:hint="cs"/>
          <w:sz w:val="24"/>
          <w:szCs w:val="24"/>
          <w:rtl/>
        </w:rPr>
        <w:t>במועד מתן הכרעת הדין, 3/7/16, הורה בית המשפט על קבלת תסקיר שירות המבחן.</w:t>
      </w:r>
    </w:p>
    <w:p w14:paraId="069A8355"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במועד הדיון הנדחה, 6/11/16, נתברר כי בשל תקלה לא הוגש תסקיר, והדיון נדחה ליום 16/2/17. </w:t>
      </w:r>
    </w:p>
    <w:p w14:paraId="70AD1164"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ביום 1/2/17 הודיע השירות כי הנאשם הוזמן באמצעות סניגורו למפגש אבחון ביום 3/1/17. הנאשם לא הגיע ולא עדכן בנוגע לסיבת אי-הגעתו.</w:t>
      </w:r>
    </w:p>
    <w:p w14:paraId="3A812E67" w14:textId="77777777" w:rsidR="003F026C" w:rsidRDefault="003F026C" w:rsidP="003F026C">
      <w:pPr>
        <w:pStyle w:val="ListParagraph"/>
        <w:spacing w:line="360" w:lineRule="auto"/>
        <w:ind w:left="1080"/>
        <w:jc w:val="both"/>
        <w:rPr>
          <w:rFonts w:cs="David"/>
          <w:sz w:val="24"/>
          <w:szCs w:val="24"/>
        </w:rPr>
      </w:pPr>
      <w:r>
        <w:rPr>
          <w:rFonts w:cs="David" w:hint="cs"/>
          <w:sz w:val="24"/>
          <w:szCs w:val="24"/>
          <w:rtl/>
        </w:rPr>
        <w:t xml:space="preserve">בעקבות זאת, יצרה קצינת המבחן קשר עם הסניגור, שציין בפניה כי הנאשם עודכן בנוגע למועד המפגש, וכי אינו יודע את סיבת אי-הגעתו. </w:t>
      </w:r>
    </w:p>
    <w:p w14:paraId="08DDEFAD" w14:textId="77777777" w:rsidR="003F026C" w:rsidRDefault="003F026C" w:rsidP="003F026C">
      <w:pPr>
        <w:pStyle w:val="ListParagraph"/>
        <w:numPr>
          <w:ilvl w:val="0"/>
          <w:numId w:val="3"/>
        </w:numPr>
        <w:spacing w:line="360" w:lineRule="auto"/>
        <w:jc w:val="both"/>
        <w:rPr>
          <w:rFonts w:cs="David"/>
          <w:sz w:val="24"/>
          <w:szCs w:val="24"/>
          <w:rtl/>
        </w:rPr>
      </w:pPr>
      <w:r>
        <w:rPr>
          <w:rFonts w:cs="David" w:hint="cs"/>
          <w:sz w:val="24"/>
          <w:szCs w:val="24"/>
          <w:rtl/>
        </w:rPr>
        <w:t xml:space="preserve">למרות זאת, זומן הנאשם בשנית, למפגש ביום 24/1/17. גם למפגש זה לא הגיע הנאשם ולא יצר קשר עם השירות ביחס לסיבת אי-הגעתו. </w:t>
      </w:r>
    </w:p>
    <w:p w14:paraId="4540738C"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במועד הטיעונים לעונש ביקש הסניגור לדחות שוב את הדיון, לצורך הגשת תסקיר שירות המבחן, וזאת מאחר שלטענתו, מדובר באי-הבנה של הנאשם. </w:t>
      </w:r>
    </w:p>
    <w:p w14:paraId="549DA86F"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בעקבות זאת, הורה בית המשפט על הפסקה בדיון לצורך בירור משותף של ב"כ הצדדים עם קצינת המבחן, באשר לנסיבות אי-התייצבות הנאשם, לשני המפגשים אליהם זומן. </w:t>
      </w:r>
    </w:p>
    <w:p w14:paraId="3F539DB7"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מהבירור עולה שאין בסיס לטענת אי-ההבנה של הנאשם, וכי בעינה עומדת מסקנת שירות המבחן בדבר אי-שיתוף הפעולה של הנאשם עמו. </w:t>
      </w:r>
    </w:p>
    <w:p w14:paraId="05D644D5"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בנסיבות אלה, נדחתה הבקשה לדחיית הדיון וב"כ הצדדים טענו לעונש.  </w:t>
      </w:r>
    </w:p>
    <w:p w14:paraId="081B6092" w14:textId="77777777" w:rsidR="003F026C" w:rsidRDefault="003F026C" w:rsidP="003F026C">
      <w:pPr>
        <w:spacing w:line="360" w:lineRule="auto"/>
        <w:jc w:val="both"/>
        <w:rPr>
          <w:b/>
          <w:bCs/>
          <w:sz w:val="26"/>
          <w:szCs w:val="26"/>
          <w:u w:val="single"/>
          <w:rtl/>
        </w:rPr>
      </w:pPr>
    </w:p>
    <w:p w14:paraId="1D547591" w14:textId="77777777" w:rsidR="003F026C" w:rsidRDefault="003F026C" w:rsidP="003F026C">
      <w:pPr>
        <w:spacing w:line="360" w:lineRule="auto"/>
        <w:jc w:val="both"/>
        <w:rPr>
          <w:sz w:val="26"/>
          <w:szCs w:val="26"/>
        </w:rPr>
      </w:pPr>
      <w:r>
        <w:rPr>
          <w:rFonts w:hint="cs"/>
          <w:b/>
          <w:bCs/>
          <w:sz w:val="26"/>
          <w:szCs w:val="26"/>
          <w:u w:val="single"/>
          <w:rtl/>
        </w:rPr>
        <w:lastRenderedPageBreak/>
        <w:t>ראיות ההגנה</w:t>
      </w:r>
    </w:p>
    <w:p w14:paraId="4C2EFBD0" w14:textId="77777777" w:rsidR="003F026C" w:rsidRDefault="003F026C" w:rsidP="003F026C">
      <w:pPr>
        <w:numPr>
          <w:ilvl w:val="0"/>
          <w:numId w:val="1"/>
        </w:numPr>
        <w:spacing w:after="160" w:line="360" w:lineRule="auto"/>
        <w:jc w:val="both"/>
        <w:rPr>
          <w:rtl/>
        </w:rPr>
      </w:pPr>
      <w:r>
        <w:rPr>
          <w:rFonts w:hint="cs"/>
          <w:rtl/>
        </w:rPr>
        <w:t>מטעם הנאשם הוגשו, בין היתר, אישורים לפיהם שימש הנאשם כמתנדב במשטרת ישראל (</w:t>
      </w:r>
      <w:r>
        <w:rPr>
          <w:rFonts w:hint="cs"/>
          <w:b/>
          <w:bCs/>
          <w:rtl/>
        </w:rPr>
        <w:t>נ/1-נ/2</w:t>
      </w:r>
      <w:r>
        <w:rPr>
          <w:rFonts w:hint="cs"/>
          <w:rtl/>
        </w:rPr>
        <w:t>), סיים קורס של משטרת ישראל כמאבטח (</w:t>
      </w:r>
      <w:r>
        <w:rPr>
          <w:rFonts w:hint="cs"/>
          <w:b/>
          <w:bCs/>
          <w:rtl/>
        </w:rPr>
        <w:t>נ/3</w:t>
      </w:r>
      <w:r>
        <w:rPr>
          <w:rFonts w:hint="cs"/>
          <w:rtl/>
        </w:rPr>
        <w:t>), מכתב הערכה על פעילות ראויה לשבח במסגרת התנדבותו במשטרה (</w:t>
      </w:r>
      <w:r>
        <w:rPr>
          <w:rFonts w:hint="cs"/>
          <w:b/>
          <w:bCs/>
          <w:rtl/>
        </w:rPr>
        <w:t>נ/4</w:t>
      </w:r>
      <w:r>
        <w:rPr>
          <w:rFonts w:hint="cs"/>
          <w:rtl/>
        </w:rPr>
        <w:t>), ונכונות המועצה המקומית פרדיס להעסיק את הנאשם במסגרת עבודות שירות (</w:t>
      </w:r>
      <w:r>
        <w:rPr>
          <w:rFonts w:hint="cs"/>
          <w:b/>
          <w:bCs/>
          <w:rtl/>
        </w:rPr>
        <w:t>נ/5</w:t>
      </w:r>
      <w:r>
        <w:rPr>
          <w:rFonts w:hint="cs"/>
          <w:rtl/>
        </w:rPr>
        <w:t>).</w:t>
      </w:r>
    </w:p>
    <w:p w14:paraId="417F46FC" w14:textId="77777777" w:rsidR="003F026C" w:rsidRDefault="003F026C" w:rsidP="003F026C">
      <w:pPr>
        <w:spacing w:line="360" w:lineRule="auto"/>
        <w:jc w:val="both"/>
      </w:pPr>
    </w:p>
    <w:p w14:paraId="4AD30504" w14:textId="77777777" w:rsidR="003F026C" w:rsidRDefault="003F026C" w:rsidP="003F026C">
      <w:pPr>
        <w:numPr>
          <w:ilvl w:val="0"/>
          <w:numId w:val="1"/>
        </w:numPr>
        <w:spacing w:after="160" w:line="360" w:lineRule="auto"/>
        <w:jc w:val="both"/>
      </w:pPr>
      <w:r>
        <w:rPr>
          <w:rFonts w:hint="cs"/>
          <w:rtl/>
        </w:rPr>
        <w:t xml:space="preserve">בדברו האחרון הודה הנאשם כי טעה בהתנהגותו וביקש מבית המשפט להתחשב בהיותו אב ל-4 קטינים, בגילאי 17-6 שנים, בכך שרעייתו אינה עובדת והוא עובד בשתי משרות כדי לפרנס את משפחתו, וכן בכך ששימש כמתנדב במשטרה, משך כ-15 שנים, והוכשר להשתמש בנשק. </w:t>
      </w:r>
    </w:p>
    <w:p w14:paraId="1C7451A2" w14:textId="77777777" w:rsidR="003F026C" w:rsidRDefault="003F026C" w:rsidP="003F026C">
      <w:pPr>
        <w:spacing w:line="360" w:lineRule="auto"/>
        <w:ind w:left="720"/>
        <w:contextualSpacing/>
        <w:jc w:val="both"/>
        <w:rPr>
          <w:highlight w:val="yellow"/>
        </w:rPr>
      </w:pPr>
    </w:p>
    <w:p w14:paraId="356C6BE6" w14:textId="77777777" w:rsidR="003F026C" w:rsidRDefault="003F026C" w:rsidP="003F026C">
      <w:pPr>
        <w:pStyle w:val="ListParagraph"/>
        <w:spacing w:line="360" w:lineRule="auto"/>
        <w:rPr>
          <w:rFonts w:cs="David"/>
          <w:b/>
          <w:bCs/>
          <w:sz w:val="26"/>
          <w:szCs w:val="26"/>
          <w:u w:val="single"/>
        </w:rPr>
      </w:pPr>
      <w:r>
        <w:rPr>
          <w:rFonts w:cs="David" w:hint="cs"/>
          <w:b/>
          <w:bCs/>
          <w:sz w:val="26"/>
          <w:szCs w:val="26"/>
          <w:u w:val="single"/>
          <w:rtl/>
        </w:rPr>
        <w:t>המחלוקת</w:t>
      </w:r>
    </w:p>
    <w:p w14:paraId="1B742B4D"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ב"כ המאשימה, עו"ד דפנה יבין, סברה שמתחם העונש ההולם בעניינו של הנאשם – בשים לב למהות העבירות, נסיבותיהן, ומדיניות הענישה הנוהגת – נע בין 18 ל-48 חודשי מאסר בפועל. </w:t>
      </w:r>
    </w:p>
    <w:p w14:paraId="52ADED28"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לאור נסיבותיו האישיות של הנאשם, ובעיקר, הודאתו ועברו הנקי, עתרה ב"כ המאשימה להשית על הנאשם עונש ברף התחתון של המתחם. </w:t>
      </w:r>
    </w:p>
    <w:p w14:paraId="756FFC9B" w14:textId="77777777" w:rsidR="003F026C" w:rsidRDefault="003F026C" w:rsidP="003F026C">
      <w:pPr>
        <w:pStyle w:val="ListParagraph"/>
        <w:spacing w:line="360" w:lineRule="auto"/>
        <w:jc w:val="both"/>
        <w:rPr>
          <w:rFonts w:cs="David"/>
          <w:sz w:val="24"/>
          <w:szCs w:val="24"/>
          <w:rtl/>
        </w:rPr>
      </w:pPr>
    </w:p>
    <w:p w14:paraId="643AC7C8"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הסניגור, עו"ד אסף גונן, הציע להעמיד את מתחם העונש ההולם על 6 עד 18 חודשי מאסר, ועתר להשית על הנאשם 6 חודשי מאסר, שירוצו בדרך של עבודות שירות. הסניגור נימק עתירתו בנסיבות העבירות, ובראש ובראשונה, טענתו כי למעשה הנאשם הוא "קורבן עבירה". </w:t>
      </w:r>
    </w:p>
    <w:p w14:paraId="3E0F3F10" w14:textId="77777777" w:rsidR="003F026C" w:rsidRDefault="003F026C" w:rsidP="003F026C">
      <w:pPr>
        <w:pStyle w:val="ListParagraph"/>
        <w:spacing w:line="360" w:lineRule="auto"/>
        <w:jc w:val="both"/>
        <w:rPr>
          <w:rFonts w:cs="David"/>
          <w:sz w:val="24"/>
          <w:szCs w:val="24"/>
        </w:rPr>
      </w:pPr>
      <w:r>
        <w:rPr>
          <w:rFonts w:cs="David" w:hint="cs"/>
          <w:sz w:val="24"/>
          <w:szCs w:val="24"/>
          <w:rtl/>
        </w:rPr>
        <w:t>על פי הטענה, הנאשם, שעבד כדייג לפרנסתו, התלווה לאחר, מעסיקו, ונקלע באקראי, ושלא בטובתו, לירי שכוון לעבר האחר. בעקבות הירי, נפצע האחר ונמלט מהמקום.</w:t>
      </w:r>
    </w:p>
    <w:p w14:paraId="69F328DE" w14:textId="77777777" w:rsidR="003F026C" w:rsidRDefault="003F026C" w:rsidP="003F026C">
      <w:pPr>
        <w:pStyle w:val="ListParagraph"/>
        <w:spacing w:line="360" w:lineRule="auto"/>
        <w:jc w:val="both"/>
        <w:rPr>
          <w:rFonts w:cs="David"/>
          <w:sz w:val="24"/>
          <w:szCs w:val="24"/>
          <w:rtl/>
        </w:rPr>
      </w:pPr>
      <w:r>
        <w:rPr>
          <w:rFonts w:cs="David" w:hint="cs"/>
          <w:sz w:val="24"/>
          <w:szCs w:val="24"/>
          <w:rtl/>
        </w:rPr>
        <w:t>לטענת הסנגור, בתגובתו בהמשך האירוע, "נלחץ" הנאשם וביקש לסייע לאחר, ובמקום להזעיק עזרה רפואית ולדווח למשטרה על האירוע, טעה בשיקול דעתו, נסע לחנות, הצטייד בנשק שלא שייך לו, וחיפש את האחר.</w:t>
      </w:r>
    </w:p>
    <w:p w14:paraId="3073C79B"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חיזוק לטענתו – לפיה מדובר בטעות בשיקול דעתו של הנאשם ולא במעשים המשקפים דפוס התנהגות עבריינית – מצא הסניגור בחריגות המעשה על רקע עברו הנקי של הנאשם, התנדבותו במשטרה משך כ-15 שנים, והיותו בעל רישיון נשיאת נשק משך 6 שנים. </w:t>
      </w:r>
    </w:p>
    <w:p w14:paraId="64BD61EB" w14:textId="77777777" w:rsidR="003F026C" w:rsidRDefault="003F026C" w:rsidP="003F026C">
      <w:pPr>
        <w:pStyle w:val="ListParagraph"/>
        <w:spacing w:line="360" w:lineRule="auto"/>
        <w:jc w:val="both"/>
        <w:rPr>
          <w:rFonts w:cs="David"/>
          <w:sz w:val="24"/>
          <w:szCs w:val="24"/>
          <w:rtl/>
        </w:rPr>
      </w:pPr>
    </w:p>
    <w:p w14:paraId="506261B1" w14:textId="77777777" w:rsidR="003F026C" w:rsidRDefault="003F026C" w:rsidP="003F026C">
      <w:pPr>
        <w:pStyle w:val="ListParagraph"/>
        <w:spacing w:line="360" w:lineRule="auto"/>
        <w:jc w:val="both"/>
        <w:rPr>
          <w:rFonts w:cs="David"/>
          <w:b/>
          <w:bCs/>
          <w:sz w:val="26"/>
          <w:szCs w:val="26"/>
          <w:u w:val="single"/>
          <w:rtl/>
        </w:rPr>
      </w:pPr>
    </w:p>
    <w:p w14:paraId="694A9DA9" w14:textId="77777777" w:rsidR="003F026C" w:rsidRDefault="003F026C" w:rsidP="003F026C">
      <w:pPr>
        <w:pStyle w:val="ListParagraph"/>
        <w:spacing w:line="360" w:lineRule="auto"/>
        <w:jc w:val="both"/>
        <w:rPr>
          <w:rFonts w:cs="David"/>
          <w:b/>
          <w:bCs/>
          <w:sz w:val="26"/>
          <w:szCs w:val="26"/>
          <w:u w:val="single"/>
          <w:rtl/>
        </w:rPr>
      </w:pPr>
    </w:p>
    <w:p w14:paraId="6E8F5ED8" w14:textId="77777777" w:rsidR="003F026C" w:rsidRDefault="003F026C" w:rsidP="003F026C">
      <w:pPr>
        <w:pStyle w:val="ListParagraph"/>
        <w:spacing w:line="360" w:lineRule="auto"/>
        <w:jc w:val="both"/>
        <w:rPr>
          <w:rFonts w:cs="David"/>
          <w:b/>
          <w:bCs/>
          <w:sz w:val="26"/>
          <w:szCs w:val="26"/>
          <w:rtl/>
        </w:rPr>
      </w:pPr>
      <w:r>
        <w:rPr>
          <w:rFonts w:cs="David" w:hint="cs"/>
          <w:b/>
          <w:bCs/>
          <w:sz w:val="26"/>
          <w:szCs w:val="26"/>
          <w:u w:val="single"/>
          <w:rtl/>
        </w:rPr>
        <w:t>מתחם העונש ההולם</w:t>
      </w:r>
    </w:p>
    <w:p w14:paraId="0D366761"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הערכים המוגנים שנפגעו כתוצאה ממעשי הנאשם הם שלום הציבור, שלמות הגוף ושלטון החוק. </w:t>
      </w:r>
    </w:p>
    <w:p w14:paraId="7B289EB8" w14:textId="77777777" w:rsidR="003F026C" w:rsidRDefault="003F026C" w:rsidP="003F026C">
      <w:pPr>
        <w:pStyle w:val="ListParagraph"/>
        <w:spacing w:line="360" w:lineRule="auto"/>
        <w:jc w:val="both"/>
        <w:rPr>
          <w:rFonts w:cs="David"/>
          <w:sz w:val="24"/>
          <w:szCs w:val="24"/>
        </w:rPr>
      </w:pPr>
      <w:r>
        <w:rPr>
          <w:rFonts w:cs="David" w:hint="cs"/>
          <w:sz w:val="24"/>
          <w:szCs w:val="24"/>
          <w:rtl/>
        </w:rPr>
        <w:t xml:space="preserve">עוצמת פגיעת הנאשם בערכים אלה, בשל נסיבות החומרה שיפורטו להלן, ברף גבוה. </w:t>
      </w:r>
    </w:p>
    <w:p w14:paraId="605DF8AB" w14:textId="77777777" w:rsidR="003F026C" w:rsidRDefault="003F026C" w:rsidP="003F026C">
      <w:pPr>
        <w:pStyle w:val="ListParagraph"/>
        <w:spacing w:line="360" w:lineRule="auto"/>
        <w:jc w:val="both"/>
        <w:rPr>
          <w:rFonts w:cs="David"/>
          <w:sz w:val="24"/>
          <w:szCs w:val="24"/>
          <w:rtl/>
        </w:rPr>
      </w:pPr>
    </w:p>
    <w:p w14:paraId="1019B3D5"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במעשי הנאשם מצבור מאפייני חומרה, כדלקמן:</w:t>
      </w:r>
    </w:p>
    <w:p w14:paraId="4514A195" w14:textId="77777777" w:rsidR="003F026C" w:rsidRDefault="003F026C" w:rsidP="003F026C">
      <w:pPr>
        <w:pStyle w:val="ListParagraph"/>
        <w:spacing w:line="360" w:lineRule="auto"/>
        <w:jc w:val="both"/>
        <w:rPr>
          <w:rFonts w:cs="David"/>
          <w:sz w:val="24"/>
          <w:szCs w:val="24"/>
        </w:rPr>
      </w:pPr>
      <w:r>
        <w:rPr>
          <w:rFonts w:cs="David" w:hint="cs"/>
          <w:sz w:val="24"/>
          <w:szCs w:val="24"/>
          <w:rtl/>
        </w:rPr>
        <w:t>היות האקדח טעון, והמחסנית מלאה תחמושת; מיקום נשיאת הנשק – בטבורה של עיר, באופן המגביר את פוטנציאל הפגיעה בעוברי אורח; פוטנציאל הנזק העצום; תכלית החזקת הנשק, סכסוך פעיל שהתרחש אותה עת, ושנבע מירי מוקדם על האחר, שהנאשם היה עמו; החזקת הנשק ברכב, לאחר נשיאתו.</w:t>
      </w:r>
    </w:p>
    <w:p w14:paraId="4387BB9A"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יש ממש בטענת ב"כ המאשימה כי בהצטברותן של הנסיבות המתוארות יש כדי ללמד על תכנון מוקדם של הנאשם, המהווה שיקול נוסף לחומרה. </w:t>
      </w:r>
    </w:p>
    <w:p w14:paraId="4934E10E" w14:textId="77777777" w:rsidR="003F026C" w:rsidRDefault="003F026C" w:rsidP="003F026C">
      <w:pPr>
        <w:pStyle w:val="ListParagraph"/>
        <w:spacing w:line="360" w:lineRule="auto"/>
        <w:jc w:val="both"/>
        <w:rPr>
          <w:rFonts w:cs="David"/>
          <w:sz w:val="24"/>
          <w:szCs w:val="24"/>
          <w:rtl/>
        </w:rPr>
      </w:pPr>
    </w:p>
    <w:p w14:paraId="0CAAB553"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מתקשה אני לקבל את טענת הסניגור, לפיה, כביכול, הנאשם הוא "קורבן עבירה", וכי בהתנהגותו, לאחר הירי, יש לראות טעות בשיקול דעת בלבד, שאינה משקפת התנהגות עבריינית. </w:t>
      </w:r>
    </w:p>
    <w:p w14:paraId="0BFADF76" w14:textId="77777777" w:rsidR="003F026C" w:rsidRDefault="003F026C" w:rsidP="003F026C">
      <w:pPr>
        <w:pStyle w:val="ListParagraph"/>
        <w:spacing w:line="360" w:lineRule="auto"/>
        <w:jc w:val="both"/>
        <w:rPr>
          <w:rFonts w:cs="David"/>
          <w:sz w:val="24"/>
          <w:szCs w:val="24"/>
        </w:rPr>
      </w:pPr>
      <w:r>
        <w:rPr>
          <w:rFonts w:cs="David" w:hint="cs"/>
          <w:sz w:val="24"/>
          <w:szCs w:val="24"/>
          <w:rtl/>
        </w:rPr>
        <w:t xml:space="preserve">מעובדות כתב האישום המתוקן, שבהן הודה הנאשם, עולה כי מעבר להחזקת האקדח הטעון והמחסנית הטעונה בתחמושת, על ידי הנאשם – פעולה, המלמדת, כשלעצמה, על כוונת הנאשם לעשות שימוש בנשק (ראו: </w:t>
      </w:r>
      <w:hyperlink r:id="rId13" w:history="1">
        <w:r w:rsidR="00B26AD1" w:rsidRPr="00B26AD1">
          <w:rPr>
            <w:rFonts w:cs="David" w:hint="cs"/>
            <w:color w:val="0000FF"/>
            <w:sz w:val="24"/>
            <w:szCs w:val="24"/>
            <w:u w:val="single"/>
            <w:rtl/>
          </w:rPr>
          <w:t>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761/07</w:t>
        </w:r>
      </w:hyperlink>
      <w:r>
        <w:rPr>
          <w:rFonts w:cs="David" w:hint="cs"/>
          <w:sz w:val="24"/>
          <w:szCs w:val="24"/>
          <w:rtl/>
        </w:rPr>
        <w:t xml:space="preserve"> </w:t>
      </w:r>
      <w:r>
        <w:rPr>
          <w:rFonts w:cs="David" w:hint="cs"/>
          <w:b/>
          <w:bCs/>
          <w:sz w:val="24"/>
          <w:szCs w:val="24"/>
          <w:rtl/>
        </w:rPr>
        <w:t>מדינת ישראל נ' אדרי</w:t>
      </w:r>
      <w:r>
        <w:rPr>
          <w:rFonts w:cs="David" w:hint="cs"/>
          <w:sz w:val="24"/>
          <w:szCs w:val="24"/>
          <w:rtl/>
        </w:rPr>
        <w:t xml:space="preserve"> (22.7.07)) – הגיע הנאשם למחסן החנות, נטל ונשא משם את האקדח והמחסנית, וכשהוא מצויד בהם נסע ברכב, על מנת לחפש את האחר. </w:t>
      </w:r>
    </w:p>
    <w:p w14:paraId="325B6F16" w14:textId="77777777" w:rsidR="003F026C" w:rsidRDefault="003F026C" w:rsidP="003F026C">
      <w:pPr>
        <w:pStyle w:val="ListParagraph"/>
        <w:spacing w:line="360" w:lineRule="auto"/>
        <w:jc w:val="both"/>
        <w:rPr>
          <w:rFonts w:cs="David"/>
          <w:sz w:val="24"/>
          <w:szCs w:val="24"/>
          <w:rtl/>
        </w:rPr>
      </w:pPr>
      <w:r>
        <w:rPr>
          <w:rFonts w:cs="David" w:hint="cs"/>
          <w:sz w:val="24"/>
          <w:szCs w:val="24"/>
          <w:rtl/>
        </w:rPr>
        <w:t>בנסיבות אלה, התנהגות הנאשם אינה מתיישבת עם הגדרתו כ"קורבן עבירה" וחורגת משמעותית מטעות בשיקול הדעת.</w:t>
      </w:r>
    </w:p>
    <w:p w14:paraId="78C161D3" w14:textId="77777777" w:rsidR="003F026C" w:rsidRDefault="003F026C" w:rsidP="003F026C">
      <w:pPr>
        <w:pStyle w:val="ListParagraph"/>
        <w:spacing w:line="360" w:lineRule="auto"/>
        <w:jc w:val="both"/>
        <w:rPr>
          <w:rFonts w:cs="David"/>
          <w:sz w:val="24"/>
          <w:szCs w:val="24"/>
          <w:rtl/>
        </w:rPr>
      </w:pPr>
      <w:r>
        <w:rPr>
          <w:rFonts w:cs="David" w:hint="cs"/>
          <w:sz w:val="24"/>
          <w:szCs w:val="24"/>
          <w:rtl/>
        </w:rPr>
        <w:t>בהקשר זה יוטעם כי בית המשפט העליון עמד פעמים רבות על</w:t>
      </w:r>
      <w:r w:rsidRPr="003F249F">
        <w:rPr>
          <w:rFonts w:cs="David" w:hint="cs"/>
          <w:sz w:val="24"/>
          <w:szCs w:val="24"/>
          <w:rtl/>
        </w:rPr>
        <w:t xml:space="preserve">: </w:t>
      </w:r>
      <w:r>
        <w:rPr>
          <w:rFonts w:cs="David" w:hint="cs"/>
          <w:b/>
          <w:bCs/>
          <w:sz w:val="24"/>
          <w:szCs w:val="24"/>
          <w:rtl/>
        </w:rPr>
        <w:t>"חומרתן של העבירות בכלי נשק, על החובה להשית בעבירות אלו עונש חמור המשקף את חומרתן ואשר יש בו כדי להרתיע עבריינים בכוח מלבצע עבירות דומות ... החזקה של כלי נשק על ידי מי שאינו מורשה בכך, יש בה פוטנציאל להוביל להסלמה חמורה ולתוצאות קשות של כל ארוע בו יהיה מעורב אותו נושא נשק, וזאת אף מקום שהנשק מוחזק אך למטרות 'הגנה עצמית'</w:t>
      </w:r>
      <w:r w:rsidRPr="003F249F">
        <w:rPr>
          <w:rFonts w:cs="David" w:hint="cs"/>
          <w:b/>
          <w:bCs/>
          <w:sz w:val="24"/>
          <w:szCs w:val="24"/>
          <w:rtl/>
        </w:rPr>
        <w:t>"</w:t>
      </w:r>
      <w:r>
        <w:rPr>
          <w:rFonts w:cs="David" w:hint="cs"/>
          <w:sz w:val="24"/>
          <w:szCs w:val="24"/>
          <w:rtl/>
        </w:rPr>
        <w:t>. (</w:t>
      </w:r>
      <w:hyperlink r:id="rId14" w:history="1">
        <w:r w:rsidR="00B26AD1" w:rsidRPr="00B26AD1">
          <w:rPr>
            <w:rFonts w:cs="David" w:hint="cs"/>
            <w:color w:val="0000FF"/>
            <w:sz w:val="24"/>
            <w:szCs w:val="24"/>
            <w:u w:val="single"/>
            <w:rtl/>
          </w:rPr>
          <w:t>רע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5921/08</w:t>
        </w:r>
      </w:hyperlink>
      <w:r>
        <w:rPr>
          <w:rFonts w:cs="David" w:hint="cs"/>
          <w:sz w:val="24"/>
          <w:szCs w:val="24"/>
          <w:rtl/>
        </w:rPr>
        <w:t xml:space="preserve"> </w:t>
      </w:r>
      <w:r>
        <w:rPr>
          <w:rFonts w:cs="David" w:hint="cs"/>
          <w:b/>
          <w:bCs/>
          <w:sz w:val="24"/>
          <w:szCs w:val="24"/>
          <w:rtl/>
        </w:rPr>
        <w:t>רג'בי נ' מדינת ישראל</w:t>
      </w:r>
      <w:r>
        <w:rPr>
          <w:rFonts w:cs="David" w:hint="cs"/>
          <w:sz w:val="24"/>
          <w:szCs w:val="24"/>
          <w:rtl/>
        </w:rPr>
        <w:t xml:space="preserve"> (6.5.09))</w:t>
      </w:r>
    </w:p>
    <w:p w14:paraId="2DD2DCC1" w14:textId="77777777" w:rsidR="003F026C" w:rsidRDefault="003F026C" w:rsidP="003F026C">
      <w:pPr>
        <w:pStyle w:val="ListParagraph"/>
        <w:spacing w:line="360" w:lineRule="auto"/>
        <w:jc w:val="both"/>
        <w:rPr>
          <w:rFonts w:cs="David"/>
          <w:sz w:val="24"/>
          <w:szCs w:val="24"/>
          <w:rtl/>
        </w:rPr>
      </w:pPr>
    </w:p>
    <w:p w14:paraId="0D6BB0C2"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בחינת מדיניות הענישה הנוהגת, כפי שהיא עולה, בין היתר, מהפסיקה שהוגשה ע"י באי כוח הצדדים, מלמדת כי בתי המשפט נוהגים לגזור, בעבירות דומות, עונשי מאסר לתקופות משתנות, והכל בהתאם לנסיבות.</w:t>
      </w:r>
    </w:p>
    <w:p w14:paraId="7768B161" w14:textId="77777777" w:rsidR="003F026C" w:rsidRDefault="003F026C" w:rsidP="003F026C">
      <w:pPr>
        <w:pStyle w:val="ListParagraph"/>
        <w:spacing w:line="360" w:lineRule="auto"/>
        <w:jc w:val="both"/>
        <w:rPr>
          <w:rFonts w:cs="David"/>
          <w:sz w:val="24"/>
          <w:szCs w:val="24"/>
          <w:rtl/>
        </w:rPr>
      </w:pPr>
    </w:p>
    <w:p w14:paraId="0669CB35" w14:textId="77777777" w:rsidR="003F026C" w:rsidRDefault="003F026C" w:rsidP="003F026C">
      <w:pPr>
        <w:pStyle w:val="ListParagraph"/>
        <w:spacing w:line="360" w:lineRule="auto"/>
        <w:jc w:val="both"/>
        <w:rPr>
          <w:rFonts w:cs="David"/>
          <w:sz w:val="24"/>
          <w:szCs w:val="24"/>
          <w:rtl/>
        </w:rPr>
      </w:pPr>
      <w:r>
        <w:rPr>
          <w:rFonts w:cs="David" w:hint="cs"/>
          <w:sz w:val="24"/>
          <w:szCs w:val="24"/>
          <w:rtl/>
        </w:rPr>
        <w:t>כך, ב</w:t>
      </w:r>
      <w:hyperlink r:id="rId15" w:history="1">
        <w:r w:rsidR="00B26AD1" w:rsidRPr="00B26AD1">
          <w:rPr>
            <w:rFonts w:cs="David" w:hint="cs"/>
            <w:color w:val="0000FF"/>
            <w:sz w:val="24"/>
            <w:szCs w:val="24"/>
            <w:u w:val="single"/>
            <w:rtl/>
          </w:rPr>
          <w:t>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5646/15</w:t>
        </w:r>
      </w:hyperlink>
      <w:r>
        <w:rPr>
          <w:rFonts w:cs="David" w:hint="cs"/>
          <w:sz w:val="24"/>
          <w:szCs w:val="24"/>
          <w:rtl/>
        </w:rPr>
        <w:t xml:space="preserve"> </w:t>
      </w:r>
      <w:r>
        <w:rPr>
          <w:rFonts w:cs="David" w:hint="cs"/>
          <w:b/>
          <w:bCs/>
          <w:sz w:val="24"/>
          <w:szCs w:val="24"/>
          <w:rtl/>
        </w:rPr>
        <w:t>תיהאווי נ' מדינת ישראל</w:t>
      </w:r>
      <w:r>
        <w:rPr>
          <w:rFonts w:cs="David" w:hint="cs"/>
          <w:sz w:val="24"/>
          <w:szCs w:val="24"/>
          <w:rtl/>
        </w:rPr>
        <w:t xml:space="preserve"> (14.2.16), אישר בית המשפט העליון עונש של 15 חודשי מאסר, שגזר בית המשפט המחוזי על המערער, שהורשע בנשיאת אקדח טעון ברכבו. בגזירת העונש התחשב בית המשפט בנסיבותיו האישיות של המערער, בגילו הצעיר, ובעברו הנורמטיבי. </w:t>
      </w:r>
    </w:p>
    <w:p w14:paraId="23A55233" w14:textId="77777777" w:rsidR="003F026C" w:rsidRDefault="003F026C" w:rsidP="003F026C">
      <w:pPr>
        <w:pStyle w:val="ListParagraph"/>
        <w:spacing w:line="360" w:lineRule="auto"/>
        <w:jc w:val="both"/>
        <w:rPr>
          <w:rFonts w:cs="David"/>
          <w:sz w:val="24"/>
          <w:szCs w:val="24"/>
          <w:highlight w:val="cyan"/>
          <w:rtl/>
        </w:rPr>
      </w:pPr>
    </w:p>
    <w:p w14:paraId="184F2CDF" w14:textId="77777777" w:rsidR="003F026C" w:rsidRDefault="003F026C" w:rsidP="003F026C">
      <w:pPr>
        <w:pStyle w:val="ListParagraph"/>
        <w:spacing w:line="360" w:lineRule="auto"/>
        <w:jc w:val="both"/>
        <w:rPr>
          <w:rFonts w:cs="David"/>
          <w:sz w:val="24"/>
          <w:szCs w:val="24"/>
          <w:rtl/>
        </w:rPr>
      </w:pPr>
      <w:r>
        <w:rPr>
          <w:rFonts w:cs="David" w:hint="cs"/>
          <w:sz w:val="24"/>
          <w:szCs w:val="24"/>
          <w:rtl/>
        </w:rPr>
        <w:t>ב</w:t>
      </w:r>
      <w:hyperlink r:id="rId16" w:history="1">
        <w:r w:rsidR="00B26AD1" w:rsidRPr="00B26AD1">
          <w:rPr>
            <w:rFonts w:cs="David" w:hint="cs"/>
            <w:color w:val="0000FF"/>
            <w:sz w:val="24"/>
            <w:szCs w:val="24"/>
            <w:u w:val="single"/>
            <w:rtl/>
          </w:rPr>
          <w:t>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3877/16</w:t>
        </w:r>
      </w:hyperlink>
      <w:r>
        <w:rPr>
          <w:rFonts w:cs="David" w:hint="cs"/>
          <w:sz w:val="24"/>
          <w:szCs w:val="24"/>
          <w:rtl/>
        </w:rPr>
        <w:t xml:space="preserve"> </w:t>
      </w:r>
      <w:r>
        <w:rPr>
          <w:rFonts w:cs="David" w:hint="cs"/>
          <w:b/>
          <w:bCs/>
          <w:sz w:val="24"/>
          <w:szCs w:val="24"/>
          <w:rtl/>
        </w:rPr>
        <w:t>ג'באלי נ' מדינת ישראל</w:t>
      </w:r>
      <w:r>
        <w:rPr>
          <w:rFonts w:cs="David" w:hint="cs"/>
          <w:sz w:val="24"/>
          <w:szCs w:val="24"/>
          <w:rtl/>
        </w:rPr>
        <w:t xml:space="preserve"> (17.11.2016), אישר בית המשפט העליון עונש של 34 חודשי מאסר, שגזר בית המשפט המחוזי על מערער בעל עבר פלילי מכביד, שהורשע בנשיאת אקדח טעון.  </w:t>
      </w:r>
    </w:p>
    <w:p w14:paraId="30791F49" w14:textId="77777777" w:rsidR="003F026C" w:rsidRDefault="003F026C" w:rsidP="003F026C">
      <w:pPr>
        <w:pStyle w:val="ListParagraph"/>
        <w:spacing w:line="360" w:lineRule="auto"/>
        <w:jc w:val="both"/>
        <w:rPr>
          <w:rFonts w:cs="David"/>
          <w:sz w:val="24"/>
          <w:szCs w:val="24"/>
          <w:highlight w:val="cyan"/>
          <w:rtl/>
        </w:rPr>
      </w:pPr>
    </w:p>
    <w:p w14:paraId="31B1F6CE" w14:textId="77777777" w:rsidR="003F026C" w:rsidRDefault="003F026C" w:rsidP="003F026C">
      <w:pPr>
        <w:pStyle w:val="ListParagraph"/>
        <w:spacing w:line="360" w:lineRule="auto"/>
        <w:jc w:val="both"/>
        <w:rPr>
          <w:rFonts w:cs="David"/>
          <w:sz w:val="24"/>
          <w:szCs w:val="24"/>
          <w:rtl/>
        </w:rPr>
      </w:pPr>
      <w:r>
        <w:rPr>
          <w:rFonts w:cs="David" w:hint="cs"/>
          <w:sz w:val="24"/>
          <w:szCs w:val="24"/>
          <w:rtl/>
        </w:rPr>
        <w:t>ב</w:t>
      </w:r>
      <w:hyperlink r:id="rId17" w:history="1">
        <w:r w:rsidR="00B26AD1" w:rsidRPr="00B26AD1">
          <w:rPr>
            <w:rFonts w:cs="David" w:hint="cs"/>
            <w:color w:val="0000FF"/>
            <w:sz w:val="24"/>
            <w:szCs w:val="24"/>
            <w:u w:val="single"/>
            <w:rtl/>
          </w:rPr>
          <w:t>ת</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54879-08-16</w:t>
        </w:r>
      </w:hyperlink>
      <w:r>
        <w:rPr>
          <w:rFonts w:cs="David" w:hint="cs"/>
          <w:sz w:val="24"/>
          <w:szCs w:val="24"/>
          <w:rtl/>
        </w:rPr>
        <w:t xml:space="preserve"> </w:t>
      </w:r>
      <w:r>
        <w:rPr>
          <w:rFonts w:cs="David" w:hint="cs"/>
          <w:b/>
          <w:bCs/>
          <w:sz w:val="24"/>
          <w:szCs w:val="24"/>
          <w:rtl/>
        </w:rPr>
        <w:t>מדינת ישראל נ' נג'אח מסארוה</w:t>
      </w:r>
      <w:r>
        <w:rPr>
          <w:rFonts w:cs="David" w:hint="cs"/>
          <w:sz w:val="24"/>
          <w:szCs w:val="24"/>
          <w:rtl/>
        </w:rPr>
        <w:t xml:space="preserve"> (30.1.17), גזר בית המשפט על הנאשם שהורשע בנשיאת נשק אוטומטי, בלב שכונת מגורים, בין היתר, 16 חודשי מאסר בפועל, לאחר שקבע כי מתחם הענישה ההולם נע בין 12 ל-36 חודשי מאסר בפועל. </w:t>
      </w:r>
    </w:p>
    <w:p w14:paraId="13561B06" w14:textId="77777777" w:rsidR="003F026C" w:rsidRDefault="003F026C" w:rsidP="003F026C">
      <w:pPr>
        <w:pStyle w:val="ListParagraph"/>
        <w:spacing w:line="360" w:lineRule="auto"/>
        <w:jc w:val="both"/>
        <w:rPr>
          <w:rFonts w:cs="David"/>
          <w:sz w:val="24"/>
          <w:szCs w:val="24"/>
          <w:rtl/>
        </w:rPr>
      </w:pPr>
      <w:r>
        <w:rPr>
          <w:rFonts w:cs="David" w:hint="cs"/>
          <w:sz w:val="24"/>
          <w:szCs w:val="24"/>
          <w:rtl/>
        </w:rPr>
        <w:t>עונשו של הנאשם נגזר בשים לב לנסיבותיו האישיות ולמאמציו לשקם עצמו מחד גיסא, ולעברו הפלילי מאידך גיסא.</w:t>
      </w:r>
    </w:p>
    <w:p w14:paraId="69577504" w14:textId="77777777" w:rsidR="003F026C" w:rsidRDefault="003F026C" w:rsidP="003F026C">
      <w:pPr>
        <w:pStyle w:val="ListParagraph"/>
        <w:spacing w:line="360" w:lineRule="auto"/>
        <w:jc w:val="both"/>
        <w:rPr>
          <w:rFonts w:cs="David"/>
          <w:sz w:val="24"/>
          <w:szCs w:val="24"/>
          <w:rtl/>
        </w:rPr>
      </w:pPr>
    </w:p>
    <w:p w14:paraId="5B31115D" w14:textId="77777777" w:rsidR="003F026C" w:rsidRDefault="003F026C" w:rsidP="003F026C">
      <w:pPr>
        <w:pStyle w:val="ListParagraph"/>
        <w:spacing w:line="360" w:lineRule="auto"/>
        <w:jc w:val="both"/>
        <w:rPr>
          <w:rFonts w:cs="David"/>
          <w:sz w:val="24"/>
          <w:szCs w:val="24"/>
          <w:rtl/>
        </w:rPr>
      </w:pPr>
      <w:r>
        <w:rPr>
          <w:rFonts w:cs="David" w:hint="cs"/>
          <w:sz w:val="24"/>
          <w:szCs w:val="24"/>
          <w:rtl/>
        </w:rPr>
        <w:t>ב</w:t>
      </w:r>
      <w:hyperlink r:id="rId18" w:history="1">
        <w:r w:rsidR="00B26AD1" w:rsidRPr="00B26AD1">
          <w:rPr>
            <w:rFonts w:cs="David" w:hint="cs"/>
            <w:color w:val="0000FF"/>
            <w:sz w:val="24"/>
            <w:szCs w:val="24"/>
            <w:u w:val="single"/>
            <w:rtl/>
          </w:rPr>
          <w:t>ת</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35007-04-13</w:t>
        </w:r>
      </w:hyperlink>
      <w:r>
        <w:rPr>
          <w:rFonts w:cs="David" w:hint="cs"/>
          <w:sz w:val="24"/>
          <w:szCs w:val="24"/>
        </w:rPr>
        <w:t xml:space="preserve"> </w:t>
      </w:r>
      <w:r>
        <w:rPr>
          <w:rFonts w:cs="David" w:hint="cs"/>
          <w:b/>
          <w:bCs/>
          <w:sz w:val="24"/>
          <w:szCs w:val="24"/>
          <w:rtl/>
        </w:rPr>
        <w:t>מדינת</w:t>
      </w:r>
      <w:r>
        <w:rPr>
          <w:rFonts w:cs="David" w:hint="cs"/>
          <w:b/>
          <w:bCs/>
          <w:sz w:val="24"/>
          <w:szCs w:val="24"/>
        </w:rPr>
        <w:t xml:space="preserve"> </w:t>
      </w:r>
      <w:r>
        <w:rPr>
          <w:rFonts w:cs="David" w:hint="cs"/>
          <w:b/>
          <w:bCs/>
          <w:sz w:val="24"/>
          <w:szCs w:val="24"/>
          <w:rtl/>
        </w:rPr>
        <w:t>ישראל נ'</w:t>
      </w:r>
      <w:r>
        <w:rPr>
          <w:rFonts w:cs="David" w:hint="cs"/>
          <w:b/>
          <w:bCs/>
          <w:sz w:val="24"/>
          <w:szCs w:val="24"/>
        </w:rPr>
        <w:t xml:space="preserve"> </w:t>
      </w:r>
      <w:r>
        <w:rPr>
          <w:rFonts w:cs="David" w:hint="cs"/>
          <w:b/>
          <w:bCs/>
          <w:sz w:val="24"/>
          <w:szCs w:val="24"/>
          <w:rtl/>
        </w:rPr>
        <w:t>איסלאם</w:t>
      </w:r>
      <w:r>
        <w:rPr>
          <w:rFonts w:cs="David" w:hint="cs"/>
          <w:b/>
          <w:bCs/>
          <w:sz w:val="24"/>
          <w:szCs w:val="24"/>
        </w:rPr>
        <w:t xml:space="preserve"> </w:t>
      </w:r>
      <w:r>
        <w:rPr>
          <w:rFonts w:cs="David" w:hint="cs"/>
          <w:b/>
          <w:bCs/>
          <w:sz w:val="24"/>
          <w:szCs w:val="24"/>
          <w:rtl/>
        </w:rPr>
        <w:t>עזאיזה</w:t>
      </w:r>
      <w:r>
        <w:rPr>
          <w:rFonts w:cs="David" w:hint="cs"/>
          <w:sz w:val="24"/>
          <w:szCs w:val="24"/>
          <w:rtl/>
        </w:rPr>
        <w:t xml:space="preserve"> (8.1.15) – נגזרו על נאשם, בגיר-צעיר, נטול עבר פלילי, שהורשע בעבירות נשיאת והחזקת נשק ללא היתר, בין היתר, 9 חודשי מאסר בפועל.</w:t>
      </w:r>
    </w:p>
    <w:p w14:paraId="047400BE" w14:textId="77777777" w:rsidR="003F026C" w:rsidRDefault="003F026C" w:rsidP="003F026C">
      <w:pPr>
        <w:pStyle w:val="ListParagraph"/>
        <w:spacing w:line="360" w:lineRule="auto"/>
        <w:jc w:val="both"/>
        <w:rPr>
          <w:rFonts w:cs="David"/>
          <w:sz w:val="24"/>
          <w:szCs w:val="24"/>
          <w:highlight w:val="cyan"/>
          <w:rtl/>
        </w:rPr>
      </w:pPr>
    </w:p>
    <w:p w14:paraId="714D3856"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הסניגור ביקש להיבנות על </w:t>
      </w:r>
      <w:hyperlink r:id="rId19" w:history="1">
        <w:r w:rsidR="00B26AD1" w:rsidRPr="00B26AD1">
          <w:rPr>
            <w:rFonts w:cs="David" w:hint="cs"/>
            <w:color w:val="0000FF"/>
            <w:sz w:val="24"/>
            <w:szCs w:val="24"/>
            <w:u w:val="single"/>
            <w:rtl/>
          </w:rPr>
          <w:t>ת</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11059-05-12</w:t>
        </w:r>
      </w:hyperlink>
      <w:r>
        <w:rPr>
          <w:rFonts w:cs="David" w:hint="cs"/>
          <w:sz w:val="24"/>
          <w:szCs w:val="24"/>
          <w:rtl/>
        </w:rPr>
        <w:t xml:space="preserve"> </w:t>
      </w:r>
      <w:r>
        <w:rPr>
          <w:rFonts w:cs="David" w:hint="cs"/>
          <w:b/>
          <w:bCs/>
          <w:sz w:val="24"/>
          <w:szCs w:val="24"/>
          <w:rtl/>
        </w:rPr>
        <w:t>מדינת ישראל נ' באסל אבו מוסא</w:t>
      </w:r>
      <w:r>
        <w:rPr>
          <w:rFonts w:cs="David" w:hint="cs"/>
          <w:sz w:val="24"/>
          <w:szCs w:val="24"/>
          <w:rtl/>
        </w:rPr>
        <w:t xml:space="preserve"> (19.5.13),  שם גזר בית המשפט, על שני נאשמים, שהורשעו בעבירות החזקת ירי ללא רשות וירי במקום מגורים, בין היתר, 6 חודשי מאסר שירוצו בדרך של עבודות שירות, ו-3 חודשי מאסר שירוצו בדרך של עבודות שירות. באותו מקרה דובר בנאשמים בעלי עבר פלילי מינורי, כשהפער בענישה משקף את חלקו בעבירה של כל אחד מהנאשמים. </w:t>
      </w:r>
    </w:p>
    <w:p w14:paraId="3A7727BD"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אולם, מקרה זה חורג משמעותית מרמת הענישה הנוהגת בעבירות בהן הורשע הנאשם, כפי שפורט לעיל, ומשכך איני סבור שיש לאמצו, לצורך קביעת מתחם העונש ההולם בענייננו.   </w:t>
      </w:r>
    </w:p>
    <w:p w14:paraId="083C581A" w14:textId="77777777" w:rsidR="003F026C" w:rsidRDefault="003F026C" w:rsidP="003F026C">
      <w:pPr>
        <w:pStyle w:val="ListParagraph"/>
        <w:spacing w:line="360" w:lineRule="auto"/>
        <w:jc w:val="both"/>
        <w:rPr>
          <w:rFonts w:cs="David"/>
          <w:sz w:val="24"/>
          <w:szCs w:val="24"/>
          <w:rtl/>
        </w:rPr>
      </w:pPr>
    </w:p>
    <w:p w14:paraId="0E0C9A24"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בנסיבות המתוארות, סבורני שמתחם העונש ההולם נע בין  12 לבין  30 חודשי מאסר בפועל.</w:t>
      </w:r>
    </w:p>
    <w:p w14:paraId="14820F81" w14:textId="77777777" w:rsidR="003F026C" w:rsidRDefault="003F026C" w:rsidP="003F026C">
      <w:pPr>
        <w:pStyle w:val="ListParagraph"/>
        <w:spacing w:line="360" w:lineRule="auto"/>
        <w:jc w:val="both"/>
        <w:rPr>
          <w:rFonts w:cs="David"/>
          <w:sz w:val="24"/>
          <w:szCs w:val="24"/>
          <w:highlight w:val="yellow"/>
        </w:rPr>
      </w:pPr>
    </w:p>
    <w:p w14:paraId="5C9972B9" w14:textId="77777777" w:rsidR="003F026C" w:rsidRDefault="003F026C" w:rsidP="003F026C">
      <w:pPr>
        <w:pStyle w:val="ListParagraph"/>
        <w:numPr>
          <w:ilvl w:val="0"/>
          <w:numId w:val="1"/>
        </w:numPr>
        <w:spacing w:line="360" w:lineRule="auto"/>
        <w:jc w:val="both"/>
        <w:rPr>
          <w:rFonts w:cs="David"/>
          <w:sz w:val="24"/>
          <w:szCs w:val="24"/>
        </w:rPr>
      </w:pPr>
      <w:r>
        <w:rPr>
          <w:rFonts w:cs="David" w:hint="cs"/>
          <w:sz w:val="24"/>
          <w:szCs w:val="24"/>
          <w:rtl/>
        </w:rPr>
        <w:t>בתוך מתחם העונש יש ליתן משקל לקולא למכלול נסיבותיו האישיות של הנאשם, ובעיקר, עברו הנקי, על רקע גילו, התנדבותו במשטרה משך שנים ארוכות, לרבות העובדה שהוכשר לעשות שימוש בנשק, באופן שיש בו כדי להפחית, במידת מה, את פוטנציאל הנזק בנשיאת הנשק, הודאת הנאשם וחרטתו, ונתוניו האישיים, כפי שעולה מיתר ראיות ההגנה.</w:t>
      </w:r>
    </w:p>
    <w:p w14:paraId="05D2F927" w14:textId="77777777" w:rsidR="003F026C" w:rsidRDefault="003F026C" w:rsidP="003F026C">
      <w:pPr>
        <w:pStyle w:val="ListParagraph"/>
        <w:numPr>
          <w:ilvl w:val="0"/>
          <w:numId w:val="1"/>
        </w:numPr>
        <w:spacing w:line="360" w:lineRule="auto"/>
        <w:jc w:val="both"/>
        <w:rPr>
          <w:rFonts w:cs="David"/>
          <w:sz w:val="24"/>
          <w:szCs w:val="24"/>
        </w:rPr>
      </w:pPr>
      <w:r>
        <w:rPr>
          <w:rFonts w:cs="David" w:hint="cs"/>
          <w:sz w:val="24"/>
          <w:szCs w:val="24"/>
          <w:rtl/>
        </w:rPr>
        <w:t>בנסיבות המתוארות, ובשים לב לעתירת ב"כ המאשימה, סבורני שיש הצדקה למיקום עונשו של הנאשם ברף התחתון של המתחם.</w:t>
      </w:r>
    </w:p>
    <w:p w14:paraId="09AD0DC3" w14:textId="77777777" w:rsidR="003F026C" w:rsidRPr="005D60BC" w:rsidRDefault="003F026C" w:rsidP="003F026C">
      <w:pPr>
        <w:spacing w:line="360" w:lineRule="auto"/>
        <w:ind w:left="360"/>
        <w:jc w:val="both"/>
      </w:pPr>
    </w:p>
    <w:p w14:paraId="4EF594FB" w14:textId="77777777" w:rsidR="003F026C" w:rsidRDefault="003F026C" w:rsidP="003F026C">
      <w:pPr>
        <w:spacing w:line="360" w:lineRule="auto"/>
        <w:ind w:left="720" w:hanging="720"/>
        <w:jc w:val="both"/>
        <w:rPr>
          <w:sz w:val="26"/>
          <w:szCs w:val="26"/>
          <w:rtl/>
        </w:rPr>
      </w:pPr>
      <w:r>
        <w:rPr>
          <w:rFonts w:hint="cs"/>
          <w:b/>
          <w:bCs/>
          <w:sz w:val="26"/>
          <w:szCs w:val="26"/>
          <w:u w:val="single"/>
          <w:rtl/>
        </w:rPr>
        <w:t>סוף דבר</w:t>
      </w:r>
    </w:p>
    <w:p w14:paraId="3E61424B"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לאור כל האמור, אני גוזר על הנאשם את העונשים הבאים:</w:t>
      </w:r>
    </w:p>
    <w:p w14:paraId="3438FA4F" w14:textId="77777777" w:rsidR="003F026C" w:rsidRDefault="003F026C" w:rsidP="003F026C">
      <w:pPr>
        <w:pStyle w:val="ListParagraph"/>
        <w:numPr>
          <w:ilvl w:val="0"/>
          <w:numId w:val="4"/>
        </w:numPr>
        <w:spacing w:line="360" w:lineRule="auto"/>
        <w:ind w:left="1080"/>
        <w:jc w:val="both"/>
        <w:rPr>
          <w:rFonts w:cs="David"/>
          <w:sz w:val="24"/>
          <w:szCs w:val="24"/>
          <w:rtl/>
        </w:rPr>
      </w:pPr>
      <w:r>
        <w:rPr>
          <w:rFonts w:cs="David" w:hint="cs"/>
          <w:sz w:val="24"/>
          <w:szCs w:val="24"/>
          <w:rtl/>
        </w:rPr>
        <w:t xml:space="preserve">12 חודשי מאסר לריצוי בפועל. </w:t>
      </w:r>
    </w:p>
    <w:p w14:paraId="08E771FC" w14:textId="77777777" w:rsidR="003F026C" w:rsidRDefault="003F026C" w:rsidP="003F026C">
      <w:pPr>
        <w:pStyle w:val="ListParagraph"/>
        <w:numPr>
          <w:ilvl w:val="0"/>
          <w:numId w:val="4"/>
        </w:numPr>
        <w:spacing w:after="200" w:line="360" w:lineRule="auto"/>
        <w:ind w:left="1080"/>
        <w:jc w:val="both"/>
        <w:rPr>
          <w:rFonts w:cs="David"/>
          <w:sz w:val="24"/>
          <w:szCs w:val="24"/>
        </w:rPr>
      </w:pPr>
      <w:r>
        <w:rPr>
          <w:rFonts w:cs="David" w:hint="cs"/>
          <w:sz w:val="24"/>
          <w:szCs w:val="24"/>
          <w:rtl/>
        </w:rPr>
        <w:t xml:space="preserve">12 חודשי מאסר מותנים, למשך 3 שנים מיום שחרורו ממאסר, והתנאי הוא שהנאשם לא יעבור איזו מהעבירות בהן הורשע, או כל עבירת נשק אחרת מסוג פשע, לרבות ניסיון או סיוע לעבור איזו מעבירות אלה.  </w:t>
      </w:r>
    </w:p>
    <w:p w14:paraId="320C7663" w14:textId="77777777" w:rsidR="003F026C" w:rsidRDefault="003F026C" w:rsidP="003F026C">
      <w:pPr>
        <w:pStyle w:val="ListParagraph"/>
        <w:numPr>
          <w:ilvl w:val="0"/>
          <w:numId w:val="4"/>
        </w:numPr>
        <w:spacing w:after="200" w:line="360" w:lineRule="auto"/>
        <w:ind w:left="1080"/>
        <w:jc w:val="both"/>
        <w:rPr>
          <w:rFonts w:cs="David"/>
          <w:sz w:val="24"/>
          <w:szCs w:val="24"/>
        </w:rPr>
      </w:pPr>
      <w:r>
        <w:rPr>
          <w:rFonts w:cs="David" w:hint="cs"/>
          <w:sz w:val="24"/>
          <w:szCs w:val="24"/>
          <w:rtl/>
        </w:rPr>
        <w:t xml:space="preserve">קנס בסך 4,000 ₪, או 40 ימי מאסר תמורתו. </w:t>
      </w:r>
    </w:p>
    <w:p w14:paraId="23268364" w14:textId="77777777" w:rsidR="003F026C" w:rsidRDefault="003F026C" w:rsidP="003F026C">
      <w:pPr>
        <w:pStyle w:val="ListParagraph"/>
        <w:spacing w:line="360" w:lineRule="auto"/>
        <w:ind w:left="1153"/>
        <w:jc w:val="both"/>
        <w:rPr>
          <w:rFonts w:cs="David"/>
          <w:sz w:val="24"/>
          <w:szCs w:val="24"/>
        </w:rPr>
      </w:pPr>
      <w:r>
        <w:rPr>
          <w:rFonts w:cs="David" w:hint="cs"/>
          <w:sz w:val="24"/>
          <w:szCs w:val="24"/>
          <w:rtl/>
        </w:rPr>
        <w:t xml:space="preserve">הקנס ישולם ב-4 תשלומים חודשיים שווים ורצופים בסך 1,000 ₪ כל אחד, או 10 ימי מאסר כנגד כל תשלום ותשלום. </w:t>
      </w:r>
    </w:p>
    <w:p w14:paraId="178B5B7D" w14:textId="77777777" w:rsidR="003F026C" w:rsidRDefault="003F026C" w:rsidP="003F026C">
      <w:pPr>
        <w:pStyle w:val="ListParagraph"/>
        <w:spacing w:line="360" w:lineRule="auto"/>
        <w:ind w:left="1153"/>
        <w:jc w:val="both"/>
        <w:rPr>
          <w:rFonts w:cs="David"/>
          <w:sz w:val="24"/>
          <w:szCs w:val="24"/>
          <w:rtl/>
        </w:rPr>
      </w:pPr>
      <w:r>
        <w:rPr>
          <w:rFonts w:cs="David" w:hint="cs"/>
          <w:sz w:val="24"/>
          <w:szCs w:val="24"/>
          <w:rtl/>
        </w:rPr>
        <w:t xml:space="preserve">התשלום הראשון ישולם עד ולא יאוחר מיום 15.3.17, יתרת התשלומים ישולמו עד ולא יאוחר מיום 15 לכל חודש קלנדרי לאחר מכן. </w:t>
      </w:r>
    </w:p>
    <w:p w14:paraId="58417AD0" w14:textId="77777777" w:rsidR="003F026C" w:rsidRPr="005D60BC" w:rsidRDefault="003F026C" w:rsidP="003F026C">
      <w:pPr>
        <w:spacing w:line="360" w:lineRule="auto"/>
        <w:ind w:firstLine="1134"/>
        <w:jc w:val="both"/>
        <w:rPr>
          <w:rtl/>
        </w:rPr>
      </w:pPr>
      <w:r w:rsidRPr="005D60BC">
        <w:rPr>
          <w:rFonts w:hint="cs"/>
          <w:rtl/>
        </w:rPr>
        <w:t xml:space="preserve">לא ישולם תשלום במועדו, יועמד הקנס, או יתרתו, לפירעון מלא לאלתר. </w:t>
      </w:r>
    </w:p>
    <w:p w14:paraId="63116470" w14:textId="77777777" w:rsidR="003F026C" w:rsidRDefault="003F026C" w:rsidP="003F026C">
      <w:pPr>
        <w:spacing w:line="360" w:lineRule="auto"/>
        <w:ind w:left="720"/>
        <w:jc w:val="both"/>
        <w:rPr>
          <w:rtl/>
        </w:rPr>
      </w:pPr>
    </w:p>
    <w:p w14:paraId="2D470597" w14:textId="77777777" w:rsidR="003F026C" w:rsidRDefault="003F026C" w:rsidP="003F026C">
      <w:pPr>
        <w:spacing w:line="360" w:lineRule="auto"/>
        <w:ind w:left="720"/>
        <w:jc w:val="both"/>
        <w:rPr>
          <w:rtl/>
        </w:rPr>
      </w:pPr>
      <w:r w:rsidRPr="00C9252C">
        <w:rPr>
          <w:rtl/>
        </w:rPr>
        <w:t>המוצגים יושמדו, יחולטו או יושבו לבעליהם לפי שיקול דעת התביעה.</w:t>
      </w:r>
    </w:p>
    <w:p w14:paraId="18AE30B9" w14:textId="77777777" w:rsidR="003F026C" w:rsidRPr="005D60BC" w:rsidRDefault="003F026C" w:rsidP="003F026C">
      <w:pPr>
        <w:spacing w:line="360" w:lineRule="auto"/>
        <w:ind w:left="720"/>
        <w:jc w:val="both"/>
        <w:rPr>
          <w:b/>
          <w:bCs/>
          <w:rtl/>
        </w:rPr>
      </w:pPr>
      <w:r w:rsidRPr="005D60BC">
        <w:rPr>
          <w:rFonts w:hint="cs"/>
          <w:b/>
          <w:bCs/>
          <w:rtl/>
        </w:rPr>
        <w:t>זכות ערעור לבית-המשפט העליון בתוך 45 יום מהיום.</w:t>
      </w:r>
    </w:p>
    <w:p w14:paraId="6D8FEBE4" w14:textId="77777777" w:rsidR="003F026C" w:rsidRDefault="003F026C" w:rsidP="003F026C">
      <w:pPr>
        <w:spacing w:line="360" w:lineRule="auto"/>
        <w:jc w:val="both"/>
        <w:rPr>
          <w:rtl/>
        </w:rPr>
      </w:pPr>
    </w:p>
    <w:p w14:paraId="45597CFE" w14:textId="77777777" w:rsidR="003F026C" w:rsidRDefault="00B26AD1" w:rsidP="003F026C">
      <w:pPr>
        <w:rPr>
          <w:rtl/>
        </w:rPr>
      </w:pPr>
      <w:r>
        <w:rPr>
          <w:rFonts w:ascii="Arial" w:hAnsi="Arial"/>
          <w:rtl/>
        </w:rPr>
        <w:t xml:space="preserve">ניתן היום,  ב' אדר תשע"ז, 28 פברואר 2017, במעמד הצדדים. </w:t>
      </w:r>
    </w:p>
    <w:p w14:paraId="151CFD29" w14:textId="77777777" w:rsidR="003F026C" w:rsidRDefault="003F026C" w:rsidP="003F026C">
      <w:pPr>
        <w:rPr>
          <w:rtl/>
        </w:rPr>
      </w:pPr>
    </w:p>
    <w:p w14:paraId="1428BC0E" w14:textId="77777777" w:rsidR="003F026C" w:rsidRPr="00B26AD1" w:rsidRDefault="00B26AD1" w:rsidP="003F026C">
      <w:pPr>
        <w:jc w:val="right"/>
        <w:rPr>
          <w:color w:val="FFFFFF"/>
          <w:sz w:val="2"/>
          <w:szCs w:val="2"/>
          <w:rtl/>
        </w:rPr>
      </w:pPr>
      <w:r w:rsidRPr="00B26AD1">
        <w:rPr>
          <w:color w:val="FFFFFF"/>
          <w:sz w:val="2"/>
          <w:szCs w:val="2"/>
          <w:rtl/>
        </w:rPr>
        <w:t>5129371</w:t>
      </w:r>
    </w:p>
    <w:tbl>
      <w:tblPr>
        <w:bidiVisual/>
        <w:tblW w:w="3402" w:type="dxa"/>
        <w:tblInd w:w="5187" w:type="dxa"/>
        <w:tblLook w:val="01E0" w:firstRow="1" w:lastRow="1" w:firstColumn="1" w:lastColumn="1" w:noHBand="0" w:noVBand="0"/>
      </w:tblPr>
      <w:tblGrid>
        <w:gridCol w:w="3402"/>
      </w:tblGrid>
      <w:tr w:rsidR="003F026C" w:rsidRPr="00916A9C" w14:paraId="4BF1253A" w14:textId="77777777" w:rsidTr="00B26AD1">
        <w:tc>
          <w:tcPr>
            <w:tcW w:w="3402" w:type="dxa"/>
            <w:tcBorders>
              <w:top w:val="nil"/>
              <w:left w:val="nil"/>
              <w:bottom w:val="single" w:sz="4" w:space="0" w:color="auto"/>
              <w:right w:val="nil"/>
            </w:tcBorders>
            <w:shd w:val="clear" w:color="auto" w:fill="auto"/>
            <w:vAlign w:val="center"/>
          </w:tcPr>
          <w:p w14:paraId="79C3145D" w14:textId="77777777" w:rsidR="003F026C" w:rsidRPr="00B26AD1" w:rsidRDefault="00B26AD1" w:rsidP="00B26AD1">
            <w:pPr>
              <w:jc w:val="center"/>
              <w:rPr>
                <w:rFonts w:ascii="Courier New" w:hAnsi="Courier New"/>
                <w:b/>
                <w:bCs/>
                <w:color w:val="FFFFFF"/>
                <w:sz w:val="2"/>
                <w:szCs w:val="2"/>
              </w:rPr>
            </w:pPr>
            <w:r w:rsidRPr="00B26AD1">
              <w:rPr>
                <w:rFonts w:ascii="Courier New" w:hAnsi="Courier New"/>
                <w:b/>
                <w:bCs/>
                <w:color w:val="FFFFFF"/>
                <w:sz w:val="2"/>
                <w:szCs w:val="2"/>
                <w:rtl/>
              </w:rPr>
              <w:t>54678313</w:t>
            </w:r>
          </w:p>
        </w:tc>
      </w:tr>
      <w:tr w:rsidR="003F026C" w:rsidRPr="00916A9C" w14:paraId="4ADB0387" w14:textId="77777777" w:rsidTr="00B26AD1">
        <w:tc>
          <w:tcPr>
            <w:tcW w:w="3402" w:type="dxa"/>
            <w:tcBorders>
              <w:top w:val="single" w:sz="4" w:space="0" w:color="auto"/>
              <w:left w:val="nil"/>
              <w:bottom w:val="nil"/>
              <w:right w:val="nil"/>
            </w:tcBorders>
            <w:shd w:val="clear" w:color="auto" w:fill="auto"/>
            <w:vAlign w:val="bottom"/>
          </w:tcPr>
          <w:p w14:paraId="7D2DFC35" w14:textId="77777777" w:rsidR="003F026C" w:rsidRPr="00535F2E" w:rsidRDefault="003F026C" w:rsidP="00B26AD1">
            <w:pPr>
              <w:jc w:val="center"/>
              <w:rPr>
                <w:rFonts w:ascii="Courier New" w:hAnsi="Courier New"/>
                <w:b/>
                <w:bCs/>
                <w:rtl/>
              </w:rPr>
            </w:pPr>
            <w:r w:rsidRPr="00535F2E">
              <w:rPr>
                <w:rFonts w:ascii="Courier New" w:hAnsi="Courier New"/>
                <w:b/>
                <w:bCs/>
                <w:rtl/>
              </w:rPr>
              <w:t>ירון לוי, שופט</w:t>
            </w:r>
          </w:p>
          <w:p w14:paraId="68316ACC" w14:textId="77777777" w:rsidR="003F026C" w:rsidRPr="00535F2E" w:rsidRDefault="003F026C" w:rsidP="00B26AD1">
            <w:pPr>
              <w:jc w:val="center"/>
              <w:rPr>
                <w:rFonts w:ascii="Courier New" w:hAnsi="Courier New"/>
                <w:b/>
                <w:bCs/>
              </w:rPr>
            </w:pPr>
          </w:p>
        </w:tc>
      </w:tr>
    </w:tbl>
    <w:p w14:paraId="4F232FB4" w14:textId="77777777" w:rsidR="003F026C" w:rsidRDefault="003F026C" w:rsidP="003F026C">
      <w:pPr>
        <w:pStyle w:val="a3"/>
        <w:rPr>
          <w:rtl/>
        </w:rPr>
      </w:pPr>
    </w:p>
    <w:p w14:paraId="13E9E82E" w14:textId="77777777" w:rsidR="00B26AD1" w:rsidRPr="00B26AD1" w:rsidRDefault="00B26AD1" w:rsidP="00B26AD1">
      <w:pPr>
        <w:keepNext/>
        <w:rPr>
          <w:rFonts w:ascii="David" w:hAnsi="David"/>
          <w:color w:val="000000"/>
          <w:sz w:val="22"/>
          <w:szCs w:val="22"/>
          <w:rtl/>
        </w:rPr>
      </w:pPr>
    </w:p>
    <w:p w14:paraId="0F7CF3BF" w14:textId="77777777" w:rsidR="00B26AD1" w:rsidRPr="00B26AD1" w:rsidRDefault="00B26AD1" w:rsidP="00B26AD1">
      <w:pPr>
        <w:keepNext/>
        <w:rPr>
          <w:rFonts w:ascii="David" w:hAnsi="David"/>
          <w:color w:val="000000"/>
          <w:sz w:val="22"/>
          <w:szCs w:val="22"/>
          <w:rtl/>
        </w:rPr>
      </w:pPr>
      <w:r w:rsidRPr="00B26AD1">
        <w:rPr>
          <w:rFonts w:ascii="David" w:hAnsi="David"/>
          <w:color w:val="000000"/>
          <w:sz w:val="22"/>
          <w:szCs w:val="22"/>
          <w:rtl/>
        </w:rPr>
        <w:t>ירון לוי 54678313</w:t>
      </w:r>
    </w:p>
    <w:p w14:paraId="479FA15B" w14:textId="77777777" w:rsidR="00B26AD1" w:rsidRDefault="00B26AD1" w:rsidP="00B26AD1">
      <w:r w:rsidRPr="00B26AD1">
        <w:rPr>
          <w:color w:val="000000"/>
          <w:rtl/>
        </w:rPr>
        <w:t>נוסח מסמך זה כפוף לשינויי ניסוח ועריכה</w:t>
      </w:r>
    </w:p>
    <w:p w14:paraId="51FDF806" w14:textId="77777777" w:rsidR="00B26AD1" w:rsidRDefault="00B26AD1" w:rsidP="00B26AD1">
      <w:pPr>
        <w:rPr>
          <w:rtl/>
        </w:rPr>
      </w:pPr>
    </w:p>
    <w:p w14:paraId="1720E176" w14:textId="77777777" w:rsidR="00B26AD1" w:rsidRDefault="00B26AD1" w:rsidP="00B26AD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3763931" w14:textId="77777777" w:rsidR="00B35717" w:rsidRPr="00B26AD1" w:rsidRDefault="00B35717" w:rsidP="00B26AD1">
      <w:pPr>
        <w:jc w:val="center"/>
        <w:rPr>
          <w:color w:val="0000FF"/>
          <w:u w:val="single"/>
        </w:rPr>
      </w:pPr>
    </w:p>
    <w:sectPr w:rsidR="00B35717" w:rsidRPr="00B26AD1" w:rsidSect="00B26AD1">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28D21" w14:textId="77777777" w:rsidR="00790FAC" w:rsidRDefault="00790FAC">
      <w:r>
        <w:separator/>
      </w:r>
    </w:p>
  </w:endnote>
  <w:endnote w:type="continuationSeparator" w:id="0">
    <w:p w14:paraId="08906B06" w14:textId="77777777" w:rsidR="00790FAC" w:rsidRDefault="00790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02019" w14:textId="77777777" w:rsidR="00B26AD1" w:rsidRDefault="00B26AD1" w:rsidP="00B26A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AC242A" w14:textId="77777777" w:rsidR="00B26AD1" w:rsidRPr="00B26AD1" w:rsidRDefault="00B26AD1" w:rsidP="00B26AD1">
    <w:pPr>
      <w:pStyle w:val="a4"/>
      <w:pBdr>
        <w:top w:val="single" w:sz="4" w:space="1" w:color="auto"/>
        <w:between w:val="single" w:sz="4" w:space="0" w:color="auto"/>
      </w:pBdr>
      <w:spacing w:after="60"/>
      <w:jc w:val="center"/>
      <w:rPr>
        <w:rFonts w:ascii="FrankRuehl" w:hAnsi="FrankRuehl" w:cs="FrankRuehl"/>
        <w:color w:val="000000"/>
      </w:rPr>
    </w:pPr>
    <w:r w:rsidRPr="00B26A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6E675" w14:textId="77777777" w:rsidR="00B26AD1" w:rsidRDefault="00B26AD1" w:rsidP="00B26A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3A14">
      <w:rPr>
        <w:rFonts w:ascii="FrankRuehl" w:hAnsi="FrankRuehl" w:cs="FrankRuehl"/>
        <w:noProof/>
        <w:rtl/>
      </w:rPr>
      <w:t>1</w:t>
    </w:r>
    <w:r>
      <w:rPr>
        <w:rFonts w:ascii="FrankRuehl" w:hAnsi="FrankRuehl" w:cs="FrankRuehl"/>
        <w:rtl/>
      </w:rPr>
      <w:fldChar w:fldCharType="end"/>
    </w:r>
  </w:p>
  <w:p w14:paraId="29F3F00B" w14:textId="77777777" w:rsidR="00B26AD1" w:rsidRPr="00B26AD1" w:rsidRDefault="00B26AD1" w:rsidP="00B26AD1">
    <w:pPr>
      <w:pStyle w:val="a4"/>
      <w:pBdr>
        <w:top w:val="single" w:sz="4" w:space="1" w:color="auto"/>
        <w:between w:val="single" w:sz="4" w:space="0" w:color="auto"/>
      </w:pBdr>
      <w:spacing w:after="60"/>
      <w:jc w:val="center"/>
      <w:rPr>
        <w:rFonts w:ascii="FrankRuehl" w:hAnsi="FrankRuehl" w:cs="FrankRuehl"/>
        <w:color w:val="000000"/>
      </w:rPr>
    </w:pPr>
    <w:r w:rsidRPr="00B26AD1">
      <w:rPr>
        <w:rFonts w:ascii="FrankRuehl" w:hAnsi="FrankRuehl" w:cs="FrankRuehl"/>
        <w:color w:val="000000"/>
      </w:rPr>
      <w:pict w14:anchorId="670C6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3D53F" w14:textId="77777777" w:rsidR="00790FAC" w:rsidRDefault="00790FAC">
      <w:r>
        <w:separator/>
      </w:r>
    </w:p>
  </w:footnote>
  <w:footnote w:type="continuationSeparator" w:id="0">
    <w:p w14:paraId="20228BD9" w14:textId="77777777" w:rsidR="00790FAC" w:rsidRDefault="00790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9A10D" w14:textId="77777777" w:rsidR="00B26AD1" w:rsidRPr="00B26AD1" w:rsidRDefault="00B26AD1" w:rsidP="00B26A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59260-03-16</w:t>
    </w:r>
    <w:r>
      <w:rPr>
        <w:rFonts w:ascii="David" w:hAnsi="David"/>
        <w:color w:val="000000"/>
        <w:sz w:val="22"/>
        <w:szCs w:val="22"/>
        <w:rtl/>
      </w:rPr>
      <w:tab/>
      <w:t xml:space="preserve"> מדינת ישראל נ' אכראם חוסין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FC6A8" w14:textId="77777777" w:rsidR="00B26AD1" w:rsidRPr="00B26AD1" w:rsidRDefault="00B26AD1" w:rsidP="00B26A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59260-03-16</w:t>
    </w:r>
    <w:r>
      <w:rPr>
        <w:rFonts w:ascii="David" w:hAnsi="David"/>
        <w:color w:val="000000"/>
        <w:sz w:val="22"/>
        <w:szCs w:val="22"/>
        <w:rtl/>
      </w:rPr>
      <w:tab/>
      <w:t xml:space="preserve"> מדינת ישראל נ' אכראם חוסין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A22"/>
    <w:multiLevelType w:val="hybridMultilevel"/>
    <w:tmpl w:val="C672778E"/>
    <w:lvl w:ilvl="0" w:tplc="F34A25CE">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C59722E"/>
    <w:multiLevelType w:val="hybridMultilevel"/>
    <w:tmpl w:val="0A5CC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E06CB1"/>
    <w:multiLevelType w:val="hybridMultilevel"/>
    <w:tmpl w:val="37C6385A"/>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02B0243"/>
    <w:multiLevelType w:val="hybridMultilevel"/>
    <w:tmpl w:val="D3A4B636"/>
    <w:lvl w:ilvl="0" w:tplc="F34A25C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90914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3030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6883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0766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026C"/>
    <w:rsid w:val="00004B4A"/>
    <w:rsid w:val="000258C6"/>
    <w:rsid w:val="00092DB2"/>
    <w:rsid w:val="000B222D"/>
    <w:rsid w:val="000F3716"/>
    <w:rsid w:val="000F776E"/>
    <w:rsid w:val="001163D9"/>
    <w:rsid w:val="00123268"/>
    <w:rsid w:val="0013605C"/>
    <w:rsid w:val="0015154B"/>
    <w:rsid w:val="00152272"/>
    <w:rsid w:val="0017711A"/>
    <w:rsid w:val="00203146"/>
    <w:rsid w:val="002474C9"/>
    <w:rsid w:val="002B1389"/>
    <w:rsid w:val="002D2C1C"/>
    <w:rsid w:val="002E4BA2"/>
    <w:rsid w:val="00313A14"/>
    <w:rsid w:val="00327617"/>
    <w:rsid w:val="00371D27"/>
    <w:rsid w:val="00374124"/>
    <w:rsid w:val="003C709F"/>
    <w:rsid w:val="003D65D3"/>
    <w:rsid w:val="003E51B4"/>
    <w:rsid w:val="003F026C"/>
    <w:rsid w:val="003F02C5"/>
    <w:rsid w:val="004D1A95"/>
    <w:rsid w:val="004D5997"/>
    <w:rsid w:val="00502392"/>
    <w:rsid w:val="00522173"/>
    <w:rsid w:val="00533D5C"/>
    <w:rsid w:val="00551C5E"/>
    <w:rsid w:val="005638FB"/>
    <w:rsid w:val="0056599B"/>
    <w:rsid w:val="00582B08"/>
    <w:rsid w:val="005847C1"/>
    <w:rsid w:val="005B4DDE"/>
    <w:rsid w:val="005E305D"/>
    <w:rsid w:val="00671477"/>
    <w:rsid w:val="006D1E81"/>
    <w:rsid w:val="00710EDB"/>
    <w:rsid w:val="007171C2"/>
    <w:rsid w:val="00720984"/>
    <w:rsid w:val="007900C5"/>
    <w:rsid w:val="00790FAC"/>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26AD1"/>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B009E"/>
    <w:rsid w:val="00D11A80"/>
    <w:rsid w:val="00D308EF"/>
    <w:rsid w:val="00D357B5"/>
    <w:rsid w:val="00D40041"/>
    <w:rsid w:val="00D56203"/>
    <w:rsid w:val="00D807AC"/>
    <w:rsid w:val="00DA487A"/>
    <w:rsid w:val="00DD36BA"/>
    <w:rsid w:val="00DE1662"/>
    <w:rsid w:val="00E45B36"/>
    <w:rsid w:val="00E45CCB"/>
    <w:rsid w:val="00E61C95"/>
    <w:rsid w:val="00EA60CD"/>
    <w:rsid w:val="00EE2A1B"/>
    <w:rsid w:val="00F274FE"/>
    <w:rsid w:val="00F926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E90AD8"/>
  <w15:chartTrackingRefBased/>
  <w15:docId w15:val="{B11E9547-B3F2-4612-86C9-2803AC26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026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F026C"/>
    <w:pPr>
      <w:tabs>
        <w:tab w:val="center" w:pos="4153"/>
        <w:tab w:val="right" w:pos="8306"/>
      </w:tabs>
    </w:pPr>
  </w:style>
  <w:style w:type="paragraph" w:styleId="a4">
    <w:name w:val="footer"/>
    <w:basedOn w:val="a"/>
    <w:rsid w:val="003F026C"/>
    <w:pPr>
      <w:tabs>
        <w:tab w:val="center" w:pos="4153"/>
        <w:tab w:val="right" w:pos="8306"/>
      </w:tabs>
    </w:pPr>
  </w:style>
  <w:style w:type="character" w:styleId="a5">
    <w:name w:val="page number"/>
    <w:basedOn w:val="a0"/>
    <w:rsid w:val="003F026C"/>
  </w:style>
  <w:style w:type="paragraph" w:customStyle="1" w:styleId="ListParagraph">
    <w:name w:val="List Paragraph"/>
    <w:basedOn w:val="a"/>
    <w:qFormat/>
    <w:rsid w:val="003F026C"/>
    <w:pPr>
      <w:spacing w:after="160" w:line="256" w:lineRule="auto"/>
      <w:ind w:left="720"/>
      <w:contextualSpacing/>
    </w:pPr>
    <w:rPr>
      <w:rFonts w:ascii="Calibri" w:eastAsia="Calibri" w:hAnsi="Calibri" w:cs="Arial"/>
      <w:sz w:val="22"/>
      <w:szCs w:val="22"/>
    </w:rPr>
  </w:style>
  <w:style w:type="character" w:styleId="Hyperlink">
    <w:name w:val="Hyperlink"/>
    <w:rsid w:val="00B26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24364" TargetMode="External"/><Relationship Id="rId18" Type="http://schemas.openxmlformats.org/officeDocument/2006/relationships/hyperlink" Target="http://www.nevo.co.il/case/78785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164779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1474168"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531134" TargetMode="External"/><Relationship Id="rId23"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469171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04048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1610</Words>
  <Characters>8055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9646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3932274</vt:i4>
      </vt:variant>
      <vt:variant>
        <vt:i4>36</vt:i4>
      </vt:variant>
      <vt:variant>
        <vt:i4>0</vt:i4>
      </vt:variant>
      <vt:variant>
        <vt:i4>5</vt:i4>
      </vt:variant>
      <vt:variant>
        <vt:lpwstr>http://www.nevo.co.il/case/4691716</vt:lpwstr>
      </vt:variant>
      <vt:variant>
        <vt:lpwstr/>
      </vt:variant>
      <vt:variant>
        <vt:i4>3473525</vt:i4>
      </vt:variant>
      <vt:variant>
        <vt:i4>33</vt:i4>
      </vt:variant>
      <vt:variant>
        <vt:i4>0</vt:i4>
      </vt:variant>
      <vt:variant>
        <vt:i4>5</vt:i4>
      </vt:variant>
      <vt:variant>
        <vt:lpwstr>http://www.nevo.co.il/case/7878510</vt:lpwstr>
      </vt:variant>
      <vt:variant>
        <vt:lpwstr/>
      </vt:variant>
      <vt:variant>
        <vt:i4>3801206</vt:i4>
      </vt:variant>
      <vt:variant>
        <vt:i4>30</vt:i4>
      </vt:variant>
      <vt:variant>
        <vt:i4>0</vt:i4>
      </vt:variant>
      <vt:variant>
        <vt:i4>5</vt:i4>
      </vt:variant>
      <vt:variant>
        <vt:lpwstr>http://www.nevo.co.il/case/21647791</vt:lpwstr>
      </vt:variant>
      <vt:variant>
        <vt:lpwstr/>
      </vt:variant>
      <vt:variant>
        <vt:i4>3407987</vt:i4>
      </vt:variant>
      <vt:variant>
        <vt:i4>27</vt:i4>
      </vt:variant>
      <vt:variant>
        <vt:i4>0</vt:i4>
      </vt:variant>
      <vt:variant>
        <vt:i4>5</vt:i4>
      </vt:variant>
      <vt:variant>
        <vt:lpwstr>http://www.nevo.co.il/case/21474168</vt:lpwstr>
      </vt:variant>
      <vt:variant>
        <vt:lpwstr/>
      </vt:variant>
      <vt:variant>
        <vt:i4>3473526</vt:i4>
      </vt:variant>
      <vt:variant>
        <vt:i4>24</vt:i4>
      </vt:variant>
      <vt:variant>
        <vt:i4>0</vt:i4>
      </vt:variant>
      <vt:variant>
        <vt:i4>5</vt:i4>
      </vt:variant>
      <vt:variant>
        <vt:lpwstr>http://www.nevo.co.il/case/20531134</vt:lpwstr>
      </vt:variant>
      <vt:variant>
        <vt:lpwstr/>
      </vt:variant>
      <vt:variant>
        <vt:i4>3407996</vt:i4>
      </vt:variant>
      <vt:variant>
        <vt:i4>21</vt:i4>
      </vt:variant>
      <vt:variant>
        <vt:i4>0</vt:i4>
      </vt:variant>
      <vt:variant>
        <vt:i4>5</vt:i4>
      </vt:variant>
      <vt:variant>
        <vt:lpwstr>http://www.nevo.co.il/case/6040482</vt:lpwstr>
      </vt:variant>
      <vt:variant>
        <vt:lpwstr/>
      </vt:variant>
      <vt:variant>
        <vt:i4>3145841</vt:i4>
      </vt:variant>
      <vt:variant>
        <vt:i4>18</vt:i4>
      </vt:variant>
      <vt:variant>
        <vt:i4>0</vt:i4>
      </vt:variant>
      <vt:variant>
        <vt:i4>5</vt:i4>
      </vt:variant>
      <vt:variant>
        <vt:lpwstr>http://www.nevo.co.il/case/5724364</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59260</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אכראם חוסין</vt:lpwstr>
  </property>
  <property fmtid="{D5CDD505-2E9C-101B-9397-08002B2CF9AE}" pid="10" name="LAWYER">
    <vt:lpwstr>דפנה יבין;אסף גונן</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20170228</vt:lpwstr>
  </property>
  <property fmtid="{D5CDD505-2E9C-101B-9397-08002B2CF9AE}" pid="14" name="TYPE_N_DATE">
    <vt:lpwstr>39020170228</vt:lpwstr>
  </property>
  <property fmtid="{D5CDD505-2E9C-101B-9397-08002B2CF9AE}" pid="15" name="CASESLISTTMP1">
    <vt:lpwstr>5724364;6040482;20531134;21474168;21647791;7878510;4691716</vt:lpwstr>
  </property>
  <property fmtid="{D5CDD505-2E9C-101B-9397-08002B2CF9AE}" pid="16" name="WORDNUMPAGES">
    <vt:lpwstr>6</vt:lpwstr>
  </property>
  <property fmtid="{D5CDD505-2E9C-101B-9397-08002B2CF9AE}" pid="17" name="TYPE_ABS_DATE">
    <vt:lpwstr>390020170228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70301/144.b;144.a</vt:lpwstr>
  </property>
  <property fmtid="{D5CDD505-2E9C-101B-9397-08002B2CF9AE}" pid="36" name="ISABSTRACT">
    <vt:lpwstr>Y</vt:lpwstr>
  </property>
</Properties>
</file>