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9545C" w:rsidRPr="00335AD3" w14:paraId="3BD513A2" w14:textId="77777777" w:rsidTr="00BD6018">
        <w:trPr>
          <w:trHeight w:hRule="exact" w:val="418"/>
          <w:jc w:val="center"/>
        </w:trPr>
        <w:tc>
          <w:tcPr>
            <w:tcW w:w="8721" w:type="dxa"/>
            <w:gridSpan w:val="2"/>
          </w:tcPr>
          <w:p w14:paraId="7D86EA3D" w14:textId="77777777" w:rsidR="0099545C" w:rsidRPr="00335AD3" w:rsidRDefault="0099545C" w:rsidP="00335AD3">
            <w:pPr>
              <w:pStyle w:val="a3"/>
              <w:jc w:val="center"/>
              <w:rPr>
                <w:rFonts w:ascii="Tahoma" w:hAnsi="Tahoma" w:cs="Tahoma"/>
                <w:color w:val="000080"/>
                <w:rtl/>
              </w:rPr>
            </w:pPr>
            <w:bookmarkStart w:id="0" w:name="LastJudge"/>
            <w:r w:rsidRPr="00335AD3">
              <w:rPr>
                <w:rFonts w:ascii="Tahoma" w:hAnsi="Tahoma" w:cs="Tahoma"/>
                <w:b/>
                <w:bCs/>
                <w:color w:val="000080"/>
                <w:rtl/>
              </w:rPr>
              <w:t>בית המשפט המחוזי בחיפה</w:t>
            </w:r>
          </w:p>
        </w:tc>
      </w:tr>
      <w:tr w:rsidR="0099545C" w:rsidRPr="00335AD3" w14:paraId="782209A6" w14:textId="77777777" w:rsidTr="00BD6018">
        <w:trPr>
          <w:trHeight w:val="337"/>
          <w:jc w:val="center"/>
        </w:trPr>
        <w:tc>
          <w:tcPr>
            <w:tcW w:w="5060" w:type="dxa"/>
          </w:tcPr>
          <w:p w14:paraId="785EEFDC" w14:textId="77777777" w:rsidR="0099545C" w:rsidRPr="00335AD3" w:rsidRDefault="0099545C" w:rsidP="00335AD3">
            <w:pPr>
              <w:rPr>
                <w:rFonts w:cs="FrankRuehl"/>
                <w:sz w:val="28"/>
                <w:szCs w:val="28"/>
                <w:rtl/>
              </w:rPr>
            </w:pPr>
            <w:r w:rsidRPr="00335AD3">
              <w:rPr>
                <w:rFonts w:cs="FrankRuehl"/>
                <w:sz w:val="28"/>
                <w:szCs w:val="28"/>
                <w:rtl/>
              </w:rPr>
              <w:t>ת"פ</w:t>
            </w:r>
            <w:r w:rsidRPr="00335AD3">
              <w:rPr>
                <w:rFonts w:cs="FrankRuehl" w:hint="cs"/>
                <w:sz w:val="28"/>
                <w:szCs w:val="28"/>
                <w:rtl/>
              </w:rPr>
              <w:t xml:space="preserve"> </w:t>
            </w:r>
            <w:r w:rsidRPr="00335AD3">
              <w:rPr>
                <w:rFonts w:cs="FrankRuehl"/>
                <w:sz w:val="28"/>
                <w:szCs w:val="28"/>
                <w:rtl/>
              </w:rPr>
              <w:t>204-04-16</w:t>
            </w:r>
            <w:r w:rsidRPr="00335AD3">
              <w:rPr>
                <w:rFonts w:cs="FrankRuehl" w:hint="cs"/>
                <w:sz w:val="28"/>
                <w:szCs w:val="28"/>
                <w:rtl/>
              </w:rPr>
              <w:t xml:space="preserve"> </w:t>
            </w:r>
            <w:r w:rsidRPr="00335AD3">
              <w:rPr>
                <w:rFonts w:cs="FrankRuehl"/>
                <w:sz w:val="28"/>
                <w:szCs w:val="28"/>
                <w:rtl/>
              </w:rPr>
              <w:t>מדינת ישראל נ' מרציאנו(עציר) ואח'</w:t>
            </w:r>
          </w:p>
          <w:p w14:paraId="6D24CC19" w14:textId="77777777" w:rsidR="0099545C" w:rsidRPr="00335AD3" w:rsidRDefault="0099545C" w:rsidP="00335AD3">
            <w:pPr>
              <w:pStyle w:val="a3"/>
              <w:rPr>
                <w:rFonts w:cs="FrankRuehl"/>
                <w:sz w:val="28"/>
                <w:szCs w:val="28"/>
                <w:rtl/>
              </w:rPr>
            </w:pPr>
          </w:p>
        </w:tc>
        <w:tc>
          <w:tcPr>
            <w:tcW w:w="3661" w:type="dxa"/>
          </w:tcPr>
          <w:p w14:paraId="37B6BA9E" w14:textId="77777777" w:rsidR="0099545C" w:rsidRPr="00335AD3" w:rsidRDefault="0099545C" w:rsidP="00335AD3">
            <w:pPr>
              <w:pStyle w:val="a3"/>
              <w:jc w:val="right"/>
              <w:rPr>
                <w:rFonts w:cs="FrankRuehl"/>
                <w:sz w:val="28"/>
                <w:szCs w:val="28"/>
                <w:rtl/>
              </w:rPr>
            </w:pPr>
          </w:p>
        </w:tc>
      </w:tr>
    </w:tbl>
    <w:p w14:paraId="4CD925BB" w14:textId="77777777" w:rsidR="0099545C" w:rsidRPr="00335AD3" w:rsidRDefault="0099545C" w:rsidP="0099545C">
      <w:pPr>
        <w:pStyle w:val="a3"/>
        <w:rPr>
          <w:rtl/>
        </w:rPr>
      </w:pPr>
      <w:r w:rsidRPr="00335AD3">
        <w:rPr>
          <w:rFonts w:hint="cs"/>
          <w:rtl/>
        </w:rPr>
        <w:t xml:space="preserve"> </w:t>
      </w:r>
    </w:p>
    <w:p w14:paraId="41895DA9" w14:textId="77777777" w:rsidR="0099545C" w:rsidRPr="00335AD3" w:rsidRDefault="0099545C" w:rsidP="0099545C">
      <w:pPr>
        <w:rPr>
          <w:rtl/>
        </w:rPr>
      </w:pPr>
    </w:p>
    <w:tbl>
      <w:tblPr>
        <w:bidiVisual/>
        <w:tblW w:w="8802" w:type="dxa"/>
        <w:tblInd w:w="80" w:type="dxa"/>
        <w:tblLook w:val="01E0" w:firstRow="1" w:lastRow="1" w:firstColumn="1" w:lastColumn="1" w:noHBand="0" w:noVBand="0"/>
      </w:tblPr>
      <w:tblGrid>
        <w:gridCol w:w="2880"/>
        <w:gridCol w:w="5838"/>
        <w:gridCol w:w="84"/>
      </w:tblGrid>
      <w:tr w:rsidR="0099545C" w:rsidRPr="00335AD3" w14:paraId="64504B87" w14:textId="77777777" w:rsidTr="00335AD3">
        <w:trPr>
          <w:gridAfter w:val="1"/>
          <w:wAfter w:w="56" w:type="dxa"/>
        </w:trPr>
        <w:tc>
          <w:tcPr>
            <w:tcW w:w="8718" w:type="dxa"/>
            <w:gridSpan w:val="2"/>
            <w:shd w:val="clear" w:color="auto" w:fill="auto"/>
          </w:tcPr>
          <w:p w14:paraId="4DDAF75B" w14:textId="77777777" w:rsidR="0099545C" w:rsidRPr="00335AD3" w:rsidRDefault="0099545C" w:rsidP="00335AD3">
            <w:pPr>
              <w:bidi w:val="0"/>
              <w:jc w:val="right"/>
              <w:rPr>
                <w:b/>
                <w:bCs/>
                <w:sz w:val="26"/>
                <w:szCs w:val="26"/>
                <w:rtl/>
              </w:rPr>
            </w:pPr>
            <w:r w:rsidRPr="00335AD3">
              <w:rPr>
                <w:rFonts w:hint="cs"/>
                <w:b/>
                <w:bCs/>
                <w:sz w:val="26"/>
                <w:szCs w:val="26"/>
                <w:rtl/>
              </w:rPr>
              <w:t>לפני כבוד ה</w:t>
            </w:r>
            <w:r w:rsidRPr="00335AD3">
              <w:rPr>
                <w:rFonts w:hint="cs"/>
                <w:rtl/>
              </w:rPr>
              <w:t>שופט אמיר טובי</w:t>
            </w:r>
            <w:r w:rsidRPr="00335AD3">
              <w:rPr>
                <w:rStyle w:val="TimesNewRomanTimesNewRoman"/>
                <w:rFonts w:hint="cs"/>
                <w:rtl/>
              </w:rPr>
              <w:t xml:space="preserve"> </w:t>
            </w:r>
          </w:p>
        </w:tc>
      </w:tr>
      <w:tr w:rsidR="0099545C" w:rsidRPr="00335AD3" w14:paraId="0FEF8051" w14:textId="77777777" w:rsidTr="00335AD3">
        <w:trPr>
          <w:cantSplit/>
          <w:trHeight w:val="724"/>
        </w:trPr>
        <w:tc>
          <w:tcPr>
            <w:tcW w:w="2880" w:type="dxa"/>
            <w:shd w:val="clear" w:color="auto" w:fill="auto"/>
          </w:tcPr>
          <w:p w14:paraId="776E6257" w14:textId="77777777" w:rsidR="0099545C" w:rsidRPr="00335AD3" w:rsidRDefault="0099545C" w:rsidP="00335AD3">
            <w:pPr>
              <w:bidi w:val="0"/>
              <w:ind w:left="26"/>
              <w:jc w:val="right"/>
              <w:rPr>
                <w:b/>
                <w:bCs/>
                <w:sz w:val="26"/>
                <w:szCs w:val="26"/>
                <w:rtl/>
              </w:rPr>
            </w:pPr>
            <w:bookmarkStart w:id="1" w:name="FirstAppellant"/>
          </w:p>
          <w:p w14:paraId="60BF9DD0" w14:textId="77777777" w:rsidR="0099545C" w:rsidRPr="00335AD3" w:rsidRDefault="0099545C" w:rsidP="00335AD3">
            <w:pPr>
              <w:bidi w:val="0"/>
              <w:ind w:left="26"/>
              <w:jc w:val="right"/>
              <w:rPr>
                <w:b/>
                <w:bCs/>
                <w:sz w:val="26"/>
                <w:szCs w:val="26"/>
                <w:rtl/>
              </w:rPr>
            </w:pPr>
            <w:r w:rsidRPr="00335AD3">
              <w:rPr>
                <w:rFonts w:hint="cs"/>
                <w:b/>
                <w:bCs/>
                <w:sz w:val="26"/>
                <w:szCs w:val="26"/>
                <w:rtl/>
              </w:rPr>
              <w:t>המאשימה</w:t>
            </w:r>
          </w:p>
        </w:tc>
        <w:tc>
          <w:tcPr>
            <w:tcW w:w="5922" w:type="dxa"/>
            <w:gridSpan w:val="2"/>
            <w:shd w:val="clear" w:color="auto" w:fill="auto"/>
          </w:tcPr>
          <w:p w14:paraId="3216184B" w14:textId="77777777" w:rsidR="0099545C" w:rsidRPr="00335AD3" w:rsidRDefault="0099545C" w:rsidP="00335AD3">
            <w:pPr>
              <w:bidi w:val="0"/>
              <w:jc w:val="right"/>
              <w:rPr>
                <w:rtl/>
              </w:rPr>
            </w:pPr>
          </w:p>
          <w:p w14:paraId="14AEC606" w14:textId="77777777" w:rsidR="0099545C" w:rsidRPr="00335AD3" w:rsidRDefault="0099545C" w:rsidP="00335AD3">
            <w:pPr>
              <w:bidi w:val="0"/>
              <w:jc w:val="right"/>
              <w:rPr>
                <w:b/>
                <w:bCs/>
                <w:sz w:val="26"/>
                <w:szCs w:val="26"/>
                <w:rtl/>
              </w:rPr>
            </w:pPr>
            <w:r w:rsidRPr="00335AD3">
              <w:rPr>
                <w:rFonts w:hint="cs"/>
                <w:rtl/>
              </w:rPr>
              <w:t xml:space="preserve"> מדינת ישראל</w:t>
            </w:r>
          </w:p>
        </w:tc>
      </w:tr>
      <w:bookmarkEnd w:id="1"/>
      <w:tr w:rsidR="0099545C" w:rsidRPr="00335AD3" w14:paraId="01E714A4" w14:textId="77777777" w:rsidTr="00335AD3">
        <w:tc>
          <w:tcPr>
            <w:tcW w:w="8802" w:type="dxa"/>
            <w:gridSpan w:val="3"/>
            <w:shd w:val="clear" w:color="auto" w:fill="auto"/>
            <w:vAlign w:val="center"/>
          </w:tcPr>
          <w:p w14:paraId="721A5660" w14:textId="77777777" w:rsidR="0099545C" w:rsidRPr="00335AD3" w:rsidRDefault="0099545C" w:rsidP="00335AD3">
            <w:pPr>
              <w:bidi w:val="0"/>
              <w:jc w:val="center"/>
              <w:rPr>
                <w:rFonts w:ascii="Arial" w:hAnsi="Arial"/>
                <w:b/>
                <w:bCs/>
                <w:sz w:val="26"/>
                <w:szCs w:val="26"/>
                <w:rtl/>
              </w:rPr>
            </w:pPr>
          </w:p>
          <w:p w14:paraId="77708E7E" w14:textId="77777777" w:rsidR="0099545C" w:rsidRPr="00335AD3" w:rsidRDefault="0099545C" w:rsidP="00335AD3">
            <w:pPr>
              <w:bidi w:val="0"/>
              <w:jc w:val="center"/>
              <w:rPr>
                <w:rFonts w:ascii="Arial" w:hAnsi="Arial"/>
                <w:b/>
                <w:bCs/>
                <w:sz w:val="26"/>
                <w:szCs w:val="26"/>
                <w:rtl/>
              </w:rPr>
            </w:pPr>
            <w:r w:rsidRPr="00335AD3">
              <w:rPr>
                <w:rFonts w:ascii="Arial" w:hAnsi="Arial" w:hint="cs"/>
                <w:b/>
                <w:bCs/>
                <w:sz w:val="26"/>
                <w:szCs w:val="26"/>
                <w:rtl/>
              </w:rPr>
              <w:t>נגד</w:t>
            </w:r>
          </w:p>
          <w:p w14:paraId="34176E16" w14:textId="77777777" w:rsidR="0099545C" w:rsidRPr="00335AD3" w:rsidRDefault="0099545C" w:rsidP="00335AD3">
            <w:pPr>
              <w:bidi w:val="0"/>
              <w:jc w:val="right"/>
              <w:rPr>
                <w:rFonts w:ascii="Arial" w:hAnsi="Arial"/>
                <w:b/>
                <w:bCs/>
                <w:sz w:val="26"/>
                <w:szCs w:val="26"/>
                <w:rtl/>
              </w:rPr>
            </w:pPr>
          </w:p>
        </w:tc>
      </w:tr>
      <w:tr w:rsidR="0099545C" w:rsidRPr="00335AD3" w14:paraId="709F0A9C" w14:textId="77777777" w:rsidTr="00335AD3">
        <w:tc>
          <w:tcPr>
            <w:tcW w:w="2880" w:type="dxa"/>
            <w:shd w:val="clear" w:color="auto" w:fill="auto"/>
          </w:tcPr>
          <w:p w14:paraId="190F9878" w14:textId="77777777" w:rsidR="0099545C" w:rsidRPr="00335AD3" w:rsidRDefault="0099545C" w:rsidP="00335AD3">
            <w:pPr>
              <w:ind w:left="26"/>
              <w:rPr>
                <w:b/>
                <w:bCs/>
                <w:sz w:val="26"/>
                <w:szCs w:val="26"/>
                <w:rtl/>
              </w:rPr>
            </w:pPr>
            <w:r w:rsidRPr="00335AD3">
              <w:rPr>
                <w:rFonts w:hint="cs"/>
                <w:b/>
                <w:bCs/>
                <w:sz w:val="26"/>
                <w:szCs w:val="26"/>
                <w:rtl/>
              </w:rPr>
              <w:t>הנאשמים</w:t>
            </w:r>
          </w:p>
        </w:tc>
        <w:tc>
          <w:tcPr>
            <w:tcW w:w="5922" w:type="dxa"/>
            <w:gridSpan w:val="2"/>
            <w:shd w:val="clear" w:color="auto" w:fill="auto"/>
          </w:tcPr>
          <w:p w14:paraId="0658F29D" w14:textId="77777777" w:rsidR="0099545C" w:rsidRPr="00335AD3" w:rsidRDefault="0099545C" w:rsidP="00BD6018">
            <w:pPr>
              <w:rPr>
                <w:b/>
                <w:bCs/>
                <w:sz w:val="26"/>
                <w:szCs w:val="26"/>
              </w:rPr>
            </w:pPr>
            <w:r w:rsidRPr="00335AD3">
              <w:rPr>
                <w:rFonts w:hint="cs"/>
                <w:rtl/>
              </w:rPr>
              <w:t xml:space="preserve">.1 שליו מרציאנו </w:t>
            </w:r>
          </w:p>
          <w:p w14:paraId="1D60324D" w14:textId="77777777" w:rsidR="0099545C" w:rsidRPr="00335AD3" w:rsidRDefault="00BD6018" w:rsidP="00BD6018">
            <w:pPr>
              <w:rPr>
                <w:rtl/>
              </w:rPr>
            </w:pPr>
            <w:r>
              <w:rPr>
                <w:rFonts w:hint="cs"/>
                <w:rtl/>
              </w:rPr>
              <w:t xml:space="preserve">.2 אוריאל דוד כהן </w:t>
            </w:r>
          </w:p>
          <w:p w14:paraId="0E766F78" w14:textId="77777777" w:rsidR="0099545C" w:rsidRPr="00335AD3" w:rsidRDefault="0099545C" w:rsidP="00335AD3">
            <w:pPr>
              <w:rPr>
                <w:b/>
                <w:bCs/>
                <w:sz w:val="26"/>
                <w:szCs w:val="26"/>
                <w:rtl/>
              </w:rPr>
            </w:pPr>
          </w:p>
        </w:tc>
      </w:tr>
    </w:tbl>
    <w:p w14:paraId="2066EF78" w14:textId="77777777" w:rsidR="0099545C" w:rsidRPr="00335AD3" w:rsidRDefault="0099545C" w:rsidP="0099545C">
      <w:pPr>
        <w:rPr>
          <w:rtl/>
        </w:rPr>
      </w:pPr>
    </w:p>
    <w:p w14:paraId="27FD9E8B" w14:textId="77777777" w:rsidR="0099545C" w:rsidRPr="00335AD3" w:rsidRDefault="0099545C" w:rsidP="0099545C">
      <w:pPr>
        <w:rPr>
          <w:b/>
          <w:bCs/>
          <w:rtl/>
        </w:rPr>
      </w:pPr>
      <w:r w:rsidRPr="00335AD3">
        <w:rPr>
          <w:rFonts w:hint="cs"/>
          <w:b/>
          <w:bCs/>
          <w:rtl/>
        </w:rPr>
        <w:t>נוכחים:</w:t>
      </w:r>
    </w:p>
    <w:p w14:paraId="47B80D11" w14:textId="77777777" w:rsidR="0099545C" w:rsidRPr="00335AD3" w:rsidRDefault="0099545C" w:rsidP="0099545C">
      <w:pPr>
        <w:rPr>
          <w:rtl/>
        </w:rPr>
      </w:pPr>
      <w:bookmarkStart w:id="2" w:name="FirstLawyer"/>
      <w:r w:rsidRPr="00335AD3">
        <w:rPr>
          <w:rFonts w:hint="cs"/>
          <w:rtl/>
        </w:rPr>
        <w:t>ב"כ</w:t>
      </w:r>
      <w:bookmarkEnd w:id="2"/>
      <w:r w:rsidRPr="00335AD3">
        <w:rPr>
          <w:rFonts w:hint="cs"/>
          <w:rtl/>
        </w:rPr>
        <w:t xml:space="preserve"> המאשימה: עו"ד טל עופר</w:t>
      </w:r>
    </w:p>
    <w:p w14:paraId="7ADA2575" w14:textId="77777777" w:rsidR="0099545C" w:rsidRPr="00335AD3" w:rsidRDefault="0099545C" w:rsidP="0099545C">
      <w:pPr>
        <w:rPr>
          <w:rtl/>
        </w:rPr>
      </w:pPr>
      <w:r w:rsidRPr="00335AD3">
        <w:rPr>
          <w:rFonts w:hint="cs"/>
          <w:rtl/>
        </w:rPr>
        <w:t>ב"כ הנאשמים: עו"ד</w:t>
      </w:r>
      <w:r w:rsidRPr="00335AD3">
        <w:rPr>
          <w:rFonts w:hint="cs"/>
        </w:rPr>
        <w:t xml:space="preserve"> </w:t>
      </w:r>
      <w:r w:rsidRPr="00335AD3">
        <w:rPr>
          <w:rFonts w:hint="cs"/>
          <w:rtl/>
        </w:rPr>
        <w:t xml:space="preserve"> אנאס דיראוי בהעברה מעו"ד  דורון נוי</w:t>
      </w:r>
    </w:p>
    <w:p w14:paraId="1DDBE301" w14:textId="77777777" w:rsidR="00BD6018" w:rsidRDefault="0099545C" w:rsidP="0099545C">
      <w:r w:rsidRPr="00335AD3">
        <w:rPr>
          <w:rFonts w:hint="cs"/>
          <w:rtl/>
        </w:rPr>
        <w:t>הנאשמים באמצעות הליווי</w:t>
      </w:r>
      <w:bookmarkStart w:id="3" w:name="LawTable"/>
      <w:bookmarkEnd w:id="3"/>
    </w:p>
    <w:p w14:paraId="17A06D9D" w14:textId="77777777" w:rsidR="00BD6018" w:rsidRPr="00BD6018" w:rsidRDefault="00BD6018" w:rsidP="00BD6018">
      <w:pPr>
        <w:spacing w:after="120" w:line="240" w:lineRule="exact"/>
        <w:ind w:left="283" w:hanging="283"/>
        <w:jc w:val="both"/>
        <w:rPr>
          <w:rFonts w:ascii="FrankRuehl" w:hAnsi="FrankRuehl" w:cs="FrankRuehl"/>
        </w:rPr>
      </w:pPr>
    </w:p>
    <w:p w14:paraId="0099E81F" w14:textId="77777777" w:rsidR="00BD6018" w:rsidRPr="00BD6018" w:rsidRDefault="00BD6018" w:rsidP="00BD6018">
      <w:pPr>
        <w:spacing w:after="120" w:line="240" w:lineRule="exact"/>
        <w:ind w:left="283" w:hanging="283"/>
        <w:jc w:val="both"/>
        <w:rPr>
          <w:rFonts w:ascii="FrankRuehl" w:hAnsi="FrankRuehl" w:cs="FrankRuehl"/>
        </w:rPr>
      </w:pPr>
      <w:r w:rsidRPr="00BD6018">
        <w:rPr>
          <w:rFonts w:ascii="FrankRuehl" w:hAnsi="FrankRuehl" w:cs="FrankRuehl"/>
          <w:rtl/>
        </w:rPr>
        <w:t xml:space="preserve">חקיקה שאוזכרה: </w:t>
      </w:r>
    </w:p>
    <w:p w14:paraId="2B6A96B3" w14:textId="77777777" w:rsidR="00335AD3" w:rsidRPr="00BD6018" w:rsidRDefault="00BD6018" w:rsidP="00BD6018">
      <w:pPr>
        <w:spacing w:after="120" w:line="240" w:lineRule="exact"/>
        <w:ind w:left="283" w:hanging="283"/>
        <w:jc w:val="both"/>
        <w:rPr>
          <w:rFonts w:ascii="FrankRuehl" w:hAnsi="FrankRuehl" w:cs="FrankRuehl" w:hint="cs"/>
          <w:rtl/>
        </w:rPr>
      </w:pPr>
      <w:hyperlink r:id="rId6" w:history="1">
        <w:r w:rsidRPr="00BD6018">
          <w:rPr>
            <w:rFonts w:ascii="FrankRuehl" w:hAnsi="FrankRuehl" w:cs="FrankRuehl"/>
            <w:color w:val="0000FF"/>
            <w:u w:val="single"/>
            <w:rtl/>
          </w:rPr>
          <w:t>חוק העונשין, תשל"ז-1977</w:t>
        </w:r>
      </w:hyperlink>
      <w:r w:rsidRPr="00BD6018">
        <w:rPr>
          <w:rFonts w:ascii="FrankRuehl" w:hAnsi="FrankRuehl" w:cs="FrankRuehl"/>
        </w:rPr>
        <w:t xml:space="preserve">: </w:t>
      </w:r>
      <w:r w:rsidRPr="00BD6018">
        <w:rPr>
          <w:rFonts w:ascii="FrankRuehl" w:hAnsi="FrankRuehl" w:cs="FrankRuehl"/>
          <w:rtl/>
        </w:rPr>
        <w:t>סע</w:t>
      </w:r>
      <w:r w:rsidRPr="00BD6018">
        <w:rPr>
          <w:rFonts w:ascii="FrankRuehl" w:hAnsi="FrankRuehl" w:cs="FrankRuehl"/>
        </w:rPr>
        <w:t xml:space="preserve">'  </w:t>
      </w:r>
      <w:hyperlink r:id="rId7" w:history="1">
        <w:r w:rsidRPr="00BD6018">
          <w:rPr>
            <w:rFonts w:ascii="FrankRuehl" w:hAnsi="FrankRuehl" w:cs="FrankRuehl"/>
            <w:color w:val="0000FF"/>
            <w:u w:val="single"/>
          </w:rPr>
          <w:t>29</w:t>
        </w:r>
      </w:hyperlink>
      <w:r w:rsidRPr="00BD6018">
        <w:rPr>
          <w:rFonts w:ascii="FrankRuehl" w:hAnsi="FrankRuehl" w:cs="FrankRuehl"/>
        </w:rPr>
        <w:t xml:space="preserve">, </w:t>
      </w:r>
      <w:hyperlink r:id="rId8" w:history="1">
        <w:r w:rsidRPr="00BD6018">
          <w:rPr>
            <w:rFonts w:ascii="FrankRuehl" w:hAnsi="FrankRuehl" w:cs="FrankRuehl"/>
            <w:color w:val="0000FF"/>
            <w:u w:val="single"/>
          </w:rPr>
          <w:t>144(</w:t>
        </w:r>
        <w:r w:rsidRPr="00BD6018">
          <w:rPr>
            <w:rFonts w:ascii="FrankRuehl" w:hAnsi="FrankRuehl" w:cs="FrankRuehl"/>
            <w:color w:val="0000FF"/>
            <w:u w:val="single"/>
            <w:rtl/>
          </w:rPr>
          <w:t>א</w:t>
        </w:r>
        <w:r w:rsidRPr="00BD6018">
          <w:rPr>
            <w:rFonts w:ascii="FrankRuehl" w:hAnsi="FrankRuehl" w:cs="FrankRuehl"/>
            <w:color w:val="0000FF"/>
            <w:u w:val="single"/>
          </w:rPr>
          <w:t>)</w:t>
        </w:r>
      </w:hyperlink>
      <w:r w:rsidRPr="00BD6018">
        <w:rPr>
          <w:rFonts w:ascii="FrankRuehl" w:hAnsi="FrankRuehl" w:cs="FrankRuehl"/>
        </w:rPr>
        <w:t xml:space="preserve">, </w:t>
      </w:r>
      <w:hyperlink r:id="rId9" w:history="1">
        <w:r w:rsidRPr="00BD6018">
          <w:rPr>
            <w:rFonts w:ascii="FrankRuehl" w:hAnsi="FrankRuehl" w:cs="FrankRuehl"/>
            <w:color w:val="0000FF"/>
            <w:u w:val="single"/>
          </w:rPr>
          <w:t>144(</w:t>
        </w:r>
        <w:r w:rsidRPr="00BD6018">
          <w:rPr>
            <w:rFonts w:ascii="FrankRuehl" w:hAnsi="FrankRuehl" w:cs="FrankRuehl"/>
            <w:color w:val="0000FF"/>
            <w:u w:val="single"/>
            <w:rtl/>
          </w:rPr>
          <w:t>ב</w:t>
        </w:r>
        <w:r w:rsidRPr="00BD6018">
          <w:rPr>
            <w:rFonts w:ascii="FrankRuehl" w:hAnsi="FrankRuehl" w:cs="FrankRuehl"/>
            <w:color w:val="0000FF"/>
            <w:u w:val="single"/>
          </w:rPr>
          <w:t>)</w:t>
        </w:r>
      </w:hyperlink>
      <w:r w:rsidRPr="00BD6018">
        <w:rPr>
          <w:rFonts w:ascii="FrankRuehl" w:hAnsi="FrankRuehl" w:cs="FrankRuehl"/>
        </w:rPr>
        <w:t xml:space="preserve">, </w:t>
      </w:r>
      <w:r w:rsidRPr="00BD6018">
        <w:rPr>
          <w:rFonts w:ascii="FrankRuehl" w:hAnsi="FrankRuehl" w:cs="FrankRuehl"/>
          <w:color w:val="0000FF"/>
          <w:u w:val="single"/>
        </w:rPr>
        <w:t>412</w:t>
      </w:r>
    </w:p>
    <w:p w14:paraId="332415AA" w14:textId="77777777" w:rsidR="0099545C" w:rsidRPr="00335AD3" w:rsidRDefault="0099545C" w:rsidP="0099545C">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9545C" w14:paraId="4E3556C5" w14:textId="77777777" w:rsidTr="00335AD3">
        <w:trPr>
          <w:trHeight w:val="355"/>
          <w:jc w:val="center"/>
        </w:trPr>
        <w:tc>
          <w:tcPr>
            <w:tcW w:w="8820" w:type="dxa"/>
            <w:tcBorders>
              <w:top w:val="nil"/>
              <w:left w:val="nil"/>
              <w:bottom w:val="nil"/>
              <w:right w:val="nil"/>
            </w:tcBorders>
            <w:shd w:val="clear" w:color="auto" w:fill="auto"/>
          </w:tcPr>
          <w:p w14:paraId="0A5FE86D" w14:textId="77777777" w:rsidR="00335AD3" w:rsidRPr="00335AD3" w:rsidRDefault="00335AD3" w:rsidP="00335AD3">
            <w:pPr>
              <w:jc w:val="center"/>
              <w:rPr>
                <w:rFonts w:ascii="Arial" w:hAnsi="Arial" w:cs="FrankRuehl"/>
                <w:b/>
                <w:bCs/>
                <w:sz w:val="32"/>
                <w:szCs w:val="32"/>
                <w:u w:val="single"/>
                <w:rtl/>
              </w:rPr>
            </w:pPr>
            <w:bookmarkStart w:id="4" w:name="PsakDin" w:colFirst="0" w:colLast="0"/>
            <w:bookmarkEnd w:id="0"/>
            <w:r w:rsidRPr="00335AD3">
              <w:rPr>
                <w:rFonts w:ascii="Arial" w:hAnsi="Arial" w:cs="FrankRuehl"/>
                <w:b/>
                <w:bCs/>
                <w:sz w:val="32"/>
                <w:szCs w:val="32"/>
                <w:u w:val="single"/>
                <w:rtl/>
              </w:rPr>
              <w:t>גזר דין</w:t>
            </w:r>
          </w:p>
          <w:p w14:paraId="1C644846" w14:textId="77777777" w:rsidR="0099545C" w:rsidRPr="00335AD3" w:rsidRDefault="0099545C" w:rsidP="00335AD3">
            <w:pPr>
              <w:jc w:val="center"/>
              <w:rPr>
                <w:rFonts w:ascii="Arial" w:hAnsi="Arial" w:cs="FrankRuehl"/>
                <w:bCs/>
                <w:sz w:val="32"/>
                <w:szCs w:val="32"/>
                <w:u w:val="single"/>
                <w:rtl/>
              </w:rPr>
            </w:pPr>
          </w:p>
        </w:tc>
      </w:tr>
      <w:bookmarkEnd w:id="4"/>
    </w:tbl>
    <w:p w14:paraId="6F4EA1A3" w14:textId="77777777" w:rsidR="0099545C" w:rsidRPr="00B05847" w:rsidRDefault="0099545C" w:rsidP="0099545C">
      <w:pPr>
        <w:rPr>
          <w:rFonts w:ascii="Arial" w:hAnsi="Arial"/>
          <w:rtl/>
        </w:rPr>
      </w:pPr>
    </w:p>
    <w:p w14:paraId="369BD91C" w14:textId="77777777" w:rsidR="0099545C" w:rsidRPr="00B05847" w:rsidRDefault="0099545C" w:rsidP="0099545C">
      <w:pPr>
        <w:rPr>
          <w:rFonts w:ascii="Arial" w:hAnsi="Arial"/>
          <w:rtl/>
        </w:rPr>
      </w:pPr>
    </w:p>
    <w:p w14:paraId="13E4DA6C" w14:textId="77777777" w:rsidR="0099545C" w:rsidRDefault="0099545C" w:rsidP="0099545C">
      <w:pPr>
        <w:spacing w:line="360" w:lineRule="auto"/>
        <w:jc w:val="both"/>
        <w:rPr>
          <w:rtl/>
        </w:rPr>
      </w:pPr>
      <w:bookmarkStart w:id="5" w:name="ABSTRACT_START"/>
      <w:bookmarkEnd w:id="5"/>
      <w:r>
        <w:rPr>
          <w:rFonts w:hint="cs"/>
          <w:rtl/>
        </w:rPr>
        <w:t xml:space="preserve">הנאשמים הורשעו על סמך הודייתם, בעבירות שיוחסו להם בכתב אישום שתוקן במסגרת הסדר טיעון, בעבירות בנשק </w:t>
      </w:r>
      <w:r>
        <w:rPr>
          <w:rtl/>
        </w:rPr>
        <w:t>–</w:t>
      </w:r>
      <w:r>
        <w:rPr>
          <w:rFonts w:hint="cs"/>
          <w:rtl/>
        </w:rPr>
        <w:t xml:space="preserve"> לפי </w:t>
      </w:r>
      <w:hyperlink r:id="rId10" w:history="1">
        <w:r w:rsidR="00BD6018" w:rsidRPr="00BD6018">
          <w:rPr>
            <w:color w:val="0000FF"/>
            <w:u w:val="single"/>
            <w:rtl/>
          </w:rPr>
          <w:t>סעיף 144(א)</w:t>
        </w:r>
      </w:hyperlink>
      <w:r>
        <w:rPr>
          <w:rFonts w:hint="cs"/>
          <w:rtl/>
        </w:rPr>
        <w:t xml:space="preserve"> רישא + סיפא + </w:t>
      </w:r>
      <w:hyperlink r:id="rId11" w:history="1">
        <w:r w:rsidR="00BD6018" w:rsidRPr="00BD6018">
          <w:rPr>
            <w:color w:val="0000FF"/>
            <w:u w:val="single"/>
            <w:rtl/>
          </w:rPr>
          <w:t>סעיף 144(ב)</w:t>
        </w:r>
      </w:hyperlink>
      <w:r>
        <w:rPr>
          <w:rFonts w:hint="cs"/>
          <w:rtl/>
        </w:rPr>
        <w:t xml:space="preserve"> רישא + סיפא + </w:t>
      </w:r>
      <w:hyperlink r:id="rId12" w:history="1">
        <w:r w:rsidR="00BD6018" w:rsidRPr="00BD6018">
          <w:rPr>
            <w:color w:val="0000FF"/>
            <w:u w:val="single"/>
            <w:rtl/>
          </w:rPr>
          <w:t>סעיף 29</w:t>
        </w:r>
      </w:hyperlink>
      <w:r>
        <w:rPr>
          <w:rFonts w:hint="cs"/>
          <w:rtl/>
        </w:rPr>
        <w:t xml:space="preserve"> ל</w:t>
      </w:r>
      <w:hyperlink r:id="rId13" w:history="1">
        <w:r w:rsidR="00335AD3" w:rsidRPr="00335AD3">
          <w:rPr>
            <w:color w:val="0000FF"/>
            <w:u w:val="single"/>
            <w:rtl/>
          </w:rPr>
          <w:t>חוק העונשין</w:t>
        </w:r>
      </w:hyperlink>
      <w:r>
        <w:rPr>
          <w:rFonts w:hint="cs"/>
          <w:rtl/>
        </w:rPr>
        <w:t xml:space="preserve">, התשל"ז-1977 וכן בקבלת נכסים שהושגו בעוון </w:t>
      </w:r>
      <w:r>
        <w:rPr>
          <w:rtl/>
        </w:rPr>
        <w:t>–</w:t>
      </w:r>
      <w:r>
        <w:rPr>
          <w:rFonts w:hint="cs"/>
          <w:rtl/>
        </w:rPr>
        <w:t xml:space="preserve"> עבירה לפי </w:t>
      </w:r>
      <w:hyperlink r:id="rId14" w:history="1">
        <w:r w:rsidR="00BD6018" w:rsidRPr="00BD6018">
          <w:rPr>
            <w:color w:val="0000FF"/>
            <w:u w:val="single"/>
            <w:rtl/>
          </w:rPr>
          <w:t>סעיף 412</w:t>
        </w:r>
      </w:hyperlink>
      <w:r>
        <w:rPr>
          <w:rFonts w:hint="cs"/>
          <w:rtl/>
        </w:rPr>
        <w:t xml:space="preserve"> + </w:t>
      </w:r>
      <w:hyperlink r:id="rId15" w:history="1">
        <w:r w:rsidR="00BD6018" w:rsidRPr="00BD6018">
          <w:rPr>
            <w:color w:val="0000FF"/>
            <w:u w:val="single"/>
            <w:rtl/>
          </w:rPr>
          <w:t>29</w:t>
        </w:r>
      </w:hyperlink>
      <w:r>
        <w:rPr>
          <w:rFonts w:hint="cs"/>
          <w:rtl/>
        </w:rPr>
        <w:t xml:space="preserve"> לחוק העונשין, התשל"ז-1977.</w:t>
      </w:r>
    </w:p>
    <w:p w14:paraId="4D9C0D24" w14:textId="77777777" w:rsidR="0099545C" w:rsidRDefault="0099545C" w:rsidP="0099545C">
      <w:pPr>
        <w:spacing w:line="360" w:lineRule="auto"/>
        <w:jc w:val="both"/>
        <w:rPr>
          <w:rtl/>
        </w:rPr>
      </w:pPr>
      <w:bookmarkStart w:id="6" w:name="ABSTRACT_END"/>
      <w:bookmarkEnd w:id="6"/>
    </w:p>
    <w:p w14:paraId="76B108D9" w14:textId="77777777" w:rsidR="0099545C" w:rsidRDefault="0099545C" w:rsidP="0099545C">
      <w:pPr>
        <w:spacing w:line="360" w:lineRule="auto"/>
        <w:jc w:val="both"/>
        <w:rPr>
          <w:rtl/>
        </w:rPr>
      </w:pPr>
      <w:r>
        <w:rPr>
          <w:rFonts w:hint="cs"/>
          <w:rtl/>
        </w:rPr>
        <w:t>הסדר הטיעון כלל הסכמה לגבי העונש ולפיה יושת על הנאשמים מאסר בפועל בן 34 חודשים בניכוי ימי מעצרם, והצדדים יטענו באופן חופשי לרכיבי הענישה האחרים.</w:t>
      </w:r>
    </w:p>
    <w:p w14:paraId="00AD66D2" w14:textId="77777777" w:rsidR="0099545C" w:rsidRDefault="0099545C" w:rsidP="0099545C">
      <w:pPr>
        <w:spacing w:line="360" w:lineRule="auto"/>
        <w:jc w:val="both"/>
        <w:rPr>
          <w:rtl/>
        </w:rPr>
      </w:pPr>
    </w:p>
    <w:p w14:paraId="174E2EAE" w14:textId="77777777" w:rsidR="0099545C" w:rsidRDefault="0099545C" w:rsidP="0099545C">
      <w:pPr>
        <w:spacing w:line="360" w:lineRule="auto"/>
        <w:jc w:val="both"/>
        <w:rPr>
          <w:rtl/>
        </w:rPr>
      </w:pPr>
      <w:r>
        <w:rPr>
          <w:rFonts w:hint="cs"/>
          <w:rtl/>
        </w:rPr>
        <w:t xml:space="preserve">בעובדות כתב האישום נאמר כי עמרי אזמנוב הינו הבעלים של קטנוע שנגנב ממנו בתל אביב ביום 12.3.16 (להלן: "הקטנוע"). ביום 17.3.16 או בסמוך לכך, הצטיידו הנאשמים בתת מקלע מאולתר שסוגל לירות כדור שבכוחו להמית אדם (להלן: "הנשק"), במחסנית תואמת לנשק, ב-68 כדורים בקליבר 9 מ"מ, במספר זוגות של כפפות, שני "חם צוואר" ובשתי מסכות סקי. באותו תאריך, בשעה שאינה ידועה במדוייק למאשימה, הגיעו הנאשמים לרחוב שביל התפוז בעכו באמצעות רכב מסחרי בעל ארגז סגור ובאמצעות הקטנוע אותו קיבלו ביודעם כי הוא נגנב וללא רשות הבעלים. הנאשמים </w:t>
      </w:r>
      <w:r>
        <w:rPr>
          <w:rFonts w:hint="cs"/>
          <w:rtl/>
        </w:rPr>
        <w:lastRenderedPageBreak/>
        <w:t>הגיעו לרחוב כשהם מחזיקים, נושאים ומובילים בארגז הרכב את הנשק, המחסנית והתחמושת ללא רשות על פי דין וכן את פרטי הלבוש, והמתינו בארגז הרכב פרק זמן של מספר שעות. סמוך לשעה 22:00, עקב חשד שהתעורר אצל אישה המתגוררת ברחוב, הוזעקה המשטרה ולאחר שאנשי המשטרה הגיעו ועמדו בקרבת הרכב, יצאו הנאשמים מהרכב ונעצרו.</w:t>
      </w:r>
    </w:p>
    <w:p w14:paraId="2D617905" w14:textId="77777777" w:rsidR="0099545C" w:rsidRDefault="0099545C" w:rsidP="0099545C">
      <w:pPr>
        <w:spacing w:line="360" w:lineRule="auto"/>
        <w:jc w:val="both"/>
        <w:rPr>
          <w:rtl/>
        </w:rPr>
      </w:pPr>
    </w:p>
    <w:p w14:paraId="0F6C6F73" w14:textId="77777777" w:rsidR="0099545C" w:rsidRDefault="0099545C" w:rsidP="0099545C">
      <w:pPr>
        <w:spacing w:line="360" w:lineRule="auto"/>
        <w:jc w:val="both"/>
        <w:rPr>
          <w:rtl/>
        </w:rPr>
      </w:pPr>
      <w:r>
        <w:rPr>
          <w:rFonts w:hint="cs"/>
          <w:rtl/>
        </w:rPr>
        <w:t>לאחר שהנאשמים הורשעו ובטרם נשמעו הטיעונים לעונש, הוריתי לשירות המבחן לערוך תסקיר בעניינו של הנאשם 2, בשים לב לקיומה של חובת תסקיר נוכח גילו של נאשם זה.</w:t>
      </w:r>
    </w:p>
    <w:p w14:paraId="4DFC5A91" w14:textId="77777777" w:rsidR="0099545C" w:rsidRDefault="0099545C" w:rsidP="0099545C">
      <w:pPr>
        <w:spacing w:line="360" w:lineRule="auto"/>
        <w:jc w:val="both"/>
        <w:rPr>
          <w:rtl/>
        </w:rPr>
      </w:pPr>
      <w:r>
        <w:rPr>
          <w:rFonts w:hint="cs"/>
          <w:rtl/>
        </w:rPr>
        <w:t xml:space="preserve">בתסקיר מיום 17.1.17 נאמר כי הנאשם 2 הינו רווק בן 20, יליד הארץ, שטרם מעצרו התגורר בבית הוריו בנהריה ושהה ללא מסגרת תעסוקתית כלשהי. בתסקיר נסקרו נסיבותיו המשפחתיות והאישיות של הנאשם 2, תוך שצויין כי מדובר במי שלחובתו הרשעה אחת בעבירות תקיפה וחבלה כשהינו מזויין משנת 2015. בגין הרשעה זו נדון הנאשם 2 תחילה למאסר מותנה, צו מבחן ושל"צ אך בהמשך, משלא שיתף פעולה והסתיר מידע, הופקעו הצווים והוא נדון מחדש ל-6 חודשי מאסר. שירות המבחן התרשם מצעיר בעל יכולות וורבליות וקוגניטיביות תקינות אם כי לאורך השנים גילה קשיים הסתגלותיים שבאים לידי ביטוי בקושי לתפקד במסגרות של לימודים ועבודה. עוד נקבע בתסקיר כי מהתבוננות בעברו ובהתנהלותו הפלילית הנוכחית, לרבות העובדה כי בשנים האחרונות חבר לגורמים שוליים בסביבתו, הפנים דפוסי התנהגות עבריינים ומנהל אורח חיים פורע חוק, עולה ההערכה כי קיים סיכון גבוה להתנהגות פורצת גבול בעתיד. לפיכך, המליץ שירות המבחן לאמץ את הסדר הטיעון כפי שהוצג ולהטיל על הנאשם 2 מאסר מוחשי שיחדד עבורו גבולות אסור ומותר. </w:t>
      </w:r>
    </w:p>
    <w:p w14:paraId="652B4F51" w14:textId="77777777" w:rsidR="0099545C" w:rsidRDefault="0099545C" w:rsidP="0099545C">
      <w:pPr>
        <w:spacing w:line="360" w:lineRule="auto"/>
        <w:jc w:val="both"/>
        <w:rPr>
          <w:rtl/>
        </w:rPr>
      </w:pPr>
    </w:p>
    <w:p w14:paraId="498EC877" w14:textId="77777777" w:rsidR="0099545C" w:rsidRDefault="0099545C" w:rsidP="0099545C">
      <w:pPr>
        <w:spacing w:line="360" w:lineRule="auto"/>
        <w:jc w:val="both"/>
        <w:rPr>
          <w:rtl/>
        </w:rPr>
      </w:pPr>
      <w:r>
        <w:rPr>
          <w:rFonts w:hint="cs"/>
          <w:rtl/>
        </w:rPr>
        <w:t>בפתח הטיעונים לעונש הציגה המאשימה את גיליון הרשעותיהם של הנאשמים. מהמרשם המתייחס לנאשם 1 (מע/1) עולה כי לחובתו 5 הרשעות קודמות בשלל עבירות רכוש ותקיפה בגינם ריצה בעבר מאסרים בפועל. מגיליון ההרשעות המתייחס לנאשם 2 (מע/2) עולה כי לחובתו של נאשם זה הרשעה אחת בעבירת תקיפה סתם וחבלה כשהעבריין מזויין.</w:t>
      </w:r>
    </w:p>
    <w:p w14:paraId="05AD689B" w14:textId="77777777" w:rsidR="0099545C" w:rsidRDefault="0099545C" w:rsidP="0099545C">
      <w:pPr>
        <w:spacing w:line="360" w:lineRule="auto"/>
        <w:jc w:val="both"/>
        <w:rPr>
          <w:rtl/>
        </w:rPr>
      </w:pPr>
    </w:p>
    <w:p w14:paraId="6892C0F2" w14:textId="77777777" w:rsidR="0099545C" w:rsidRDefault="0099545C" w:rsidP="0099545C">
      <w:pPr>
        <w:spacing w:line="360" w:lineRule="auto"/>
        <w:jc w:val="both"/>
        <w:rPr>
          <w:rtl/>
        </w:rPr>
      </w:pPr>
      <w:r>
        <w:rPr>
          <w:rFonts w:hint="cs"/>
          <w:rtl/>
        </w:rPr>
        <w:t>ב"כ המאשימה ביקש לאמץ את ההסדר תוך שציין כי כתב האישום תוקן בצורה משמעותית. נאמר כי לו כתב האישום היה עומד על כנו, היה העונש המושת על הנאשמים חמור בהרבה. בנסיבות, העונש שהוסכם העומד על 34 חודשי מאסר בפועל מצוי במסגרת הענישה הנוהגת. נוסף למאסר עתרה המאשימה להשית על הנאשמים קנס כספי וכן מאסר מותנה צופה פני עתיד.</w:t>
      </w:r>
    </w:p>
    <w:p w14:paraId="6100FE6C" w14:textId="77777777" w:rsidR="0099545C" w:rsidRDefault="0099545C" w:rsidP="0099545C">
      <w:pPr>
        <w:spacing w:line="360" w:lineRule="auto"/>
        <w:jc w:val="both"/>
        <w:rPr>
          <w:rtl/>
        </w:rPr>
      </w:pPr>
    </w:p>
    <w:p w14:paraId="7E2D4E65" w14:textId="77777777" w:rsidR="0099545C" w:rsidRDefault="0099545C" w:rsidP="0099545C">
      <w:pPr>
        <w:spacing w:line="360" w:lineRule="auto"/>
        <w:jc w:val="both"/>
        <w:rPr>
          <w:rtl/>
        </w:rPr>
      </w:pPr>
      <w:r>
        <w:rPr>
          <w:rFonts w:hint="cs"/>
          <w:rtl/>
        </w:rPr>
        <w:t>ב"כ הנאשמים ביקש אף הוא לאשר את ההסדר. נאמר כי ההסדר הוא פרי משא ומתן ארוך ומורכב שנמשך זמן רב וחזקה על התביעה ששקלה את כלל השיקולים בטרם נתנה הסכמתה לעונש המוסכם. עוד הוסיף הסנגור כי המאסר בפועל עומד בתוך מתחם הענישה ההולם והפסיקה הנוהגת. נוכח החיסכון בזמן שיפוטי ובמשאבי המדינה ולאור העובדה שהנאשמים מרצים וירצו מאסר לא קצר, ביקש הסנגור להימנע מהטלת קנס כספי.</w:t>
      </w:r>
    </w:p>
    <w:p w14:paraId="2B257EBD" w14:textId="77777777" w:rsidR="0099545C" w:rsidRDefault="0099545C" w:rsidP="0099545C">
      <w:pPr>
        <w:spacing w:line="360" w:lineRule="auto"/>
        <w:jc w:val="both"/>
        <w:rPr>
          <w:rtl/>
        </w:rPr>
      </w:pPr>
    </w:p>
    <w:p w14:paraId="587BF0D9" w14:textId="77777777" w:rsidR="0099545C" w:rsidRDefault="0099545C" w:rsidP="0099545C">
      <w:pPr>
        <w:spacing w:line="360" w:lineRule="auto"/>
        <w:jc w:val="both"/>
        <w:rPr>
          <w:rtl/>
        </w:rPr>
      </w:pPr>
      <w:r>
        <w:rPr>
          <w:rFonts w:hint="cs"/>
          <w:rtl/>
        </w:rPr>
        <w:lastRenderedPageBreak/>
        <w:t>בדברם האחרון, הביעו הנאשמים צער על מעשיהם.</w:t>
      </w:r>
    </w:p>
    <w:p w14:paraId="25D3AD05" w14:textId="77777777" w:rsidR="0099545C" w:rsidRDefault="0099545C" w:rsidP="0099545C">
      <w:pPr>
        <w:spacing w:line="360" w:lineRule="auto"/>
        <w:jc w:val="both"/>
        <w:rPr>
          <w:rtl/>
        </w:rPr>
      </w:pPr>
      <w:r>
        <w:rPr>
          <w:rFonts w:hint="cs"/>
          <w:rtl/>
        </w:rPr>
        <w:t>הלכה היא כי קיומו של הסדר טיעון אינו מבטל את  תחולתו של תיקון 113 ל</w:t>
      </w:r>
      <w:hyperlink r:id="rId16" w:history="1">
        <w:r w:rsidR="00335AD3" w:rsidRPr="00335AD3">
          <w:rPr>
            <w:color w:val="0000FF"/>
            <w:u w:val="single"/>
            <w:rtl/>
          </w:rPr>
          <w:t>חוק העונשין</w:t>
        </w:r>
      </w:hyperlink>
      <w:r>
        <w:rPr>
          <w:rFonts w:hint="cs"/>
          <w:rtl/>
        </w:rPr>
        <w:t>, ועל בית המשפט לבחון את הסדר הטיעון, על פי אמות המידה המקובלות ובהתאם לנסיבות המקרה ונסיבותיו האישיות של הנאשם (</w:t>
      </w:r>
      <w:hyperlink r:id="rId17" w:history="1">
        <w:r w:rsidR="00335AD3" w:rsidRPr="00335AD3">
          <w:rPr>
            <w:color w:val="0000FF"/>
            <w:u w:val="single"/>
            <w:rtl/>
          </w:rPr>
          <w:t>ע"פ 512/13</w:t>
        </w:r>
      </w:hyperlink>
      <w:r>
        <w:rPr>
          <w:rFonts w:hint="cs"/>
          <w:rtl/>
        </w:rPr>
        <w:t xml:space="preserve"> </w:t>
      </w:r>
      <w:r>
        <w:rPr>
          <w:rFonts w:hint="cs"/>
          <w:b/>
          <w:bCs/>
          <w:rtl/>
        </w:rPr>
        <w:t>פלוני נ' מדינת ישראל</w:t>
      </w:r>
      <w:r>
        <w:rPr>
          <w:rFonts w:hint="cs"/>
          <w:rtl/>
        </w:rPr>
        <w:t xml:space="preserve"> (4.12.2013)).</w:t>
      </w:r>
    </w:p>
    <w:p w14:paraId="44A159C7" w14:textId="77777777" w:rsidR="0099545C" w:rsidRDefault="0099545C" w:rsidP="0099545C">
      <w:pPr>
        <w:spacing w:line="360" w:lineRule="auto"/>
        <w:jc w:val="both"/>
        <w:rPr>
          <w:rtl/>
        </w:rPr>
      </w:pPr>
    </w:p>
    <w:p w14:paraId="7CFE13A3" w14:textId="77777777" w:rsidR="0099545C" w:rsidRDefault="0099545C" w:rsidP="0099545C">
      <w:pPr>
        <w:spacing w:line="360" w:lineRule="auto"/>
        <w:jc w:val="both"/>
        <w:rPr>
          <w:rtl/>
        </w:rPr>
      </w:pPr>
      <w:r>
        <w:rPr>
          <w:rFonts w:hint="cs"/>
          <w:rtl/>
        </w:rPr>
        <w:t xml:space="preserve">אין חולק לגבי חומרתן של העבירות בהן הורשעו הנאשמים, חומרה המחייבת הטלת עונשים הולמים.  בחינת הענישה הנוהגת מלמדת כי במקרים דומים, הושתו על נאשמים עונשים המצויים במתחם העונש המוצע על פי ההסדר שבפניי (ראו לדוגמא: </w:t>
      </w:r>
      <w:hyperlink r:id="rId18" w:history="1">
        <w:r w:rsidR="00335AD3" w:rsidRPr="00335AD3">
          <w:rPr>
            <w:color w:val="0000FF"/>
            <w:u w:val="single"/>
            <w:rtl/>
          </w:rPr>
          <w:t>ע"פ 9373/10</w:t>
        </w:r>
      </w:hyperlink>
      <w:r>
        <w:rPr>
          <w:rFonts w:hint="cs"/>
          <w:rtl/>
        </w:rPr>
        <w:t xml:space="preserve"> </w:t>
      </w:r>
      <w:r>
        <w:rPr>
          <w:rFonts w:hint="cs"/>
          <w:b/>
          <w:bCs/>
          <w:rtl/>
        </w:rPr>
        <w:t>ותד נ' מדינת ישראל</w:t>
      </w:r>
      <w:r>
        <w:rPr>
          <w:rFonts w:hint="cs"/>
          <w:rtl/>
        </w:rPr>
        <w:t xml:space="preserve"> (14.9.2011); </w:t>
      </w:r>
      <w:hyperlink r:id="rId19" w:history="1">
        <w:r w:rsidR="00335AD3" w:rsidRPr="00335AD3">
          <w:rPr>
            <w:color w:val="0000FF"/>
            <w:u w:val="single"/>
            <w:rtl/>
          </w:rPr>
          <w:t>ע"פ 1768/14</w:t>
        </w:r>
      </w:hyperlink>
      <w:r>
        <w:rPr>
          <w:rFonts w:hint="cs"/>
          <w:rtl/>
        </w:rPr>
        <w:t xml:space="preserve"> </w:t>
      </w:r>
      <w:r>
        <w:rPr>
          <w:rFonts w:hint="cs"/>
          <w:b/>
          <w:bCs/>
          <w:rtl/>
        </w:rPr>
        <w:t>גנאים נ' מדינת ישראל</w:t>
      </w:r>
      <w:r>
        <w:rPr>
          <w:rFonts w:hint="cs"/>
          <w:rtl/>
        </w:rPr>
        <w:t xml:space="preserve"> (22.7.2014) ו</w:t>
      </w:r>
      <w:hyperlink r:id="rId20" w:history="1">
        <w:r w:rsidR="00335AD3" w:rsidRPr="00335AD3">
          <w:rPr>
            <w:color w:val="0000FF"/>
            <w:u w:val="single"/>
            <w:rtl/>
          </w:rPr>
          <w:t>ע"פ 5900/15</w:t>
        </w:r>
      </w:hyperlink>
      <w:r>
        <w:rPr>
          <w:rFonts w:hint="cs"/>
          <w:rtl/>
        </w:rPr>
        <w:t xml:space="preserve"> </w:t>
      </w:r>
      <w:r>
        <w:rPr>
          <w:rFonts w:hint="cs"/>
          <w:b/>
          <w:bCs/>
          <w:rtl/>
        </w:rPr>
        <w:t>מעוז נ' מדינת ישראל</w:t>
      </w:r>
      <w:r>
        <w:rPr>
          <w:rFonts w:hint="cs"/>
          <w:rtl/>
        </w:rPr>
        <w:t xml:space="preserve"> (10.5.2016)). </w:t>
      </w:r>
    </w:p>
    <w:p w14:paraId="3A444715" w14:textId="77777777" w:rsidR="0099545C" w:rsidRDefault="0099545C" w:rsidP="0099545C">
      <w:pPr>
        <w:spacing w:line="360" w:lineRule="auto"/>
        <w:jc w:val="both"/>
        <w:rPr>
          <w:rtl/>
        </w:rPr>
      </w:pPr>
    </w:p>
    <w:p w14:paraId="6867B5A3" w14:textId="77777777" w:rsidR="0099545C" w:rsidRDefault="0099545C" w:rsidP="0099545C">
      <w:pPr>
        <w:spacing w:line="360" w:lineRule="auto"/>
        <w:jc w:val="both"/>
        <w:rPr>
          <w:rtl/>
        </w:rPr>
      </w:pPr>
      <w:r>
        <w:rPr>
          <w:rFonts w:hint="cs"/>
          <w:rtl/>
        </w:rPr>
        <w:t>בשים לב לערכים המוגנים ולעוצמת הפגיעה בהם ובהתחשב במכלול הנסיבות וכן נוכח מדיניות הענישה הנוהגת, אני קובע כי מתחם העונש בענייננו נע בין 24 ל-48 חודשי מאסר בפועל.</w:t>
      </w:r>
    </w:p>
    <w:p w14:paraId="6DB01337" w14:textId="77777777" w:rsidR="0099545C" w:rsidRDefault="0099545C" w:rsidP="0099545C">
      <w:pPr>
        <w:spacing w:line="360" w:lineRule="auto"/>
        <w:jc w:val="both"/>
        <w:rPr>
          <w:rtl/>
        </w:rPr>
      </w:pPr>
    </w:p>
    <w:p w14:paraId="16DE1F7E" w14:textId="77777777" w:rsidR="0099545C" w:rsidRDefault="0099545C" w:rsidP="0099545C">
      <w:pPr>
        <w:spacing w:line="360" w:lineRule="auto"/>
        <w:jc w:val="both"/>
        <w:rPr>
          <w:rtl/>
        </w:rPr>
      </w:pPr>
      <w:r>
        <w:rPr>
          <w:rFonts w:hint="cs"/>
          <w:rtl/>
        </w:rPr>
        <w:t xml:space="preserve">לאחר ששקלתי את טיעוני הצדדים ונתתי דעתי למכלול הנסיבות, לרבות גילם של הנאשמים, עברם הפלילי והודייתם בשלב מוקדם של הדיון,  החלטתי שלא לסטות מהסדר הטיעון בדבר הטלת 34 חודשי מאסר בפועל על הנאשמים. בהקשר זה נתתי דעתי גם להלכה הפסוקה לפיה ככלל, על בית המשפט לאשר ולכבד הסדרי טיעון בשל טעמים הקשורים בחשיבותם ובמעמדם של הסדרים אלו. ראו: </w:t>
      </w:r>
      <w:hyperlink r:id="rId21" w:history="1">
        <w:r w:rsidR="00335AD3" w:rsidRPr="00335AD3">
          <w:rPr>
            <w:color w:val="0000FF"/>
            <w:u w:val="single"/>
            <w:rtl/>
          </w:rPr>
          <w:t>ע"פ 1958/98 פלוני נ' מדינת ישראל פ"ד נז</w:t>
        </w:r>
      </w:hyperlink>
      <w:r>
        <w:rPr>
          <w:rFonts w:hint="cs"/>
          <w:rtl/>
        </w:rPr>
        <w:t xml:space="preserve">(1), 577; </w:t>
      </w:r>
      <w:hyperlink r:id="rId22" w:history="1">
        <w:r w:rsidR="00335AD3" w:rsidRPr="00335AD3">
          <w:rPr>
            <w:color w:val="0000FF"/>
            <w:u w:val="single"/>
            <w:rtl/>
          </w:rPr>
          <w:t>ע"פ 8820/14</w:t>
        </w:r>
      </w:hyperlink>
      <w:r>
        <w:rPr>
          <w:rFonts w:hint="cs"/>
          <w:rtl/>
        </w:rPr>
        <w:t xml:space="preserve"> </w:t>
      </w:r>
      <w:r>
        <w:rPr>
          <w:rFonts w:hint="cs"/>
          <w:b/>
          <w:bCs/>
          <w:rtl/>
        </w:rPr>
        <w:t>זוהר שחר נ' מדינת ישראל</w:t>
      </w:r>
      <w:r>
        <w:rPr>
          <w:rFonts w:hint="cs"/>
          <w:rtl/>
        </w:rPr>
        <w:t xml:space="preserve"> (17.5.2015).</w:t>
      </w:r>
    </w:p>
    <w:p w14:paraId="626AD7A6" w14:textId="77777777" w:rsidR="0099545C" w:rsidRDefault="0099545C" w:rsidP="0099545C">
      <w:pPr>
        <w:spacing w:line="360" w:lineRule="auto"/>
        <w:jc w:val="both"/>
        <w:rPr>
          <w:rtl/>
        </w:rPr>
      </w:pPr>
    </w:p>
    <w:p w14:paraId="37DFE1F5" w14:textId="77777777" w:rsidR="0099545C" w:rsidRDefault="0099545C" w:rsidP="0099545C">
      <w:pPr>
        <w:spacing w:line="360" w:lineRule="auto"/>
        <w:jc w:val="both"/>
        <w:rPr>
          <w:rtl/>
        </w:rPr>
      </w:pPr>
      <w:r>
        <w:rPr>
          <w:rFonts w:hint="cs"/>
          <w:rtl/>
        </w:rPr>
        <w:t>סיכומו של דבר, אני גוזר על הנאשמים את העונשים הבאים:</w:t>
      </w:r>
    </w:p>
    <w:p w14:paraId="22EC4800" w14:textId="77777777" w:rsidR="0099545C" w:rsidRDefault="0099545C" w:rsidP="0099545C">
      <w:pPr>
        <w:jc w:val="both"/>
        <w:rPr>
          <w:rtl/>
        </w:rPr>
      </w:pPr>
    </w:p>
    <w:p w14:paraId="5D92F33A" w14:textId="77777777" w:rsidR="0099545C" w:rsidRDefault="0099545C" w:rsidP="0099545C">
      <w:pPr>
        <w:spacing w:line="360" w:lineRule="auto"/>
        <w:ind w:left="720" w:hanging="720"/>
        <w:jc w:val="both"/>
        <w:rPr>
          <w:rtl/>
        </w:rPr>
      </w:pPr>
      <w:r>
        <w:rPr>
          <w:rFonts w:hint="cs"/>
          <w:rtl/>
        </w:rPr>
        <w:t>1.</w:t>
      </w:r>
      <w:r>
        <w:rPr>
          <w:rtl/>
        </w:rPr>
        <w:tab/>
      </w:r>
      <w:r>
        <w:rPr>
          <w:rFonts w:hint="cs"/>
          <w:rtl/>
        </w:rPr>
        <w:t xml:space="preserve">34 חודשי מאסר בפועל  בניכוי ימי מעצרם מיום 17.3.16, למעט תקופת מאסרו של נאשם 2 בת 6 חודשי מאסר שנגזרו עליו ביום 31.5.2016 במסגרת </w:t>
      </w:r>
      <w:hyperlink r:id="rId23" w:history="1">
        <w:r w:rsidR="00335AD3" w:rsidRPr="00335AD3">
          <w:rPr>
            <w:color w:val="0000FF"/>
            <w:u w:val="single"/>
            <w:rtl/>
          </w:rPr>
          <w:t>ת"פ 38124-10-14</w:t>
        </w:r>
      </w:hyperlink>
      <w:r>
        <w:rPr>
          <w:rFonts w:hint="cs"/>
          <w:rtl/>
        </w:rPr>
        <w:t xml:space="preserve"> (התקופה שבין 31.5.16 ועד 30.11.16), אשר לא תנוכה מתקופת מאסרו. </w:t>
      </w:r>
    </w:p>
    <w:p w14:paraId="6989DFFE" w14:textId="77777777" w:rsidR="0099545C" w:rsidRDefault="0099545C" w:rsidP="0099545C">
      <w:pPr>
        <w:ind w:left="720" w:hanging="720"/>
        <w:jc w:val="both"/>
        <w:rPr>
          <w:rtl/>
        </w:rPr>
      </w:pPr>
    </w:p>
    <w:p w14:paraId="69631100" w14:textId="77777777" w:rsidR="0099545C" w:rsidRDefault="0099545C" w:rsidP="0099545C">
      <w:pPr>
        <w:spacing w:line="360" w:lineRule="auto"/>
        <w:ind w:left="720" w:hanging="720"/>
        <w:jc w:val="both"/>
        <w:rPr>
          <w:rtl/>
        </w:rPr>
      </w:pPr>
      <w:r>
        <w:rPr>
          <w:rFonts w:hint="cs"/>
          <w:rtl/>
        </w:rPr>
        <w:t>2.</w:t>
      </w:r>
      <w:r>
        <w:rPr>
          <w:rFonts w:hint="cs"/>
          <w:rtl/>
        </w:rPr>
        <w:tab/>
        <w:t>12 חודשי מאסר על תנאי לבל יעברו הנאשמים משך 3 שנים עבירת נשק מסוג פשע ויורשעו בגינה.</w:t>
      </w:r>
    </w:p>
    <w:p w14:paraId="18902543" w14:textId="77777777" w:rsidR="0099545C" w:rsidRDefault="0099545C" w:rsidP="0099545C">
      <w:pPr>
        <w:ind w:left="720" w:hanging="720"/>
        <w:jc w:val="both"/>
        <w:rPr>
          <w:rtl/>
        </w:rPr>
      </w:pPr>
    </w:p>
    <w:p w14:paraId="6CF24345" w14:textId="77777777" w:rsidR="0099545C" w:rsidRDefault="0099545C" w:rsidP="0099545C">
      <w:pPr>
        <w:spacing w:line="360" w:lineRule="auto"/>
        <w:ind w:left="720" w:hanging="720"/>
        <w:jc w:val="both"/>
        <w:rPr>
          <w:rtl/>
        </w:rPr>
      </w:pPr>
      <w:r>
        <w:rPr>
          <w:rFonts w:hint="cs"/>
          <w:rtl/>
        </w:rPr>
        <w:t>3.</w:t>
      </w:r>
      <w:r>
        <w:rPr>
          <w:rFonts w:hint="cs"/>
          <w:rtl/>
        </w:rPr>
        <w:tab/>
        <w:t xml:space="preserve">בנסיבות ובשים לב לעונש המאסר שנגזר, לא מצאתי לגזור על הנאשמים קנס כספי שיפול לנטל על משפחותיהם. </w:t>
      </w:r>
    </w:p>
    <w:p w14:paraId="250B964B" w14:textId="77777777" w:rsidR="0099545C" w:rsidRPr="00335AD3" w:rsidRDefault="00335AD3" w:rsidP="0099545C">
      <w:pPr>
        <w:spacing w:line="360" w:lineRule="auto"/>
        <w:jc w:val="both"/>
        <w:rPr>
          <w:color w:val="FFFFFF"/>
          <w:sz w:val="2"/>
          <w:szCs w:val="2"/>
          <w:rtl/>
        </w:rPr>
      </w:pPr>
      <w:r w:rsidRPr="00335AD3">
        <w:rPr>
          <w:color w:val="FFFFFF"/>
          <w:sz w:val="2"/>
          <w:szCs w:val="2"/>
          <w:rtl/>
        </w:rPr>
        <w:t>5129371</w:t>
      </w:r>
    </w:p>
    <w:p w14:paraId="48918832" w14:textId="77777777" w:rsidR="0099545C" w:rsidRDefault="00335AD3" w:rsidP="0099545C">
      <w:pPr>
        <w:spacing w:line="360" w:lineRule="auto"/>
        <w:jc w:val="both"/>
        <w:rPr>
          <w:rtl/>
        </w:rPr>
      </w:pPr>
      <w:r w:rsidRPr="00335AD3">
        <w:rPr>
          <w:color w:val="FFFFFF"/>
          <w:sz w:val="2"/>
          <w:szCs w:val="2"/>
          <w:rtl/>
        </w:rPr>
        <w:t>54678313</w:t>
      </w:r>
      <w:r w:rsidR="0099545C">
        <w:rPr>
          <w:rFonts w:hint="cs"/>
          <w:rtl/>
        </w:rPr>
        <w:t>זכות ערעור לבית המשפט העליון תוך 45 יום.</w:t>
      </w:r>
    </w:p>
    <w:p w14:paraId="1222D4E9" w14:textId="77777777" w:rsidR="0099545C" w:rsidRDefault="0099545C" w:rsidP="0099545C">
      <w:pPr>
        <w:jc w:val="both"/>
        <w:rPr>
          <w:rtl/>
        </w:rPr>
      </w:pPr>
    </w:p>
    <w:p w14:paraId="5D4EB3F4" w14:textId="77777777" w:rsidR="0099545C" w:rsidRDefault="00335AD3" w:rsidP="0099545C">
      <w:pPr>
        <w:rPr>
          <w:rFonts w:cs="FrankRuehl"/>
          <w:sz w:val="28"/>
          <w:szCs w:val="28"/>
          <w:rtl/>
        </w:rPr>
      </w:pPr>
      <w:r>
        <w:rPr>
          <w:rFonts w:ascii="Arial" w:hAnsi="Arial"/>
          <w:rtl/>
        </w:rPr>
        <w:t xml:space="preserve">ניתן היום,  כ"ו טבת תשע"ז, 24 ינואר 2017, בהעדר הצדדים. </w:t>
      </w:r>
    </w:p>
    <w:p w14:paraId="2F5A7228" w14:textId="77777777" w:rsidR="0099545C" w:rsidRDefault="0099545C" w:rsidP="0099545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BDA2C31" w14:textId="77777777" w:rsidR="0099545C" w:rsidRPr="00BD6018" w:rsidRDefault="00BD6018" w:rsidP="0099545C">
      <w:pPr>
        <w:jc w:val="center"/>
        <w:rPr>
          <w:rFonts w:ascii="Arial" w:hAnsi="Arial" w:cs="FrankRuehl"/>
          <w:color w:val="FFFFFF"/>
          <w:sz w:val="2"/>
          <w:szCs w:val="2"/>
          <w:rtl/>
        </w:rPr>
      </w:pPr>
      <w:r w:rsidRPr="00BD6018">
        <w:rPr>
          <w:rFonts w:ascii="Arial" w:hAnsi="Arial" w:cs="FrankRuehl"/>
          <w:color w:val="FFFFFF"/>
          <w:sz w:val="2"/>
          <w:szCs w:val="2"/>
          <w:rtl/>
        </w:rPr>
        <w:t>5129371</w:t>
      </w:r>
    </w:p>
    <w:p w14:paraId="3BDE2E77" w14:textId="77777777" w:rsidR="00335AD3" w:rsidRPr="00BD6018" w:rsidRDefault="00BD6018" w:rsidP="00335AD3">
      <w:pPr>
        <w:keepNext/>
        <w:rPr>
          <w:rFonts w:ascii="David" w:hAnsi="David"/>
          <w:color w:val="FFFFFF"/>
          <w:sz w:val="2"/>
          <w:szCs w:val="2"/>
          <w:rtl/>
        </w:rPr>
      </w:pPr>
      <w:r w:rsidRPr="00BD6018">
        <w:rPr>
          <w:rFonts w:ascii="David" w:hAnsi="David"/>
          <w:color w:val="FFFFFF"/>
          <w:sz w:val="2"/>
          <w:szCs w:val="2"/>
          <w:rtl/>
        </w:rPr>
        <w:t>54678313</w:t>
      </w:r>
    </w:p>
    <w:p w14:paraId="55A95CD4" w14:textId="77777777" w:rsidR="00335AD3" w:rsidRPr="00335AD3" w:rsidRDefault="00335AD3" w:rsidP="00335AD3">
      <w:pPr>
        <w:keepNext/>
        <w:rPr>
          <w:rFonts w:ascii="David" w:hAnsi="David"/>
          <w:color w:val="000000"/>
          <w:sz w:val="22"/>
          <w:szCs w:val="22"/>
          <w:rtl/>
        </w:rPr>
      </w:pPr>
      <w:r w:rsidRPr="00335AD3">
        <w:rPr>
          <w:rFonts w:ascii="David" w:hAnsi="David"/>
          <w:color w:val="000000"/>
          <w:sz w:val="22"/>
          <w:szCs w:val="22"/>
          <w:rtl/>
        </w:rPr>
        <w:t>אמיר טובי 54678313</w:t>
      </w:r>
    </w:p>
    <w:p w14:paraId="5D5B036F" w14:textId="77777777" w:rsidR="00335AD3" w:rsidRDefault="00335AD3" w:rsidP="00335AD3">
      <w:r w:rsidRPr="00335AD3">
        <w:rPr>
          <w:color w:val="000000"/>
          <w:rtl/>
        </w:rPr>
        <w:t>נוסח מסמך זה כפוף לשינויי ניסוח ועריכה</w:t>
      </w:r>
    </w:p>
    <w:p w14:paraId="079FB20A" w14:textId="77777777" w:rsidR="00335AD3" w:rsidRDefault="00335AD3" w:rsidP="00335AD3">
      <w:pPr>
        <w:rPr>
          <w:rtl/>
        </w:rPr>
      </w:pPr>
    </w:p>
    <w:p w14:paraId="147DCEA6" w14:textId="77777777" w:rsidR="00335AD3" w:rsidRDefault="00335AD3" w:rsidP="00335AD3">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396D85CE" w14:textId="77777777" w:rsidR="00B35717" w:rsidRPr="00335AD3" w:rsidRDefault="00B35717" w:rsidP="00BD6018">
      <w:pPr>
        <w:rPr>
          <w:color w:val="0000FF"/>
          <w:u w:val="single"/>
        </w:rPr>
      </w:pPr>
    </w:p>
    <w:sectPr w:rsidR="00B35717" w:rsidRPr="00335AD3" w:rsidSect="00BD6018">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AD968B" w14:textId="77777777" w:rsidR="0086501A" w:rsidRDefault="0086501A">
      <w:r>
        <w:separator/>
      </w:r>
    </w:p>
  </w:endnote>
  <w:endnote w:type="continuationSeparator" w:id="0">
    <w:p w14:paraId="735AC397" w14:textId="77777777" w:rsidR="0086501A" w:rsidRDefault="00865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BFD7C" w14:textId="77777777" w:rsidR="00BD6018" w:rsidRDefault="00BD6018" w:rsidP="00BD60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9856D7" w14:textId="77777777" w:rsidR="00335AD3" w:rsidRPr="00BD6018" w:rsidRDefault="00BD6018" w:rsidP="00BD6018">
    <w:pPr>
      <w:pStyle w:val="a4"/>
      <w:pBdr>
        <w:top w:val="single" w:sz="4" w:space="1" w:color="auto"/>
        <w:between w:val="single" w:sz="4" w:space="0" w:color="auto"/>
      </w:pBdr>
      <w:spacing w:after="60"/>
      <w:jc w:val="center"/>
      <w:rPr>
        <w:rFonts w:ascii="FrankRuehl" w:hAnsi="FrankRuehl" w:cs="FrankRuehl"/>
        <w:color w:val="000000"/>
      </w:rPr>
    </w:pPr>
    <w:r w:rsidRPr="00BD601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75AA4" w14:textId="77777777" w:rsidR="00BD6018" w:rsidRDefault="00BD6018" w:rsidP="00BD601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B1F85">
      <w:rPr>
        <w:rFonts w:ascii="FrankRuehl" w:hAnsi="FrankRuehl" w:cs="FrankRuehl"/>
        <w:noProof/>
        <w:rtl/>
      </w:rPr>
      <w:t>1</w:t>
    </w:r>
    <w:r>
      <w:rPr>
        <w:rFonts w:ascii="FrankRuehl" w:hAnsi="FrankRuehl" w:cs="FrankRuehl"/>
        <w:rtl/>
      </w:rPr>
      <w:fldChar w:fldCharType="end"/>
    </w:r>
  </w:p>
  <w:p w14:paraId="48BCF3A9" w14:textId="77777777" w:rsidR="00335AD3" w:rsidRPr="00BD6018" w:rsidRDefault="00BD6018" w:rsidP="00BD6018">
    <w:pPr>
      <w:pStyle w:val="a4"/>
      <w:pBdr>
        <w:top w:val="single" w:sz="4" w:space="1" w:color="auto"/>
        <w:between w:val="single" w:sz="4" w:space="0" w:color="auto"/>
      </w:pBdr>
      <w:spacing w:after="60"/>
      <w:jc w:val="center"/>
      <w:rPr>
        <w:rFonts w:ascii="FrankRuehl" w:hAnsi="FrankRuehl" w:cs="FrankRuehl"/>
        <w:color w:val="000000"/>
      </w:rPr>
    </w:pPr>
    <w:r w:rsidRPr="00BD6018">
      <w:rPr>
        <w:rFonts w:ascii="FrankRuehl" w:hAnsi="FrankRuehl" w:cs="FrankRuehl"/>
        <w:color w:val="000000"/>
      </w:rPr>
      <w:pict w14:anchorId="65847A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BF604" w14:textId="77777777" w:rsidR="0086501A" w:rsidRDefault="0086501A">
      <w:r>
        <w:separator/>
      </w:r>
    </w:p>
  </w:footnote>
  <w:footnote w:type="continuationSeparator" w:id="0">
    <w:p w14:paraId="1431C6FD" w14:textId="77777777" w:rsidR="0086501A" w:rsidRDefault="00865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08E2A" w14:textId="77777777" w:rsidR="00335AD3" w:rsidRPr="00BD6018" w:rsidRDefault="00BD6018" w:rsidP="00BD60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204-04-16</w:t>
    </w:r>
    <w:r>
      <w:rPr>
        <w:rFonts w:ascii="David" w:hAnsi="David"/>
        <w:color w:val="000000"/>
        <w:sz w:val="22"/>
        <w:szCs w:val="22"/>
        <w:rtl/>
      </w:rPr>
      <w:tab/>
      <w:t xml:space="preserve"> מדינת ישראל נ' שליו מרציאנו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0F3DB" w14:textId="77777777" w:rsidR="00335AD3" w:rsidRPr="00BD6018" w:rsidRDefault="00BD6018" w:rsidP="00BD601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204-04-16</w:t>
    </w:r>
    <w:r>
      <w:rPr>
        <w:rFonts w:ascii="David" w:hAnsi="David"/>
        <w:color w:val="000000"/>
        <w:sz w:val="22"/>
        <w:szCs w:val="22"/>
        <w:rtl/>
      </w:rPr>
      <w:tab/>
      <w:t xml:space="preserve"> מדינת ישראל נ' שליו מרציאנו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9545C"/>
    <w:rsid w:val="00004B4A"/>
    <w:rsid w:val="000258C6"/>
    <w:rsid w:val="00092DB2"/>
    <w:rsid w:val="000B222D"/>
    <w:rsid w:val="000F3716"/>
    <w:rsid w:val="000F776E"/>
    <w:rsid w:val="001163D9"/>
    <w:rsid w:val="00123268"/>
    <w:rsid w:val="0013605C"/>
    <w:rsid w:val="0015154B"/>
    <w:rsid w:val="0017711A"/>
    <w:rsid w:val="00203146"/>
    <w:rsid w:val="002474C9"/>
    <w:rsid w:val="00276E93"/>
    <w:rsid w:val="002B1389"/>
    <w:rsid w:val="002C766C"/>
    <w:rsid w:val="002D2C1C"/>
    <w:rsid w:val="002E4BA2"/>
    <w:rsid w:val="00327617"/>
    <w:rsid w:val="00335AD3"/>
    <w:rsid w:val="00371D27"/>
    <w:rsid w:val="00374124"/>
    <w:rsid w:val="003C709F"/>
    <w:rsid w:val="003D65D3"/>
    <w:rsid w:val="003E51B4"/>
    <w:rsid w:val="003F02C5"/>
    <w:rsid w:val="004D1A95"/>
    <w:rsid w:val="004D5997"/>
    <w:rsid w:val="00533D5C"/>
    <w:rsid w:val="00551C5E"/>
    <w:rsid w:val="005638FB"/>
    <w:rsid w:val="00582B08"/>
    <w:rsid w:val="005847C1"/>
    <w:rsid w:val="005B1F85"/>
    <w:rsid w:val="005B4DDE"/>
    <w:rsid w:val="005E305D"/>
    <w:rsid w:val="00671477"/>
    <w:rsid w:val="006D1E81"/>
    <w:rsid w:val="00710EDB"/>
    <w:rsid w:val="007171C2"/>
    <w:rsid w:val="00720984"/>
    <w:rsid w:val="007900C5"/>
    <w:rsid w:val="007A3B68"/>
    <w:rsid w:val="007D10E0"/>
    <w:rsid w:val="007E62CB"/>
    <w:rsid w:val="007F1C09"/>
    <w:rsid w:val="008043FC"/>
    <w:rsid w:val="008057C3"/>
    <w:rsid w:val="00860D56"/>
    <w:rsid w:val="0086501A"/>
    <w:rsid w:val="00866CE3"/>
    <w:rsid w:val="00875CAA"/>
    <w:rsid w:val="008760F0"/>
    <w:rsid w:val="008B2C82"/>
    <w:rsid w:val="008D4AF6"/>
    <w:rsid w:val="00901DEA"/>
    <w:rsid w:val="00913EC5"/>
    <w:rsid w:val="00946CA3"/>
    <w:rsid w:val="0099545C"/>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D6018"/>
    <w:rsid w:val="00BF5C5D"/>
    <w:rsid w:val="00C22EAD"/>
    <w:rsid w:val="00C25259"/>
    <w:rsid w:val="00C303EF"/>
    <w:rsid w:val="00C66536"/>
    <w:rsid w:val="00C6661F"/>
    <w:rsid w:val="00C9418A"/>
    <w:rsid w:val="00D11A80"/>
    <w:rsid w:val="00D308EF"/>
    <w:rsid w:val="00D357B5"/>
    <w:rsid w:val="00D40041"/>
    <w:rsid w:val="00D56203"/>
    <w:rsid w:val="00D807AC"/>
    <w:rsid w:val="00DD36BA"/>
    <w:rsid w:val="00DE1662"/>
    <w:rsid w:val="00DF3CCE"/>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3F5FDB3"/>
  <w15:chartTrackingRefBased/>
  <w15:docId w15:val="{4002EE26-8DC9-45E8-A89F-4A158B704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545C"/>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9545C"/>
    <w:pPr>
      <w:tabs>
        <w:tab w:val="center" w:pos="4153"/>
        <w:tab w:val="right" w:pos="8306"/>
      </w:tabs>
    </w:pPr>
  </w:style>
  <w:style w:type="paragraph" w:styleId="a4">
    <w:name w:val="footer"/>
    <w:basedOn w:val="a"/>
    <w:rsid w:val="0099545C"/>
    <w:pPr>
      <w:tabs>
        <w:tab w:val="center" w:pos="4153"/>
        <w:tab w:val="right" w:pos="8306"/>
      </w:tabs>
    </w:pPr>
  </w:style>
  <w:style w:type="character" w:styleId="a5">
    <w:name w:val="page number"/>
    <w:basedOn w:val="a0"/>
    <w:rsid w:val="0099545C"/>
  </w:style>
  <w:style w:type="character" w:customStyle="1" w:styleId="TimesNewRomanTimesNewRoman">
    <w:name w:val="סגנון (לטיני) Times New Roman (עברית ושפות אחרות) Times New Roman..."/>
    <w:rsid w:val="0099545C"/>
    <w:rPr>
      <w:rFonts w:ascii="Times New Roman" w:hAnsi="Times New Roman" w:cs="David" w:hint="default"/>
      <w:b/>
      <w:bCs/>
      <w:sz w:val="26"/>
      <w:szCs w:val="26"/>
    </w:rPr>
  </w:style>
  <w:style w:type="character" w:styleId="Hyperlink">
    <w:name w:val="Hyperlink"/>
    <w:basedOn w:val="a0"/>
    <w:rsid w:val="00335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151556"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161892" TargetMode="External"/><Relationship Id="rId7" Type="http://schemas.openxmlformats.org/officeDocument/2006/relationships/hyperlink" Target="http://www.nevo.co.il/law/70301/29" TargetMode="External"/><Relationship Id="rId12" Type="http://schemas.openxmlformats.org/officeDocument/2006/relationships/hyperlink" Target="http://www.nevo.co.il/law/70301/29" TargetMode="External"/><Relationship Id="rId17" Type="http://schemas.openxmlformats.org/officeDocument/2006/relationships/hyperlink" Target="http://www.nevo.co.il/case/5569233"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1472954"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29" TargetMode="External"/><Relationship Id="rId23" Type="http://schemas.openxmlformats.org/officeDocument/2006/relationships/hyperlink" Target="http://www.nevo.co.il/case/18114370"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1302313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412" TargetMode="External"/><Relationship Id="rId22" Type="http://schemas.openxmlformats.org/officeDocument/2006/relationships/hyperlink" Target="http://www.nevo.co.il/case/18753213"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1102</Words>
  <Characters>5515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6604</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3342462</vt:i4>
      </vt:variant>
      <vt:variant>
        <vt:i4>51</vt:i4>
      </vt:variant>
      <vt:variant>
        <vt:i4>0</vt:i4>
      </vt:variant>
      <vt:variant>
        <vt:i4>5</vt:i4>
      </vt:variant>
      <vt:variant>
        <vt:lpwstr>http://www.nevo.co.il/case/18114370</vt:lpwstr>
      </vt:variant>
      <vt:variant>
        <vt:lpwstr/>
      </vt:variant>
      <vt:variant>
        <vt:i4>3407995</vt:i4>
      </vt:variant>
      <vt:variant>
        <vt:i4>48</vt:i4>
      </vt:variant>
      <vt:variant>
        <vt:i4>0</vt:i4>
      </vt:variant>
      <vt:variant>
        <vt:i4>5</vt:i4>
      </vt:variant>
      <vt:variant>
        <vt:lpwstr>http://www.nevo.co.il/case/18753213</vt:lpwstr>
      </vt:variant>
      <vt:variant>
        <vt:lpwstr/>
      </vt:variant>
      <vt:variant>
        <vt:i4>589898</vt:i4>
      </vt:variant>
      <vt:variant>
        <vt:i4>45</vt:i4>
      </vt:variant>
      <vt:variant>
        <vt:i4>0</vt:i4>
      </vt:variant>
      <vt:variant>
        <vt:i4>5</vt:i4>
      </vt:variant>
      <vt:variant>
        <vt:lpwstr>http://www.nevo.co.il/case/161892</vt:lpwstr>
      </vt:variant>
      <vt:variant>
        <vt:lpwstr/>
      </vt:variant>
      <vt:variant>
        <vt:i4>3211387</vt:i4>
      </vt:variant>
      <vt:variant>
        <vt:i4>42</vt:i4>
      </vt:variant>
      <vt:variant>
        <vt:i4>0</vt:i4>
      </vt:variant>
      <vt:variant>
        <vt:i4>5</vt:i4>
      </vt:variant>
      <vt:variant>
        <vt:lpwstr>http://www.nevo.co.il/case/21472954</vt:lpwstr>
      </vt:variant>
      <vt:variant>
        <vt:lpwstr/>
      </vt:variant>
      <vt:variant>
        <vt:i4>3211380</vt:i4>
      </vt:variant>
      <vt:variant>
        <vt:i4>39</vt:i4>
      </vt:variant>
      <vt:variant>
        <vt:i4>0</vt:i4>
      </vt:variant>
      <vt:variant>
        <vt:i4>5</vt:i4>
      </vt:variant>
      <vt:variant>
        <vt:lpwstr>http://www.nevo.co.il/case/13023134</vt:lpwstr>
      </vt:variant>
      <vt:variant>
        <vt:lpwstr/>
      </vt:variant>
      <vt:variant>
        <vt:i4>3145841</vt:i4>
      </vt:variant>
      <vt:variant>
        <vt:i4>36</vt:i4>
      </vt:variant>
      <vt:variant>
        <vt:i4>0</vt:i4>
      </vt:variant>
      <vt:variant>
        <vt:i4>5</vt:i4>
      </vt:variant>
      <vt:variant>
        <vt:lpwstr>http://www.nevo.co.il/case/6151556</vt:lpwstr>
      </vt:variant>
      <vt:variant>
        <vt:lpwstr/>
      </vt:variant>
      <vt:variant>
        <vt:i4>3276923</vt:i4>
      </vt:variant>
      <vt:variant>
        <vt:i4>33</vt:i4>
      </vt:variant>
      <vt:variant>
        <vt:i4>0</vt:i4>
      </vt:variant>
      <vt:variant>
        <vt:i4>5</vt:i4>
      </vt:variant>
      <vt:variant>
        <vt:lpwstr>http://www.nevo.co.il/case/5569233</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6553697</vt:i4>
      </vt:variant>
      <vt:variant>
        <vt:i4>24</vt:i4>
      </vt:variant>
      <vt:variant>
        <vt:i4>0</vt:i4>
      </vt:variant>
      <vt:variant>
        <vt:i4>5</vt:i4>
      </vt:variant>
      <vt:variant>
        <vt:lpwstr>http://www.nevo.co.il/law/70301/412</vt:lpwstr>
      </vt:variant>
      <vt:variant>
        <vt:lpwstr/>
      </vt:variant>
      <vt:variant>
        <vt:i4>7995492</vt:i4>
      </vt:variant>
      <vt:variant>
        <vt:i4>21</vt:i4>
      </vt:variant>
      <vt:variant>
        <vt:i4>0</vt:i4>
      </vt:variant>
      <vt:variant>
        <vt:i4>5</vt:i4>
      </vt:variant>
      <vt:variant>
        <vt:lpwstr>http://www.nevo.co.il/law/70301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204</vt:lpwstr>
  </property>
  <property fmtid="{D5CDD505-2E9C-101B-9397-08002B2CF9AE}" pid="6" name="NEWPARTB">
    <vt:lpwstr>04</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שליו מרציאנו;אוריאל דוד כהן</vt:lpwstr>
  </property>
  <property fmtid="{D5CDD505-2E9C-101B-9397-08002B2CF9AE}" pid="10" name="LAWYER">
    <vt:lpwstr>טל עופר;אנאס דיראוי;דורון נוי</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20170124</vt:lpwstr>
  </property>
  <property fmtid="{D5CDD505-2E9C-101B-9397-08002B2CF9AE}" pid="14" name="TYPE_N_DATE">
    <vt:lpwstr>39020170124</vt:lpwstr>
  </property>
  <property fmtid="{D5CDD505-2E9C-101B-9397-08002B2CF9AE}" pid="15" name="CASESLISTTMP1">
    <vt:lpwstr>5569233;6151556;13023134;21472954;161892;18753213;18114370</vt:lpwstr>
  </property>
  <property fmtid="{D5CDD505-2E9C-101B-9397-08002B2CF9AE}" pid="16" name="WORDNUMPAGES">
    <vt:lpwstr>4</vt:lpwstr>
  </property>
  <property fmtid="{D5CDD505-2E9C-101B-9397-08002B2CF9AE}" pid="17" name="TYPE_ABS_DATE">
    <vt:lpwstr>390020170124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70301/144.a;144.b;029:2;412</vt:lpwstr>
  </property>
</Properties>
</file>