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37560" w:rsidRPr="001B55A1" w14:paraId="4BC52309" w14:textId="77777777" w:rsidTr="00A966DB">
        <w:trPr>
          <w:trHeight w:hRule="exact" w:val="418"/>
          <w:jc w:val="center"/>
        </w:trPr>
        <w:tc>
          <w:tcPr>
            <w:tcW w:w="8721" w:type="dxa"/>
            <w:gridSpan w:val="2"/>
          </w:tcPr>
          <w:p w14:paraId="7EF9AF40" w14:textId="77777777" w:rsidR="00537560" w:rsidRPr="001B55A1" w:rsidRDefault="00537560" w:rsidP="001B55A1">
            <w:pPr>
              <w:pStyle w:val="a3"/>
              <w:jc w:val="center"/>
              <w:rPr>
                <w:rFonts w:ascii="Tahoma" w:hAnsi="Tahoma" w:cs="Tahoma"/>
                <w:color w:val="000080"/>
                <w:rtl/>
              </w:rPr>
            </w:pPr>
            <w:r w:rsidRPr="001B55A1">
              <w:rPr>
                <w:rFonts w:ascii="Tahoma" w:hAnsi="Tahoma" w:cs="Tahoma"/>
                <w:b/>
                <w:bCs/>
                <w:color w:val="000080"/>
                <w:rtl/>
              </w:rPr>
              <w:t>בית המשפט המחוזי בחיפה</w:t>
            </w:r>
          </w:p>
        </w:tc>
      </w:tr>
      <w:tr w:rsidR="00537560" w:rsidRPr="001B55A1" w14:paraId="28AD59DF" w14:textId="77777777" w:rsidTr="00A966DB">
        <w:trPr>
          <w:trHeight w:val="337"/>
          <w:jc w:val="center"/>
        </w:trPr>
        <w:tc>
          <w:tcPr>
            <w:tcW w:w="5058" w:type="dxa"/>
          </w:tcPr>
          <w:p w14:paraId="64DDE29D" w14:textId="77777777" w:rsidR="00537560" w:rsidRPr="001B55A1" w:rsidRDefault="00537560" w:rsidP="001B55A1">
            <w:pPr>
              <w:rPr>
                <w:rFonts w:cs="FrankRuehl"/>
                <w:sz w:val="28"/>
                <w:szCs w:val="28"/>
                <w:rtl/>
              </w:rPr>
            </w:pPr>
            <w:r w:rsidRPr="001B55A1">
              <w:rPr>
                <w:rFonts w:cs="FrankRuehl"/>
                <w:sz w:val="28"/>
                <w:szCs w:val="28"/>
                <w:rtl/>
              </w:rPr>
              <w:t>ת"פ</w:t>
            </w:r>
            <w:r w:rsidRPr="001B55A1">
              <w:rPr>
                <w:rFonts w:cs="FrankRuehl" w:hint="cs"/>
                <w:sz w:val="28"/>
                <w:szCs w:val="28"/>
                <w:rtl/>
              </w:rPr>
              <w:t xml:space="preserve"> </w:t>
            </w:r>
            <w:r w:rsidRPr="001B55A1">
              <w:rPr>
                <w:rFonts w:cs="FrankRuehl"/>
                <w:sz w:val="28"/>
                <w:szCs w:val="28"/>
                <w:rtl/>
              </w:rPr>
              <w:t>30242-04-16</w:t>
            </w:r>
            <w:r w:rsidRPr="001B55A1">
              <w:rPr>
                <w:rFonts w:cs="FrankRuehl" w:hint="cs"/>
                <w:sz w:val="28"/>
                <w:szCs w:val="28"/>
                <w:rtl/>
              </w:rPr>
              <w:t xml:space="preserve"> </w:t>
            </w:r>
            <w:r w:rsidRPr="001B55A1">
              <w:rPr>
                <w:rFonts w:cs="FrankRuehl"/>
                <w:sz w:val="28"/>
                <w:szCs w:val="28"/>
                <w:rtl/>
              </w:rPr>
              <w:t>מדינת ישראל נ' דעאיף(עצור בפיקוח)</w:t>
            </w:r>
          </w:p>
          <w:p w14:paraId="2F4B92C7" w14:textId="77777777" w:rsidR="00537560" w:rsidRPr="001B55A1" w:rsidRDefault="00537560" w:rsidP="001B55A1">
            <w:pPr>
              <w:pStyle w:val="a3"/>
              <w:rPr>
                <w:rFonts w:cs="FrankRuehl"/>
                <w:sz w:val="28"/>
                <w:szCs w:val="28"/>
                <w:rtl/>
              </w:rPr>
            </w:pPr>
          </w:p>
        </w:tc>
        <w:tc>
          <w:tcPr>
            <w:tcW w:w="3663" w:type="dxa"/>
          </w:tcPr>
          <w:p w14:paraId="014AABCC" w14:textId="77777777" w:rsidR="00537560" w:rsidRPr="001B55A1" w:rsidRDefault="00537560" w:rsidP="001B55A1">
            <w:pPr>
              <w:pStyle w:val="a3"/>
              <w:jc w:val="right"/>
              <w:rPr>
                <w:rFonts w:cs="FrankRuehl"/>
                <w:sz w:val="28"/>
                <w:szCs w:val="28"/>
                <w:rtl/>
              </w:rPr>
            </w:pPr>
          </w:p>
        </w:tc>
      </w:tr>
    </w:tbl>
    <w:p w14:paraId="1D5D92A9" w14:textId="77777777" w:rsidR="00537560" w:rsidRPr="001B55A1" w:rsidRDefault="00537560" w:rsidP="00537560">
      <w:pPr>
        <w:pStyle w:val="a3"/>
        <w:rPr>
          <w:rtl/>
        </w:rPr>
      </w:pPr>
      <w:r w:rsidRPr="001B55A1">
        <w:rPr>
          <w:rFonts w:hint="cs"/>
          <w:rtl/>
        </w:rPr>
        <w:t xml:space="preserve"> </w:t>
      </w:r>
    </w:p>
    <w:p w14:paraId="29D029C9" w14:textId="77777777" w:rsidR="00537560" w:rsidRPr="001B55A1" w:rsidRDefault="00537560" w:rsidP="00537560">
      <w:pPr>
        <w:rPr>
          <w:rtl/>
        </w:rPr>
      </w:pPr>
    </w:p>
    <w:tbl>
      <w:tblPr>
        <w:bidiVisual/>
        <w:tblW w:w="8802" w:type="dxa"/>
        <w:tblInd w:w="-28" w:type="dxa"/>
        <w:tblLook w:val="01E0" w:firstRow="1" w:lastRow="1" w:firstColumn="1" w:lastColumn="1" w:noHBand="0" w:noVBand="0"/>
      </w:tblPr>
      <w:tblGrid>
        <w:gridCol w:w="2880"/>
        <w:gridCol w:w="5838"/>
        <w:gridCol w:w="84"/>
      </w:tblGrid>
      <w:tr w:rsidR="00537560" w:rsidRPr="001B55A1" w14:paraId="18D6F361" w14:textId="77777777" w:rsidTr="001B55A1">
        <w:trPr>
          <w:gridAfter w:val="1"/>
          <w:wAfter w:w="56" w:type="dxa"/>
        </w:trPr>
        <w:tc>
          <w:tcPr>
            <w:tcW w:w="8718" w:type="dxa"/>
            <w:gridSpan w:val="2"/>
            <w:shd w:val="clear" w:color="auto" w:fill="auto"/>
          </w:tcPr>
          <w:p w14:paraId="31DFD1AF" w14:textId="77777777" w:rsidR="00537560" w:rsidRPr="001B55A1" w:rsidRDefault="00537560" w:rsidP="001B55A1">
            <w:pPr>
              <w:rPr>
                <w:rtl/>
              </w:rPr>
            </w:pPr>
            <w:r w:rsidRPr="001B55A1">
              <w:rPr>
                <w:rFonts w:hint="cs"/>
                <w:b/>
                <w:bCs/>
                <w:sz w:val="26"/>
                <w:szCs w:val="26"/>
                <w:rtl/>
              </w:rPr>
              <w:t>לפני כבוד ה</w:t>
            </w:r>
            <w:r w:rsidRPr="001B55A1">
              <w:rPr>
                <w:rFonts w:hint="cs"/>
                <w:rtl/>
              </w:rPr>
              <w:t>שופט אברהם אליקים</w:t>
            </w:r>
            <w:r w:rsidRPr="001B55A1">
              <w:rPr>
                <w:rStyle w:val="TimesNewRomanTimesNewRoman"/>
                <w:rFonts w:hint="cs"/>
                <w:rtl/>
              </w:rPr>
              <w:t>, סגן נשיא</w:t>
            </w:r>
          </w:p>
          <w:p w14:paraId="727BF79B" w14:textId="77777777" w:rsidR="00537560" w:rsidRPr="001B55A1" w:rsidRDefault="00537560" w:rsidP="001B55A1">
            <w:pPr>
              <w:pStyle w:val="a3"/>
              <w:jc w:val="right"/>
              <w:rPr>
                <w:b/>
                <w:bCs/>
                <w:sz w:val="26"/>
                <w:szCs w:val="26"/>
                <w:rtl/>
              </w:rPr>
            </w:pPr>
            <w:r w:rsidRPr="001B55A1">
              <w:rPr>
                <w:rFonts w:hint="cs"/>
                <w:rtl/>
              </w:rPr>
              <w:t>30239-04-16</w:t>
            </w:r>
          </w:p>
        </w:tc>
      </w:tr>
      <w:tr w:rsidR="00537560" w:rsidRPr="001B55A1" w14:paraId="5545235F" w14:textId="77777777" w:rsidTr="001B55A1">
        <w:trPr>
          <w:cantSplit/>
          <w:trHeight w:val="724"/>
        </w:trPr>
        <w:tc>
          <w:tcPr>
            <w:tcW w:w="2880" w:type="dxa"/>
            <w:shd w:val="clear" w:color="auto" w:fill="auto"/>
          </w:tcPr>
          <w:p w14:paraId="09438810" w14:textId="77777777" w:rsidR="00537560" w:rsidRPr="001B55A1" w:rsidRDefault="00537560" w:rsidP="001B55A1">
            <w:pPr>
              <w:ind w:left="26"/>
              <w:rPr>
                <w:b/>
                <w:bCs/>
                <w:sz w:val="26"/>
                <w:szCs w:val="26"/>
                <w:rtl/>
              </w:rPr>
            </w:pPr>
            <w:bookmarkStart w:id="0" w:name="FirstAppellant"/>
            <w:bookmarkStart w:id="1" w:name="LastJudge"/>
            <w:bookmarkEnd w:id="1"/>
          </w:p>
          <w:p w14:paraId="7EC78DA6" w14:textId="77777777" w:rsidR="00537560" w:rsidRPr="001B55A1" w:rsidRDefault="00537560" w:rsidP="001B55A1">
            <w:pPr>
              <w:ind w:left="26"/>
              <w:rPr>
                <w:b/>
                <w:bCs/>
                <w:sz w:val="26"/>
                <w:szCs w:val="26"/>
                <w:rtl/>
              </w:rPr>
            </w:pPr>
            <w:r w:rsidRPr="001B55A1">
              <w:rPr>
                <w:rFonts w:hint="cs"/>
                <w:b/>
                <w:bCs/>
                <w:sz w:val="26"/>
                <w:szCs w:val="26"/>
                <w:rtl/>
              </w:rPr>
              <w:t>המאשימה</w:t>
            </w:r>
          </w:p>
        </w:tc>
        <w:tc>
          <w:tcPr>
            <w:tcW w:w="5922" w:type="dxa"/>
            <w:gridSpan w:val="2"/>
            <w:shd w:val="clear" w:color="auto" w:fill="auto"/>
          </w:tcPr>
          <w:p w14:paraId="48921037" w14:textId="77777777" w:rsidR="00537560" w:rsidRPr="001B55A1" w:rsidRDefault="00537560" w:rsidP="001B55A1">
            <w:pPr>
              <w:rPr>
                <w:rtl/>
              </w:rPr>
            </w:pPr>
          </w:p>
          <w:p w14:paraId="2684F203" w14:textId="77777777" w:rsidR="00537560" w:rsidRPr="001B55A1" w:rsidRDefault="00537560" w:rsidP="001B55A1">
            <w:pPr>
              <w:rPr>
                <w:b/>
                <w:bCs/>
                <w:sz w:val="26"/>
                <w:szCs w:val="26"/>
                <w:rtl/>
              </w:rPr>
            </w:pPr>
            <w:r w:rsidRPr="001B55A1">
              <w:rPr>
                <w:rtl/>
              </w:rPr>
              <w:t xml:space="preserve"> </w:t>
            </w:r>
            <w:r w:rsidRPr="001B55A1">
              <w:rPr>
                <w:rFonts w:hint="cs"/>
                <w:rtl/>
              </w:rPr>
              <w:t>מדינת ישראל</w:t>
            </w:r>
          </w:p>
        </w:tc>
      </w:tr>
      <w:bookmarkEnd w:id="0"/>
      <w:tr w:rsidR="00537560" w:rsidRPr="001B55A1" w14:paraId="79B455B1" w14:textId="77777777" w:rsidTr="001B55A1">
        <w:tc>
          <w:tcPr>
            <w:tcW w:w="8802" w:type="dxa"/>
            <w:gridSpan w:val="3"/>
            <w:shd w:val="clear" w:color="auto" w:fill="auto"/>
            <w:vAlign w:val="center"/>
          </w:tcPr>
          <w:p w14:paraId="586ADBE3" w14:textId="77777777" w:rsidR="00537560" w:rsidRPr="001B55A1" w:rsidRDefault="00537560" w:rsidP="001B55A1">
            <w:pPr>
              <w:jc w:val="center"/>
              <w:rPr>
                <w:rFonts w:ascii="Arial" w:hAnsi="Arial"/>
                <w:b/>
                <w:bCs/>
                <w:sz w:val="26"/>
                <w:szCs w:val="26"/>
                <w:rtl/>
              </w:rPr>
            </w:pPr>
          </w:p>
          <w:p w14:paraId="16826E48" w14:textId="77777777" w:rsidR="00537560" w:rsidRPr="001B55A1" w:rsidRDefault="00537560" w:rsidP="001B55A1">
            <w:pPr>
              <w:jc w:val="center"/>
              <w:rPr>
                <w:rFonts w:ascii="Arial" w:hAnsi="Arial"/>
                <w:b/>
                <w:bCs/>
                <w:sz w:val="26"/>
                <w:szCs w:val="26"/>
                <w:rtl/>
              </w:rPr>
            </w:pPr>
            <w:r w:rsidRPr="001B55A1">
              <w:rPr>
                <w:rFonts w:ascii="Arial" w:hAnsi="Arial" w:hint="cs"/>
                <w:b/>
                <w:bCs/>
                <w:sz w:val="26"/>
                <w:szCs w:val="26"/>
                <w:rtl/>
              </w:rPr>
              <w:t>נגד</w:t>
            </w:r>
          </w:p>
          <w:p w14:paraId="24CD7954" w14:textId="77777777" w:rsidR="00537560" w:rsidRPr="001B55A1" w:rsidRDefault="00537560" w:rsidP="001B55A1">
            <w:pPr>
              <w:rPr>
                <w:rFonts w:ascii="Arial" w:hAnsi="Arial"/>
                <w:b/>
                <w:bCs/>
                <w:sz w:val="26"/>
                <w:szCs w:val="26"/>
                <w:rtl/>
              </w:rPr>
            </w:pPr>
          </w:p>
        </w:tc>
      </w:tr>
      <w:tr w:rsidR="00537560" w:rsidRPr="001B55A1" w14:paraId="4298B3DF" w14:textId="77777777" w:rsidTr="001B55A1">
        <w:tc>
          <w:tcPr>
            <w:tcW w:w="2880" w:type="dxa"/>
            <w:shd w:val="clear" w:color="auto" w:fill="auto"/>
          </w:tcPr>
          <w:p w14:paraId="164860C3" w14:textId="77777777" w:rsidR="00537560" w:rsidRPr="001B55A1" w:rsidRDefault="00537560" w:rsidP="001B55A1">
            <w:pPr>
              <w:ind w:left="26"/>
              <w:rPr>
                <w:b/>
                <w:bCs/>
                <w:sz w:val="26"/>
                <w:szCs w:val="26"/>
              </w:rPr>
            </w:pPr>
            <w:r w:rsidRPr="001B55A1">
              <w:rPr>
                <w:rFonts w:hint="cs"/>
                <w:b/>
                <w:bCs/>
                <w:sz w:val="26"/>
                <w:szCs w:val="26"/>
                <w:rtl/>
              </w:rPr>
              <w:t>הנאשם</w:t>
            </w:r>
          </w:p>
        </w:tc>
        <w:tc>
          <w:tcPr>
            <w:tcW w:w="5922" w:type="dxa"/>
            <w:gridSpan w:val="2"/>
            <w:shd w:val="clear" w:color="auto" w:fill="auto"/>
          </w:tcPr>
          <w:p w14:paraId="71B4DD3F" w14:textId="77777777" w:rsidR="00537560" w:rsidRPr="001B55A1" w:rsidRDefault="00537560" w:rsidP="001B55A1">
            <w:pPr>
              <w:rPr>
                <w:b/>
                <w:bCs/>
                <w:sz w:val="26"/>
                <w:szCs w:val="26"/>
                <w:rtl/>
              </w:rPr>
            </w:pPr>
            <w:r w:rsidRPr="001B55A1">
              <w:rPr>
                <w:rtl/>
              </w:rPr>
              <w:t xml:space="preserve"> </w:t>
            </w:r>
            <w:r w:rsidRPr="001B55A1">
              <w:rPr>
                <w:rFonts w:hint="cs"/>
                <w:rtl/>
              </w:rPr>
              <w:t>מג'ד דעאיף (עציר) ת.ז.</w:t>
            </w:r>
            <w:r w:rsidR="001B55A1">
              <w:t>xxxxxxxxxx</w:t>
            </w:r>
          </w:p>
        </w:tc>
      </w:tr>
    </w:tbl>
    <w:p w14:paraId="773940C2" w14:textId="77777777" w:rsidR="00A966DB" w:rsidRDefault="00A966DB" w:rsidP="00537560">
      <w:pPr>
        <w:rPr>
          <w:rtl/>
        </w:rPr>
      </w:pPr>
      <w:bookmarkStart w:id="2" w:name="LawTable"/>
      <w:bookmarkEnd w:id="2"/>
    </w:p>
    <w:p w14:paraId="6A764F01" w14:textId="77777777" w:rsidR="00A966DB" w:rsidRPr="00A966DB" w:rsidRDefault="00A966DB" w:rsidP="00A966DB">
      <w:pPr>
        <w:spacing w:after="120" w:line="240" w:lineRule="exact"/>
        <w:ind w:left="283" w:hanging="283"/>
        <w:jc w:val="both"/>
        <w:rPr>
          <w:rFonts w:ascii="FrankRuehl" w:hAnsi="FrankRuehl" w:cs="FrankRuehl"/>
          <w:rtl/>
        </w:rPr>
      </w:pPr>
      <w:r w:rsidRPr="00A966DB">
        <w:rPr>
          <w:rFonts w:ascii="FrankRuehl" w:hAnsi="FrankRuehl" w:cs="FrankRuehl"/>
          <w:rtl/>
        </w:rPr>
        <w:t xml:space="preserve">חקיקה שאוזכרה: </w:t>
      </w:r>
    </w:p>
    <w:p w14:paraId="57C1D55E" w14:textId="77777777" w:rsidR="00A966DB" w:rsidRPr="00A966DB" w:rsidRDefault="00A966DB" w:rsidP="00A966DB">
      <w:pPr>
        <w:spacing w:after="120" w:line="240" w:lineRule="exact"/>
        <w:ind w:left="283" w:hanging="283"/>
        <w:jc w:val="both"/>
        <w:rPr>
          <w:rFonts w:ascii="FrankRuehl" w:hAnsi="FrankRuehl" w:cs="FrankRuehl"/>
          <w:rtl/>
        </w:rPr>
      </w:pPr>
      <w:hyperlink r:id="rId7" w:history="1">
        <w:r w:rsidRPr="00A966DB">
          <w:rPr>
            <w:rFonts w:ascii="FrankRuehl" w:hAnsi="FrankRuehl" w:cs="FrankRuehl"/>
            <w:color w:val="0000FF"/>
            <w:u w:val="single"/>
            <w:rtl/>
          </w:rPr>
          <w:t>חוק העונשין, תשל"ז-1977</w:t>
        </w:r>
      </w:hyperlink>
      <w:r w:rsidRPr="00A966DB">
        <w:rPr>
          <w:rFonts w:ascii="FrankRuehl" w:hAnsi="FrankRuehl" w:cs="FrankRuehl"/>
          <w:rtl/>
        </w:rPr>
        <w:t xml:space="preserve">: סע'  </w:t>
      </w:r>
      <w:hyperlink r:id="rId8" w:history="1">
        <w:r w:rsidRPr="00A966DB">
          <w:rPr>
            <w:rFonts w:ascii="FrankRuehl" w:hAnsi="FrankRuehl" w:cs="FrankRuehl"/>
            <w:color w:val="0000FF"/>
            <w:u w:val="single"/>
            <w:rtl/>
          </w:rPr>
          <w:t>25</w:t>
        </w:r>
      </w:hyperlink>
      <w:r w:rsidRPr="00A966DB">
        <w:rPr>
          <w:rFonts w:ascii="FrankRuehl" w:hAnsi="FrankRuehl" w:cs="FrankRuehl"/>
          <w:rtl/>
        </w:rPr>
        <w:t xml:space="preserve">, </w:t>
      </w:r>
      <w:hyperlink r:id="rId9" w:history="1">
        <w:r w:rsidRPr="00A966DB">
          <w:rPr>
            <w:rFonts w:ascii="FrankRuehl" w:hAnsi="FrankRuehl" w:cs="FrankRuehl"/>
            <w:color w:val="0000FF"/>
            <w:u w:val="single"/>
            <w:rtl/>
          </w:rPr>
          <w:t>31</w:t>
        </w:r>
      </w:hyperlink>
      <w:r w:rsidRPr="00A966DB">
        <w:rPr>
          <w:rFonts w:ascii="FrankRuehl" w:hAnsi="FrankRuehl" w:cs="FrankRuehl"/>
          <w:rtl/>
        </w:rPr>
        <w:t xml:space="preserve">, </w:t>
      </w:r>
      <w:hyperlink r:id="rId10" w:history="1">
        <w:r w:rsidRPr="00A966DB">
          <w:rPr>
            <w:rFonts w:ascii="FrankRuehl" w:hAnsi="FrankRuehl" w:cs="FrankRuehl"/>
            <w:color w:val="0000FF"/>
            <w:u w:val="single"/>
            <w:rtl/>
          </w:rPr>
          <w:t>40ב'</w:t>
        </w:r>
      </w:hyperlink>
      <w:r w:rsidRPr="00A966DB">
        <w:rPr>
          <w:rFonts w:ascii="FrankRuehl" w:hAnsi="FrankRuehl" w:cs="FrankRuehl"/>
          <w:rtl/>
        </w:rPr>
        <w:t xml:space="preserve">, </w:t>
      </w:r>
      <w:hyperlink r:id="rId11" w:history="1">
        <w:r w:rsidRPr="00A966DB">
          <w:rPr>
            <w:rFonts w:ascii="FrankRuehl" w:hAnsi="FrankRuehl" w:cs="FrankRuehl"/>
            <w:color w:val="0000FF"/>
            <w:u w:val="single"/>
            <w:rtl/>
          </w:rPr>
          <w:t>40ו</w:t>
        </w:r>
      </w:hyperlink>
      <w:r w:rsidRPr="00A966DB">
        <w:rPr>
          <w:rFonts w:ascii="FrankRuehl" w:hAnsi="FrankRuehl" w:cs="FrankRuehl"/>
          <w:rtl/>
        </w:rPr>
        <w:t xml:space="preserve">, </w:t>
      </w:r>
      <w:hyperlink r:id="rId12" w:history="1">
        <w:r w:rsidRPr="00A966DB">
          <w:rPr>
            <w:rFonts w:ascii="FrankRuehl" w:hAnsi="FrankRuehl" w:cs="FrankRuehl"/>
            <w:color w:val="0000FF"/>
            <w:u w:val="single"/>
            <w:rtl/>
          </w:rPr>
          <w:t>40ט</w:t>
        </w:r>
      </w:hyperlink>
      <w:r w:rsidRPr="00A966DB">
        <w:rPr>
          <w:rFonts w:ascii="FrankRuehl" w:hAnsi="FrankRuehl" w:cs="FrankRuehl"/>
          <w:rtl/>
        </w:rPr>
        <w:t xml:space="preserve">, </w:t>
      </w:r>
      <w:hyperlink r:id="rId13" w:history="1">
        <w:r w:rsidRPr="00A966DB">
          <w:rPr>
            <w:rFonts w:ascii="FrankRuehl" w:hAnsi="FrankRuehl" w:cs="FrankRuehl"/>
            <w:color w:val="0000FF"/>
            <w:u w:val="single"/>
            <w:rtl/>
          </w:rPr>
          <w:t>144(א)</w:t>
        </w:r>
      </w:hyperlink>
      <w:r w:rsidRPr="00A966DB">
        <w:rPr>
          <w:rFonts w:ascii="FrankRuehl" w:hAnsi="FrankRuehl" w:cs="FrankRuehl"/>
          <w:rtl/>
        </w:rPr>
        <w:t xml:space="preserve">, </w:t>
      </w:r>
      <w:hyperlink r:id="rId14" w:history="1">
        <w:r w:rsidRPr="00A966DB">
          <w:rPr>
            <w:rFonts w:ascii="FrankRuehl" w:hAnsi="FrankRuehl" w:cs="FrankRuehl"/>
            <w:color w:val="0000FF"/>
            <w:u w:val="single"/>
            <w:rtl/>
          </w:rPr>
          <w:t>144(ב2)</w:t>
        </w:r>
      </w:hyperlink>
      <w:r w:rsidRPr="00A966DB">
        <w:rPr>
          <w:rFonts w:ascii="FrankRuehl" w:hAnsi="FrankRuehl" w:cs="FrankRuehl"/>
          <w:rtl/>
        </w:rPr>
        <w:t xml:space="preserve">, </w:t>
      </w:r>
      <w:hyperlink r:id="rId15" w:history="1">
        <w:r w:rsidRPr="00A966DB">
          <w:rPr>
            <w:rFonts w:ascii="FrankRuehl" w:hAnsi="FrankRuehl" w:cs="FrankRuehl"/>
            <w:color w:val="0000FF"/>
            <w:u w:val="single"/>
            <w:rtl/>
          </w:rPr>
          <w:t>499(א)(1)</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7560" w14:paraId="64C13813" w14:textId="77777777" w:rsidTr="001B55A1">
        <w:trPr>
          <w:trHeight w:val="355"/>
          <w:jc w:val="center"/>
        </w:trPr>
        <w:tc>
          <w:tcPr>
            <w:tcW w:w="8820" w:type="dxa"/>
            <w:tcBorders>
              <w:top w:val="nil"/>
              <w:left w:val="nil"/>
              <w:bottom w:val="nil"/>
              <w:right w:val="nil"/>
            </w:tcBorders>
            <w:shd w:val="clear" w:color="auto" w:fill="auto"/>
          </w:tcPr>
          <w:p w14:paraId="42236897" w14:textId="77777777" w:rsidR="001B55A1" w:rsidRPr="001B55A1" w:rsidRDefault="001B55A1" w:rsidP="001B55A1">
            <w:pPr>
              <w:jc w:val="center"/>
              <w:rPr>
                <w:rFonts w:ascii="Arial" w:hAnsi="Arial" w:cs="FrankRuehl"/>
                <w:b/>
                <w:bCs/>
                <w:sz w:val="32"/>
                <w:szCs w:val="32"/>
                <w:u w:val="single"/>
                <w:rtl/>
              </w:rPr>
            </w:pPr>
            <w:bookmarkStart w:id="3" w:name="PsakDin" w:colFirst="0" w:colLast="0"/>
            <w:r w:rsidRPr="001B55A1">
              <w:rPr>
                <w:rFonts w:ascii="Arial" w:hAnsi="Arial" w:cs="FrankRuehl"/>
                <w:b/>
                <w:bCs/>
                <w:sz w:val="32"/>
                <w:szCs w:val="32"/>
                <w:u w:val="single"/>
                <w:rtl/>
              </w:rPr>
              <w:t>גזר דין</w:t>
            </w:r>
          </w:p>
          <w:p w14:paraId="637042D8" w14:textId="77777777" w:rsidR="00537560" w:rsidRPr="001B55A1" w:rsidRDefault="00537560" w:rsidP="001B55A1">
            <w:pPr>
              <w:jc w:val="center"/>
              <w:rPr>
                <w:rFonts w:ascii="Arial" w:hAnsi="Arial" w:cs="FrankRuehl"/>
                <w:bCs/>
                <w:sz w:val="32"/>
                <w:szCs w:val="32"/>
                <w:u w:val="single"/>
                <w:rtl/>
              </w:rPr>
            </w:pPr>
          </w:p>
        </w:tc>
      </w:tr>
      <w:bookmarkEnd w:id="3"/>
    </w:tbl>
    <w:p w14:paraId="63912869" w14:textId="77777777" w:rsidR="00537560" w:rsidRPr="00B05847" w:rsidRDefault="00537560" w:rsidP="00537560">
      <w:pPr>
        <w:rPr>
          <w:rFonts w:ascii="Arial" w:hAnsi="Arial"/>
          <w:rtl/>
        </w:rPr>
      </w:pPr>
    </w:p>
    <w:p w14:paraId="52C8397B" w14:textId="77777777" w:rsidR="00537560" w:rsidRPr="00C638CD" w:rsidRDefault="00537560" w:rsidP="00537560">
      <w:pPr>
        <w:spacing w:line="360" w:lineRule="auto"/>
        <w:ind w:left="360" w:firstLine="360"/>
        <w:jc w:val="both"/>
        <w:rPr>
          <w:rFonts w:ascii="Arial" w:hAnsi="Arial" w:cs="Miriam"/>
          <w:rtl/>
        </w:rPr>
      </w:pPr>
      <w:r w:rsidRPr="00C638CD">
        <w:rPr>
          <w:rFonts w:ascii="Arial" w:hAnsi="Arial" w:cs="Miriam"/>
          <w:rtl/>
        </w:rPr>
        <w:t>מבוא</w:t>
      </w:r>
    </w:p>
    <w:p w14:paraId="66520EC1" w14:textId="77777777" w:rsidR="00537560" w:rsidRDefault="00537560" w:rsidP="00537560">
      <w:pPr>
        <w:spacing w:line="360" w:lineRule="auto"/>
        <w:ind w:left="720"/>
        <w:contextualSpacing/>
        <w:jc w:val="both"/>
        <w:rPr>
          <w:rFonts w:ascii="Arial" w:hAnsi="Arial" w:cs="FrankRuehl"/>
          <w:szCs w:val="28"/>
          <w:rtl/>
        </w:rPr>
      </w:pPr>
      <w:r w:rsidRPr="00C638CD">
        <w:rPr>
          <w:rFonts w:ascii="Arial" w:hAnsi="Arial" w:cs="FrankRuehl"/>
          <w:szCs w:val="28"/>
          <w:rtl/>
        </w:rPr>
        <w:t>הנאשם הורשע לאחר הודאתו בעובדות כתב אישום שתוקן במסגרת הסדר טיעון שלא כלל הסכמה לעניין העונש (ההסדר סומן א, כתב האישום סומן ב), ב</w:t>
      </w:r>
      <w:bookmarkStart w:id="4" w:name="ABSTRACT_START"/>
      <w:bookmarkEnd w:id="4"/>
      <w:r w:rsidRPr="00C638CD">
        <w:rPr>
          <w:rFonts w:ascii="Arial" w:hAnsi="Arial" w:cs="FrankRuehl"/>
          <w:szCs w:val="28"/>
          <w:rtl/>
        </w:rPr>
        <w:t xml:space="preserve">עבירות של קשירת קשר לפשע, עבירה לפי </w:t>
      </w:r>
      <w:hyperlink r:id="rId16" w:history="1">
        <w:r w:rsidR="00A966DB" w:rsidRPr="00A966DB">
          <w:rPr>
            <w:rFonts w:ascii="Arial" w:hAnsi="Arial" w:cs="FrankRuehl"/>
            <w:color w:val="0000FF"/>
            <w:szCs w:val="28"/>
            <w:u w:val="single"/>
            <w:rtl/>
          </w:rPr>
          <w:t>סעיף 499(א)(1)</w:t>
        </w:r>
      </w:hyperlink>
      <w:r w:rsidRPr="00C638CD">
        <w:rPr>
          <w:rFonts w:ascii="Arial" w:hAnsi="Arial" w:cs="FrankRuehl"/>
          <w:szCs w:val="28"/>
          <w:rtl/>
        </w:rPr>
        <w:t xml:space="preserve"> </w:t>
      </w:r>
      <w:r w:rsidRPr="00C638CD">
        <w:rPr>
          <w:rFonts w:ascii="Arial" w:hAnsi="Arial" w:cs="Miriam"/>
          <w:rtl/>
        </w:rPr>
        <w:t>ל</w:t>
      </w:r>
      <w:hyperlink r:id="rId17" w:history="1">
        <w:r w:rsidR="001B55A1" w:rsidRPr="001B55A1">
          <w:rPr>
            <w:rStyle w:val="Hyperlink"/>
            <w:rFonts w:ascii="Arial" w:hAnsi="Arial" w:cs="Miriam"/>
            <w:rtl/>
          </w:rPr>
          <w:t>חוק העונשין</w:t>
        </w:r>
      </w:hyperlink>
      <w:r w:rsidRPr="00C638CD">
        <w:rPr>
          <w:rFonts w:ascii="Arial" w:hAnsi="Arial" w:cs="Miriam"/>
          <w:rtl/>
        </w:rPr>
        <w:t>, התשל"ז-1977</w:t>
      </w:r>
      <w:r w:rsidRPr="00C638CD">
        <w:rPr>
          <w:rFonts w:ascii="Arial" w:hAnsi="Arial" w:cs="FrankRuehl"/>
          <w:szCs w:val="28"/>
          <w:rtl/>
        </w:rPr>
        <w:t xml:space="preserve"> (להלן – החוק), עבירה של סיוע לניסיון סחר בנשק לפי </w:t>
      </w:r>
      <w:hyperlink r:id="rId18" w:history="1">
        <w:r w:rsidR="00A966DB" w:rsidRPr="00A966DB">
          <w:rPr>
            <w:rFonts w:ascii="Arial" w:hAnsi="Arial" w:cs="FrankRuehl"/>
            <w:color w:val="0000FF"/>
            <w:szCs w:val="28"/>
            <w:u w:val="single"/>
            <w:rtl/>
          </w:rPr>
          <w:t>סעיף 144(ב2)</w:t>
        </w:r>
      </w:hyperlink>
      <w:r w:rsidRPr="00C638CD">
        <w:rPr>
          <w:rFonts w:ascii="Arial" w:hAnsi="Arial" w:cs="FrankRuehl"/>
          <w:szCs w:val="28"/>
          <w:rtl/>
        </w:rPr>
        <w:t xml:space="preserve"> +</w:t>
      </w:r>
      <w:hyperlink r:id="rId19" w:history="1">
        <w:r w:rsidR="00A966DB" w:rsidRPr="00A966DB">
          <w:rPr>
            <w:rFonts w:ascii="Arial" w:hAnsi="Arial" w:cs="FrankRuehl"/>
            <w:color w:val="0000FF"/>
            <w:szCs w:val="28"/>
            <w:u w:val="single"/>
            <w:rtl/>
          </w:rPr>
          <w:t>31</w:t>
        </w:r>
      </w:hyperlink>
      <w:r w:rsidRPr="00C638CD">
        <w:rPr>
          <w:rFonts w:ascii="Arial" w:hAnsi="Arial" w:cs="FrankRuehl"/>
          <w:szCs w:val="28"/>
          <w:rtl/>
        </w:rPr>
        <w:t xml:space="preserve"> + </w:t>
      </w:r>
      <w:hyperlink r:id="rId20" w:history="1">
        <w:r w:rsidR="00A966DB" w:rsidRPr="00A966DB">
          <w:rPr>
            <w:rFonts w:ascii="Arial" w:hAnsi="Arial" w:cs="FrankRuehl"/>
            <w:color w:val="0000FF"/>
            <w:szCs w:val="28"/>
            <w:u w:val="single"/>
            <w:rtl/>
          </w:rPr>
          <w:t>25</w:t>
        </w:r>
      </w:hyperlink>
      <w:r w:rsidRPr="00C638CD">
        <w:rPr>
          <w:rFonts w:ascii="Arial" w:hAnsi="Arial" w:cs="FrankRuehl"/>
          <w:szCs w:val="28"/>
          <w:rtl/>
        </w:rPr>
        <w:t xml:space="preserve"> לחוק ושתי עבירות של ניסיון לרכישת נשק </w:t>
      </w:r>
      <w:bookmarkStart w:id="5" w:name="ABSTRACT_END"/>
      <w:bookmarkEnd w:id="5"/>
      <w:r w:rsidRPr="00C638CD">
        <w:rPr>
          <w:rFonts w:ascii="Arial" w:hAnsi="Arial" w:cs="FrankRuehl"/>
          <w:szCs w:val="28"/>
          <w:rtl/>
        </w:rPr>
        <w:t xml:space="preserve">לפי </w:t>
      </w:r>
      <w:hyperlink r:id="rId21" w:history="1">
        <w:r w:rsidR="00A966DB" w:rsidRPr="00A966DB">
          <w:rPr>
            <w:rFonts w:ascii="Arial" w:hAnsi="Arial" w:cs="FrankRuehl"/>
            <w:color w:val="0000FF"/>
            <w:szCs w:val="28"/>
            <w:u w:val="single"/>
            <w:rtl/>
          </w:rPr>
          <w:t>סעיף 144(א)</w:t>
        </w:r>
      </w:hyperlink>
      <w:r w:rsidRPr="00C638CD">
        <w:rPr>
          <w:rFonts w:ascii="Arial" w:hAnsi="Arial" w:cs="FrankRuehl"/>
          <w:szCs w:val="28"/>
          <w:rtl/>
        </w:rPr>
        <w:t xml:space="preserve"> סיפא + </w:t>
      </w:r>
      <w:hyperlink r:id="rId22" w:history="1">
        <w:r w:rsidR="00A966DB" w:rsidRPr="00A966DB">
          <w:rPr>
            <w:rFonts w:ascii="Arial" w:hAnsi="Arial" w:cs="FrankRuehl"/>
            <w:color w:val="0000FF"/>
            <w:szCs w:val="28"/>
            <w:u w:val="single"/>
            <w:rtl/>
          </w:rPr>
          <w:t>25</w:t>
        </w:r>
      </w:hyperlink>
      <w:r w:rsidRPr="00C638CD">
        <w:rPr>
          <w:rFonts w:ascii="Arial" w:hAnsi="Arial" w:cs="FrankRuehl"/>
          <w:szCs w:val="28"/>
          <w:rtl/>
        </w:rPr>
        <w:t xml:space="preserve"> לחוק.</w:t>
      </w:r>
    </w:p>
    <w:p w14:paraId="750CF19B" w14:textId="77777777" w:rsidR="00537560" w:rsidRPr="00C638CD" w:rsidRDefault="00537560" w:rsidP="00537560">
      <w:pPr>
        <w:spacing w:line="360" w:lineRule="auto"/>
        <w:ind w:left="720"/>
        <w:contextualSpacing/>
        <w:jc w:val="both"/>
        <w:rPr>
          <w:rFonts w:ascii="Arial" w:hAnsi="Arial" w:cs="FrankRuehl"/>
          <w:szCs w:val="28"/>
          <w:rtl/>
        </w:rPr>
      </w:pPr>
    </w:p>
    <w:p w14:paraId="0C9DABF1" w14:textId="77777777" w:rsidR="00537560" w:rsidRPr="00C638CD" w:rsidRDefault="00537560" w:rsidP="00537560">
      <w:pPr>
        <w:spacing w:before="120" w:after="240" w:line="360" w:lineRule="auto"/>
        <w:ind w:left="720"/>
        <w:jc w:val="both"/>
        <w:rPr>
          <w:rFonts w:ascii="Arial" w:hAnsi="Arial" w:cs="FrankRuehl"/>
          <w:szCs w:val="28"/>
        </w:rPr>
      </w:pPr>
      <w:r w:rsidRPr="00C638CD">
        <w:rPr>
          <w:rFonts w:ascii="Arial" w:hAnsi="Arial" w:cs="FrankRuehl"/>
          <w:szCs w:val="28"/>
          <w:rtl/>
        </w:rPr>
        <w:t xml:space="preserve">על פי עובדות כתב האישום המתוקן ביום 31.10.2015 או בסמוך לפניו, פנה אחמד גהגאה (להלן – אחמד) לנאשם, וביקש לרכוש ממנו, בלא רשות על פי דין, 12  רימוני הלם. </w:t>
      </w:r>
      <w:r>
        <w:rPr>
          <w:rFonts w:ascii="Arial" w:hAnsi="Arial" w:cs="FrankRuehl" w:hint="cs"/>
          <w:szCs w:val="28"/>
          <w:rtl/>
        </w:rPr>
        <w:t xml:space="preserve"> </w:t>
      </w:r>
      <w:r w:rsidRPr="00C638CD">
        <w:rPr>
          <w:rFonts w:ascii="Arial" w:hAnsi="Arial" w:cs="FrankRuehl"/>
          <w:szCs w:val="28"/>
          <w:rtl/>
        </w:rPr>
        <w:t xml:space="preserve">בהמשך לכך, קשרו הנאשם ואחמד קשר </w:t>
      </w:r>
      <w:r>
        <w:rPr>
          <w:rFonts w:ascii="Arial" w:hAnsi="Arial" w:cs="FrankRuehl" w:hint="cs"/>
          <w:szCs w:val="28"/>
          <w:rtl/>
        </w:rPr>
        <w:t xml:space="preserve">לפיו </w:t>
      </w:r>
      <w:r w:rsidRPr="00C638CD">
        <w:rPr>
          <w:rFonts w:ascii="Arial" w:hAnsi="Arial" w:cs="FrankRuehl"/>
          <w:szCs w:val="28"/>
          <w:rtl/>
        </w:rPr>
        <w:t>אחמד ירכוש מהנאשם רימונים (להלן – הקשר). לצורך קידום הקשר ומימושו, ניהלו השניים שיחות טלפוניות בתאריכים 31.10.2015 ו-1.11.2015.</w:t>
      </w:r>
    </w:p>
    <w:p w14:paraId="17D9EDEE"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 xml:space="preserve">בהמשך לקשר, פגש הנאשם את אחמד, והוביל אותו לאום אל פחם, שם הציג לו שני רימוני צינור מאולתרים, שקיבל מאחר, לצורך רכישתם (להלן – רימוני הצינור), כל זאת בלא רשות על פי דין. אחמד, שחשש כי רימוני הצינור שהוצגו לו אינם בטוחים לשימוש, </w:t>
      </w:r>
      <w:r w:rsidRPr="00C638CD">
        <w:rPr>
          <w:rFonts w:ascii="Arial" w:hAnsi="Arial" w:cs="FrankRuehl"/>
          <w:szCs w:val="28"/>
          <w:rtl/>
        </w:rPr>
        <w:lastRenderedPageBreak/>
        <w:t>לא רכש אותם. רימוני הלם ורימוני הצינור הם חפצים נפיצים שבכוחם להמית אדם או להזיק לו.</w:t>
      </w:r>
    </w:p>
    <w:p w14:paraId="1E8991D7"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ביום 8.11.2015, או בסמוך לפניו, פנה הנאשם לעלי גהגאה (להלן- עלי) וביקש לרכוש ממנו, בלא רשות על פי דין, חמש מחסניות לאקדח וכן כדורים לאקדח. עלי השיב כי יבדוק את הנושא, ובסופו של דבר לא יצאה העסקה אל הפועל. המחסניות לאקדח הן אבזר של כלי שסוגל לירות כדור שבכוחו להמית אדם. הכדורים הם תחמושת של כלי כזה.</w:t>
      </w:r>
    </w:p>
    <w:p w14:paraId="1EAC986F"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ביום 9.11.2015 או בסמוך לפניו, פנה הנאשם לאחמד וביקש לרכוש ממנו, בלא רשות על פי דין, ארבע מחסניות לנשק מאולתר. אחמד השיב כי יבדוק זאת, ובסופו של דבר לא יצאה העסקה אל הפועל. מחסניות לאקדח הן אבזר של כלי שסוגל לירות כדור שבכוחו להמית אדם.</w:t>
      </w:r>
    </w:p>
    <w:p w14:paraId="5E609E0F" w14:textId="77777777" w:rsidR="00537560" w:rsidRPr="00C638CD" w:rsidRDefault="00537560" w:rsidP="00537560">
      <w:pPr>
        <w:spacing w:before="120" w:after="240" w:line="360" w:lineRule="auto"/>
        <w:ind w:left="720"/>
        <w:jc w:val="both"/>
        <w:rPr>
          <w:rFonts w:ascii="Arial" w:hAnsi="Arial" w:cs="FrankRuehl"/>
          <w:szCs w:val="28"/>
        </w:rPr>
      </w:pPr>
      <w:r w:rsidRPr="00C638CD">
        <w:rPr>
          <w:rFonts w:ascii="Arial" w:hAnsi="Arial" w:cs="FrankRuehl"/>
          <w:szCs w:val="28"/>
          <w:rtl/>
        </w:rPr>
        <w:t>במעשיו כמתואר לעיל, קשר הנאשם קשר לפשע עם אחמד, סייע לאחמד בניסיונו לסחור בנשק בלא רשות על פי דין; ניסה לרכוש תחמושת ומחסניות מעלי וכן ניסה לרכוש מחסניות מאחמד.</w:t>
      </w:r>
    </w:p>
    <w:p w14:paraId="3B9C8715" w14:textId="77777777" w:rsidR="00537560" w:rsidRPr="00C638CD" w:rsidRDefault="00537560" w:rsidP="00537560">
      <w:pPr>
        <w:spacing w:line="360" w:lineRule="auto"/>
        <w:ind w:left="720"/>
        <w:jc w:val="both"/>
        <w:rPr>
          <w:rFonts w:ascii="Arial" w:hAnsi="Arial" w:cs="Miriam"/>
        </w:rPr>
      </w:pPr>
      <w:r w:rsidRPr="00C638CD">
        <w:rPr>
          <w:rFonts w:ascii="Arial" w:hAnsi="Arial" w:cs="Miriam"/>
          <w:rtl/>
        </w:rPr>
        <w:t>ראיות לעונש</w:t>
      </w:r>
    </w:p>
    <w:p w14:paraId="7EF6FE1A" w14:textId="77777777" w:rsidR="00537560" w:rsidRPr="00C638CD" w:rsidRDefault="00537560" w:rsidP="00537560">
      <w:pPr>
        <w:spacing w:line="360" w:lineRule="auto"/>
        <w:ind w:left="720"/>
        <w:contextualSpacing/>
        <w:jc w:val="both"/>
        <w:rPr>
          <w:rFonts w:ascii="Arial" w:hAnsi="Arial" w:cs="FrankRuehl"/>
          <w:szCs w:val="28"/>
          <w:rtl/>
        </w:rPr>
      </w:pPr>
      <w:r w:rsidRPr="00C638CD">
        <w:rPr>
          <w:rFonts w:ascii="Arial" w:hAnsi="Arial" w:cs="FrankRuehl"/>
          <w:szCs w:val="28"/>
          <w:rtl/>
        </w:rPr>
        <w:t>ב"כ המאשימה הציגה את גיליון הרישום הפלילי של הנאשם (ט/1) לפיו לנאשם הרשעה אחת משנת 2011 בהחזקת סכין בגינו הוטל על הנאשם מאסר על תנאי וקנס.</w:t>
      </w:r>
    </w:p>
    <w:p w14:paraId="647F249A" w14:textId="77777777" w:rsidR="00537560" w:rsidRPr="00C638CD" w:rsidRDefault="00537560" w:rsidP="00537560">
      <w:pPr>
        <w:spacing w:line="360" w:lineRule="auto"/>
        <w:ind w:left="720"/>
        <w:jc w:val="both"/>
        <w:rPr>
          <w:rFonts w:ascii="Arial" w:hAnsi="Arial" w:cs="FrankRuehl"/>
          <w:szCs w:val="28"/>
          <w:u w:val="single"/>
        </w:rPr>
      </w:pPr>
    </w:p>
    <w:p w14:paraId="7CAC1D34" w14:textId="77777777" w:rsidR="00537560" w:rsidRPr="00C638CD" w:rsidRDefault="00537560" w:rsidP="00537560">
      <w:pPr>
        <w:spacing w:line="360" w:lineRule="auto"/>
        <w:ind w:left="720"/>
        <w:contextualSpacing/>
        <w:jc w:val="both"/>
        <w:rPr>
          <w:rFonts w:ascii="Arial" w:hAnsi="Arial" w:cs="Miriam"/>
          <w:rtl/>
        </w:rPr>
      </w:pPr>
      <w:r w:rsidRPr="00C638CD">
        <w:rPr>
          <w:rFonts w:ascii="Arial" w:hAnsi="Arial" w:cs="Miriam"/>
          <w:rtl/>
        </w:rPr>
        <w:t>תסקיר שירות המבחן</w:t>
      </w:r>
    </w:p>
    <w:p w14:paraId="71E95E5B" w14:textId="77777777" w:rsidR="00537560" w:rsidRPr="00C638CD" w:rsidRDefault="00537560" w:rsidP="00537560">
      <w:pPr>
        <w:spacing w:before="120" w:after="240" w:line="360" w:lineRule="auto"/>
        <w:ind w:left="720"/>
        <w:jc w:val="both"/>
        <w:rPr>
          <w:rFonts w:ascii="Arial" w:hAnsi="Arial" w:cs="FrankRuehl"/>
          <w:szCs w:val="28"/>
        </w:rPr>
      </w:pPr>
      <w:r w:rsidRPr="00C638CD">
        <w:rPr>
          <w:rFonts w:ascii="Arial" w:hAnsi="Arial" w:cs="FrankRuehl"/>
          <w:szCs w:val="28"/>
          <w:rtl/>
        </w:rPr>
        <w:t xml:space="preserve">לבקשת הסניגור הוריתי לשירות המבחן להכין תסקיר לעניין העונש. בתסקיר מיום 3.1.2017  נכתב כי הנאשם הודה </w:t>
      </w:r>
      <w:r>
        <w:rPr>
          <w:rFonts w:ascii="Arial" w:hAnsi="Arial" w:cs="FrankRuehl" w:hint="cs"/>
          <w:szCs w:val="28"/>
          <w:rtl/>
        </w:rPr>
        <w:t xml:space="preserve">בפני קצין המבחן </w:t>
      </w:r>
      <w:r w:rsidRPr="00C638CD">
        <w:rPr>
          <w:rFonts w:ascii="Arial" w:hAnsi="Arial" w:cs="FrankRuehl"/>
          <w:szCs w:val="28"/>
          <w:rtl/>
        </w:rPr>
        <w:t xml:space="preserve">רק בחלק מעובדות כתב האישום המתוקן ולכן בפתח הדיון מיום 10.1.2017 התבקש הנאשם לשוב ולמסור תגובתו לכתב האישום המתוקן ולאחר שבוצעה הקראה של כל אחד מסעיפי כתב האישום המתוקן והנאשם הודה  באמור בו הוא נשלח שוב לשירות המבחן לשם הכנת תסקיר משלים. </w:t>
      </w:r>
    </w:p>
    <w:p w14:paraId="20D5BCAD"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 xml:space="preserve">בתסקיר המשלים מיום 22.2.2017 הודה הנאשם באופן מלא גם בפני שירות המבחן בעובדות כתב האישום המתוקן, טען כי הרקע לביצוע עבירותיו היה רצונו להשיג כסף קל ותיאר עצמו בפני קצינת המבחן כקרבן, היה עסוק במחירים האישיים ששילם והמשיך </w:t>
      </w:r>
      <w:r w:rsidRPr="00C638CD">
        <w:rPr>
          <w:rFonts w:ascii="Arial" w:hAnsi="Arial" w:cs="FrankRuehl"/>
          <w:szCs w:val="28"/>
          <w:rtl/>
        </w:rPr>
        <w:lastRenderedPageBreak/>
        <w:t>לשלם בשל ההליכים כנגדו ביניהם ההפסדים הכספיים הנובעים משהייתו במעצר בית, הוצאות ניהול ההליך. הפגיעה בשמו הטוב וחששו פן ארוסתו תסיים את הקשר (עמוד 29 לפרוטוקול שורה 23). באם ירצה עונש מאסר בפועל.</w:t>
      </w:r>
    </w:p>
    <w:p w14:paraId="42B3F6D0"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שירות המבחן העריך כי קיים סיכון בינוני- גבוה להישנות התנהגות עוברת חוק מצידו של הנאשם. לא נמצא  פתח לאפיק</w:t>
      </w:r>
      <w:r>
        <w:rPr>
          <w:rFonts w:ascii="Arial" w:hAnsi="Arial" w:cs="FrankRuehl" w:hint="cs"/>
          <w:szCs w:val="28"/>
          <w:rtl/>
        </w:rPr>
        <w:t xml:space="preserve"> </w:t>
      </w:r>
      <w:r w:rsidRPr="00C638CD">
        <w:rPr>
          <w:rFonts w:ascii="Arial" w:hAnsi="Arial" w:cs="FrankRuehl"/>
          <w:szCs w:val="28"/>
          <w:rtl/>
        </w:rPr>
        <w:t xml:space="preserve"> שיקומי בקהילה אשר יכול להביא להפחתת הסיכון להישנות התנהגות עוברת חוק מצד הנאשם ולכן המליץ שירות המבחן להטיל על הנאשם ענישה מוחשית וקונקרטית אשר תחבר אותו למחירים שמשלם על מעשיו, ותהווה עבורו גורם הרתעתי משמעותי, עוד המליץ על ענישה מותנית משמעותית.</w:t>
      </w:r>
    </w:p>
    <w:p w14:paraId="0D106BB9" w14:textId="77777777" w:rsidR="00537560" w:rsidRPr="00C638CD" w:rsidRDefault="00537560" w:rsidP="00537560">
      <w:pPr>
        <w:spacing w:line="360" w:lineRule="auto"/>
        <w:ind w:left="720"/>
        <w:contextualSpacing/>
        <w:jc w:val="both"/>
        <w:rPr>
          <w:rFonts w:ascii="Arial" w:hAnsi="Arial" w:cs="Miriam"/>
          <w:rtl/>
        </w:rPr>
      </w:pPr>
      <w:r w:rsidRPr="00C638CD">
        <w:rPr>
          <w:rFonts w:ascii="Arial" w:hAnsi="Arial" w:cs="Miriam"/>
          <w:rtl/>
        </w:rPr>
        <w:t>תמצית טענות הצדדים</w:t>
      </w:r>
    </w:p>
    <w:p w14:paraId="4A0149BC" w14:textId="77777777" w:rsidR="00537560" w:rsidRPr="00C638CD" w:rsidRDefault="00537560" w:rsidP="00537560">
      <w:pPr>
        <w:numPr>
          <w:ilvl w:val="0"/>
          <w:numId w:val="1"/>
        </w:numPr>
        <w:spacing w:before="120" w:after="240" w:line="360" w:lineRule="auto"/>
        <w:jc w:val="both"/>
        <w:rPr>
          <w:rFonts w:ascii="Arial" w:hAnsi="Arial" w:cs="Miriam"/>
          <w:szCs w:val="28"/>
        </w:rPr>
      </w:pPr>
      <w:r w:rsidRPr="00C638CD">
        <w:rPr>
          <w:rFonts w:ascii="Arial" w:hAnsi="Arial" w:cs="FrankRuehl"/>
          <w:szCs w:val="28"/>
          <w:rtl/>
        </w:rPr>
        <w:t>ב"כ המאשימה ביקשה להטיל על הנאשם בגין מעשיו עונש מאסר בפועל ברף הגבוה של המתחם שעומד בין שנתיים לחמש שנות מאסר בפועל, לצד עונש של מאסר מותנה וקנס.</w:t>
      </w:r>
    </w:p>
    <w:p w14:paraId="2E768D9C" w14:textId="77777777" w:rsidR="00537560" w:rsidRPr="00C638CD" w:rsidRDefault="00537560" w:rsidP="00537560">
      <w:pPr>
        <w:spacing w:before="120" w:after="240" w:line="360" w:lineRule="auto"/>
        <w:ind w:left="720"/>
        <w:jc w:val="both"/>
        <w:rPr>
          <w:rFonts w:ascii="Arial" w:hAnsi="Arial" w:cs="Miriam"/>
          <w:szCs w:val="28"/>
        </w:rPr>
      </w:pPr>
      <w:r w:rsidRPr="00C638CD">
        <w:rPr>
          <w:rFonts w:ascii="Arial" w:hAnsi="Arial" w:cs="FrankRuehl"/>
          <w:szCs w:val="28"/>
          <w:rtl/>
        </w:rPr>
        <w:t>לטענתה מדובר באירוע אחד והוסיפה כי עבירות בנשק ככלל מסכנות את שלום הציבור ובטחונו, כאשר עבירת הסחר בנשק מצויה בדרגת החומרה הגבוהה ביותר בשל המסוכנות הגלומה בסחר בלתי חוקי בנשק. בנוסף, לעניין עבירות הנוגעות לרימוני צינור  מאולתרים, טענה כי בית המשפט העליון התייחס לעבירות אלו בחומרה רבה (הפנתה ל</w:t>
      </w:r>
      <w:hyperlink r:id="rId23" w:history="1">
        <w:r w:rsidR="001B55A1" w:rsidRPr="001B55A1">
          <w:rPr>
            <w:rStyle w:val="Hyperlink"/>
            <w:rFonts w:ascii="Arial" w:hAnsi="Arial" w:cs="FrankRuehl"/>
            <w:szCs w:val="28"/>
            <w:rtl/>
          </w:rPr>
          <w:t>ע"פ 3491/13</w:t>
        </w:r>
      </w:hyperlink>
      <w:r w:rsidRPr="00C638CD">
        <w:rPr>
          <w:rFonts w:ascii="Arial" w:hAnsi="Arial" w:cs="Miriam"/>
          <w:rtl/>
        </w:rPr>
        <w:t xml:space="preserve"> טוויק נ' מדינת ישראל</w:t>
      </w:r>
      <w:r w:rsidRPr="00C638CD">
        <w:rPr>
          <w:rFonts w:ascii="Arial" w:hAnsi="Arial" w:cs="FrankRuehl"/>
          <w:szCs w:val="28"/>
          <w:rtl/>
        </w:rPr>
        <w:t xml:space="preserve"> (15.11.2013) בו נדון נאשם ל-30 חודשי מאסר בפועל בגין עבירות בנשק  בקשר למטעני חבלה מ"תוצרת בית", העבירות שם הי</w:t>
      </w:r>
      <w:r>
        <w:rPr>
          <w:rFonts w:ascii="Arial" w:hAnsi="Arial" w:cs="FrankRuehl" w:hint="cs"/>
          <w:szCs w:val="28"/>
          <w:rtl/>
        </w:rPr>
        <w:t>ו</w:t>
      </w:r>
      <w:r w:rsidRPr="00C638CD">
        <w:rPr>
          <w:rFonts w:ascii="Arial" w:hAnsi="Arial" w:cs="FrankRuehl"/>
          <w:szCs w:val="28"/>
          <w:rtl/>
        </w:rPr>
        <w:t xml:space="preserve"> חמורות יותר). ועל כן, נוכח פוטנציאל הסיכון הנשקף, יש להטיל לטענתה בגין עבירות אלו ענישה מרתיעה גם כשמדובר בעבירות נגזרות כניסיון וסיוע לעבירות בנשק.</w:t>
      </w:r>
    </w:p>
    <w:p w14:paraId="15236B1F" w14:textId="77777777" w:rsidR="00537560" w:rsidRPr="00C638CD" w:rsidRDefault="00537560" w:rsidP="00537560">
      <w:pPr>
        <w:spacing w:before="120" w:after="240" w:line="360" w:lineRule="auto"/>
        <w:ind w:left="720"/>
        <w:jc w:val="both"/>
        <w:rPr>
          <w:rFonts w:ascii="Arial" w:hAnsi="Arial" w:cs="Miriam"/>
          <w:szCs w:val="28"/>
          <w:rtl/>
        </w:rPr>
      </w:pPr>
      <w:r w:rsidRPr="00C638CD">
        <w:rPr>
          <w:rFonts w:ascii="Arial" w:hAnsi="Arial" w:cs="FrankRuehl"/>
          <w:szCs w:val="28"/>
          <w:rtl/>
        </w:rPr>
        <w:t>בהתייחס לנסיבות הקשורות לביצוע העבירה, טענה כי אין מדובר במעשים ספונטאניים אלא בעבירות מתוכננות שבוצעו כאמור על פני רצף זמן, כאשר מדובר על יותר מסוג אחד של נשק או באמצעים שקשורים לנשק דהיינו רימוני צינור, מחסניות וכדורים, כך שנראה כי לנאשם יש נגישות לכלי נשק שונים.</w:t>
      </w:r>
    </w:p>
    <w:p w14:paraId="0AD148C0"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בנוסף טענה, כי העבירות לא יצאו אל הפועל לא בשל חרטה של הנאשם אלא רק בשל נסיבות שלא קשורות אליו וכן כי פוטנציאל הנזק, במיוחד כאשר מדובר ברימוני צינור מאולתרים, הוא כבד ביותר הן לרכוש והן לנפש וכאשר מדובר במטען מאולתר המסכן גם את המחזיק עצמו.</w:t>
      </w:r>
    </w:p>
    <w:p w14:paraId="19E0A1FA"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עוד טענה, כי לפי תסקיר שירות המבחן העבירות בוצעו מתוך רצון לרווח כספי ועל כן יש ליתן לכך ביטוי ענישתי וקנס שיגלם זאת.</w:t>
      </w:r>
    </w:p>
    <w:p w14:paraId="59B2BE73"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בהתייחס לנסיבות שאינן קשורות לביצוע העבירה טענה כי לזכותו של הנאשם יש לזקוף את הודאתו אשר חסכה זמן שיפוטי. מנגד, לנאשם עבר פלילי ורימוני הצינור לא נתפסו.</w:t>
      </w:r>
    </w:p>
    <w:p w14:paraId="39411852"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בנוסף, ציינה כי בכתב האישום המתוקן  שהוגש נגד הנאשם מוזכרים אחמד ועלי.  משפטו של עלי עדיין מתנהל. אחמד נדון בבית משפט שלום ל-5 חודשי מאסר שבוצעו בעבודות שירות, כחלק ממתחם שבין מאסר לתקופה קצרה (שניתן לרצות בעבודות שירות) לבין 12 חודשי מאסר בפועל.  ב"כ המאשימה איבחנה בין הנאשם לבין אחמד בכך שהנאשם הורשע בעבירות נוספות (שבסמכות בית משפט מחוזי), אחמד נעדר עבר פלילי, נקבע כי הוא בעל מסוכנות נמוכה, התסקיר בעניינו חיובי, הוא עבר הליך טיפולי ונסיבותיו האישיות הנן מיוחדות לרבות מחלה קשה בה חלה.</w:t>
      </w:r>
    </w:p>
    <w:p w14:paraId="114ED3C4" w14:textId="77777777" w:rsidR="00537560" w:rsidRPr="00C638CD" w:rsidRDefault="00537560" w:rsidP="00537560">
      <w:pPr>
        <w:numPr>
          <w:ilvl w:val="0"/>
          <w:numId w:val="1"/>
        </w:numPr>
        <w:spacing w:before="120" w:after="240" w:line="360" w:lineRule="auto"/>
        <w:jc w:val="both"/>
        <w:rPr>
          <w:rFonts w:ascii="Arial" w:hAnsi="Arial" w:cs="FrankRuehl"/>
          <w:szCs w:val="28"/>
        </w:rPr>
      </w:pPr>
      <w:r w:rsidRPr="00C638CD">
        <w:rPr>
          <w:rFonts w:ascii="Arial" w:hAnsi="Arial" w:cs="FrankRuehl"/>
          <w:szCs w:val="28"/>
          <w:rtl/>
        </w:rPr>
        <w:t>הסנגור  הדגיש את תקופת המעצר בה שהה הנאשם בבית הסוהר ומעצרו לאחר מכן בפיקוח אלקטרוני,  ביקש להטיל על הנאשם מאסר קצר של מספר חודשים ולכל היותר 6 חודשי מאסר שיבוצעו בעבודות שירות כפי שנקבע בעניינו של אחמד, והפנה לשלושה פסקי דין של בתי משפט מחוזים,  בשניים מהם לא נקבע מתחם עונש הולם משום שניתנו לפני תיקון 113, בשלישי נקבע מתחם לתקופה של 10-36 חודשי מאסר בפועל.</w:t>
      </w:r>
    </w:p>
    <w:p w14:paraId="181EAEBE"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בקשר לתסקיר שירות המבחן טען, כי המלצתו היא  בגדר המלצה בלבד ואינה מחייבת את בית המשפט, וכי מהתסקיר עולה תמונה לפיה הנאשם מודה באופן מוחלט במיוחס לו בכתב האישום והביע חרטה.</w:t>
      </w:r>
    </w:p>
    <w:p w14:paraId="6C226CC3" w14:textId="77777777" w:rsidR="00537560" w:rsidRPr="00C638CD" w:rsidRDefault="00537560" w:rsidP="00537560">
      <w:pPr>
        <w:spacing w:before="120" w:after="240" w:line="360" w:lineRule="auto"/>
        <w:ind w:left="720"/>
        <w:jc w:val="both"/>
        <w:rPr>
          <w:rFonts w:ascii="Arial" w:hAnsi="Arial" w:cs="FrankRuehl"/>
          <w:szCs w:val="28"/>
        </w:rPr>
      </w:pPr>
      <w:r w:rsidRPr="00C638CD">
        <w:rPr>
          <w:rFonts w:ascii="Arial" w:hAnsi="Arial" w:cs="FrankRuehl"/>
          <w:szCs w:val="28"/>
          <w:rtl/>
        </w:rPr>
        <w:t>עוד טען, כי דיון בעניינו של הנאשם שבפנינו היה צריך להתנהל, כמו התיק של אחמד, בבית משפט השלום, כי מדובר במעשים שהם כמעט דומים וזאת במיוחד לאחר התיקון שנעשה בכתב האישום, כך שגזר הדין של אחמד צריך להוות אינדיקציה גם לבית משפט זה על מנת לגזור את העונש המתאים במסגרת תיק זה וזאת בשים לב שגם בתיק שם המאשימה ביקשה להטיל תקופת מאסר ממושכת ובפועל נגזרו עבודות שירות.</w:t>
      </w:r>
    </w:p>
    <w:p w14:paraId="7FB36873" w14:textId="77777777" w:rsidR="00537560" w:rsidRPr="00C638CD" w:rsidRDefault="00537560" w:rsidP="00537560">
      <w:pPr>
        <w:spacing w:before="120" w:after="240" w:line="360" w:lineRule="auto"/>
        <w:ind w:left="720"/>
        <w:jc w:val="both"/>
        <w:rPr>
          <w:rFonts w:ascii="Arial" w:hAnsi="Arial" w:cs="FrankRuehl"/>
          <w:szCs w:val="28"/>
        </w:rPr>
      </w:pPr>
      <w:r>
        <w:rPr>
          <w:rFonts w:ascii="Arial" w:hAnsi="Arial" w:cs="FrankRuehl" w:hint="cs"/>
          <w:szCs w:val="28"/>
          <w:rtl/>
        </w:rPr>
        <w:t xml:space="preserve">הסנגור </w:t>
      </w:r>
      <w:r w:rsidRPr="00C638CD">
        <w:rPr>
          <w:rFonts w:ascii="Arial" w:hAnsi="Arial" w:cs="FrankRuehl"/>
          <w:szCs w:val="28"/>
          <w:rtl/>
        </w:rPr>
        <w:t>הדגיש כי הנאשם חסך מזמנו של בית המשפט ו</w:t>
      </w:r>
      <w:r>
        <w:rPr>
          <w:rFonts w:ascii="Arial" w:hAnsi="Arial" w:cs="FrankRuehl" w:hint="cs"/>
          <w:szCs w:val="28"/>
          <w:rtl/>
        </w:rPr>
        <w:t>ב</w:t>
      </w:r>
      <w:r w:rsidRPr="00C638CD">
        <w:rPr>
          <w:rFonts w:ascii="Arial" w:hAnsi="Arial" w:cs="FrankRuehl"/>
          <w:szCs w:val="28"/>
          <w:rtl/>
        </w:rPr>
        <w:t xml:space="preserve">משאבים שהיה צורך להשקיע בתיק זה לו נוהל עד הסוף, עוד ביקש להתחשב בכך כי תיק זה החל כתיק בטחוני ולכן הנאשם נחקר חקירות קשות בשב"כ. </w:t>
      </w:r>
      <w:r>
        <w:rPr>
          <w:rFonts w:ascii="Arial" w:hAnsi="Arial" w:cs="FrankRuehl" w:hint="cs"/>
          <w:szCs w:val="28"/>
          <w:rtl/>
        </w:rPr>
        <w:t>ו</w:t>
      </w:r>
      <w:r w:rsidRPr="00C638CD">
        <w:rPr>
          <w:rFonts w:ascii="Arial" w:hAnsi="Arial" w:cs="FrankRuehl"/>
          <w:szCs w:val="28"/>
          <w:rtl/>
        </w:rPr>
        <w:t>ציין את הקושי של הנאשם אשר נתון בחלופת מעצר, בהרחקה מכפר מגוריו וממשפחתו, כאשר תקופה לא קצרה זאת מצטרפת לתקופה בה שהה  במעצר</w:t>
      </w:r>
      <w:r>
        <w:rPr>
          <w:rFonts w:ascii="Arial" w:hAnsi="Arial" w:cs="FrankRuehl" w:hint="cs"/>
          <w:szCs w:val="28"/>
          <w:rtl/>
        </w:rPr>
        <w:t xml:space="preserve"> ו</w:t>
      </w:r>
      <w:r w:rsidRPr="00C638CD">
        <w:rPr>
          <w:rFonts w:ascii="Arial" w:hAnsi="Arial" w:cs="FrankRuehl"/>
          <w:szCs w:val="28"/>
          <w:rtl/>
        </w:rPr>
        <w:t>תקופות אלה מהוות, גם לפי שירות המבחן, אלמנט הרתעתי.</w:t>
      </w:r>
    </w:p>
    <w:p w14:paraId="20BB0E79" w14:textId="77777777" w:rsidR="00537560" w:rsidRPr="00C638CD" w:rsidRDefault="00537560" w:rsidP="00537560">
      <w:pPr>
        <w:spacing w:before="120" w:after="240" w:line="360" w:lineRule="auto"/>
        <w:ind w:left="720"/>
        <w:jc w:val="both"/>
        <w:rPr>
          <w:rFonts w:ascii="Arial" w:hAnsi="Arial" w:cs="FrankRuehl"/>
          <w:szCs w:val="28"/>
        </w:rPr>
      </w:pPr>
      <w:r w:rsidRPr="00C638CD">
        <w:rPr>
          <w:rFonts w:ascii="Arial" w:hAnsi="Arial" w:cs="FrankRuehl"/>
          <w:szCs w:val="28"/>
          <w:rtl/>
        </w:rPr>
        <w:t>בהתייחס לנאשם עצמו, ציין כי הוא היה כבן 25 בעת ביצוע העבירות, לא היה בשל מבחינה שכלית, כעת הוא עומד בפני התחלה חדשה, הוא התארס ועתיד להינשא ביולי השנה.</w:t>
      </w:r>
    </w:p>
    <w:p w14:paraId="4326F3D3" w14:textId="77777777" w:rsidR="00537560" w:rsidRPr="00C638CD" w:rsidRDefault="00537560" w:rsidP="00537560">
      <w:pPr>
        <w:spacing w:before="120" w:after="240" w:line="360" w:lineRule="auto"/>
        <w:ind w:left="720"/>
        <w:jc w:val="both"/>
        <w:rPr>
          <w:rFonts w:ascii="Arial" w:hAnsi="Arial" w:cs="FrankRuehl"/>
          <w:szCs w:val="28"/>
        </w:rPr>
      </w:pPr>
      <w:r w:rsidRPr="00C638CD">
        <w:rPr>
          <w:rFonts w:ascii="Arial" w:hAnsi="Arial" w:cs="FrankRuehl"/>
          <w:szCs w:val="28"/>
          <w:rtl/>
        </w:rPr>
        <w:t>לעניין העבירות עצמן, טען כי מדובר בעבירות ברף הנמוך של עבירות הנשק, כאשר מיוחסות לנאשם עבירות של ניסיון וסיוע לניסיון כאשר לעיתים היוזמה לקשר נעשתה על ידי שאר המעורבים, עוד ביקש להדגיש כי בעבירות סחר בתי משפט עושים הבחנה בעניין סוג ומהות הנשק הנסחר, בעיקר כאשר מדובר על תחמושת לנשק כמו בענייננו.</w:t>
      </w:r>
    </w:p>
    <w:p w14:paraId="4864C483" w14:textId="77777777" w:rsidR="00537560" w:rsidRDefault="00537560" w:rsidP="00537560">
      <w:pPr>
        <w:numPr>
          <w:ilvl w:val="0"/>
          <w:numId w:val="1"/>
        </w:numPr>
        <w:spacing w:before="120" w:after="240" w:line="360" w:lineRule="auto"/>
        <w:jc w:val="both"/>
        <w:rPr>
          <w:rFonts w:ascii="Arial" w:hAnsi="Arial" w:cs="FrankRuehl"/>
          <w:szCs w:val="28"/>
        </w:rPr>
      </w:pPr>
      <w:r w:rsidRPr="00C638CD">
        <w:rPr>
          <w:rFonts w:ascii="Arial" w:hAnsi="Arial" w:cs="FrankRuehl"/>
          <w:szCs w:val="28"/>
          <w:rtl/>
        </w:rPr>
        <w:t>בסוף טיעוני הצדדים, התנצל הנאשם על מעשיו, טען שטעה, למד לקח מהטעות שלו, והוא לא יחזור על מעשיו שנית, התייחס לעתידו, סיפר שהוא עומד להתחתן ולפתוח דף חדש. הוסיף כי היה לו קשה נפשית וחומרית בתקופה בה היה במעצר בית וביקש כי תינתן לו הזדמנות.</w:t>
      </w:r>
    </w:p>
    <w:p w14:paraId="5CD3ADC7" w14:textId="77777777" w:rsidR="00537560" w:rsidRPr="00C638CD" w:rsidRDefault="00537560" w:rsidP="00537560">
      <w:pPr>
        <w:spacing w:before="120" w:after="240" w:line="360" w:lineRule="auto"/>
        <w:ind w:firstLine="720"/>
        <w:contextualSpacing/>
        <w:jc w:val="both"/>
        <w:rPr>
          <w:rFonts w:ascii="Arial" w:hAnsi="Arial" w:cs="Miriam"/>
          <w:highlight w:val="green"/>
          <w:rtl/>
        </w:rPr>
      </w:pPr>
      <w:r w:rsidRPr="00C638CD">
        <w:rPr>
          <w:rFonts w:ascii="Arial" w:hAnsi="Arial" w:cs="Miriam"/>
          <w:rtl/>
        </w:rPr>
        <w:t>דיון</w:t>
      </w:r>
    </w:p>
    <w:p w14:paraId="3FBEA37A" w14:textId="77777777" w:rsidR="00537560" w:rsidRDefault="00537560" w:rsidP="00537560">
      <w:pPr>
        <w:spacing w:before="120" w:after="240" w:line="360" w:lineRule="auto"/>
        <w:ind w:left="720"/>
        <w:jc w:val="both"/>
        <w:rPr>
          <w:rFonts w:ascii="Arial" w:hAnsi="Arial" w:cs="FrankRuehl"/>
          <w:sz w:val="28"/>
          <w:szCs w:val="28"/>
          <w:rtl/>
        </w:rPr>
      </w:pPr>
      <w:r w:rsidRPr="00C638CD">
        <w:rPr>
          <w:rFonts w:ascii="Arial" w:hAnsi="Arial" w:cs="FrankRuehl"/>
          <w:sz w:val="28"/>
          <w:szCs w:val="28"/>
          <w:rtl/>
        </w:rPr>
        <w:t>הנאשם  הורשע על פי הודאתו בעובדות כתב האישום המתוקן. במקרה זה חל תיקון 113 לחוק שקבע כי "העיקרון המנחה בענישה הוא קיומו של יחס הולם בין חומרת מעשה העבירה בנסיבותיו ומידת אשמו של הנאשם ובין סוג ומידת העונש המוטל עליו" (</w:t>
      </w:r>
      <w:hyperlink r:id="rId24" w:history="1">
        <w:r w:rsidR="00A966DB" w:rsidRPr="00A966DB">
          <w:rPr>
            <w:rFonts w:ascii="Arial" w:hAnsi="Arial" w:cs="FrankRuehl"/>
            <w:color w:val="0000FF"/>
            <w:sz w:val="28"/>
            <w:szCs w:val="28"/>
            <w:u w:val="single"/>
            <w:rtl/>
          </w:rPr>
          <w:t>סעיף 40ב'</w:t>
        </w:r>
      </w:hyperlink>
      <w:r w:rsidRPr="00C638CD">
        <w:rPr>
          <w:rFonts w:ascii="Arial" w:hAnsi="Arial" w:cs="FrankRuehl"/>
          <w:sz w:val="28"/>
          <w:szCs w:val="28"/>
          <w:rtl/>
        </w:rPr>
        <w:t xml:space="preserve"> לחוק).</w:t>
      </w:r>
    </w:p>
    <w:p w14:paraId="0F9266A6" w14:textId="77777777" w:rsidR="00537560" w:rsidRDefault="00537560" w:rsidP="00537560">
      <w:pPr>
        <w:spacing w:line="360" w:lineRule="auto"/>
        <w:ind w:left="720"/>
        <w:contextualSpacing/>
        <w:jc w:val="both"/>
        <w:rPr>
          <w:rFonts w:ascii="Arial" w:hAnsi="Arial" w:cs="Miriam"/>
          <w:rtl/>
        </w:rPr>
      </w:pPr>
    </w:p>
    <w:p w14:paraId="7E78B449" w14:textId="77777777" w:rsidR="00537560" w:rsidRPr="00C638CD" w:rsidRDefault="00537560" w:rsidP="00537560">
      <w:pPr>
        <w:spacing w:line="360" w:lineRule="auto"/>
        <w:ind w:left="720"/>
        <w:contextualSpacing/>
        <w:jc w:val="both"/>
        <w:rPr>
          <w:rFonts w:ascii="Arial" w:hAnsi="Arial" w:cs="Miriam"/>
          <w:rtl/>
        </w:rPr>
      </w:pPr>
      <w:r w:rsidRPr="00C638CD">
        <w:rPr>
          <w:rFonts w:ascii="Arial" w:hAnsi="Arial" w:cs="Miriam"/>
          <w:rtl/>
        </w:rPr>
        <w:t xml:space="preserve">אירוע-אירועים </w:t>
      </w:r>
    </w:p>
    <w:p w14:paraId="77A94762" w14:textId="77777777" w:rsidR="00537560" w:rsidRDefault="00537560" w:rsidP="00537560">
      <w:pPr>
        <w:numPr>
          <w:ilvl w:val="0"/>
          <w:numId w:val="1"/>
        </w:numPr>
        <w:spacing w:before="120" w:after="240" w:line="360" w:lineRule="auto"/>
        <w:contextualSpacing/>
        <w:jc w:val="both"/>
        <w:rPr>
          <w:rFonts w:ascii="Arial" w:hAnsi="Arial" w:cs="FrankRuehl"/>
          <w:sz w:val="28"/>
          <w:szCs w:val="28"/>
        </w:rPr>
      </w:pPr>
      <w:r w:rsidRPr="00C638CD">
        <w:rPr>
          <w:rFonts w:ascii="Arial" w:hAnsi="Arial" w:cs="FrankRuehl"/>
          <w:sz w:val="28"/>
          <w:szCs w:val="28"/>
          <w:rtl/>
        </w:rPr>
        <w:t xml:space="preserve"> שני הצדדים התייחסו לרצף המעשים המתוארים בכתב האישום בצורה כוללת וטענו למתחם עונש אחד ועמדה זו מקובלת עליי. תחילת העבירות בנשק בוצעו ביום 31.10.2015 וסיומן ביום 9.11.2015, העבירות בוצעו בסמיכות זמנים וברצף כאשר לעבירות אופי דומה, הן פוגעות באותם אינטרסים חברתיים  ויש לראותן כחלק מתכנית עבריינית אחת (ראו </w:t>
      </w:r>
      <w:hyperlink r:id="rId25" w:history="1">
        <w:r w:rsidR="001B55A1" w:rsidRPr="001B55A1">
          <w:rPr>
            <w:rStyle w:val="Hyperlink"/>
            <w:rFonts w:ascii="Arial" w:hAnsi="Arial" w:cs="FrankRuehl"/>
            <w:sz w:val="28"/>
            <w:szCs w:val="28"/>
            <w:rtl/>
          </w:rPr>
          <w:t>ע"פ 4702/15</w:t>
        </w:r>
      </w:hyperlink>
      <w:r w:rsidRPr="00C638CD">
        <w:rPr>
          <w:rFonts w:ascii="Arial" w:hAnsi="Arial" w:cs="FrankRuehl"/>
          <w:sz w:val="28"/>
          <w:szCs w:val="28"/>
          <w:rtl/>
        </w:rPr>
        <w:t xml:space="preserve"> </w:t>
      </w:r>
      <w:r w:rsidRPr="00C638CD">
        <w:rPr>
          <w:rFonts w:ascii="Arial" w:hAnsi="Arial" w:cs="Miriam"/>
          <w:rtl/>
        </w:rPr>
        <w:t>עביד נ' מדינת ישראל</w:t>
      </w:r>
      <w:r w:rsidRPr="00C638CD">
        <w:rPr>
          <w:rFonts w:ascii="Arial" w:hAnsi="Arial" w:cs="FrankRuehl"/>
          <w:sz w:val="28"/>
          <w:szCs w:val="28"/>
          <w:rtl/>
        </w:rPr>
        <w:t xml:space="preserve"> (20.4.2016).</w:t>
      </w:r>
    </w:p>
    <w:p w14:paraId="342465FA" w14:textId="77777777" w:rsidR="00537560" w:rsidRPr="00C638CD" w:rsidRDefault="00537560" w:rsidP="00537560">
      <w:pPr>
        <w:spacing w:before="120" w:after="240" w:line="360" w:lineRule="auto"/>
        <w:ind w:left="720"/>
        <w:contextualSpacing/>
        <w:jc w:val="both"/>
        <w:rPr>
          <w:rFonts w:ascii="Arial" w:hAnsi="Arial" w:cs="FrankRuehl"/>
          <w:sz w:val="28"/>
          <w:szCs w:val="28"/>
        </w:rPr>
      </w:pPr>
    </w:p>
    <w:p w14:paraId="7368E688" w14:textId="77777777" w:rsidR="00537560" w:rsidRPr="00C638CD" w:rsidRDefault="00537560" w:rsidP="00537560">
      <w:pPr>
        <w:numPr>
          <w:ilvl w:val="0"/>
          <w:numId w:val="1"/>
        </w:numPr>
        <w:spacing w:line="360" w:lineRule="auto"/>
        <w:contextualSpacing/>
        <w:jc w:val="both"/>
        <w:rPr>
          <w:rFonts w:ascii="Arial" w:hAnsi="Arial" w:cs="FrankRuehl"/>
          <w:szCs w:val="28"/>
        </w:rPr>
      </w:pPr>
      <w:r w:rsidRPr="00C638CD">
        <w:rPr>
          <w:rFonts w:ascii="Arial" w:hAnsi="Arial" w:cs="FrankRuehl"/>
          <w:szCs w:val="28"/>
          <w:rtl/>
        </w:rPr>
        <w:t xml:space="preserve">כאשר מדובר בכתב אישום שהוא תוצר של הסדר טיעון, אל לו לבית המשפט להיזקק לעובדות או לנסיבות שלא נכללו בכתב האישום, שבעובדותיו הודה הנאשם </w:t>
      </w:r>
      <w:r>
        <w:rPr>
          <w:rFonts w:ascii="Arial" w:hAnsi="Arial" w:cs="FrankRuehl" w:hint="cs"/>
          <w:szCs w:val="28"/>
          <w:rtl/>
        </w:rPr>
        <w:t xml:space="preserve"> ראו לעניין זה </w:t>
      </w:r>
      <w:hyperlink r:id="rId26" w:history="1">
        <w:r w:rsidR="001B55A1" w:rsidRPr="001B55A1">
          <w:rPr>
            <w:rStyle w:val="Hyperlink"/>
            <w:rFonts w:ascii="Arial" w:hAnsi="Arial" w:cs="FrankRuehl"/>
            <w:sz w:val="28"/>
            <w:szCs w:val="28"/>
            <w:rtl/>
          </w:rPr>
          <w:t>ע"פ 3060/15</w:t>
        </w:r>
      </w:hyperlink>
      <w:r w:rsidRPr="00C638CD">
        <w:rPr>
          <w:rFonts w:ascii="Arial" w:hAnsi="Arial" w:cs="FrankRuehl"/>
          <w:szCs w:val="28"/>
          <w:rtl/>
        </w:rPr>
        <w:t xml:space="preserve"> </w:t>
      </w:r>
      <w:r w:rsidRPr="00C638CD">
        <w:rPr>
          <w:rFonts w:ascii="Arial" w:hAnsi="Arial" w:cs="Miriam"/>
          <w:rtl/>
        </w:rPr>
        <w:t>אבו רגייג נגד מדינית ישראל</w:t>
      </w:r>
      <w:r w:rsidRPr="00C638CD">
        <w:rPr>
          <w:rFonts w:ascii="Arial" w:hAnsi="Arial" w:cs="FrankRuehl"/>
          <w:szCs w:val="28"/>
          <w:rtl/>
        </w:rPr>
        <w:t xml:space="preserve"> (21.7.2015), שני הצדדים חרגו ממסגרת זו בטיעוניהם.  אתייחס לנסיבות ביצוע העבירות רק בהתאם לעובדות כתב האישום המתוקן.</w:t>
      </w:r>
    </w:p>
    <w:p w14:paraId="1A60F0E3" w14:textId="77777777" w:rsidR="00537560" w:rsidRDefault="00537560" w:rsidP="00537560">
      <w:pPr>
        <w:spacing w:before="120" w:after="240" w:line="360" w:lineRule="auto"/>
        <w:ind w:left="720"/>
        <w:contextualSpacing/>
        <w:jc w:val="both"/>
        <w:rPr>
          <w:rFonts w:ascii="Arial" w:hAnsi="Arial" w:cs="Miriam"/>
          <w:rtl/>
        </w:rPr>
      </w:pPr>
    </w:p>
    <w:p w14:paraId="1405E326" w14:textId="77777777" w:rsidR="00537560" w:rsidRPr="00C638CD" w:rsidRDefault="00537560" w:rsidP="00537560">
      <w:pPr>
        <w:spacing w:before="120" w:after="240" w:line="360" w:lineRule="auto"/>
        <w:ind w:left="720"/>
        <w:contextualSpacing/>
        <w:jc w:val="both"/>
        <w:rPr>
          <w:rFonts w:ascii="Arial" w:hAnsi="Arial" w:cs="Miriam"/>
        </w:rPr>
      </w:pPr>
      <w:r w:rsidRPr="00C638CD">
        <w:rPr>
          <w:rFonts w:ascii="Arial" w:hAnsi="Arial" w:cs="Miriam"/>
          <w:rtl/>
        </w:rPr>
        <w:t>מתחם העונש ההולם</w:t>
      </w:r>
    </w:p>
    <w:p w14:paraId="40E7E280" w14:textId="77777777" w:rsidR="00537560" w:rsidRDefault="00537560" w:rsidP="00537560">
      <w:pPr>
        <w:numPr>
          <w:ilvl w:val="0"/>
          <w:numId w:val="1"/>
        </w:numPr>
        <w:spacing w:before="120" w:after="240" w:line="360" w:lineRule="auto"/>
        <w:contextualSpacing/>
        <w:jc w:val="both"/>
        <w:rPr>
          <w:rFonts w:ascii="Arial" w:hAnsi="Arial" w:cs="FrankRuehl"/>
          <w:sz w:val="28"/>
          <w:szCs w:val="28"/>
        </w:rPr>
      </w:pPr>
      <w:r w:rsidRPr="00C638CD">
        <w:rPr>
          <w:rFonts w:ascii="Arial" w:hAnsi="Arial" w:cs="FrankRuehl"/>
          <w:sz w:val="28"/>
          <w:szCs w:val="28"/>
          <w:rtl/>
        </w:rPr>
        <w:t xml:space="preserve"> במקרה זה מדובר ברצף אירועים מתמשך במהלכם ביצע הנאשם את ארבעת העבירות המתוארות בכתב האישום המתוקן. </w:t>
      </w:r>
      <w:r>
        <w:rPr>
          <w:rFonts w:ascii="Arial" w:hAnsi="Arial" w:cs="FrankRuehl" w:hint="cs"/>
          <w:sz w:val="28"/>
          <w:szCs w:val="28"/>
          <w:rtl/>
        </w:rPr>
        <w:t>ה</w:t>
      </w:r>
      <w:r w:rsidRPr="00C638CD">
        <w:rPr>
          <w:rFonts w:ascii="Arial" w:hAnsi="Arial" w:cs="FrankRuehl"/>
          <w:sz w:val="28"/>
          <w:szCs w:val="28"/>
          <w:rtl/>
        </w:rPr>
        <w:t xml:space="preserve">ראשונה </w:t>
      </w:r>
      <w:r>
        <w:rPr>
          <w:rFonts w:ascii="Arial" w:hAnsi="Arial" w:cs="FrankRuehl" w:hint="cs"/>
          <w:sz w:val="28"/>
          <w:szCs w:val="28"/>
          <w:rtl/>
        </w:rPr>
        <w:t xml:space="preserve">קשירת קשר בהמשכו </w:t>
      </w:r>
      <w:r w:rsidRPr="00C638CD">
        <w:rPr>
          <w:rFonts w:ascii="Arial" w:hAnsi="Arial" w:cs="FrankRuehl"/>
          <w:sz w:val="28"/>
          <w:szCs w:val="28"/>
          <w:rtl/>
        </w:rPr>
        <w:t>אחמד פנה אל הנאשם לצורך רכישת 12 רימוני הלם</w:t>
      </w:r>
      <w:r>
        <w:rPr>
          <w:rFonts w:ascii="Arial" w:hAnsi="Arial" w:cs="FrankRuehl" w:hint="cs"/>
          <w:sz w:val="28"/>
          <w:szCs w:val="28"/>
          <w:rtl/>
        </w:rPr>
        <w:t xml:space="preserve">. </w:t>
      </w:r>
      <w:r w:rsidRPr="00C638CD">
        <w:rPr>
          <w:rFonts w:ascii="Arial" w:hAnsi="Arial" w:cs="FrankRuehl"/>
          <w:sz w:val="28"/>
          <w:szCs w:val="28"/>
          <w:rtl/>
        </w:rPr>
        <w:t>בפגישה ביניהם הציע לו הנאשם לרכוש 2 רימוני צינור מאולתרים ואחמד אשר חשש לרכוש רימונים אלה מאחר ואינם בטוחים לשימוש לא התקשר בעסקה. במעשיו סייע הנאשם לאחמד בניסיונו לסחור בנשק ורק ס</w:t>
      </w:r>
      <w:r>
        <w:rPr>
          <w:rFonts w:ascii="Arial" w:hAnsi="Arial" w:cs="FrankRuehl" w:hint="cs"/>
          <w:sz w:val="28"/>
          <w:szCs w:val="28"/>
          <w:rtl/>
        </w:rPr>
        <w:t>י</w:t>
      </w:r>
      <w:r w:rsidRPr="00C638CD">
        <w:rPr>
          <w:rFonts w:ascii="Arial" w:hAnsi="Arial" w:cs="FrankRuehl"/>
          <w:sz w:val="28"/>
          <w:szCs w:val="28"/>
          <w:rtl/>
        </w:rPr>
        <w:t>רובו של אחמד לא הוציא את העיסקה אל הפועל. במקרה השני הנאשם פנה לעלי וביקש לרכוש ממנו 5 מחסניות לאקדח וכן כדורים לאקדח, עלי השיב כי יבדוק הנושא ובסופו של דבר העסקה לא יצאה אל הפועל, במקרה השלישי הנאשם פנה לאחמד וביקש לרכוש ממנו 4  מחסניות לנשק מאולתר, אחמד השיב כי יבדוק זאת והעסקה בסופו של יום לא יצאה אל הפועל.</w:t>
      </w:r>
    </w:p>
    <w:p w14:paraId="1AE91D19" w14:textId="77777777" w:rsidR="00537560" w:rsidRDefault="00537560" w:rsidP="00537560">
      <w:pPr>
        <w:spacing w:before="120" w:after="240" w:line="360" w:lineRule="auto"/>
        <w:ind w:left="720"/>
        <w:contextualSpacing/>
        <w:jc w:val="both"/>
        <w:rPr>
          <w:rFonts w:ascii="Arial" w:hAnsi="Arial" w:cs="FrankRuehl"/>
          <w:sz w:val="28"/>
          <w:szCs w:val="28"/>
        </w:rPr>
      </w:pPr>
    </w:p>
    <w:p w14:paraId="7C0DFE54" w14:textId="77777777" w:rsidR="00537560" w:rsidRDefault="00537560" w:rsidP="00537560">
      <w:pPr>
        <w:spacing w:before="120" w:after="240" w:line="360" w:lineRule="auto"/>
        <w:ind w:left="720"/>
        <w:contextualSpacing/>
        <w:jc w:val="both"/>
        <w:rPr>
          <w:rFonts w:ascii="Arial" w:hAnsi="Arial" w:cs="FrankRuehl"/>
          <w:sz w:val="28"/>
          <w:szCs w:val="28"/>
          <w:rtl/>
        </w:rPr>
      </w:pPr>
      <w:r>
        <w:rPr>
          <w:rFonts w:ascii="Arial" w:hAnsi="Arial" w:cs="FrankRuehl" w:hint="cs"/>
          <w:sz w:val="28"/>
          <w:szCs w:val="28"/>
          <w:rtl/>
        </w:rPr>
        <w:t>חומרת המעשים בולטת כשמדובר בפעילות דינמית כאילו מדובר בשוק למכירים מוצרים ביתיים, פעם אחמד מזמין מהנאשם רימונים ופעם הנאשם מזמין מחסניות מאחמד ומעלי, בנוסף לכדורים.</w:t>
      </w:r>
    </w:p>
    <w:p w14:paraId="3FE2C9D6" w14:textId="77777777" w:rsidR="00537560" w:rsidRPr="00C638CD" w:rsidRDefault="00537560" w:rsidP="00537560">
      <w:pPr>
        <w:spacing w:before="120" w:after="240" w:line="360" w:lineRule="auto"/>
        <w:ind w:left="720"/>
        <w:contextualSpacing/>
        <w:jc w:val="both"/>
        <w:rPr>
          <w:rFonts w:ascii="Arial" w:hAnsi="Arial" w:cs="FrankRuehl"/>
          <w:sz w:val="28"/>
          <w:szCs w:val="28"/>
        </w:rPr>
      </w:pPr>
    </w:p>
    <w:p w14:paraId="7A65F12D" w14:textId="77777777" w:rsidR="00537560" w:rsidRPr="00C638CD" w:rsidRDefault="00537560" w:rsidP="00537560">
      <w:pPr>
        <w:numPr>
          <w:ilvl w:val="0"/>
          <w:numId w:val="1"/>
        </w:numPr>
        <w:spacing w:before="120" w:after="240" w:line="360" w:lineRule="auto"/>
        <w:contextualSpacing/>
        <w:jc w:val="both"/>
        <w:rPr>
          <w:rFonts w:ascii="Arial" w:hAnsi="Arial" w:cs="FrankRuehl"/>
          <w:sz w:val="28"/>
          <w:szCs w:val="28"/>
          <w:rtl/>
        </w:rPr>
      </w:pPr>
      <w:r w:rsidRPr="00C638CD">
        <w:rPr>
          <w:rFonts w:ascii="Arial" w:hAnsi="Arial" w:cs="FrankRuehl"/>
          <w:sz w:val="28"/>
          <w:szCs w:val="28"/>
          <w:rtl/>
        </w:rPr>
        <w:t xml:space="preserve">חשוב להדגיש כי העבירה העיקרית המיוחסת לנאשם היא עבירת סיוע שהעונש הקבוע לצידה לפי </w:t>
      </w:r>
      <w:hyperlink r:id="rId27" w:history="1">
        <w:r w:rsidR="00A966DB" w:rsidRPr="00A966DB">
          <w:rPr>
            <w:rFonts w:ascii="Arial" w:hAnsi="Arial" w:cs="FrankRuehl"/>
            <w:color w:val="0000FF"/>
            <w:sz w:val="28"/>
            <w:szCs w:val="28"/>
            <w:u w:val="single"/>
            <w:rtl/>
          </w:rPr>
          <w:t>סעיף 31</w:t>
        </w:r>
      </w:hyperlink>
      <w:r w:rsidRPr="00C638CD">
        <w:rPr>
          <w:rFonts w:ascii="Arial" w:hAnsi="Arial" w:cs="FrankRuehl"/>
          <w:sz w:val="28"/>
          <w:szCs w:val="28"/>
          <w:rtl/>
        </w:rPr>
        <w:t xml:space="preserve"> לחוק הוא מחצית העונש הקבוע לעבירה עצמה ובמקרה זה בגין סיוע לניסיון לסחר בנשק עומד העונש המירבי על מחצית מ-15 שנות מאסר.</w:t>
      </w:r>
    </w:p>
    <w:p w14:paraId="33E254C4" w14:textId="77777777" w:rsidR="00537560" w:rsidRPr="00C638CD" w:rsidRDefault="00537560" w:rsidP="00537560">
      <w:pPr>
        <w:numPr>
          <w:ilvl w:val="0"/>
          <w:numId w:val="1"/>
        </w:numPr>
        <w:spacing w:line="360" w:lineRule="auto"/>
        <w:contextualSpacing/>
        <w:jc w:val="both"/>
        <w:rPr>
          <w:rFonts w:ascii="Arial" w:hAnsi="Arial" w:cs="FrankRuehl"/>
          <w:sz w:val="28"/>
          <w:szCs w:val="28"/>
        </w:rPr>
      </w:pPr>
      <w:r w:rsidRPr="00C638CD">
        <w:rPr>
          <w:rFonts w:ascii="Arial" w:hAnsi="Arial" w:cs="FrankRuehl"/>
          <w:szCs w:val="28"/>
          <w:rtl/>
        </w:rPr>
        <w:t xml:space="preserve"> בעבירות בנשק יש </w:t>
      </w:r>
      <w:r w:rsidRPr="00C638CD">
        <w:rPr>
          <w:rFonts w:ascii="Arial" w:hAnsi="Arial" w:cs="FrankRuehl"/>
          <w:sz w:val="28"/>
          <w:szCs w:val="28"/>
          <w:rtl/>
        </w:rPr>
        <w:t xml:space="preserve">פוטנציאל פגיעה משמעותי בערך החברתי של שלום הציבור, ביטחונו ורכושו וכן סיכון ממשי לחיי אדם. במקרה זה הפגיעה בערכים אלו לא הייתה חמורה וזאת </w:t>
      </w:r>
      <w:r>
        <w:rPr>
          <w:rFonts w:ascii="Arial" w:hAnsi="Arial" w:cs="FrankRuehl" w:hint="cs"/>
          <w:sz w:val="28"/>
          <w:szCs w:val="28"/>
          <w:rtl/>
        </w:rPr>
        <w:t>משום ש</w:t>
      </w:r>
      <w:r w:rsidRPr="00C638CD">
        <w:rPr>
          <w:rFonts w:ascii="Arial" w:hAnsi="Arial" w:cs="FrankRuehl"/>
          <w:sz w:val="28"/>
          <w:szCs w:val="28"/>
          <w:rtl/>
        </w:rPr>
        <w:t>העסקאות המתוארות בכתב האישום לא יצאו אל הפועל, אולם אין בעובדה זאת בכדי להמעיט מהמסוכנות הרבה הגלומה במעשים.</w:t>
      </w:r>
    </w:p>
    <w:p w14:paraId="0CDAC224" w14:textId="77777777" w:rsidR="00537560" w:rsidRPr="00C638CD" w:rsidRDefault="00537560" w:rsidP="00537560">
      <w:pPr>
        <w:spacing w:line="360" w:lineRule="auto"/>
        <w:ind w:left="720"/>
        <w:jc w:val="both"/>
        <w:rPr>
          <w:rFonts w:ascii="Arial" w:hAnsi="Arial" w:cs="FrankRuehl"/>
          <w:sz w:val="28"/>
          <w:szCs w:val="28"/>
          <w:rtl/>
        </w:rPr>
      </w:pPr>
      <w:r w:rsidRPr="00C638CD">
        <w:rPr>
          <w:rFonts w:ascii="Arial" w:hAnsi="Arial" w:cs="FrankRuehl"/>
          <w:sz w:val="28"/>
          <w:szCs w:val="28"/>
          <w:rtl/>
        </w:rPr>
        <w:t>מינעד הענישה בעבירות בנשק רחב, בין השאר בהתחשב בסוג העבירה (החזקה, רכישה, סחר), סוג הנשק וכמותו. במקרה זה מדובר על מספר עבירות  בנשק.</w:t>
      </w:r>
    </w:p>
    <w:p w14:paraId="3F5697E0" w14:textId="77777777" w:rsidR="00537560" w:rsidRPr="00C638CD" w:rsidRDefault="00537560" w:rsidP="00537560">
      <w:pPr>
        <w:spacing w:line="360" w:lineRule="auto"/>
        <w:ind w:left="720"/>
        <w:jc w:val="both"/>
        <w:rPr>
          <w:rFonts w:ascii="Arial" w:hAnsi="Arial" w:cs="FrankRuehl"/>
          <w:sz w:val="28"/>
          <w:szCs w:val="28"/>
          <w:rtl/>
        </w:rPr>
      </w:pPr>
    </w:p>
    <w:p w14:paraId="780D3A13" w14:textId="77777777" w:rsidR="00537560" w:rsidRPr="00C638CD" w:rsidRDefault="00537560" w:rsidP="00537560">
      <w:pPr>
        <w:tabs>
          <w:tab w:val="left" w:pos="800"/>
          <w:tab w:val="num" w:pos="907"/>
        </w:tabs>
        <w:overflowPunct w:val="0"/>
        <w:adjustRightInd w:val="0"/>
        <w:spacing w:line="360" w:lineRule="auto"/>
        <w:ind w:left="720"/>
        <w:jc w:val="both"/>
        <w:rPr>
          <w:rFonts w:ascii="Garamond" w:hAnsi="Garamond" w:cs="FrankRuehl"/>
          <w:spacing w:val="10"/>
          <w:sz w:val="28"/>
          <w:szCs w:val="28"/>
        </w:rPr>
      </w:pPr>
      <w:r w:rsidRPr="00C638CD">
        <w:rPr>
          <w:rFonts w:ascii="Garamond" w:hAnsi="Garamond" w:cs="FrankRuehl" w:hint="eastAsia"/>
          <w:spacing w:val="10"/>
          <w:sz w:val="28"/>
          <w:szCs w:val="28"/>
          <w:rtl/>
        </w:rPr>
        <w:t>בעניין</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מדיניות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הענישה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הראויה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אפנה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ל</w:t>
      </w:r>
      <w:r w:rsidRPr="00C638CD">
        <w:rPr>
          <w:rFonts w:ascii="Garamond" w:hAnsi="Garamond" w:cs="FrankRuehl"/>
          <w:spacing w:val="10"/>
          <w:sz w:val="28"/>
          <w:szCs w:val="28"/>
          <w:rtl/>
        </w:rPr>
        <w:t xml:space="preserve"> </w:t>
      </w:r>
      <w:hyperlink r:id="rId28" w:history="1">
        <w:r w:rsidR="001B55A1" w:rsidRPr="001B55A1">
          <w:rPr>
            <w:rStyle w:val="Hyperlink"/>
            <w:rFonts w:ascii="Garamond" w:hAnsi="Garamond" w:cs="FrankRuehl" w:hint="eastAsia"/>
            <w:spacing w:val="10"/>
            <w:sz w:val="28"/>
            <w:szCs w:val="28"/>
            <w:rtl/>
          </w:rPr>
          <w:t>ע</w:t>
        </w:r>
        <w:r w:rsidR="001B55A1" w:rsidRPr="001B55A1">
          <w:rPr>
            <w:rStyle w:val="Hyperlink"/>
            <w:rFonts w:ascii="Garamond" w:hAnsi="Garamond" w:cs="FrankRuehl"/>
            <w:spacing w:val="10"/>
            <w:sz w:val="28"/>
            <w:szCs w:val="28"/>
            <w:rtl/>
          </w:rPr>
          <w:t>"</w:t>
        </w:r>
        <w:r w:rsidR="001B55A1" w:rsidRPr="001B55A1">
          <w:rPr>
            <w:rStyle w:val="Hyperlink"/>
            <w:rFonts w:ascii="Garamond" w:hAnsi="Garamond" w:cs="FrankRuehl" w:hint="eastAsia"/>
            <w:spacing w:val="10"/>
            <w:sz w:val="28"/>
            <w:szCs w:val="28"/>
            <w:rtl/>
          </w:rPr>
          <w:t>פ</w:t>
        </w:r>
        <w:r w:rsidR="001B55A1" w:rsidRPr="001B55A1">
          <w:rPr>
            <w:rStyle w:val="Hyperlink"/>
            <w:rFonts w:ascii="Garamond" w:hAnsi="Garamond" w:cs="FrankRuehl"/>
            <w:spacing w:val="10"/>
            <w:sz w:val="28"/>
            <w:szCs w:val="28"/>
            <w:rtl/>
          </w:rPr>
          <w:t xml:space="preserve"> 116/13</w:t>
        </w:r>
      </w:hyperlink>
      <w:r w:rsidRPr="00C638CD">
        <w:rPr>
          <w:rFonts w:ascii="Garamond" w:hAnsi="Garamond" w:cs="FrankRuehl"/>
          <w:spacing w:val="10"/>
          <w:sz w:val="28"/>
          <w:szCs w:val="28"/>
          <w:rtl/>
        </w:rPr>
        <w:t xml:space="preserve"> </w:t>
      </w:r>
      <w:r w:rsidRPr="00C638CD">
        <w:rPr>
          <w:rFonts w:ascii="Garamond" w:hAnsi="Garamond" w:cs="Miriam" w:hint="eastAsia"/>
          <w:spacing w:val="10"/>
          <w:rtl/>
        </w:rPr>
        <w:t>מאור</w:t>
      </w:r>
      <w:r w:rsidRPr="00C638CD">
        <w:rPr>
          <w:rFonts w:ascii="Garamond" w:hAnsi="Garamond" w:cs="Miriam"/>
          <w:spacing w:val="10"/>
          <w:rtl/>
        </w:rPr>
        <w:t xml:space="preserve"> </w:t>
      </w:r>
      <w:r w:rsidRPr="00C638CD">
        <w:rPr>
          <w:rFonts w:ascii="Garamond" w:hAnsi="Garamond" w:cs="Miriam" w:hint="eastAsia"/>
          <w:spacing w:val="10"/>
          <w:rtl/>
        </w:rPr>
        <w:t>וקנין</w:t>
      </w:r>
      <w:r w:rsidRPr="00C638CD">
        <w:rPr>
          <w:rFonts w:ascii="Garamond" w:hAnsi="Garamond" w:cs="Miriam"/>
          <w:spacing w:val="10"/>
          <w:rtl/>
        </w:rPr>
        <w:t xml:space="preserve"> </w:t>
      </w:r>
      <w:r w:rsidRPr="00C638CD">
        <w:rPr>
          <w:rFonts w:ascii="Garamond" w:hAnsi="Garamond" w:cs="Miriam" w:hint="eastAsia"/>
          <w:spacing w:val="10"/>
          <w:rtl/>
        </w:rPr>
        <w:t>נגד</w:t>
      </w:r>
      <w:r w:rsidRPr="00C638CD">
        <w:rPr>
          <w:rFonts w:ascii="Garamond" w:hAnsi="Garamond" w:cs="Miriam"/>
          <w:spacing w:val="10"/>
          <w:rtl/>
        </w:rPr>
        <w:t xml:space="preserve"> </w:t>
      </w:r>
      <w:r w:rsidRPr="00C638CD">
        <w:rPr>
          <w:rFonts w:ascii="Garamond" w:hAnsi="Garamond" w:cs="Miriam" w:hint="eastAsia"/>
          <w:spacing w:val="10"/>
          <w:rtl/>
        </w:rPr>
        <w:t>מדינת</w:t>
      </w:r>
      <w:r w:rsidRPr="00C638CD">
        <w:rPr>
          <w:rFonts w:ascii="Garamond" w:hAnsi="Garamond" w:cs="Miriam"/>
          <w:spacing w:val="10"/>
          <w:rtl/>
        </w:rPr>
        <w:t xml:space="preserve"> </w:t>
      </w:r>
      <w:r w:rsidRPr="00C638CD">
        <w:rPr>
          <w:rFonts w:ascii="Garamond" w:hAnsi="Garamond" w:cs="Miriam" w:hint="eastAsia"/>
          <w:spacing w:val="10"/>
          <w:rtl/>
        </w:rPr>
        <w:t>ישראל</w:t>
      </w:r>
      <w:r w:rsidRPr="00C638CD">
        <w:rPr>
          <w:rFonts w:ascii="Garamond" w:hAnsi="Garamond" w:cs="FrankRuehl"/>
          <w:spacing w:val="10"/>
          <w:sz w:val="28"/>
          <w:szCs w:val="28"/>
          <w:rtl/>
        </w:rPr>
        <w:t xml:space="preserve"> (31.7.2013) </w:t>
      </w:r>
      <w:r w:rsidRPr="00C638CD">
        <w:rPr>
          <w:rFonts w:ascii="Garamond" w:hAnsi="Garamond" w:cs="FrankRuehl" w:hint="eastAsia"/>
          <w:spacing w:val="10"/>
          <w:sz w:val="28"/>
          <w:szCs w:val="28"/>
          <w:rtl/>
        </w:rPr>
        <w:t>שדן</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בסיוע</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לביצוע</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עבירות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בנשק</w:t>
      </w:r>
      <w:r w:rsidRPr="00C638CD">
        <w:rPr>
          <w:rFonts w:ascii="Garamond" w:hAnsi="Garamond" w:cs="FrankRuehl"/>
          <w:spacing w:val="10"/>
          <w:sz w:val="28"/>
          <w:szCs w:val="28"/>
          <w:rtl/>
        </w:rPr>
        <w:t>:</w:t>
      </w:r>
    </w:p>
    <w:p w14:paraId="2E79D29B" w14:textId="77777777" w:rsidR="00537560" w:rsidRPr="00C638CD" w:rsidRDefault="00537560" w:rsidP="00537560">
      <w:pPr>
        <w:tabs>
          <w:tab w:val="left" w:pos="800"/>
          <w:tab w:val="num" w:pos="907"/>
        </w:tabs>
        <w:overflowPunct w:val="0"/>
        <w:adjustRightInd w:val="0"/>
        <w:ind w:left="1440" w:right="720"/>
        <w:jc w:val="both"/>
        <w:rPr>
          <w:rFonts w:ascii="Garamond" w:hAnsi="Garamond" w:cs="FrankRuehl"/>
          <w:spacing w:val="10"/>
          <w:sz w:val="28"/>
          <w:szCs w:val="28"/>
          <w:rtl/>
        </w:rPr>
      </w:pPr>
      <w:r w:rsidRPr="00C638CD">
        <w:rPr>
          <w:rFonts w:ascii="Garamond" w:hAnsi="Garamond" w:cs="FrankRuehl"/>
          <w:spacing w:val="10"/>
          <w:sz w:val="28"/>
          <w:szCs w:val="28"/>
          <w:rtl/>
        </w:rPr>
        <w:t>"</w:t>
      </w:r>
      <w:r w:rsidRPr="00C638CD">
        <w:rPr>
          <w:rFonts w:ascii="Garamond" w:hAnsi="Garamond" w:cs="FrankRuehl" w:hint="eastAsia"/>
          <w:spacing w:val="10"/>
          <w:sz w:val="28"/>
          <w:szCs w:val="28"/>
          <w:rtl/>
        </w:rPr>
        <w:t>בית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משפט</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זה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עמד</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לא</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אחת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על</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חומרתן</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של</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עבירות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הנשק</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השונות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שהן</w:t>
      </w:r>
      <w:r w:rsidRPr="00C638CD">
        <w:rPr>
          <w:rFonts w:ascii="Garamond" w:hAnsi="Garamond" w:cs="FrankRuehl"/>
          <w:spacing w:val="10"/>
          <w:sz w:val="28"/>
          <w:szCs w:val="28"/>
          <w:rtl/>
        </w:rPr>
        <w:t xml:space="preserve"> </w:t>
      </w:r>
      <w:r w:rsidRPr="00C638CD">
        <w:rPr>
          <w:rFonts w:cs="FrankRuehl"/>
          <w:spacing w:val="10"/>
          <w:sz w:val="28"/>
          <w:szCs w:val="28"/>
          <w:rtl/>
        </w:rPr>
        <w:t xml:space="preserve">עבירות המסכנות את שלומו ובטחונו של הציבור ...חומרתן של עבירות נשק </w:t>
      </w:r>
      <w:r w:rsidRPr="00C638CD">
        <w:rPr>
          <w:rFonts w:ascii="Garamond" w:hAnsi="Garamond" w:cs="FrankRuehl" w:hint="eastAsia"/>
          <w:spacing w:val="10"/>
          <w:sz w:val="28"/>
          <w:szCs w:val="28"/>
          <w:rtl/>
        </w:rPr>
        <w:t>אינה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מסתכמת</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רק</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במה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שאירע</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בפועל</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אלא</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גם</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במה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שעלול</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היה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להתרחש</w:t>
      </w:r>
      <w:r w:rsidRPr="00C638CD">
        <w:rPr>
          <w:rFonts w:ascii="Garamond" w:hAnsi="Garamond" w:cs="FrankRuehl"/>
          <w:spacing w:val="10"/>
          <w:sz w:val="28"/>
          <w:szCs w:val="28"/>
          <w:rtl/>
        </w:rPr>
        <w:t xml:space="preserve"> – </w:t>
      </w:r>
      <w:r w:rsidRPr="00C638CD">
        <w:rPr>
          <w:rFonts w:ascii="Garamond" w:hAnsi="Garamond" w:cs="FrankRuehl" w:hint="eastAsia"/>
          <w:spacing w:val="10"/>
          <w:sz w:val="28"/>
          <w:szCs w:val="28"/>
          <w:rtl/>
        </w:rPr>
        <w:t>קרי</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בסיכון</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הפוטנציאלי</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שהיה</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טמון</w:t>
      </w:r>
      <w:r w:rsidRPr="00C638CD">
        <w:rPr>
          <w:rFonts w:ascii="Garamond" w:hAnsi="Garamond" w:cs="FrankRuehl"/>
          <w:spacing w:val="10"/>
          <w:sz w:val="28"/>
          <w:szCs w:val="28"/>
          <w:rtl/>
        </w:rPr>
        <w:t xml:space="preserve"> </w:t>
      </w:r>
      <w:r w:rsidRPr="00C638CD">
        <w:rPr>
          <w:rFonts w:ascii="Garamond" w:hAnsi="Garamond" w:cs="FrankRuehl" w:hint="eastAsia"/>
          <w:spacing w:val="10"/>
          <w:sz w:val="28"/>
          <w:szCs w:val="28"/>
          <w:rtl/>
        </w:rPr>
        <w:t>בהתנהגות</w:t>
      </w:r>
      <w:r w:rsidRPr="00C638CD">
        <w:rPr>
          <w:rFonts w:ascii="Garamond" w:hAnsi="Garamond" w:cs="FrankRuehl"/>
          <w:spacing w:val="10"/>
          <w:sz w:val="28"/>
          <w:szCs w:val="28"/>
          <w:rtl/>
        </w:rPr>
        <w:t xml:space="preserve">". </w:t>
      </w:r>
    </w:p>
    <w:p w14:paraId="129146C6" w14:textId="77777777" w:rsidR="00537560" w:rsidRPr="00C638CD" w:rsidRDefault="00537560" w:rsidP="00537560">
      <w:pPr>
        <w:tabs>
          <w:tab w:val="left" w:pos="800"/>
        </w:tabs>
        <w:overflowPunct w:val="0"/>
        <w:adjustRightInd w:val="0"/>
        <w:spacing w:line="360" w:lineRule="auto"/>
        <w:jc w:val="both"/>
        <w:rPr>
          <w:rFonts w:ascii="Arial TUR" w:hAnsi="Arial TUR" w:cs="FrankRuehl"/>
          <w:spacing w:val="10"/>
          <w:sz w:val="22"/>
          <w:szCs w:val="28"/>
          <w:rtl/>
        </w:rPr>
      </w:pPr>
    </w:p>
    <w:p w14:paraId="6A54D1D3" w14:textId="77777777" w:rsidR="00537560" w:rsidRPr="00C638CD" w:rsidRDefault="00537560" w:rsidP="00537560">
      <w:pPr>
        <w:tabs>
          <w:tab w:val="left" w:pos="800"/>
        </w:tabs>
        <w:overflowPunct w:val="0"/>
        <w:adjustRightInd w:val="0"/>
        <w:spacing w:line="360" w:lineRule="auto"/>
        <w:ind w:right="720"/>
        <w:jc w:val="both"/>
        <w:rPr>
          <w:rFonts w:cs="FrankRuehl"/>
          <w:spacing w:val="10"/>
          <w:sz w:val="28"/>
          <w:szCs w:val="28"/>
          <w:rtl/>
        </w:rPr>
      </w:pPr>
      <w:r w:rsidRPr="00C638CD">
        <w:rPr>
          <w:rFonts w:ascii="Arial TUR" w:hAnsi="Arial TUR" w:cs="FrankRuehl"/>
          <w:spacing w:val="10"/>
          <w:sz w:val="28"/>
          <w:szCs w:val="28"/>
          <w:rtl/>
        </w:rPr>
        <w:tab/>
        <w:t>בנוסף אפנה ל</w:t>
      </w:r>
      <w:hyperlink r:id="rId29" w:history="1">
        <w:r w:rsidR="001B55A1" w:rsidRPr="001B55A1">
          <w:rPr>
            <w:rStyle w:val="Hyperlink"/>
            <w:rFonts w:ascii="Arial TUR" w:hAnsi="Arial TUR" w:cs="FrankRuehl"/>
            <w:spacing w:val="10"/>
            <w:sz w:val="28"/>
            <w:szCs w:val="28"/>
            <w:rtl/>
          </w:rPr>
          <w:t>ע"פ  1323/13</w:t>
        </w:r>
      </w:hyperlink>
      <w:r w:rsidRPr="00C638CD">
        <w:rPr>
          <w:rFonts w:cs="FrankRuehl"/>
          <w:spacing w:val="10"/>
          <w:sz w:val="28"/>
          <w:szCs w:val="28"/>
          <w:rtl/>
        </w:rPr>
        <w:t xml:space="preserve"> </w:t>
      </w:r>
      <w:r w:rsidRPr="00C638CD">
        <w:rPr>
          <w:rFonts w:cs="Miriam"/>
          <w:spacing w:val="10"/>
          <w:rtl/>
        </w:rPr>
        <w:t>רך נגד מדינת ישראל</w:t>
      </w:r>
      <w:r w:rsidRPr="00C638CD">
        <w:rPr>
          <w:rFonts w:cs="FrankRuehl"/>
          <w:spacing w:val="10"/>
          <w:sz w:val="28"/>
          <w:szCs w:val="28"/>
          <w:rtl/>
        </w:rPr>
        <w:t xml:space="preserve"> (5.6.2013):</w:t>
      </w:r>
    </w:p>
    <w:p w14:paraId="530278D2" w14:textId="77777777" w:rsidR="00537560" w:rsidRPr="00C638CD" w:rsidRDefault="00537560" w:rsidP="00537560">
      <w:pPr>
        <w:tabs>
          <w:tab w:val="left" w:pos="800"/>
        </w:tabs>
        <w:overflowPunct w:val="0"/>
        <w:adjustRightInd w:val="0"/>
        <w:ind w:left="1440" w:right="720"/>
        <w:jc w:val="both"/>
        <w:rPr>
          <w:rFonts w:cs="FrankRuehl"/>
          <w:spacing w:val="10"/>
          <w:sz w:val="28"/>
          <w:szCs w:val="28"/>
          <w:rtl/>
        </w:rPr>
      </w:pPr>
      <w:r w:rsidRPr="00C638CD">
        <w:rPr>
          <w:rFonts w:cs="FrankRuehl"/>
          <w:spacing w:val="10"/>
          <w:sz w:val="28"/>
          <w:szCs w:val="28"/>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p>
    <w:p w14:paraId="20E20315" w14:textId="77777777" w:rsidR="00537560" w:rsidRPr="00C638CD" w:rsidRDefault="00537560" w:rsidP="00537560">
      <w:pPr>
        <w:tabs>
          <w:tab w:val="left" w:pos="800"/>
        </w:tabs>
        <w:overflowPunct w:val="0"/>
        <w:adjustRightInd w:val="0"/>
        <w:spacing w:line="360" w:lineRule="auto"/>
        <w:ind w:right="720"/>
        <w:jc w:val="both"/>
        <w:rPr>
          <w:rFonts w:cs="FrankRuehl"/>
          <w:spacing w:val="10"/>
          <w:sz w:val="28"/>
          <w:szCs w:val="28"/>
          <w:rtl/>
        </w:rPr>
      </w:pPr>
    </w:p>
    <w:p w14:paraId="199CFA99" w14:textId="77777777" w:rsidR="00537560" w:rsidRPr="00C638CD" w:rsidRDefault="00537560" w:rsidP="00537560">
      <w:pPr>
        <w:numPr>
          <w:ilvl w:val="0"/>
          <w:numId w:val="1"/>
        </w:numPr>
        <w:spacing w:line="360" w:lineRule="auto"/>
        <w:contextualSpacing/>
        <w:jc w:val="both"/>
        <w:rPr>
          <w:rFonts w:ascii="Arial" w:hAnsi="Arial" w:cs="FrankRuehl"/>
          <w:sz w:val="28"/>
          <w:szCs w:val="28"/>
        </w:rPr>
      </w:pPr>
      <w:r w:rsidRPr="00C638CD">
        <w:rPr>
          <w:rFonts w:ascii="Arial" w:hAnsi="Arial" w:cs="FrankRuehl"/>
          <w:sz w:val="28"/>
          <w:szCs w:val="28"/>
          <w:rtl/>
        </w:rPr>
        <w:t>ב</w:t>
      </w:r>
      <w:hyperlink r:id="rId30" w:history="1">
        <w:r w:rsidR="001B55A1" w:rsidRPr="001B55A1">
          <w:rPr>
            <w:rStyle w:val="Hyperlink"/>
            <w:rFonts w:ascii="Arial" w:hAnsi="Arial" w:cs="FrankRuehl"/>
            <w:sz w:val="28"/>
            <w:szCs w:val="28"/>
            <w:rtl/>
          </w:rPr>
          <w:t>ע"פ 8280/15</w:t>
        </w:r>
      </w:hyperlink>
      <w:r w:rsidRPr="00C638CD">
        <w:rPr>
          <w:rFonts w:ascii="Arial" w:hAnsi="Arial" w:cs="FrankRuehl"/>
          <w:sz w:val="28"/>
          <w:szCs w:val="28"/>
          <w:rtl/>
        </w:rPr>
        <w:t xml:space="preserve"> </w:t>
      </w:r>
      <w:r w:rsidRPr="00C638CD">
        <w:rPr>
          <w:rFonts w:ascii="Arial" w:hAnsi="Arial" w:cs="Miriam"/>
          <w:rtl/>
        </w:rPr>
        <w:t>גולאני נגד מדינת ישראל</w:t>
      </w:r>
      <w:r w:rsidRPr="00C638CD">
        <w:rPr>
          <w:rFonts w:ascii="Arial" w:hAnsi="Arial" w:cs="FrankRuehl"/>
          <w:sz w:val="28"/>
          <w:szCs w:val="28"/>
          <w:rtl/>
        </w:rPr>
        <w:t xml:space="preserve"> (28.3.2016) התברר עניינו של נאשם שהודה בעבירות של סיוע לעסקה בנשק והחזקת נשק ונדון ל-20 חודשי מאסר בפועל, מאסר מותנה  וקנס של 5,000 ש"ח, ערעורו נדחה וכך נקבע:</w:t>
      </w:r>
    </w:p>
    <w:p w14:paraId="36467B60" w14:textId="77777777" w:rsidR="00537560" w:rsidRPr="00C638CD" w:rsidRDefault="00537560" w:rsidP="00537560">
      <w:pPr>
        <w:ind w:left="1440" w:right="709"/>
        <w:contextualSpacing/>
        <w:jc w:val="both"/>
        <w:rPr>
          <w:rFonts w:ascii="Arial" w:hAnsi="Arial" w:cs="FrankRuehl"/>
          <w:sz w:val="28"/>
          <w:szCs w:val="28"/>
          <w:rtl/>
        </w:rPr>
      </w:pPr>
      <w:r w:rsidRPr="00C638CD">
        <w:rPr>
          <w:rFonts w:ascii="Arial" w:hAnsi="Arial"/>
          <w:rtl/>
        </w:rPr>
        <w:t>"</w:t>
      </w:r>
      <w:r w:rsidRPr="00C638CD">
        <w:rPr>
          <w:rFonts w:ascii="Arial" w:hAnsi="Arial" w:cs="FrankRuehl"/>
          <w:sz w:val="28"/>
          <w:szCs w:val="28"/>
          <w:rtl/>
        </w:rPr>
        <w:t>בצדק ייחס בית המשפט המחוזי חומרה רבה למעשיו של המערער, על אף טענותיו כי מילא תפקיד זוטר וחסר חשיבות בהשתלשלות העניינים. המעשים שבהם הורשע חמורים מאוד, וטומנים בחובם פוטנציאל פגיעה משמעותי בערך החברתי של שלום הציבור וביטחונו כמו גם מקימים סיכון ממשי לחיי אדם. בית משפט זה עמד לא אחת על הסכנות הגלומות בעבירות הקשורות לנשק וחומרתן המיוחדת".</w:t>
      </w:r>
    </w:p>
    <w:p w14:paraId="48F7E9C4" w14:textId="77777777" w:rsidR="00537560" w:rsidRPr="00C638CD" w:rsidRDefault="00537560" w:rsidP="00537560">
      <w:pPr>
        <w:tabs>
          <w:tab w:val="left" w:pos="800"/>
        </w:tabs>
        <w:overflowPunct w:val="0"/>
        <w:adjustRightInd w:val="0"/>
        <w:spacing w:line="360" w:lineRule="auto"/>
        <w:jc w:val="both"/>
        <w:rPr>
          <w:rFonts w:ascii="Arial TUR" w:hAnsi="Arial TUR" w:cs="FrankRuehl"/>
          <w:spacing w:val="10"/>
          <w:sz w:val="22"/>
          <w:szCs w:val="28"/>
          <w:rtl/>
        </w:rPr>
      </w:pPr>
    </w:p>
    <w:p w14:paraId="69CFE083" w14:textId="77777777" w:rsidR="00537560" w:rsidRPr="00C638CD" w:rsidRDefault="00537560" w:rsidP="00537560">
      <w:pPr>
        <w:tabs>
          <w:tab w:val="left" w:pos="800"/>
        </w:tabs>
        <w:overflowPunct w:val="0"/>
        <w:adjustRightInd w:val="0"/>
        <w:spacing w:line="360" w:lineRule="auto"/>
        <w:ind w:left="720"/>
        <w:jc w:val="both"/>
        <w:rPr>
          <w:rFonts w:ascii="Arial TUR" w:hAnsi="Arial TUR" w:cs="FrankRuehl"/>
          <w:spacing w:val="10"/>
          <w:sz w:val="22"/>
          <w:szCs w:val="28"/>
          <w:rtl/>
        </w:rPr>
      </w:pPr>
      <w:r w:rsidRPr="00C638CD">
        <w:rPr>
          <w:rFonts w:ascii="Arial TUR" w:hAnsi="Arial TUR" w:cs="FrankRuehl"/>
          <w:spacing w:val="10"/>
          <w:sz w:val="22"/>
          <w:szCs w:val="28"/>
          <w:rtl/>
        </w:rPr>
        <w:t>ב</w:t>
      </w:r>
      <w:hyperlink r:id="rId31" w:history="1">
        <w:r w:rsidR="001B55A1" w:rsidRPr="001B55A1">
          <w:rPr>
            <w:rStyle w:val="Hyperlink"/>
            <w:rFonts w:ascii="Arial TUR" w:hAnsi="Arial TUR" w:cs="FrankRuehl"/>
            <w:spacing w:val="10"/>
            <w:sz w:val="22"/>
            <w:szCs w:val="28"/>
            <w:rtl/>
          </w:rPr>
          <w:t>ע"פ 4956/13</w:t>
        </w:r>
      </w:hyperlink>
      <w:r w:rsidRPr="00C638CD">
        <w:rPr>
          <w:rFonts w:ascii="Arial TUR" w:hAnsi="Arial TUR" w:cs="FrankRuehl"/>
          <w:spacing w:val="10"/>
          <w:sz w:val="22"/>
          <w:szCs w:val="28"/>
          <w:rtl/>
        </w:rPr>
        <w:t xml:space="preserve"> </w:t>
      </w:r>
      <w:r w:rsidRPr="00C638CD">
        <w:rPr>
          <w:rFonts w:ascii="Arial TUR" w:hAnsi="Arial TUR" w:cs="Miriam"/>
          <w:spacing w:val="10"/>
          <w:rtl/>
        </w:rPr>
        <w:t>עיסאווי נגד מדינת ישראל</w:t>
      </w:r>
      <w:r w:rsidRPr="00C638CD">
        <w:rPr>
          <w:rFonts w:ascii="Arial TUR" w:hAnsi="Arial TUR" w:cs="FrankRuehl"/>
          <w:spacing w:val="10"/>
          <w:sz w:val="22"/>
          <w:szCs w:val="28"/>
          <w:rtl/>
        </w:rPr>
        <w:t xml:space="preserve"> (8.6.2014) נדון המערער </w:t>
      </w:r>
      <w:r w:rsidR="001B55A1">
        <w:rPr>
          <w:rFonts w:ascii="Arial TUR" w:hAnsi="Arial TUR" w:cs="FrankRuehl"/>
          <w:spacing w:val="10"/>
          <w:sz w:val="22"/>
          <w:szCs w:val="28"/>
          <w:rtl/>
        </w:rPr>
        <w:t xml:space="preserve"> </w:t>
      </w:r>
      <w:r w:rsidRPr="00C638CD">
        <w:rPr>
          <w:rFonts w:ascii="Arial TUR" w:hAnsi="Arial TUR" w:cs="FrankRuehl"/>
          <w:spacing w:val="10"/>
          <w:sz w:val="22"/>
          <w:szCs w:val="28"/>
          <w:rtl/>
        </w:rPr>
        <w:t>ל-24 חודשי מאסר בפועל, מאסר מותנה וקנס בשיעור של 5,000 ש"ח בגין שני מקרים של רכישת כדורי תחמושת לאקדח, בית המשפט העליון דחה הערעור ואישר את  מתחם העונש ההולם 12-36 חודשי מאסר בפועל שקבע באותו מקרה בית המשפט המחוזי.</w:t>
      </w:r>
    </w:p>
    <w:p w14:paraId="66E4F966" w14:textId="77777777" w:rsidR="00537560" w:rsidRPr="00C638CD" w:rsidRDefault="00537560" w:rsidP="00537560">
      <w:pPr>
        <w:tabs>
          <w:tab w:val="left" w:pos="800"/>
        </w:tabs>
        <w:overflowPunct w:val="0"/>
        <w:adjustRightInd w:val="0"/>
        <w:spacing w:line="360" w:lineRule="auto"/>
        <w:ind w:left="720"/>
        <w:jc w:val="both"/>
        <w:rPr>
          <w:rFonts w:ascii="Arial TUR" w:hAnsi="Arial TUR" w:cs="FrankRuehl"/>
          <w:spacing w:val="10"/>
          <w:sz w:val="22"/>
          <w:szCs w:val="28"/>
          <w:rtl/>
        </w:rPr>
      </w:pPr>
    </w:p>
    <w:p w14:paraId="7940A8E6" w14:textId="77777777" w:rsidR="00537560" w:rsidRPr="00C638CD" w:rsidRDefault="00537560" w:rsidP="00537560">
      <w:pPr>
        <w:tabs>
          <w:tab w:val="left" w:pos="800"/>
        </w:tabs>
        <w:overflowPunct w:val="0"/>
        <w:adjustRightInd w:val="0"/>
        <w:spacing w:line="360" w:lineRule="auto"/>
        <w:ind w:left="720"/>
        <w:jc w:val="both"/>
        <w:rPr>
          <w:rFonts w:ascii="Arial TUR" w:hAnsi="Arial TUR" w:cs="FrankRuehl"/>
          <w:spacing w:val="10"/>
          <w:sz w:val="22"/>
          <w:szCs w:val="28"/>
          <w:rtl/>
        </w:rPr>
      </w:pPr>
      <w:r w:rsidRPr="00C638CD">
        <w:rPr>
          <w:rFonts w:ascii="Arial TUR" w:hAnsi="Arial TUR" w:cs="FrankRuehl"/>
          <w:spacing w:val="10"/>
          <w:sz w:val="22"/>
          <w:szCs w:val="28"/>
          <w:rtl/>
        </w:rPr>
        <w:t>ולסיום אפנה ל</w:t>
      </w:r>
      <w:hyperlink r:id="rId32" w:history="1">
        <w:r w:rsidR="001B55A1" w:rsidRPr="001B55A1">
          <w:rPr>
            <w:rStyle w:val="Hyperlink"/>
            <w:rFonts w:ascii="Arial TUR" w:hAnsi="Arial TUR" w:cs="FrankRuehl"/>
            <w:spacing w:val="10"/>
            <w:sz w:val="22"/>
            <w:szCs w:val="28"/>
            <w:rtl/>
          </w:rPr>
          <w:t>ע"פ 7317/13</w:t>
        </w:r>
      </w:hyperlink>
      <w:r w:rsidRPr="00C638CD">
        <w:rPr>
          <w:rFonts w:ascii="Arial TUR" w:hAnsi="Arial TUR" w:cs="FrankRuehl"/>
          <w:spacing w:val="10"/>
          <w:sz w:val="22"/>
          <w:szCs w:val="28"/>
          <w:rtl/>
        </w:rPr>
        <w:t xml:space="preserve"> </w:t>
      </w:r>
      <w:r w:rsidRPr="00C638CD">
        <w:rPr>
          <w:rFonts w:ascii="Arial TUR" w:hAnsi="Arial TUR" w:cs="Miriam"/>
          <w:spacing w:val="10"/>
          <w:rtl/>
        </w:rPr>
        <w:t>חג'אב נגד מדינת ישראל</w:t>
      </w:r>
      <w:r w:rsidRPr="00C638CD">
        <w:rPr>
          <w:rFonts w:ascii="Arial TUR" w:hAnsi="Arial TUR" w:cs="FrankRuehl"/>
          <w:spacing w:val="10"/>
          <w:sz w:val="22"/>
          <w:szCs w:val="28"/>
          <w:rtl/>
        </w:rPr>
        <w:t xml:space="preserve"> (19.5.2014) בו התברר בפניי תיק שכלל עבירות רבות, וביניהן סיוע לסחר בנשק. בקשר לעבירה זו קבעתי מתחם עונש הולם שבין 18 ל-48 חודשי מאסר בפועל, בית המשפט העליון דחה את הערעור גם בקשר לעבירה זו וקבע:</w:t>
      </w:r>
    </w:p>
    <w:p w14:paraId="409C8082" w14:textId="77777777" w:rsidR="00537560" w:rsidRPr="00C638CD" w:rsidRDefault="00537560" w:rsidP="00537560">
      <w:pPr>
        <w:ind w:left="1440" w:right="851"/>
        <w:jc w:val="both"/>
        <w:rPr>
          <w:rFonts w:ascii="Arial" w:hAnsi="Arial" w:cs="FrankRuehl"/>
          <w:szCs w:val="28"/>
          <w:rtl/>
        </w:rPr>
      </w:pPr>
      <w:r w:rsidRPr="00C638CD">
        <w:rPr>
          <w:rFonts w:ascii="Arial TUR" w:hAnsi="Arial TUR" w:cs="FrankRuehl"/>
          <w:spacing w:val="10"/>
          <w:sz w:val="22"/>
          <w:szCs w:val="28"/>
          <w:rtl/>
        </w:rPr>
        <w:t xml:space="preserve">"אין צורך להכביר במילים על אודות מסוכנותם הרבה של כלי נשק, סכנת נפשות, פשוטו כמשמעו. יש למגר תופעה של סחר, בכלל זה ניסיון או סיוע, נשיאה והובלה של נשק. שומה לעשות לבטחון הציבור הרחב, ואין מקום לגישה עונשית מקלה כלפי המערער ואחרים שכמותו, שמסכנים חיי אדם בצורה שכזו (השוו: </w:t>
      </w:r>
      <w:hyperlink r:id="rId33" w:history="1">
        <w:r w:rsidR="001B55A1" w:rsidRPr="001B55A1">
          <w:rPr>
            <w:rStyle w:val="Hyperlink"/>
            <w:rFonts w:ascii="Arial TUR" w:hAnsi="Arial TUR" w:cs="FrankRuehl"/>
            <w:spacing w:val="10"/>
            <w:sz w:val="22"/>
            <w:szCs w:val="28"/>
            <w:rtl/>
          </w:rPr>
          <w:t>ע"פ 6210/13</w:t>
        </w:r>
      </w:hyperlink>
      <w:r w:rsidRPr="00C638CD">
        <w:rPr>
          <w:rFonts w:ascii="Arial TUR" w:hAnsi="Arial TUR" w:cs="FrankRuehl"/>
          <w:spacing w:val="10"/>
          <w:sz w:val="22"/>
          <w:szCs w:val="28"/>
          <w:rtl/>
        </w:rPr>
        <w:t xml:space="preserve"> </w:t>
      </w:r>
      <w:r w:rsidRPr="00C638CD">
        <w:rPr>
          <w:rFonts w:ascii="Arial" w:hAnsi="Arial" w:cs="Miriam"/>
          <w:rtl/>
        </w:rPr>
        <w:t>גונן נ' מדינת ישראל</w:t>
      </w:r>
      <w:r w:rsidRPr="00C638CD">
        <w:rPr>
          <w:rFonts w:ascii="Arial TUR" w:hAnsi="Arial TUR" w:cs="FrankRuehl"/>
          <w:spacing w:val="10"/>
          <w:sz w:val="22"/>
          <w:szCs w:val="28"/>
          <w:rtl/>
        </w:rPr>
        <w:t xml:space="preserve"> (14.11.2013))". </w:t>
      </w:r>
    </w:p>
    <w:p w14:paraId="4EFAC5EE" w14:textId="77777777" w:rsidR="00537560" w:rsidRPr="00C638CD" w:rsidRDefault="00537560" w:rsidP="00537560">
      <w:pPr>
        <w:spacing w:line="360" w:lineRule="auto"/>
        <w:ind w:left="1440" w:hanging="720"/>
        <w:jc w:val="both"/>
        <w:rPr>
          <w:rFonts w:ascii="Arial" w:hAnsi="Arial"/>
          <w:rtl/>
        </w:rPr>
      </w:pPr>
    </w:p>
    <w:p w14:paraId="058818FA" w14:textId="77777777" w:rsidR="00537560" w:rsidRDefault="00537560" w:rsidP="00537560">
      <w:pPr>
        <w:numPr>
          <w:ilvl w:val="0"/>
          <w:numId w:val="1"/>
        </w:numPr>
        <w:spacing w:before="120" w:after="240" w:line="360" w:lineRule="auto"/>
        <w:contextualSpacing/>
        <w:jc w:val="both"/>
        <w:outlineLvl w:val="0"/>
        <w:rPr>
          <w:rFonts w:ascii="Arial" w:hAnsi="Arial" w:cs="FrankRuehl"/>
          <w:szCs w:val="28"/>
        </w:rPr>
      </w:pPr>
      <w:r w:rsidRPr="00C638CD">
        <w:rPr>
          <w:rFonts w:ascii="Arial" w:hAnsi="Arial" w:cs="FrankRuehl"/>
          <w:szCs w:val="28"/>
          <w:rtl/>
        </w:rPr>
        <w:t xml:space="preserve"> אשר לנסיבות הקשורות בביצוע העבירה (</w:t>
      </w:r>
      <w:hyperlink r:id="rId34" w:history="1">
        <w:r w:rsidR="00A966DB" w:rsidRPr="00A966DB">
          <w:rPr>
            <w:rFonts w:ascii="Arial" w:hAnsi="Arial" w:cs="FrankRuehl"/>
            <w:color w:val="0000FF"/>
            <w:szCs w:val="28"/>
            <w:u w:val="single"/>
            <w:rtl/>
          </w:rPr>
          <w:t>סעיף 40ט</w:t>
        </w:r>
      </w:hyperlink>
      <w:r w:rsidRPr="00C638CD">
        <w:rPr>
          <w:rFonts w:ascii="Arial" w:hAnsi="Arial" w:cs="FrankRuehl"/>
          <w:szCs w:val="28"/>
          <w:rtl/>
        </w:rPr>
        <w:t xml:space="preserve"> לחוק), מעשיו של הנאשם תוכננו היטב, הסיוע לניסיון לסחור ברימונים, היה תוצאה של קשר שקשר הנאשם עם אחמד, שיחות שנעשו והצגת רימוני צינור מאולתרים. בשני המקרים של ניסיון לרכישת תחמושת ואביזרים הנאשם יזם את הפניה לאחמד ולעלי.</w:t>
      </w:r>
    </w:p>
    <w:p w14:paraId="5132D64F" w14:textId="77777777" w:rsidR="00537560" w:rsidRPr="00C638CD" w:rsidRDefault="00537560" w:rsidP="00537560">
      <w:pPr>
        <w:spacing w:before="120" w:after="240" w:line="360" w:lineRule="auto"/>
        <w:ind w:left="720"/>
        <w:contextualSpacing/>
        <w:jc w:val="both"/>
        <w:outlineLvl w:val="0"/>
        <w:rPr>
          <w:rFonts w:ascii="Arial" w:hAnsi="Arial" w:cs="FrankRuehl"/>
          <w:szCs w:val="28"/>
        </w:rPr>
      </w:pPr>
    </w:p>
    <w:p w14:paraId="265463FA" w14:textId="77777777" w:rsidR="00537560" w:rsidRPr="00C638CD" w:rsidRDefault="00537560" w:rsidP="00537560">
      <w:pPr>
        <w:spacing w:before="120" w:after="240" w:line="360" w:lineRule="auto"/>
        <w:ind w:left="720"/>
        <w:jc w:val="both"/>
        <w:outlineLvl w:val="0"/>
        <w:rPr>
          <w:rFonts w:ascii="Arial" w:hAnsi="Arial" w:cs="FrankRuehl"/>
          <w:szCs w:val="28"/>
          <w:rtl/>
        </w:rPr>
      </w:pPr>
      <w:r w:rsidRPr="00C638CD">
        <w:rPr>
          <w:rFonts w:ascii="Arial" w:hAnsi="Arial" w:cs="FrankRuehl"/>
          <w:szCs w:val="28"/>
          <w:rtl/>
        </w:rPr>
        <w:t xml:space="preserve">בנוסף, </w:t>
      </w:r>
      <w:r>
        <w:rPr>
          <w:rFonts w:ascii="Arial" w:hAnsi="Arial" w:cs="FrankRuehl" w:hint="cs"/>
          <w:szCs w:val="28"/>
          <w:rtl/>
        </w:rPr>
        <w:t>פ</w:t>
      </w:r>
      <w:r w:rsidRPr="00C638CD">
        <w:rPr>
          <w:rFonts w:ascii="Arial" w:hAnsi="Arial" w:cs="FrankRuehl"/>
          <w:szCs w:val="28"/>
          <w:rtl/>
        </w:rPr>
        <w:t xml:space="preserve">וטנציאל הנזק </w:t>
      </w:r>
      <w:r>
        <w:rPr>
          <w:rFonts w:ascii="Arial" w:hAnsi="Arial" w:cs="FrankRuehl" w:hint="cs"/>
          <w:szCs w:val="28"/>
          <w:rtl/>
        </w:rPr>
        <w:t>הטמון בעבירות ב</w:t>
      </w:r>
      <w:r w:rsidRPr="00C638CD">
        <w:rPr>
          <w:rFonts w:ascii="Arial" w:hAnsi="Arial" w:cs="FrankRuehl"/>
          <w:szCs w:val="28"/>
          <w:rtl/>
        </w:rPr>
        <w:t xml:space="preserve">נשק ואביזריו הוא גבוה. לא במקרה נכתב בעובדות כתב האישום המתוקן כי רימוני צינור הם חפצים נפיצים שבכוחם להמית אדם או להזיק לו (סעיף 2) מחסניות לאקדח הן אבזר של כלי שמסוגל להמית אדם (סעיפים 3 ו-4). </w:t>
      </w:r>
    </w:p>
    <w:p w14:paraId="0E8C280B" w14:textId="77777777" w:rsidR="00537560" w:rsidRPr="00C638CD" w:rsidRDefault="00537560" w:rsidP="00537560">
      <w:pPr>
        <w:spacing w:line="360" w:lineRule="auto"/>
        <w:ind w:left="720"/>
        <w:jc w:val="both"/>
        <w:rPr>
          <w:rFonts w:ascii="Arial" w:hAnsi="Arial" w:cs="FrankRuehl"/>
          <w:szCs w:val="28"/>
          <w:u w:val="single"/>
          <w:rtl/>
        </w:rPr>
      </w:pPr>
      <w:r w:rsidRPr="00C638CD">
        <w:rPr>
          <w:rFonts w:ascii="Arial" w:hAnsi="Arial" w:cs="FrankRuehl"/>
          <w:szCs w:val="28"/>
          <w:rtl/>
        </w:rPr>
        <w:t>בהתחשב בערכים החברתיים שנפגעו מביצוע העבירות, במידת הפגיעה בהם, במדיניות הענישה הנהוגה ובנסיבות הקשורות בביצוע העבירות לרבות העובדה כי מדובר בארבע עבירות כחלק מא</w:t>
      </w:r>
      <w:r>
        <w:rPr>
          <w:rFonts w:ascii="Arial" w:hAnsi="Arial" w:cs="FrankRuehl" w:hint="cs"/>
          <w:szCs w:val="28"/>
          <w:rtl/>
        </w:rPr>
        <w:t>י</w:t>
      </w:r>
      <w:r w:rsidRPr="00C638CD">
        <w:rPr>
          <w:rFonts w:ascii="Arial" w:hAnsi="Arial" w:cs="FrankRuehl"/>
          <w:szCs w:val="28"/>
          <w:rtl/>
        </w:rPr>
        <w:t xml:space="preserve">רוע אחד אני קובע כי העונש ההולם במקרה זה הוא מאסר במתחם שבין </w:t>
      </w:r>
      <w:r w:rsidRPr="00C638CD">
        <w:rPr>
          <w:rFonts w:ascii="Arial" w:hAnsi="Arial" w:cs="FrankRuehl"/>
          <w:szCs w:val="28"/>
          <w:u w:val="single"/>
          <w:rtl/>
        </w:rPr>
        <w:t xml:space="preserve">16 </w:t>
      </w:r>
      <w:r w:rsidRPr="00C638CD">
        <w:rPr>
          <w:rFonts w:ascii="Arial" w:hAnsi="Arial" w:cs="FrankRuehl"/>
          <w:szCs w:val="28"/>
          <w:rtl/>
        </w:rPr>
        <w:t xml:space="preserve">לבין </w:t>
      </w:r>
      <w:r w:rsidRPr="00C638CD">
        <w:rPr>
          <w:rFonts w:ascii="Arial" w:hAnsi="Arial" w:cs="FrankRuehl"/>
          <w:szCs w:val="28"/>
          <w:u w:val="single"/>
          <w:rtl/>
        </w:rPr>
        <w:t>36</w:t>
      </w:r>
      <w:r w:rsidRPr="00C638CD">
        <w:rPr>
          <w:rFonts w:ascii="Arial" w:hAnsi="Arial" w:cs="FrankRuehl"/>
          <w:szCs w:val="28"/>
          <w:rtl/>
        </w:rPr>
        <w:t xml:space="preserve"> חודשי מאסר בפועל.</w:t>
      </w:r>
    </w:p>
    <w:p w14:paraId="31E8E6A5" w14:textId="77777777" w:rsidR="00537560" w:rsidRPr="00C638CD" w:rsidRDefault="00537560" w:rsidP="00537560">
      <w:pPr>
        <w:spacing w:line="360" w:lineRule="auto"/>
        <w:ind w:left="720"/>
        <w:jc w:val="both"/>
        <w:rPr>
          <w:rFonts w:ascii="Arial" w:hAnsi="Arial" w:cs="FrankRuehl"/>
          <w:szCs w:val="28"/>
          <w:u w:val="single"/>
          <w:rtl/>
        </w:rPr>
      </w:pPr>
    </w:p>
    <w:p w14:paraId="4EE507B4" w14:textId="77777777" w:rsidR="00537560" w:rsidRPr="00C638CD" w:rsidRDefault="00537560" w:rsidP="00537560">
      <w:pPr>
        <w:spacing w:before="120" w:after="240" w:line="360" w:lineRule="auto"/>
        <w:ind w:firstLine="720"/>
        <w:contextualSpacing/>
        <w:jc w:val="both"/>
        <w:rPr>
          <w:rFonts w:ascii="Arial" w:hAnsi="Arial" w:cs="Miriam"/>
          <w:rtl/>
        </w:rPr>
      </w:pPr>
      <w:r w:rsidRPr="00C638CD">
        <w:rPr>
          <w:rFonts w:ascii="Arial" w:hAnsi="Arial" w:cs="Miriam"/>
          <w:rtl/>
        </w:rPr>
        <w:t>העונש המתאים</w:t>
      </w:r>
    </w:p>
    <w:p w14:paraId="43657455" w14:textId="77777777" w:rsidR="00537560" w:rsidRDefault="00537560" w:rsidP="00537560">
      <w:pPr>
        <w:numPr>
          <w:ilvl w:val="0"/>
          <w:numId w:val="1"/>
        </w:numPr>
        <w:spacing w:before="120" w:after="240" w:line="360" w:lineRule="auto"/>
        <w:contextualSpacing/>
        <w:jc w:val="both"/>
        <w:rPr>
          <w:rFonts w:ascii="Arial" w:hAnsi="Arial" w:cs="FrankRuehl"/>
          <w:sz w:val="28"/>
          <w:szCs w:val="28"/>
        </w:rPr>
      </w:pPr>
      <w:r w:rsidRPr="00C638CD">
        <w:rPr>
          <w:rFonts w:ascii="Arial" w:hAnsi="Arial" w:cs="FrankRuehl"/>
          <w:sz w:val="28"/>
          <w:szCs w:val="28"/>
          <w:rtl/>
        </w:rPr>
        <w:t xml:space="preserve"> במקרה זה לא עומד הליך שיקומי על הפרק, כך שאין לסטות ממתחם העונש ההולם. </w:t>
      </w:r>
    </w:p>
    <w:p w14:paraId="262CC8F5" w14:textId="77777777" w:rsidR="00537560" w:rsidRDefault="00537560" w:rsidP="00537560">
      <w:pPr>
        <w:spacing w:before="120" w:after="240" w:line="360" w:lineRule="auto"/>
        <w:ind w:left="720"/>
        <w:contextualSpacing/>
        <w:jc w:val="both"/>
        <w:rPr>
          <w:rFonts w:ascii="Arial" w:hAnsi="Arial" w:cs="FrankRuehl"/>
          <w:sz w:val="28"/>
          <w:szCs w:val="28"/>
          <w:rtl/>
        </w:rPr>
      </w:pPr>
      <w:r w:rsidRPr="00C638CD">
        <w:rPr>
          <w:rFonts w:ascii="Arial" w:hAnsi="Arial" w:cs="FrankRuehl"/>
          <w:sz w:val="28"/>
          <w:szCs w:val="28"/>
          <w:rtl/>
        </w:rPr>
        <w:t xml:space="preserve">על פי תסקיר שירות המבחן, הנאשם כיום כבן 26, בעל מסוכנות ברמה בינונית- גבוהה. שירות המבחן המליץ כאמור על ענישה מוחשית וקונקרטית והמלצתו מקובלת עליי. </w:t>
      </w:r>
    </w:p>
    <w:p w14:paraId="1F261DF2" w14:textId="77777777" w:rsidR="00537560" w:rsidRPr="00C638CD" w:rsidRDefault="00537560" w:rsidP="00537560">
      <w:pPr>
        <w:spacing w:before="120" w:after="240" w:line="360" w:lineRule="auto"/>
        <w:ind w:left="720"/>
        <w:contextualSpacing/>
        <w:jc w:val="both"/>
        <w:rPr>
          <w:rFonts w:ascii="Arial" w:hAnsi="Arial" w:cs="FrankRuehl"/>
          <w:sz w:val="28"/>
          <w:szCs w:val="28"/>
        </w:rPr>
      </w:pPr>
    </w:p>
    <w:p w14:paraId="14579692" w14:textId="77777777" w:rsidR="00537560" w:rsidRPr="00C638CD" w:rsidRDefault="00537560" w:rsidP="00537560">
      <w:pPr>
        <w:numPr>
          <w:ilvl w:val="0"/>
          <w:numId w:val="1"/>
        </w:numPr>
        <w:spacing w:before="120" w:after="240" w:line="360" w:lineRule="auto"/>
        <w:jc w:val="both"/>
        <w:rPr>
          <w:rFonts w:ascii="Arial" w:hAnsi="Arial" w:cs="FrankRuehl"/>
          <w:sz w:val="28"/>
          <w:szCs w:val="28"/>
        </w:rPr>
      </w:pPr>
      <w:r w:rsidRPr="00C638CD">
        <w:rPr>
          <w:rFonts w:ascii="Arial" w:hAnsi="Arial" w:cs="FrankRuehl"/>
          <w:sz w:val="28"/>
          <w:szCs w:val="28"/>
          <w:rtl/>
        </w:rPr>
        <w:t xml:space="preserve">באשר לנסיבות שאינן קשורות בביצוע העבירה (40יא' לחוק), הנאשם בחור צעיר, מאורס המתעתד להתחתן בקרוב, שהה תקופה לא קצרה במעצר ואחר כך תחת פיקוח אלקטרוני.  היה רחוק ממשפחתו ואין ספק כי שליחתו מאחורי סורג ובריח תפגע בו ובמשפחתו הקיימת והמתהווה. </w:t>
      </w:r>
    </w:p>
    <w:p w14:paraId="7F3827B7" w14:textId="77777777" w:rsidR="00537560" w:rsidRPr="00C638CD" w:rsidRDefault="00537560" w:rsidP="00537560">
      <w:pPr>
        <w:spacing w:before="120" w:after="240" w:line="360" w:lineRule="auto"/>
        <w:ind w:left="720"/>
        <w:jc w:val="both"/>
        <w:rPr>
          <w:rFonts w:ascii="Arial" w:hAnsi="Arial" w:cs="FrankRuehl"/>
          <w:sz w:val="28"/>
          <w:szCs w:val="28"/>
          <w:rtl/>
        </w:rPr>
      </w:pPr>
      <w:r w:rsidRPr="00C638CD">
        <w:rPr>
          <w:rFonts w:ascii="Arial" w:hAnsi="Arial" w:cs="FrankRuehl"/>
          <w:sz w:val="28"/>
          <w:szCs w:val="28"/>
          <w:rtl/>
        </w:rPr>
        <w:t>לזכות הנאשם עומדת הודאתו ולקיחת האחריות, וכן נסיבות חייו הקשות כמתואר בתסקיר שירות המבחן.</w:t>
      </w:r>
    </w:p>
    <w:p w14:paraId="28589F07" w14:textId="77777777" w:rsidR="00537560" w:rsidRDefault="00537560" w:rsidP="00537560">
      <w:pPr>
        <w:spacing w:before="120" w:after="240" w:line="360" w:lineRule="auto"/>
        <w:ind w:left="720"/>
        <w:jc w:val="both"/>
        <w:rPr>
          <w:rFonts w:ascii="Arial" w:hAnsi="Arial" w:cs="FrankRuehl"/>
          <w:szCs w:val="28"/>
          <w:rtl/>
        </w:rPr>
      </w:pPr>
      <w:r w:rsidRPr="00C638CD">
        <w:rPr>
          <w:rFonts w:ascii="Arial" w:hAnsi="Arial" w:cs="FrankRuehl"/>
          <w:szCs w:val="28"/>
          <w:rtl/>
        </w:rPr>
        <w:t xml:space="preserve"> בנוסף לאור מסוכנות הנאשם כמתואר בתסקיר אני סבור כי יש צורך במקרה זה בהרתעת הנאשם מפני ביצוע עבירה נוספת בנשק לפי </w:t>
      </w:r>
      <w:hyperlink r:id="rId35" w:history="1">
        <w:r w:rsidR="00A966DB" w:rsidRPr="00A966DB">
          <w:rPr>
            <w:rFonts w:ascii="Arial" w:hAnsi="Arial" w:cs="FrankRuehl"/>
            <w:color w:val="0000FF"/>
            <w:szCs w:val="28"/>
            <w:u w:val="single"/>
            <w:rtl/>
          </w:rPr>
          <w:t>סעיף 40ו</w:t>
        </w:r>
      </w:hyperlink>
      <w:r w:rsidRPr="00C638CD">
        <w:rPr>
          <w:rFonts w:ascii="Arial" w:hAnsi="Arial" w:cs="FrankRuehl"/>
          <w:szCs w:val="28"/>
          <w:rtl/>
        </w:rPr>
        <w:t xml:space="preserve"> לחוק וכי יש סיכוי של מ</w:t>
      </w:r>
      <w:r>
        <w:rPr>
          <w:rFonts w:ascii="Arial" w:hAnsi="Arial" w:cs="FrankRuehl"/>
          <w:szCs w:val="28"/>
          <w:rtl/>
        </w:rPr>
        <w:t>מש כי העונש המתאים יביא להרתעתו</w:t>
      </w:r>
      <w:r>
        <w:rPr>
          <w:rFonts w:ascii="Arial" w:hAnsi="Arial" w:cs="FrankRuehl" w:hint="cs"/>
          <w:szCs w:val="28"/>
          <w:rtl/>
        </w:rPr>
        <w:t>.</w:t>
      </w:r>
    </w:p>
    <w:p w14:paraId="6AD999A5" w14:textId="77777777" w:rsidR="00537560" w:rsidRDefault="00537560" w:rsidP="00537560">
      <w:pPr>
        <w:spacing w:before="120" w:after="240" w:line="360" w:lineRule="auto"/>
        <w:ind w:left="720"/>
        <w:jc w:val="both"/>
        <w:rPr>
          <w:rFonts w:ascii="Arial" w:hAnsi="Arial" w:cs="FrankRuehl"/>
          <w:sz w:val="28"/>
          <w:szCs w:val="28"/>
          <w:rtl/>
        </w:rPr>
      </w:pPr>
      <w:r w:rsidRPr="00C638CD">
        <w:rPr>
          <w:rFonts w:ascii="Arial" w:hAnsi="Arial" w:cs="FrankRuehl"/>
          <w:sz w:val="28"/>
          <w:szCs w:val="28"/>
          <w:rtl/>
        </w:rPr>
        <w:t>לבסוף, בשל כך כי ברקע כל ארבעת העבירות קיים מניע כלכלי, אטיל על הנאשם גם קנס כספי, כאשר בגובה הקנס שאטיל אתחשב במצבו הכלכלי של הנאשם ובתקופת המאסר.</w:t>
      </w:r>
    </w:p>
    <w:p w14:paraId="38E8416F" w14:textId="77777777" w:rsidR="00537560" w:rsidRDefault="00537560" w:rsidP="00537560">
      <w:pPr>
        <w:spacing w:line="360" w:lineRule="auto"/>
        <w:ind w:left="720"/>
        <w:contextualSpacing/>
        <w:jc w:val="both"/>
        <w:rPr>
          <w:rFonts w:ascii="Arial" w:hAnsi="Arial" w:cs="Miriam"/>
          <w:rtl/>
        </w:rPr>
      </w:pPr>
    </w:p>
    <w:p w14:paraId="412307C8" w14:textId="77777777" w:rsidR="00537560" w:rsidRPr="00C638CD" w:rsidRDefault="00537560" w:rsidP="00537560">
      <w:pPr>
        <w:spacing w:line="360" w:lineRule="auto"/>
        <w:ind w:left="720"/>
        <w:contextualSpacing/>
        <w:jc w:val="both"/>
        <w:rPr>
          <w:rFonts w:ascii="Arial" w:hAnsi="Arial" w:cs="Miriam"/>
          <w:rtl/>
        </w:rPr>
      </w:pPr>
      <w:r w:rsidRPr="00C638CD">
        <w:rPr>
          <w:rFonts w:ascii="Arial" w:hAnsi="Arial" w:cs="Miriam"/>
          <w:rtl/>
        </w:rPr>
        <w:t>עקרון האחידות בענישה</w:t>
      </w:r>
    </w:p>
    <w:p w14:paraId="77EE4FEE" w14:textId="77777777" w:rsidR="00537560" w:rsidRDefault="00537560" w:rsidP="00537560">
      <w:pPr>
        <w:numPr>
          <w:ilvl w:val="0"/>
          <w:numId w:val="1"/>
        </w:numPr>
        <w:spacing w:before="120" w:after="240" w:line="360" w:lineRule="auto"/>
        <w:contextualSpacing/>
        <w:jc w:val="both"/>
        <w:rPr>
          <w:rFonts w:ascii="Arial" w:hAnsi="Arial" w:cs="FrankRuehl"/>
          <w:sz w:val="28"/>
          <w:szCs w:val="28"/>
        </w:rPr>
      </w:pPr>
      <w:r w:rsidRPr="00C638CD">
        <w:rPr>
          <w:rFonts w:ascii="Arial" w:hAnsi="Arial" w:cs="FrankRuehl"/>
          <w:sz w:val="28"/>
          <w:szCs w:val="28"/>
          <w:rtl/>
        </w:rPr>
        <w:t xml:space="preserve"> הסניגור הקדיש חלק נרחב </w:t>
      </w:r>
      <w:r>
        <w:rPr>
          <w:rFonts w:ascii="Arial" w:hAnsi="Arial" w:cs="FrankRuehl" w:hint="cs"/>
          <w:sz w:val="28"/>
          <w:szCs w:val="28"/>
          <w:rtl/>
        </w:rPr>
        <w:t>מ</w:t>
      </w:r>
      <w:r w:rsidRPr="00C638CD">
        <w:rPr>
          <w:rFonts w:ascii="Arial" w:hAnsi="Arial" w:cs="FrankRuehl"/>
          <w:sz w:val="28"/>
          <w:szCs w:val="28"/>
          <w:rtl/>
        </w:rPr>
        <w:t>טיעוניו ל</w:t>
      </w:r>
      <w:r>
        <w:rPr>
          <w:rFonts w:ascii="Arial" w:hAnsi="Arial" w:cs="FrankRuehl" w:hint="cs"/>
          <w:sz w:val="28"/>
          <w:szCs w:val="28"/>
          <w:rtl/>
        </w:rPr>
        <w:t xml:space="preserve">גזר הדין בעניינו של </w:t>
      </w:r>
      <w:r w:rsidRPr="00C638CD">
        <w:rPr>
          <w:rFonts w:ascii="Arial" w:hAnsi="Arial" w:cs="FrankRuehl"/>
          <w:sz w:val="28"/>
          <w:szCs w:val="28"/>
          <w:rtl/>
        </w:rPr>
        <w:t>אחמד, שותפו של הנאשם ל-2 מתוך 3 ניסיונות העסקאות בנשק המיוחסות לנאשם</w:t>
      </w:r>
      <w:r>
        <w:rPr>
          <w:rFonts w:ascii="Arial" w:hAnsi="Arial" w:cs="FrankRuehl" w:hint="cs"/>
          <w:sz w:val="28"/>
          <w:szCs w:val="28"/>
          <w:rtl/>
        </w:rPr>
        <w:t xml:space="preserve">. עניינו של אחמד התברר </w:t>
      </w:r>
      <w:r w:rsidRPr="00C638CD">
        <w:rPr>
          <w:rFonts w:ascii="Arial" w:hAnsi="Arial" w:cs="FrankRuehl"/>
          <w:sz w:val="28"/>
          <w:szCs w:val="28"/>
          <w:rtl/>
        </w:rPr>
        <w:t>בבית משפט השלום</w:t>
      </w:r>
      <w:r>
        <w:rPr>
          <w:rFonts w:ascii="Arial" w:hAnsi="Arial" w:cs="FrankRuehl" w:hint="cs"/>
          <w:sz w:val="28"/>
          <w:szCs w:val="28"/>
          <w:rtl/>
        </w:rPr>
        <w:t xml:space="preserve"> </w:t>
      </w:r>
      <w:r w:rsidRPr="00C638CD">
        <w:rPr>
          <w:rFonts w:ascii="Arial" w:hAnsi="Arial" w:cs="FrankRuehl"/>
          <w:sz w:val="28"/>
          <w:szCs w:val="28"/>
          <w:rtl/>
        </w:rPr>
        <w:t xml:space="preserve"> שם נקבע  מתחם עונש הולם שנע בין מאסר לתקופה קצרה שיכול ותבוצע בעבודות שירות לבין 12 חודשי מאסר בפועל, והוטלו </w:t>
      </w:r>
      <w:r>
        <w:rPr>
          <w:rFonts w:ascii="Arial" w:hAnsi="Arial" w:cs="FrankRuehl"/>
          <w:sz w:val="28"/>
          <w:szCs w:val="28"/>
          <w:rtl/>
        </w:rPr>
        <w:t xml:space="preserve">על עליו 5 חודשי עבודות שירות. </w:t>
      </w:r>
    </w:p>
    <w:p w14:paraId="0C7D5A38" w14:textId="77777777" w:rsidR="00537560" w:rsidRPr="00C638CD" w:rsidRDefault="00537560" w:rsidP="00537560">
      <w:pPr>
        <w:spacing w:before="120" w:after="240" w:line="360" w:lineRule="auto"/>
        <w:ind w:left="720"/>
        <w:contextualSpacing/>
        <w:jc w:val="both"/>
        <w:rPr>
          <w:rFonts w:ascii="Arial" w:hAnsi="Arial" w:cs="FrankRuehl"/>
          <w:sz w:val="28"/>
          <w:szCs w:val="28"/>
        </w:rPr>
      </w:pPr>
    </w:p>
    <w:p w14:paraId="3FFADA74" w14:textId="77777777" w:rsidR="00537560" w:rsidRPr="00C638CD" w:rsidRDefault="00537560" w:rsidP="00537560">
      <w:pPr>
        <w:spacing w:before="120" w:after="240" w:line="360" w:lineRule="auto"/>
        <w:ind w:left="720"/>
        <w:jc w:val="both"/>
        <w:rPr>
          <w:rFonts w:ascii="Arial" w:hAnsi="Arial" w:cs="FrankRuehl"/>
          <w:szCs w:val="28"/>
          <w:rtl/>
        </w:rPr>
      </w:pPr>
      <w:r w:rsidRPr="00C638CD">
        <w:rPr>
          <w:rFonts w:ascii="Arial" w:hAnsi="Arial" w:cs="FrankRuehl"/>
          <w:sz w:val="28"/>
          <w:szCs w:val="28"/>
          <w:rtl/>
        </w:rPr>
        <w:t xml:space="preserve">עקרון האחידות בענישה שהוא נגזרת חשובה של עיקרון השוויון לפני החוק – מורה כי ככלל, יש להשית עונשים דומים על מי שהורשעו במסגרת פרשה אחת בביצוע עבירות דומות ובנסיבות דומות. אולם חשוב לזכור כי יש לשקלל תמיד </w:t>
      </w:r>
      <w:r>
        <w:rPr>
          <w:rFonts w:ascii="Arial" w:hAnsi="Arial" w:cs="FrankRuehl" w:hint="cs"/>
          <w:sz w:val="28"/>
          <w:szCs w:val="28"/>
          <w:rtl/>
        </w:rPr>
        <w:t xml:space="preserve">גם </w:t>
      </w:r>
      <w:r w:rsidRPr="00C638CD">
        <w:rPr>
          <w:rFonts w:ascii="Arial" w:hAnsi="Arial" w:cs="FrankRuehl"/>
          <w:sz w:val="28"/>
          <w:szCs w:val="28"/>
          <w:rtl/>
        </w:rPr>
        <w:t>את השוני בין המקרים ואת הנסיבות האינדיבידואליות של כל נאשם ונאשם.</w:t>
      </w:r>
    </w:p>
    <w:p w14:paraId="159B7241" w14:textId="77777777" w:rsidR="00537560" w:rsidRDefault="00537560" w:rsidP="00537560">
      <w:pPr>
        <w:spacing w:before="120" w:after="240" w:line="360" w:lineRule="auto"/>
        <w:ind w:left="720" w:right="142"/>
        <w:jc w:val="both"/>
        <w:rPr>
          <w:rFonts w:ascii="Arial" w:hAnsi="Arial" w:cs="FrankRuehl"/>
          <w:sz w:val="28"/>
          <w:szCs w:val="28"/>
          <w:rtl/>
        </w:rPr>
      </w:pPr>
      <w:r w:rsidRPr="00C638CD">
        <w:rPr>
          <w:rFonts w:ascii="Arial" w:hAnsi="Arial" w:cs="FrankRuehl"/>
          <w:sz w:val="28"/>
          <w:szCs w:val="28"/>
          <w:rtl/>
        </w:rPr>
        <w:t>ענינו של אחמד התברר בבית המשפט השלום ולא במקרה. להבדיל מהנאשם, אחמד  הואשם והורשע בעבירות שבסמכות בית משפט שלום (ניסיון לרכישת נשק) ולא בעביר</w:t>
      </w:r>
      <w:r>
        <w:rPr>
          <w:rFonts w:ascii="Arial" w:hAnsi="Arial" w:cs="FrankRuehl" w:hint="cs"/>
          <w:sz w:val="28"/>
          <w:szCs w:val="28"/>
          <w:rtl/>
        </w:rPr>
        <w:t xml:space="preserve">ה </w:t>
      </w:r>
      <w:r w:rsidRPr="00C638CD">
        <w:rPr>
          <w:rFonts w:ascii="Arial" w:hAnsi="Arial" w:cs="FrankRuehl"/>
          <w:sz w:val="28"/>
          <w:szCs w:val="28"/>
          <w:rtl/>
        </w:rPr>
        <w:t xml:space="preserve"> הקשור</w:t>
      </w:r>
      <w:r>
        <w:rPr>
          <w:rFonts w:ascii="Arial" w:hAnsi="Arial" w:cs="FrankRuehl" w:hint="cs"/>
          <w:sz w:val="28"/>
          <w:szCs w:val="28"/>
          <w:rtl/>
        </w:rPr>
        <w:t xml:space="preserve">ה </w:t>
      </w:r>
      <w:r w:rsidRPr="00C638CD">
        <w:rPr>
          <w:rFonts w:ascii="Arial" w:hAnsi="Arial" w:cs="FrankRuehl"/>
          <w:sz w:val="28"/>
          <w:szCs w:val="28"/>
          <w:rtl/>
        </w:rPr>
        <w:t>בסחר בנשק</w:t>
      </w:r>
      <w:r>
        <w:rPr>
          <w:rFonts w:ascii="Arial" w:hAnsi="Arial" w:cs="FrankRuehl" w:hint="cs"/>
          <w:sz w:val="28"/>
          <w:szCs w:val="28"/>
          <w:rtl/>
        </w:rPr>
        <w:t xml:space="preserve"> בה הורשע הנאשם. </w:t>
      </w:r>
      <w:r w:rsidRPr="00C638CD">
        <w:rPr>
          <w:rFonts w:ascii="Arial" w:hAnsi="Arial" w:cs="FrankRuehl"/>
          <w:sz w:val="28"/>
          <w:szCs w:val="28"/>
          <w:rtl/>
        </w:rPr>
        <w:t>בנוסף, עיון בגזר הדין בעניינו של אחמד (</w:t>
      </w:r>
      <w:hyperlink r:id="rId36" w:history="1">
        <w:r w:rsidR="001B55A1" w:rsidRPr="001B55A1">
          <w:rPr>
            <w:rStyle w:val="Hyperlink"/>
            <w:rFonts w:ascii="Arial" w:hAnsi="Arial" w:cs="FrankRuehl"/>
            <w:sz w:val="28"/>
            <w:szCs w:val="28"/>
            <w:rtl/>
          </w:rPr>
          <w:t>ת"פ 30354-04-16</w:t>
        </w:r>
      </w:hyperlink>
      <w:r w:rsidRPr="00C638CD">
        <w:rPr>
          <w:rFonts w:ascii="Arial" w:hAnsi="Arial" w:cs="FrankRuehl"/>
          <w:sz w:val="28"/>
          <w:szCs w:val="28"/>
          <w:rtl/>
        </w:rPr>
        <w:t xml:space="preserve"> </w:t>
      </w:r>
      <w:r w:rsidRPr="00C638CD">
        <w:rPr>
          <w:rFonts w:ascii="Arial" w:hAnsi="Arial" w:cs="Miriam"/>
          <w:rtl/>
        </w:rPr>
        <w:t>מדינת ישראל נ' גהגאה</w:t>
      </w:r>
      <w:r w:rsidRPr="00C638CD">
        <w:rPr>
          <w:rFonts w:ascii="Arial" w:hAnsi="Arial" w:cs="FrankRuehl"/>
          <w:sz w:val="28"/>
          <w:szCs w:val="28"/>
          <w:rtl/>
        </w:rPr>
        <w:t xml:space="preserve"> (5.2.2017) אשר הובא בפניי על ידי שני הצדדים מעלה כי בעניינו של אחמד ניתנה המלצה חיובית </w:t>
      </w:r>
      <w:r>
        <w:rPr>
          <w:rFonts w:ascii="Arial" w:hAnsi="Arial" w:cs="FrankRuehl" w:hint="cs"/>
          <w:sz w:val="28"/>
          <w:szCs w:val="28"/>
          <w:rtl/>
        </w:rPr>
        <w:t xml:space="preserve">של </w:t>
      </w:r>
      <w:r w:rsidRPr="00C638CD">
        <w:rPr>
          <w:rFonts w:ascii="Arial" w:hAnsi="Arial" w:cs="FrankRuehl"/>
          <w:sz w:val="28"/>
          <w:szCs w:val="28"/>
          <w:rtl/>
        </w:rPr>
        <w:t>שירות המבחן</w:t>
      </w:r>
      <w:r>
        <w:rPr>
          <w:rFonts w:ascii="Arial" w:hAnsi="Arial" w:cs="FrankRuehl" w:hint="cs"/>
          <w:sz w:val="28"/>
          <w:szCs w:val="28"/>
          <w:rtl/>
        </w:rPr>
        <w:t xml:space="preserve"> </w:t>
      </w:r>
      <w:r w:rsidRPr="00C638CD">
        <w:rPr>
          <w:rFonts w:ascii="Arial" w:hAnsi="Arial" w:cs="FrankRuehl"/>
          <w:sz w:val="28"/>
          <w:szCs w:val="28"/>
          <w:rtl/>
        </w:rPr>
        <w:t xml:space="preserve">אשר </w:t>
      </w:r>
      <w:r>
        <w:rPr>
          <w:rFonts w:ascii="Arial" w:hAnsi="Arial" w:cs="FrankRuehl" w:hint="cs"/>
          <w:sz w:val="28"/>
          <w:szCs w:val="28"/>
          <w:rtl/>
        </w:rPr>
        <w:t xml:space="preserve"> </w:t>
      </w:r>
      <w:r w:rsidRPr="00C638CD">
        <w:rPr>
          <w:rFonts w:ascii="Arial" w:hAnsi="Arial" w:cs="FrankRuehl"/>
          <w:sz w:val="28"/>
          <w:szCs w:val="28"/>
          <w:rtl/>
        </w:rPr>
        <w:t>קבע כי הסיכון להישנות עבירות דומות בעתיד הינו נמוך</w:t>
      </w:r>
      <w:r>
        <w:rPr>
          <w:rFonts w:ascii="Arial" w:hAnsi="Arial" w:cs="FrankRuehl" w:hint="cs"/>
          <w:sz w:val="28"/>
          <w:szCs w:val="28"/>
          <w:rtl/>
        </w:rPr>
        <w:t xml:space="preserve">. </w:t>
      </w:r>
      <w:r w:rsidRPr="00C638CD">
        <w:rPr>
          <w:rFonts w:ascii="Arial" w:hAnsi="Arial" w:cs="FrankRuehl"/>
          <w:sz w:val="28"/>
          <w:szCs w:val="28"/>
          <w:rtl/>
        </w:rPr>
        <w:t>בנוסף אחמד הינו אב ל-3 ילדים, סובל ממחלה בגינה עבר טיפולים קשים והוא מצוי כעת במעקב. נסיבות אישיות שונות לחלוטין מנסיבותיו של הנאשם ומהסיכון העתידי הצפוי מהתנהגותו להערכת שירות המבחן.</w:t>
      </w:r>
    </w:p>
    <w:p w14:paraId="077AE07D" w14:textId="77777777" w:rsidR="00537560" w:rsidRPr="00C638CD" w:rsidRDefault="00537560" w:rsidP="00537560">
      <w:pPr>
        <w:spacing w:before="120" w:after="240" w:line="360" w:lineRule="auto"/>
        <w:ind w:left="720"/>
        <w:contextualSpacing/>
        <w:jc w:val="both"/>
        <w:rPr>
          <w:rtl/>
          <w:lang w:eastAsia="he-IL"/>
        </w:rPr>
      </w:pPr>
      <w:r w:rsidRPr="00C638CD">
        <w:rPr>
          <w:rFonts w:ascii="Arial" w:hAnsi="Arial" w:cs="FrankRuehl"/>
          <w:sz w:val="28"/>
          <w:szCs w:val="28"/>
          <w:rtl/>
        </w:rPr>
        <w:t xml:space="preserve">ולסיום </w:t>
      </w:r>
      <w:r>
        <w:rPr>
          <w:rFonts w:ascii="Arial" w:hAnsi="Arial" w:cs="FrankRuehl" w:hint="cs"/>
          <w:sz w:val="28"/>
          <w:szCs w:val="28"/>
          <w:rtl/>
        </w:rPr>
        <w:t>הדיון ב</w:t>
      </w:r>
      <w:r w:rsidRPr="00C638CD">
        <w:rPr>
          <w:rFonts w:ascii="Arial" w:hAnsi="Arial" w:cs="FrankRuehl"/>
          <w:sz w:val="28"/>
          <w:szCs w:val="28"/>
          <w:rtl/>
        </w:rPr>
        <w:t>נושא זה אפנה ל</w:t>
      </w:r>
      <w:hyperlink r:id="rId37" w:history="1">
        <w:r w:rsidR="001B55A1" w:rsidRPr="001B55A1">
          <w:rPr>
            <w:rStyle w:val="Hyperlink"/>
            <w:rFonts w:ascii="Arial" w:hAnsi="Arial" w:cs="FrankRuehl"/>
            <w:sz w:val="28"/>
            <w:szCs w:val="28"/>
            <w:rtl/>
          </w:rPr>
          <w:t>ע"פ 2455/15</w:t>
        </w:r>
      </w:hyperlink>
      <w:r w:rsidRPr="00C638CD">
        <w:rPr>
          <w:rFonts w:ascii="Arial" w:hAnsi="Arial" w:cs="FrankRuehl"/>
          <w:sz w:val="28"/>
          <w:szCs w:val="28"/>
          <w:rtl/>
        </w:rPr>
        <w:t xml:space="preserve"> סראחין נגד מדינת ישראל (20.8.2015):</w:t>
      </w:r>
    </w:p>
    <w:p w14:paraId="1002C9B8" w14:textId="77777777" w:rsidR="00537560" w:rsidRPr="00C638CD" w:rsidRDefault="00537560" w:rsidP="00537560">
      <w:pPr>
        <w:spacing w:before="120" w:after="240"/>
        <w:ind w:left="1440" w:right="709"/>
        <w:contextualSpacing/>
        <w:jc w:val="both"/>
        <w:rPr>
          <w:rFonts w:cs="FrankRuehl"/>
          <w:sz w:val="28"/>
          <w:szCs w:val="28"/>
          <w:rtl/>
          <w:lang w:eastAsia="he-IL"/>
        </w:rPr>
      </w:pPr>
      <w:r w:rsidRPr="00C638CD">
        <w:rPr>
          <w:rFonts w:cs="FrankRuehl"/>
          <w:sz w:val="28"/>
          <w:szCs w:val="28"/>
          <w:rtl/>
          <w:lang w:eastAsia="he-IL"/>
        </w:rPr>
        <w:t>"הלכה היא, כי עקרון אחידות הענישה הוא שיקול אחד במכלול השיקולים שיש לאזנם כדי להגשים את תכלית הענישה (</w:t>
      </w:r>
      <w:hyperlink r:id="rId38" w:history="1">
        <w:r w:rsidR="001B55A1" w:rsidRPr="001B55A1">
          <w:rPr>
            <w:rStyle w:val="Hyperlink"/>
            <w:rFonts w:cs="FrankRuehl"/>
            <w:sz w:val="28"/>
            <w:szCs w:val="28"/>
            <w:rtl/>
            <w:lang w:eastAsia="he-IL"/>
          </w:rPr>
          <w:t>ע"פ 2580/14</w:t>
        </w:r>
      </w:hyperlink>
      <w:r w:rsidRPr="00C638CD">
        <w:rPr>
          <w:rFonts w:cs="FrankRuehl"/>
          <w:sz w:val="28"/>
          <w:szCs w:val="28"/>
          <w:rtl/>
          <w:lang w:eastAsia="he-IL"/>
        </w:rPr>
        <w:t xml:space="preserve"> </w:t>
      </w:r>
      <w:r w:rsidRPr="00C638CD">
        <w:rPr>
          <w:rFonts w:ascii="Century" w:hAnsi="Century" w:cs="Miriam" w:hint="eastAsia"/>
          <w:b/>
          <w:rtl/>
          <w:lang w:eastAsia="he-IL"/>
        </w:rPr>
        <w:t>חסן</w:t>
      </w:r>
      <w:r w:rsidRPr="00C638CD">
        <w:rPr>
          <w:rFonts w:ascii="Century" w:hAnsi="Century" w:cs="Miriam"/>
          <w:b/>
          <w:rtl/>
          <w:lang w:eastAsia="he-IL"/>
        </w:rPr>
        <w:t xml:space="preserve"> </w:t>
      </w:r>
      <w:r w:rsidRPr="00C638CD">
        <w:rPr>
          <w:rFonts w:ascii="Century" w:hAnsi="Century" w:cs="Miriam" w:hint="eastAsia"/>
          <w:b/>
          <w:rtl/>
          <w:lang w:eastAsia="he-IL"/>
        </w:rPr>
        <w:t>נ</w:t>
      </w:r>
      <w:r w:rsidRPr="00C638CD">
        <w:rPr>
          <w:rFonts w:ascii="Century" w:hAnsi="Century" w:cs="Miriam"/>
          <w:b/>
          <w:rtl/>
          <w:lang w:eastAsia="he-IL"/>
        </w:rPr>
        <w:t xml:space="preserve">' </w:t>
      </w:r>
      <w:r w:rsidRPr="00C638CD">
        <w:rPr>
          <w:rFonts w:ascii="Century" w:hAnsi="Century" w:cs="Miriam" w:hint="eastAsia"/>
          <w:b/>
          <w:rtl/>
          <w:lang w:eastAsia="he-IL"/>
        </w:rPr>
        <w:t>מדינת</w:t>
      </w:r>
      <w:r w:rsidRPr="00C638CD">
        <w:rPr>
          <w:rFonts w:ascii="Century" w:hAnsi="Century" w:cs="Miriam"/>
          <w:b/>
          <w:rtl/>
          <w:lang w:eastAsia="he-IL"/>
        </w:rPr>
        <w:t xml:space="preserve"> </w:t>
      </w:r>
      <w:r w:rsidRPr="00C638CD">
        <w:rPr>
          <w:rFonts w:ascii="Century" w:hAnsi="Century" w:cs="Miriam" w:hint="eastAsia"/>
          <w:b/>
          <w:rtl/>
          <w:lang w:eastAsia="he-IL"/>
        </w:rPr>
        <w:t>ישראל</w:t>
      </w:r>
      <w:r w:rsidRPr="00C638CD">
        <w:rPr>
          <w:rFonts w:cs="FrankRuehl"/>
          <w:sz w:val="28"/>
          <w:szCs w:val="28"/>
          <w:rtl/>
          <w:lang w:eastAsia="he-IL"/>
        </w:rPr>
        <w:t xml:space="preserve"> (23.9.2014)). אין בו כדי לחייב את בית המשפט לגזור עונשים לפי שוויון אריתמטי מקום ששיקולים אחרים, דוגמת נסיבותיהם האישיות של נאשמים, תומכים בהבחנה ביניהם לעניין העונש (</w:t>
      </w:r>
      <w:hyperlink r:id="rId39" w:history="1">
        <w:r w:rsidR="001B55A1" w:rsidRPr="001B55A1">
          <w:rPr>
            <w:rStyle w:val="Hyperlink"/>
            <w:rFonts w:cs="FrankRuehl"/>
            <w:sz w:val="28"/>
            <w:szCs w:val="28"/>
            <w:rtl/>
            <w:lang w:eastAsia="he-IL"/>
          </w:rPr>
          <w:t>ע"פ 10370/02</w:t>
        </w:r>
      </w:hyperlink>
      <w:r w:rsidRPr="00C638CD">
        <w:rPr>
          <w:rFonts w:cs="FrankRuehl"/>
          <w:sz w:val="28"/>
          <w:szCs w:val="28"/>
          <w:rtl/>
          <w:lang w:eastAsia="he-IL"/>
        </w:rPr>
        <w:t xml:space="preserve"> </w:t>
      </w:r>
      <w:r w:rsidRPr="00C638CD">
        <w:rPr>
          <w:rFonts w:ascii="Century" w:hAnsi="Century" w:cs="Miriam" w:hint="eastAsia"/>
          <w:b/>
          <w:rtl/>
          <w:lang w:eastAsia="he-IL"/>
        </w:rPr>
        <w:t>סויסה</w:t>
      </w:r>
      <w:r w:rsidRPr="00C638CD">
        <w:rPr>
          <w:rFonts w:ascii="Century" w:hAnsi="Century" w:cs="Miriam"/>
          <w:b/>
          <w:rtl/>
          <w:lang w:eastAsia="he-IL"/>
        </w:rPr>
        <w:t xml:space="preserve"> </w:t>
      </w:r>
      <w:r w:rsidRPr="00C638CD">
        <w:rPr>
          <w:rFonts w:ascii="Century" w:hAnsi="Century" w:cs="Miriam" w:hint="eastAsia"/>
          <w:b/>
          <w:rtl/>
          <w:lang w:eastAsia="he-IL"/>
        </w:rPr>
        <w:t>נ</w:t>
      </w:r>
      <w:r w:rsidRPr="00C638CD">
        <w:rPr>
          <w:rFonts w:ascii="Century" w:hAnsi="Century" w:cs="Miriam"/>
          <w:b/>
          <w:rtl/>
          <w:lang w:eastAsia="he-IL"/>
        </w:rPr>
        <w:t xml:space="preserve">' </w:t>
      </w:r>
      <w:r w:rsidRPr="00C638CD">
        <w:rPr>
          <w:rFonts w:ascii="Century" w:hAnsi="Century" w:cs="Miriam" w:hint="eastAsia"/>
          <w:b/>
          <w:rtl/>
          <w:lang w:eastAsia="he-IL"/>
        </w:rPr>
        <w:t>מדינת</w:t>
      </w:r>
      <w:r w:rsidRPr="00C638CD">
        <w:rPr>
          <w:rFonts w:ascii="Century" w:hAnsi="Century" w:cs="Miriam"/>
          <w:b/>
          <w:rtl/>
          <w:lang w:eastAsia="he-IL"/>
        </w:rPr>
        <w:t xml:space="preserve"> </w:t>
      </w:r>
      <w:r w:rsidRPr="00C638CD">
        <w:rPr>
          <w:rFonts w:ascii="Century" w:hAnsi="Century" w:cs="Miriam" w:hint="eastAsia"/>
          <w:b/>
          <w:rtl/>
          <w:lang w:eastAsia="he-IL"/>
        </w:rPr>
        <w:t>ישראל</w:t>
      </w:r>
      <w:r w:rsidRPr="00C638CD">
        <w:rPr>
          <w:rFonts w:cs="FrankRuehl"/>
          <w:sz w:val="28"/>
          <w:szCs w:val="28"/>
          <w:rtl/>
          <w:lang w:eastAsia="he-IL"/>
        </w:rPr>
        <w:t xml:space="preserve"> (27.5.2003)). בנוסף, תיתכן סטייה מעיקרון אחידות הענישה אף כאשר קיימת זהות בנסיבותיהם האישיות של הנאשמים, אם מצא בית המשפט כי שיקולי ענישה כללים גוברים על עיקרון אחידות הענישה... יש לאזן את עקרון אחידות הענישה אל מול עקרון ההלימה, שעל-פי סעיף 40ב ל</w:t>
      </w:r>
      <w:hyperlink r:id="rId40" w:history="1">
        <w:r w:rsidR="001B55A1" w:rsidRPr="001B55A1">
          <w:rPr>
            <w:rStyle w:val="Hyperlink"/>
            <w:rFonts w:cs="FrankRuehl"/>
            <w:sz w:val="28"/>
            <w:szCs w:val="28"/>
            <w:rtl/>
            <w:lang w:eastAsia="he-IL"/>
          </w:rPr>
          <w:t>חוק העונשין</w:t>
        </w:r>
      </w:hyperlink>
      <w:r w:rsidRPr="00C638CD">
        <w:rPr>
          <w:rFonts w:cs="FrankRuehl"/>
          <w:sz w:val="28"/>
          <w:szCs w:val="28"/>
          <w:rtl/>
          <w:lang w:eastAsia="he-IL"/>
        </w:rPr>
        <w:t xml:space="preserve"> הוא עקרון מנחה בענישה".</w:t>
      </w:r>
    </w:p>
    <w:p w14:paraId="5601550F" w14:textId="77777777" w:rsidR="00537560" w:rsidRPr="00C638CD" w:rsidRDefault="00537560" w:rsidP="00537560">
      <w:pPr>
        <w:spacing w:before="120" w:after="240" w:line="360" w:lineRule="auto"/>
        <w:ind w:right="709"/>
        <w:contextualSpacing/>
        <w:jc w:val="both"/>
        <w:rPr>
          <w:rFonts w:cs="FrankRuehl"/>
          <w:sz w:val="28"/>
          <w:szCs w:val="28"/>
          <w:rtl/>
          <w:lang w:eastAsia="he-IL"/>
        </w:rPr>
      </w:pPr>
    </w:p>
    <w:p w14:paraId="0C2909A7" w14:textId="77777777" w:rsidR="00537560" w:rsidRPr="00C638CD" w:rsidRDefault="00537560" w:rsidP="00537560">
      <w:pPr>
        <w:spacing w:before="120" w:after="240" w:line="360" w:lineRule="auto"/>
        <w:ind w:left="720"/>
        <w:contextualSpacing/>
        <w:jc w:val="both"/>
        <w:rPr>
          <w:rFonts w:cs="FrankRuehl"/>
          <w:sz w:val="28"/>
          <w:szCs w:val="28"/>
          <w:rtl/>
          <w:lang w:eastAsia="he-IL"/>
        </w:rPr>
      </w:pPr>
      <w:r>
        <w:rPr>
          <w:rFonts w:cs="FrankRuehl" w:hint="cs"/>
          <w:sz w:val="28"/>
          <w:szCs w:val="28"/>
          <w:rtl/>
          <w:lang w:eastAsia="he-IL"/>
        </w:rPr>
        <w:t xml:space="preserve">לאור האמור לעיל, </w:t>
      </w:r>
      <w:r w:rsidRPr="00C638CD">
        <w:rPr>
          <w:rFonts w:cs="FrankRuehl"/>
          <w:sz w:val="28"/>
          <w:szCs w:val="28"/>
          <w:rtl/>
          <w:lang w:eastAsia="he-IL"/>
        </w:rPr>
        <w:t>אתייחס לעונש שהוטל על אחמד בבית משפט השלום בגין חלק מהעבירות  בהן הורשע הנאשם,  את</w:t>
      </w:r>
      <w:r>
        <w:rPr>
          <w:rFonts w:cs="FrankRuehl" w:hint="cs"/>
          <w:sz w:val="28"/>
          <w:szCs w:val="28"/>
          <w:rtl/>
          <w:lang w:eastAsia="he-IL"/>
        </w:rPr>
        <w:t>י</w:t>
      </w:r>
      <w:r w:rsidRPr="00C638CD">
        <w:rPr>
          <w:rFonts w:cs="FrankRuehl"/>
          <w:sz w:val="28"/>
          <w:szCs w:val="28"/>
          <w:rtl/>
          <w:lang w:eastAsia="he-IL"/>
        </w:rPr>
        <w:t>יחס לשוני המהותי לזכות אחמד בדבר הנסיבות האישיות ואשקלל במסגרת כל השיקולים את עקרון ההלימה שהוא עקרון מנחה בעל משקל משמעותי לאחר תיקון 113 לחוק.</w:t>
      </w:r>
    </w:p>
    <w:p w14:paraId="1D64000C" w14:textId="77777777" w:rsidR="00537560" w:rsidRPr="00C638CD" w:rsidRDefault="00537560" w:rsidP="00537560">
      <w:pPr>
        <w:spacing w:before="120" w:after="240" w:line="360" w:lineRule="auto"/>
        <w:ind w:left="720"/>
        <w:contextualSpacing/>
        <w:jc w:val="both"/>
        <w:rPr>
          <w:rFonts w:cs="FrankRuehl"/>
          <w:sz w:val="28"/>
          <w:szCs w:val="28"/>
          <w:rtl/>
          <w:lang w:eastAsia="he-IL"/>
        </w:rPr>
      </w:pPr>
    </w:p>
    <w:p w14:paraId="20627E90" w14:textId="77777777" w:rsidR="00537560" w:rsidRPr="00C638CD" w:rsidRDefault="00537560" w:rsidP="00537560">
      <w:pPr>
        <w:spacing w:before="120" w:after="240" w:line="360" w:lineRule="auto"/>
        <w:ind w:left="357" w:firstLine="357"/>
        <w:contextualSpacing/>
        <w:jc w:val="both"/>
        <w:rPr>
          <w:rFonts w:ascii="Arial" w:hAnsi="Arial" w:cs="Miriam"/>
        </w:rPr>
      </w:pPr>
      <w:r w:rsidRPr="00C638CD">
        <w:rPr>
          <w:rFonts w:ascii="Arial" w:hAnsi="Arial" w:cs="Miriam"/>
          <w:rtl/>
        </w:rPr>
        <w:t>סיכום</w:t>
      </w:r>
    </w:p>
    <w:p w14:paraId="7D9E289C" w14:textId="77777777" w:rsidR="00537560" w:rsidRPr="00C638CD" w:rsidRDefault="00537560" w:rsidP="00537560">
      <w:pPr>
        <w:spacing w:before="120" w:after="240" w:line="360" w:lineRule="auto"/>
        <w:ind w:left="357" w:firstLine="357"/>
        <w:contextualSpacing/>
        <w:jc w:val="both"/>
        <w:rPr>
          <w:rFonts w:ascii="Arial" w:hAnsi="Arial" w:cs="FrankRuehl"/>
          <w:szCs w:val="28"/>
          <w:rtl/>
        </w:rPr>
      </w:pPr>
      <w:r w:rsidRPr="00C638CD">
        <w:rPr>
          <w:rFonts w:ascii="Arial" w:hAnsi="Arial" w:cs="FrankRuehl"/>
          <w:szCs w:val="28"/>
          <w:rtl/>
        </w:rPr>
        <w:t>לאור האמור לעיל אני דן את הנאשם לעונש</w:t>
      </w:r>
      <w:r>
        <w:rPr>
          <w:rFonts w:ascii="Arial" w:hAnsi="Arial" w:cs="FrankRuehl" w:hint="cs"/>
          <w:szCs w:val="28"/>
          <w:rtl/>
        </w:rPr>
        <w:t xml:space="preserve">ים </w:t>
      </w:r>
      <w:r w:rsidRPr="00C638CD">
        <w:rPr>
          <w:rFonts w:ascii="Arial" w:hAnsi="Arial" w:cs="FrankRuehl"/>
          <w:szCs w:val="28"/>
          <w:rtl/>
        </w:rPr>
        <w:t>הבא</w:t>
      </w:r>
      <w:r>
        <w:rPr>
          <w:rFonts w:ascii="Arial" w:hAnsi="Arial" w:cs="FrankRuehl" w:hint="cs"/>
          <w:szCs w:val="28"/>
          <w:rtl/>
        </w:rPr>
        <w:t>ים</w:t>
      </w:r>
      <w:r w:rsidRPr="00C638CD">
        <w:rPr>
          <w:rFonts w:ascii="Arial" w:hAnsi="Arial" w:cs="FrankRuehl"/>
          <w:szCs w:val="28"/>
          <w:rtl/>
        </w:rPr>
        <w:t>:</w:t>
      </w:r>
    </w:p>
    <w:p w14:paraId="3788E1C2" w14:textId="77777777" w:rsidR="00537560" w:rsidRPr="00C638CD" w:rsidRDefault="00537560" w:rsidP="00537560">
      <w:pPr>
        <w:numPr>
          <w:ilvl w:val="0"/>
          <w:numId w:val="2"/>
        </w:numPr>
        <w:spacing w:line="360" w:lineRule="auto"/>
        <w:ind w:left="720"/>
        <w:contextualSpacing/>
        <w:jc w:val="both"/>
        <w:rPr>
          <w:rFonts w:ascii="Arial" w:hAnsi="Arial" w:cs="FrankRuehl"/>
          <w:sz w:val="28"/>
          <w:szCs w:val="28"/>
        </w:rPr>
      </w:pPr>
      <w:r w:rsidRPr="00C638CD">
        <w:rPr>
          <w:rFonts w:ascii="Arial" w:hAnsi="Arial" w:cs="FrankRuehl"/>
          <w:sz w:val="28"/>
          <w:szCs w:val="28"/>
          <w:u w:val="single"/>
          <w:rtl/>
        </w:rPr>
        <w:t>20</w:t>
      </w:r>
      <w:r w:rsidRPr="00C638CD">
        <w:rPr>
          <w:rFonts w:ascii="Arial" w:hAnsi="Arial" w:cs="FrankRuehl"/>
          <w:sz w:val="28"/>
          <w:szCs w:val="28"/>
          <w:rtl/>
        </w:rPr>
        <w:t xml:space="preserve"> חודשי מאסר בפועל, בניכוי תקופת מעצרו מיום 28.3.2016 ועד ליום 14.6.2016.</w:t>
      </w:r>
    </w:p>
    <w:p w14:paraId="19499756" w14:textId="77777777" w:rsidR="00537560" w:rsidRPr="00C638CD" w:rsidRDefault="00537560" w:rsidP="00537560">
      <w:pPr>
        <w:numPr>
          <w:ilvl w:val="0"/>
          <w:numId w:val="2"/>
        </w:numPr>
        <w:spacing w:line="360" w:lineRule="auto"/>
        <w:ind w:left="720"/>
        <w:contextualSpacing/>
        <w:jc w:val="both"/>
        <w:rPr>
          <w:rFonts w:ascii="Arial" w:hAnsi="Arial" w:cs="FrankRuehl"/>
          <w:sz w:val="28"/>
          <w:szCs w:val="28"/>
        </w:rPr>
      </w:pPr>
      <w:r w:rsidRPr="00C638CD">
        <w:rPr>
          <w:rFonts w:ascii="Arial" w:hAnsi="Arial" w:cs="FrankRuehl"/>
          <w:sz w:val="28"/>
          <w:szCs w:val="28"/>
          <w:u w:val="single"/>
          <w:rtl/>
        </w:rPr>
        <w:t>12</w:t>
      </w:r>
      <w:r w:rsidRPr="00C638CD">
        <w:rPr>
          <w:rFonts w:ascii="Arial" w:hAnsi="Arial" w:cs="FrankRuehl"/>
          <w:sz w:val="28"/>
          <w:szCs w:val="28"/>
          <w:rtl/>
        </w:rPr>
        <w:t xml:space="preserve"> חודשי מאסר על תנאי, הנאשם לא ישא את עונש המאסר על  תנאי </w:t>
      </w:r>
      <w:r w:rsidRPr="00C638CD">
        <w:rPr>
          <w:rFonts w:cs="Times New Roman"/>
          <w:sz w:val="28"/>
          <w:szCs w:val="26"/>
          <w:rtl/>
        </w:rPr>
        <w:t xml:space="preserve">אלא אם יעבור תוך שלוש שנים עבירה בנשק ויורשע בשל עבירה כזאת תוך תקופת התנאי או לאחריה. </w:t>
      </w:r>
    </w:p>
    <w:p w14:paraId="373F7923" w14:textId="77777777" w:rsidR="00537560" w:rsidRPr="00C638CD" w:rsidRDefault="00537560" w:rsidP="00537560">
      <w:pPr>
        <w:numPr>
          <w:ilvl w:val="0"/>
          <w:numId w:val="2"/>
        </w:numPr>
        <w:spacing w:line="360" w:lineRule="auto"/>
        <w:ind w:left="651" w:hanging="283"/>
        <w:contextualSpacing/>
        <w:jc w:val="both"/>
        <w:rPr>
          <w:rFonts w:ascii="David" w:hAnsi="David" w:cs="FrankRuehl"/>
        </w:rPr>
      </w:pPr>
      <w:r w:rsidRPr="00C638CD">
        <w:rPr>
          <w:rFonts w:ascii="David" w:hAnsi="David" w:cs="FrankRuehl" w:hint="eastAsia"/>
          <w:szCs w:val="28"/>
          <w:rtl/>
        </w:rPr>
        <w:t>קנס</w:t>
      </w:r>
      <w:r w:rsidRPr="00C638CD">
        <w:rPr>
          <w:rFonts w:ascii="David" w:hAnsi="David" w:cs="FrankRuehl"/>
          <w:szCs w:val="28"/>
          <w:rtl/>
        </w:rPr>
        <w:t xml:space="preserve"> </w:t>
      </w:r>
      <w:r w:rsidRPr="00C638CD">
        <w:rPr>
          <w:rFonts w:ascii="David" w:hAnsi="David" w:cs="FrankRuehl" w:hint="eastAsia"/>
          <w:szCs w:val="28"/>
          <w:rtl/>
        </w:rPr>
        <w:t>בסכום</w:t>
      </w:r>
      <w:r w:rsidRPr="00C638CD">
        <w:rPr>
          <w:rFonts w:ascii="David" w:hAnsi="David" w:cs="FrankRuehl"/>
          <w:szCs w:val="28"/>
          <w:rtl/>
        </w:rPr>
        <w:t xml:space="preserve"> </w:t>
      </w:r>
      <w:r w:rsidRPr="00C638CD">
        <w:rPr>
          <w:rFonts w:ascii="David" w:hAnsi="David" w:cs="FrankRuehl" w:hint="eastAsia"/>
          <w:szCs w:val="28"/>
          <w:rtl/>
        </w:rPr>
        <w:t>של</w:t>
      </w:r>
      <w:r w:rsidRPr="00C638CD">
        <w:rPr>
          <w:rFonts w:ascii="David" w:hAnsi="David" w:cs="FrankRuehl"/>
          <w:szCs w:val="28"/>
          <w:rtl/>
        </w:rPr>
        <w:t xml:space="preserve"> </w:t>
      </w:r>
      <w:r w:rsidRPr="00C638CD">
        <w:rPr>
          <w:rFonts w:ascii="David" w:hAnsi="David" w:cs="FrankRuehl"/>
          <w:szCs w:val="28"/>
          <w:u w:val="single"/>
          <w:rtl/>
        </w:rPr>
        <w:t>5,000</w:t>
      </w:r>
      <w:r w:rsidRPr="00C638CD">
        <w:rPr>
          <w:rFonts w:ascii="David" w:hAnsi="David" w:cs="FrankRuehl"/>
          <w:szCs w:val="28"/>
          <w:rtl/>
        </w:rPr>
        <w:t xml:space="preserve"> </w:t>
      </w:r>
      <w:r w:rsidRPr="00C638CD">
        <w:rPr>
          <w:rFonts w:ascii="David" w:hAnsi="David" w:cs="FrankRuehl" w:hint="eastAsia"/>
          <w:szCs w:val="28"/>
          <w:rtl/>
        </w:rPr>
        <w:t>ש</w:t>
      </w:r>
      <w:r w:rsidRPr="00C638CD">
        <w:rPr>
          <w:rFonts w:ascii="David" w:hAnsi="David" w:cs="FrankRuehl"/>
          <w:szCs w:val="28"/>
          <w:rtl/>
        </w:rPr>
        <w:t>"</w:t>
      </w:r>
      <w:r w:rsidRPr="00C638CD">
        <w:rPr>
          <w:rFonts w:ascii="David" w:hAnsi="David" w:cs="FrankRuehl" w:hint="eastAsia"/>
          <w:szCs w:val="28"/>
          <w:rtl/>
        </w:rPr>
        <w:t>ח</w:t>
      </w:r>
      <w:r w:rsidRPr="00C638CD">
        <w:rPr>
          <w:rFonts w:ascii="David" w:hAnsi="David" w:cs="FrankRuehl"/>
          <w:szCs w:val="28"/>
          <w:rtl/>
        </w:rPr>
        <w:t xml:space="preserve"> </w:t>
      </w:r>
      <w:r w:rsidRPr="00C638CD">
        <w:rPr>
          <w:rFonts w:ascii="David" w:hAnsi="David" w:cs="FrankRuehl" w:hint="eastAsia"/>
          <w:szCs w:val="28"/>
          <w:rtl/>
        </w:rPr>
        <w:t>או</w:t>
      </w:r>
      <w:r w:rsidRPr="00C638CD">
        <w:rPr>
          <w:rFonts w:ascii="David" w:hAnsi="David" w:cs="FrankRuehl"/>
          <w:szCs w:val="28"/>
          <w:rtl/>
        </w:rPr>
        <w:t xml:space="preserve"> 6 </w:t>
      </w:r>
      <w:r w:rsidRPr="00C638CD">
        <w:rPr>
          <w:rFonts w:ascii="David" w:hAnsi="David" w:cs="FrankRuehl" w:hint="eastAsia"/>
          <w:szCs w:val="28"/>
          <w:rtl/>
        </w:rPr>
        <w:t>חודשי</w:t>
      </w:r>
      <w:r w:rsidRPr="00C638CD">
        <w:rPr>
          <w:rFonts w:ascii="David" w:hAnsi="David" w:cs="FrankRuehl"/>
          <w:szCs w:val="28"/>
          <w:rtl/>
        </w:rPr>
        <w:t xml:space="preserve"> </w:t>
      </w:r>
      <w:r w:rsidRPr="00C638CD">
        <w:rPr>
          <w:rFonts w:ascii="David" w:hAnsi="David" w:cs="FrankRuehl" w:hint="eastAsia"/>
          <w:szCs w:val="28"/>
          <w:rtl/>
        </w:rPr>
        <w:t>מאסר</w:t>
      </w:r>
      <w:r w:rsidRPr="00C638CD">
        <w:rPr>
          <w:rFonts w:ascii="David" w:hAnsi="David" w:cs="FrankRuehl"/>
          <w:szCs w:val="28"/>
          <w:rtl/>
        </w:rPr>
        <w:t xml:space="preserve"> </w:t>
      </w:r>
      <w:r w:rsidRPr="00C638CD">
        <w:rPr>
          <w:rFonts w:ascii="David" w:hAnsi="David" w:cs="FrankRuehl" w:hint="eastAsia"/>
          <w:szCs w:val="28"/>
          <w:rtl/>
        </w:rPr>
        <w:t>תמורתו</w:t>
      </w:r>
      <w:r w:rsidRPr="00C638CD">
        <w:rPr>
          <w:rFonts w:ascii="David" w:hAnsi="David" w:cs="FrankRuehl"/>
          <w:szCs w:val="28"/>
          <w:rtl/>
        </w:rPr>
        <w:t xml:space="preserve">, </w:t>
      </w:r>
      <w:r w:rsidRPr="00C638CD">
        <w:rPr>
          <w:rFonts w:ascii="David" w:hAnsi="David" w:cs="FrankRuehl" w:hint="eastAsia"/>
          <w:szCs w:val="28"/>
          <w:rtl/>
        </w:rPr>
        <w:t>הקנס</w:t>
      </w:r>
      <w:r w:rsidRPr="00C638CD">
        <w:rPr>
          <w:rFonts w:ascii="David" w:hAnsi="David" w:cs="FrankRuehl"/>
          <w:szCs w:val="28"/>
          <w:rtl/>
        </w:rPr>
        <w:t xml:space="preserve"> </w:t>
      </w:r>
      <w:r w:rsidRPr="00C638CD">
        <w:rPr>
          <w:rFonts w:ascii="David" w:hAnsi="David" w:cs="FrankRuehl" w:hint="eastAsia"/>
          <w:szCs w:val="28"/>
          <w:rtl/>
        </w:rPr>
        <w:t>ישולם</w:t>
      </w:r>
      <w:r w:rsidRPr="00C638CD">
        <w:rPr>
          <w:rFonts w:ascii="David" w:hAnsi="David" w:cs="FrankRuehl"/>
          <w:szCs w:val="28"/>
          <w:rtl/>
        </w:rPr>
        <w:t xml:space="preserve"> </w:t>
      </w:r>
      <w:r w:rsidRPr="00C638CD">
        <w:rPr>
          <w:rFonts w:ascii="David" w:hAnsi="David" w:cs="FrankRuehl" w:hint="eastAsia"/>
          <w:szCs w:val="28"/>
          <w:rtl/>
        </w:rPr>
        <w:t>על</w:t>
      </w:r>
      <w:r w:rsidRPr="00C638CD">
        <w:rPr>
          <w:rFonts w:ascii="David" w:hAnsi="David" w:cs="FrankRuehl"/>
          <w:szCs w:val="28"/>
          <w:rtl/>
        </w:rPr>
        <w:t xml:space="preserve"> </w:t>
      </w:r>
      <w:r w:rsidRPr="00C638CD">
        <w:rPr>
          <w:rFonts w:ascii="David" w:hAnsi="David" w:cs="FrankRuehl" w:hint="eastAsia"/>
          <w:szCs w:val="28"/>
          <w:rtl/>
        </w:rPr>
        <w:t>ידי</w:t>
      </w:r>
      <w:r w:rsidRPr="00C638CD">
        <w:rPr>
          <w:rFonts w:ascii="David" w:hAnsi="David" w:cs="FrankRuehl"/>
          <w:szCs w:val="28"/>
          <w:rtl/>
        </w:rPr>
        <w:t xml:space="preserve"> </w:t>
      </w:r>
      <w:r w:rsidRPr="00C638CD">
        <w:rPr>
          <w:rFonts w:ascii="David" w:hAnsi="David" w:cs="FrankRuehl" w:hint="eastAsia"/>
          <w:szCs w:val="28"/>
          <w:rtl/>
        </w:rPr>
        <w:t>הנאשם</w:t>
      </w:r>
      <w:r w:rsidRPr="00C638CD">
        <w:rPr>
          <w:rFonts w:ascii="David" w:hAnsi="David" w:cs="FrankRuehl"/>
          <w:szCs w:val="28"/>
          <w:rtl/>
        </w:rPr>
        <w:t xml:space="preserve"> </w:t>
      </w:r>
      <w:r w:rsidRPr="00C638CD">
        <w:rPr>
          <w:rFonts w:ascii="David" w:hAnsi="David" w:cs="FrankRuehl" w:hint="eastAsia"/>
          <w:szCs w:val="28"/>
          <w:rtl/>
        </w:rPr>
        <w:t>ב</w:t>
      </w:r>
      <w:r w:rsidRPr="00C638CD">
        <w:rPr>
          <w:rFonts w:ascii="David" w:hAnsi="David" w:cs="FrankRuehl"/>
          <w:szCs w:val="28"/>
          <w:rtl/>
        </w:rPr>
        <w:t>-</w:t>
      </w:r>
      <w:r>
        <w:rPr>
          <w:rFonts w:ascii="David" w:hAnsi="David" w:cs="FrankRuehl" w:hint="cs"/>
          <w:szCs w:val="28"/>
          <w:rtl/>
        </w:rPr>
        <w:t>5</w:t>
      </w:r>
      <w:r w:rsidRPr="00C638CD">
        <w:rPr>
          <w:rFonts w:ascii="David" w:hAnsi="David" w:cs="FrankRuehl"/>
          <w:szCs w:val="28"/>
          <w:rtl/>
        </w:rPr>
        <w:t xml:space="preserve"> </w:t>
      </w:r>
      <w:r w:rsidRPr="00C638CD">
        <w:rPr>
          <w:rFonts w:ascii="David" w:hAnsi="David" w:cs="FrankRuehl" w:hint="eastAsia"/>
          <w:szCs w:val="28"/>
          <w:rtl/>
        </w:rPr>
        <w:t>תשלומים</w:t>
      </w:r>
      <w:r w:rsidRPr="00C638CD">
        <w:rPr>
          <w:rFonts w:ascii="David" w:hAnsi="David" w:cs="FrankRuehl"/>
          <w:szCs w:val="28"/>
          <w:rtl/>
        </w:rPr>
        <w:t xml:space="preserve"> </w:t>
      </w:r>
      <w:r w:rsidRPr="00C638CD">
        <w:rPr>
          <w:rFonts w:ascii="David" w:hAnsi="David" w:cs="FrankRuehl" w:hint="eastAsia"/>
          <w:szCs w:val="28"/>
          <w:rtl/>
        </w:rPr>
        <w:t>שווים</w:t>
      </w:r>
      <w:r w:rsidRPr="00C638CD">
        <w:rPr>
          <w:rFonts w:ascii="David" w:hAnsi="David" w:cs="FrankRuehl"/>
          <w:szCs w:val="28"/>
          <w:rtl/>
        </w:rPr>
        <w:t xml:space="preserve">, </w:t>
      </w:r>
      <w:r w:rsidRPr="00C638CD">
        <w:rPr>
          <w:rFonts w:ascii="David" w:hAnsi="David" w:cs="FrankRuehl" w:hint="eastAsia"/>
          <w:szCs w:val="28"/>
          <w:rtl/>
        </w:rPr>
        <w:t>החל</w:t>
      </w:r>
      <w:r w:rsidRPr="00C638CD">
        <w:rPr>
          <w:rFonts w:ascii="David" w:hAnsi="David" w:cs="FrankRuehl"/>
          <w:szCs w:val="28"/>
          <w:rtl/>
        </w:rPr>
        <w:t xml:space="preserve"> </w:t>
      </w:r>
      <w:r w:rsidRPr="00C638CD">
        <w:rPr>
          <w:rFonts w:ascii="David" w:hAnsi="David" w:cs="FrankRuehl" w:hint="eastAsia"/>
          <w:szCs w:val="28"/>
          <w:rtl/>
        </w:rPr>
        <w:t>מיום</w:t>
      </w:r>
      <w:r w:rsidRPr="00C638CD">
        <w:rPr>
          <w:rFonts w:ascii="David" w:hAnsi="David" w:cs="FrankRuehl"/>
          <w:szCs w:val="28"/>
          <w:rtl/>
        </w:rPr>
        <w:t xml:space="preserve">  1.1.2018 </w:t>
      </w:r>
      <w:r w:rsidRPr="00C638CD">
        <w:rPr>
          <w:rFonts w:ascii="David" w:hAnsi="David" w:cs="FrankRuehl" w:hint="eastAsia"/>
          <w:szCs w:val="28"/>
          <w:rtl/>
        </w:rPr>
        <w:t>ובכל</w:t>
      </w:r>
      <w:r w:rsidRPr="00C638CD">
        <w:rPr>
          <w:rFonts w:ascii="David" w:hAnsi="David" w:cs="FrankRuehl"/>
          <w:szCs w:val="28"/>
          <w:rtl/>
        </w:rPr>
        <w:t xml:space="preserve"> </w:t>
      </w:r>
      <w:r w:rsidRPr="00C638CD">
        <w:rPr>
          <w:rFonts w:ascii="David" w:hAnsi="David" w:cs="FrankRuehl" w:hint="eastAsia"/>
          <w:szCs w:val="28"/>
          <w:rtl/>
        </w:rPr>
        <w:t>ראשון</w:t>
      </w:r>
      <w:r w:rsidRPr="00C638CD">
        <w:rPr>
          <w:rFonts w:ascii="David" w:hAnsi="David" w:cs="FrankRuehl"/>
          <w:szCs w:val="28"/>
          <w:rtl/>
        </w:rPr>
        <w:t xml:space="preserve"> </w:t>
      </w:r>
      <w:r w:rsidRPr="00C638CD">
        <w:rPr>
          <w:rFonts w:ascii="David" w:hAnsi="David" w:cs="FrankRuehl" w:hint="eastAsia"/>
          <w:szCs w:val="28"/>
          <w:rtl/>
        </w:rPr>
        <w:t>לחודש</w:t>
      </w:r>
      <w:r w:rsidRPr="00C638CD">
        <w:rPr>
          <w:rFonts w:ascii="David" w:hAnsi="David" w:cs="FrankRuehl"/>
          <w:szCs w:val="28"/>
          <w:rtl/>
        </w:rPr>
        <w:t xml:space="preserve"> </w:t>
      </w:r>
      <w:r w:rsidRPr="00C638CD">
        <w:rPr>
          <w:rFonts w:ascii="David" w:hAnsi="David" w:cs="FrankRuehl" w:hint="eastAsia"/>
          <w:szCs w:val="28"/>
          <w:rtl/>
        </w:rPr>
        <w:t>לאחר</w:t>
      </w:r>
      <w:r w:rsidRPr="00C638CD">
        <w:rPr>
          <w:rFonts w:ascii="David" w:hAnsi="David" w:cs="FrankRuehl"/>
          <w:szCs w:val="28"/>
          <w:rtl/>
        </w:rPr>
        <w:t xml:space="preserve"> </w:t>
      </w:r>
      <w:r w:rsidRPr="00C638CD">
        <w:rPr>
          <w:rFonts w:ascii="David" w:hAnsi="David" w:cs="FrankRuehl" w:hint="eastAsia"/>
          <w:szCs w:val="28"/>
          <w:rtl/>
        </w:rPr>
        <w:t>מכן</w:t>
      </w:r>
      <w:r w:rsidRPr="00C638CD">
        <w:rPr>
          <w:rFonts w:ascii="David" w:hAnsi="David" w:cs="FrankRuehl"/>
          <w:szCs w:val="28"/>
          <w:rtl/>
        </w:rPr>
        <w:t xml:space="preserve">, </w:t>
      </w:r>
      <w:r w:rsidRPr="00C638CD">
        <w:rPr>
          <w:rFonts w:ascii="David" w:hAnsi="David" w:cs="FrankRuehl" w:hint="eastAsia"/>
          <w:szCs w:val="28"/>
          <w:rtl/>
        </w:rPr>
        <w:t>אי</w:t>
      </w:r>
      <w:r w:rsidRPr="00C638CD">
        <w:rPr>
          <w:rFonts w:ascii="David" w:hAnsi="David" w:cs="FrankRuehl"/>
          <w:szCs w:val="28"/>
          <w:rtl/>
        </w:rPr>
        <w:t xml:space="preserve"> </w:t>
      </w:r>
      <w:r w:rsidRPr="00C638CD">
        <w:rPr>
          <w:rFonts w:ascii="David" w:hAnsi="David" w:cs="FrankRuehl" w:hint="eastAsia"/>
          <w:szCs w:val="28"/>
          <w:rtl/>
        </w:rPr>
        <w:t>תשלום</w:t>
      </w:r>
      <w:r w:rsidRPr="00C638CD">
        <w:rPr>
          <w:rFonts w:ascii="David" w:hAnsi="David" w:cs="FrankRuehl"/>
          <w:szCs w:val="28"/>
          <w:rtl/>
        </w:rPr>
        <w:t xml:space="preserve"> </w:t>
      </w:r>
      <w:r w:rsidRPr="00C638CD">
        <w:rPr>
          <w:rFonts w:ascii="David" w:hAnsi="David" w:cs="FrankRuehl" w:hint="eastAsia"/>
          <w:szCs w:val="28"/>
          <w:rtl/>
        </w:rPr>
        <w:t>אחד</w:t>
      </w:r>
      <w:r w:rsidRPr="00C638CD">
        <w:rPr>
          <w:rFonts w:ascii="David" w:hAnsi="David" w:cs="FrankRuehl"/>
          <w:szCs w:val="28"/>
          <w:rtl/>
        </w:rPr>
        <w:t xml:space="preserve"> </w:t>
      </w:r>
      <w:r w:rsidRPr="00C638CD">
        <w:rPr>
          <w:rFonts w:ascii="David" w:hAnsi="David" w:cs="FrankRuehl" w:hint="eastAsia"/>
          <w:szCs w:val="28"/>
          <w:rtl/>
        </w:rPr>
        <w:t>התשלומים</w:t>
      </w:r>
      <w:r w:rsidRPr="00C638CD">
        <w:rPr>
          <w:rFonts w:ascii="David" w:hAnsi="David" w:cs="FrankRuehl"/>
          <w:szCs w:val="28"/>
          <w:rtl/>
        </w:rPr>
        <w:t xml:space="preserve"> </w:t>
      </w:r>
      <w:r w:rsidRPr="00C638CD">
        <w:rPr>
          <w:rFonts w:ascii="David" w:hAnsi="David" w:cs="FrankRuehl" w:hint="eastAsia"/>
          <w:szCs w:val="28"/>
          <w:rtl/>
        </w:rPr>
        <w:t>במועד</w:t>
      </w:r>
      <w:r w:rsidRPr="00C638CD">
        <w:rPr>
          <w:rFonts w:ascii="David" w:hAnsi="David" w:cs="FrankRuehl"/>
          <w:szCs w:val="28"/>
          <w:rtl/>
        </w:rPr>
        <w:t xml:space="preserve"> </w:t>
      </w:r>
      <w:r w:rsidRPr="00C638CD">
        <w:rPr>
          <w:rFonts w:ascii="David" w:hAnsi="David" w:cs="FrankRuehl" w:hint="eastAsia"/>
          <w:szCs w:val="28"/>
          <w:rtl/>
        </w:rPr>
        <w:t>יעמיד</w:t>
      </w:r>
      <w:r w:rsidRPr="00C638CD">
        <w:rPr>
          <w:rFonts w:ascii="David" w:hAnsi="David" w:cs="FrankRuehl"/>
          <w:szCs w:val="28"/>
          <w:rtl/>
        </w:rPr>
        <w:t xml:space="preserve"> </w:t>
      </w:r>
      <w:r w:rsidRPr="00C638CD">
        <w:rPr>
          <w:rFonts w:ascii="David" w:hAnsi="David" w:cs="FrankRuehl" w:hint="eastAsia"/>
          <w:szCs w:val="28"/>
          <w:rtl/>
        </w:rPr>
        <w:t>את</w:t>
      </w:r>
      <w:r w:rsidRPr="00C638CD">
        <w:rPr>
          <w:rFonts w:ascii="David" w:hAnsi="David" w:cs="FrankRuehl"/>
          <w:szCs w:val="28"/>
          <w:rtl/>
        </w:rPr>
        <w:t xml:space="preserve"> </w:t>
      </w:r>
      <w:r w:rsidRPr="00C638CD">
        <w:rPr>
          <w:rFonts w:ascii="David" w:hAnsi="David" w:cs="FrankRuehl" w:hint="eastAsia"/>
          <w:szCs w:val="28"/>
          <w:rtl/>
        </w:rPr>
        <w:t>יתרת</w:t>
      </w:r>
      <w:r w:rsidRPr="00C638CD">
        <w:rPr>
          <w:rFonts w:ascii="David" w:hAnsi="David" w:cs="FrankRuehl"/>
          <w:szCs w:val="28"/>
          <w:rtl/>
        </w:rPr>
        <w:t xml:space="preserve"> </w:t>
      </w:r>
      <w:r w:rsidRPr="00C638CD">
        <w:rPr>
          <w:rFonts w:ascii="David" w:hAnsi="David" w:cs="FrankRuehl" w:hint="eastAsia"/>
          <w:szCs w:val="28"/>
          <w:rtl/>
        </w:rPr>
        <w:t>הקנס</w:t>
      </w:r>
      <w:r w:rsidRPr="00C638CD">
        <w:rPr>
          <w:rFonts w:ascii="David" w:hAnsi="David" w:cs="FrankRuehl"/>
          <w:szCs w:val="28"/>
          <w:rtl/>
        </w:rPr>
        <w:t xml:space="preserve"> </w:t>
      </w:r>
      <w:r w:rsidRPr="00C638CD">
        <w:rPr>
          <w:rFonts w:ascii="David" w:hAnsi="David" w:cs="FrankRuehl" w:hint="eastAsia"/>
          <w:szCs w:val="28"/>
          <w:rtl/>
        </w:rPr>
        <w:t>לפירעון</w:t>
      </w:r>
      <w:r w:rsidRPr="00C638CD">
        <w:rPr>
          <w:rFonts w:ascii="David" w:hAnsi="David" w:cs="FrankRuehl"/>
          <w:szCs w:val="28"/>
          <w:rtl/>
        </w:rPr>
        <w:t xml:space="preserve"> </w:t>
      </w:r>
      <w:r w:rsidRPr="00C638CD">
        <w:rPr>
          <w:rFonts w:ascii="David" w:hAnsi="David" w:cs="FrankRuehl" w:hint="eastAsia"/>
          <w:szCs w:val="28"/>
          <w:rtl/>
        </w:rPr>
        <w:t>מידי</w:t>
      </w:r>
      <w:r w:rsidRPr="00C638CD">
        <w:rPr>
          <w:rFonts w:ascii="David" w:hAnsi="David" w:cs="FrankRuehl"/>
          <w:szCs w:val="28"/>
          <w:rtl/>
        </w:rPr>
        <w:t>.</w:t>
      </w:r>
      <w:r>
        <w:rPr>
          <w:rFonts w:ascii="David" w:hAnsi="David" w:cs="FrankRuehl" w:hint="cs"/>
          <w:rtl/>
        </w:rPr>
        <w:t xml:space="preserve"> </w:t>
      </w:r>
    </w:p>
    <w:p w14:paraId="191704B7" w14:textId="77777777" w:rsidR="00537560" w:rsidRDefault="00537560" w:rsidP="00537560">
      <w:pPr>
        <w:spacing w:line="360" w:lineRule="auto"/>
        <w:ind w:left="360" w:firstLine="360"/>
        <w:jc w:val="both"/>
        <w:rPr>
          <w:rFonts w:ascii="Arial" w:hAnsi="Arial" w:cs="FrankRuehl"/>
          <w:szCs w:val="28"/>
          <w:rtl/>
        </w:rPr>
      </w:pPr>
    </w:p>
    <w:p w14:paraId="231CA185" w14:textId="77777777" w:rsidR="00537560" w:rsidRDefault="00537560" w:rsidP="00537560">
      <w:pPr>
        <w:spacing w:line="360" w:lineRule="auto"/>
        <w:ind w:left="720"/>
        <w:jc w:val="both"/>
        <w:rPr>
          <w:rFonts w:ascii="Arial" w:hAnsi="Arial" w:cs="FrankRuehl"/>
          <w:sz w:val="28"/>
          <w:szCs w:val="28"/>
          <w:rtl/>
        </w:rPr>
      </w:pPr>
      <w:r>
        <w:rPr>
          <w:rFonts w:ascii="Arial" w:hAnsi="Arial" w:cs="FrankRuehl" w:hint="cs"/>
          <w:sz w:val="28"/>
          <w:szCs w:val="28"/>
          <w:rtl/>
        </w:rPr>
        <w:t xml:space="preserve">על מנת לאפשר לנאשם מיון מוקדם, אני קובע כי </w:t>
      </w:r>
      <w:r w:rsidRPr="00C638CD">
        <w:rPr>
          <w:rFonts w:ascii="Arial" w:hAnsi="Arial" w:cs="FrankRuehl"/>
          <w:sz w:val="28"/>
          <w:szCs w:val="28"/>
          <w:rtl/>
        </w:rPr>
        <w:t>הנאשם יתייצב למאסרו בבית סוהר ימ"ר קישון</w:t>
      </w:r>
      <w:r>
        <w:rPr>
          <w:rFonts w:ascii="Arial" w:hAnsi="Arial" w:cs="FrankRuehl" w:hint="cs"/>
          <w:sz w:val="28"/>
          <w:szCs w:val="28"/>
          <w:rtl/>
        </w:rPr>
        <w:t xml:space="preserve">  ביום 19.4.17 </w:t>
      </w:r>
      <w:r w:rsidRPr="00C638CD">
        <w:rPr>
          <w:rFonts w:ascii="Arial" w:hAnsi="Arial" w:cs="FrankRuehl"/>
          <w:sz w:val="28"/>
          <w:szCs w:val="28"/>
          <w:rtl/>
        </w:rPr>
        <w:t>עד השעה 10:00, או על פי החלטת שב"ס, כשברשותו תעודת זהות.</w:t>
      </w:r>
      <w:r>
        <w:rPr>
          <w:rFonts w:ascii="Arial" w:hAnsi="Arial" w:cs="FrankRuehl" w:hint="cs"/>
          <w:sz w:val="28"/>
          <w:szCs w:val="28"/>
          <w:rtl/>
        </w:rPr>
        <w:t xml:space="preserve"> </w:t>
      </w:r>
      <w:r w:rsidRPr="00C638CD">
        <w:rPr>
          <w:rFonts w:ascii="Arial" w:hAnsi="Arial" w:cs="FrankRuehl"/>
          <w:sz w:val="28"/>
          <w:szCs w:val="28"/>
          <w:rtl/>
        </w:rPr>
        <w:t>על הנאשם לתאם את הכניסה למאסר, כולל האפשרות למיון מוקדם, עם ענף אבחון ומיון של שב"ס, טלפונים: 08-9787377,</w:t>
      </w:r>
      <w:r>
        <w:rPr>
          <w:rFonts w:ascii="Arial" w:hAnsi="Arial" w:cs="FrankRuehl" w:hint="cs"/>
          <w:sz w:val="28"/>
          <w:szCs w:val="28"/>
          <w:rtl/>
        </w:rPr>
        <w:t xml:space="preserve">   </w:t>
      </w:r>
      <w:r w:rsidRPr="00C638CD">
        <w:rPr>
          <w:rFonts w:ascii="Arial" w:hAnsi="Arial" w:cs="FrankRuehl"/>
          <w:sz w:val="28"/>
          <w:szCs w:val="28"/>
          <w:rtl/>
        </w:rPr>
        <w:t>08-9787336.</w:t>
      </w:r>
    </w:p>
    <w:p w14:paraId="1C6D3845" w14:textId="77777777" w:rsidR="00537560" w:rsidRPr="00C638CD" w:rsidRDefault="00537560" w:rsidP="00537560">
      <w:pPr>
        <w:spacing w:line="360" w:lineRule="auto"/>
        <w:ind w:left="720"/>
        <w:jc w:val="both"/>
        <w:rPr>
          <w:rFonts w:ascii="Arial" w:hAnsi="Arial" w:cs="FrankRuehl"/>
          <w:sz w:val="28"/>
          <w:szCs w:val="28"/>
        </w:rPr>
      </w:pPr>
      <w:r>
        <w:rPr>
          <w:rFonts w:ascii="Arial" w:hAnsi="Arial" w:cs="FrankRuehl" w:hint="cs"/>
          <w:sz w:val="28"/>
          <w:szCs w:val="28"/>
          <w:rtl/>
        </w:rPr>
        <w:t>כל התנאים שנקבעו בעת מעצרו של הנאשם בפיקוח אלקטרוני יישארו ללא שינוי עד לתחילת הנשיאה במאסר.</w:t>
      </w:r>
    </w:p>
    <w:p w14:paraId="25147773" w14:textId="77777777" w:rsidR="00537560" w:rsidRPr="00C638CD" w:rsidRDefault="00537560" w:rsidP="00537560">
      <w:pPr>
        <w:spacing w:line="360" w:lineRule="auto"/>
        <w:ind w:left="360" w:firstLine="360"/>
        <w:jc w:val="both"/>
        <w:rPr>
          <w:rFonts w:ascii="Arial" w:hAnsi="Arial" w:cs="FrankRuehl"/>
          <w:szCs w:val="28"/>
          <w:rtl/>
        </w:rPr>
      </w:pPr>
    </w:p>
    <w:p w14:paraId="1D373C17" w14:textId="77777777" w:rsidR="00537560" w:rsidRPr="006501D9" w:rsidRDefault="00537560" w:rsidP="00537560">
      <w:pPr>
        <w:spacing w:line="360" w:lineRule="auto"/>
        <w:ind w:left="360" w:firstLine="360"/>
        <w:jc w:val="both"/>
        <w:rPr>
          <w:rFonts w:ascii="Arial" w:hAnsi="Arial" w:cs="FrankRuehl"/>
          <w:b/>
          <w:bCs/>
          <w:szCs w:val="28"/>
          <w:rtl/>
        </w:rPr>
      </w:pPr>
      <w:r w:rsidRPr="006501D9">
        <w:rPr>
          <w:rFonts w:ascii="Arial" w:hAnsi="Arial" w:cs="FrankRuehl"/>
          <w:b/>
          <w:bCs/>
          <w:szCs w:val="28"/>
          <w:rtl/>
        </w:rPr>
        <w:t>המזכירות תשלח העתק מגזר הדין לשירות המבחן.</w:t>
      </w:r>
    </w:p>
    <w:p w14:paraId="6B08F281" w14:textId="77777777" w:rsidR="00537560" w:rsidRPr="006501D9" w:rsidRDefault="00537560" w:rsidP="00537560">
      <w:pPr>
        <w:spacing w:line="360" w:lineRule="auto"/>
        <w:ind w:left="720"/>
        <w:jc w:val="both"/>
        <w:rPr>
          <w:rFonts w:ascii="Arial" w:hAnsi="Arial" w:cs="FrankRuehl"/>
          <w:b/>
          <w:bCs/>
          <w:szCs w:val="28"/>
        </w:rPr>
      </w:pPr>
      <w:r w:rsidRPr="006501D9">
        <w:rPr>
          <w:rFonts w:ascii="Arial" w:hAnsi="Arial" w:cs="FrankRuehl"/>
          <w:b/>
          <w:bCs/>
          <w:szCs w:val="28"/>
          <w:u w:val="single"/>
          <w:rtl/>
        </w:rPr>
        <w:t>זכות ערעור לבית המשפט העליון תוך 45 יום</w:t>
      </w:r>
      <w:r w:rsidRPr="006501D9">
        <w:rPr>
          <w:rFonts w:ascii="Arial" w:hAnsi="Arial" w:cs="FrankRuehl"/>
          <w:b/>
          <w:bCs/>
          <w:szCs w:val="28"/>
          <w:rtl/>
        </w:rPr>
        <w:t>.</w:t>
      </w:r>
    </w:p>
    <w:p w14:paraId="514C28E3" w14:textId="77777777" w:rsidR="00537560" w:rsidRPr="00C638CD" w:rsidRDefault="00537560" w:rsidP="00537560">
      <w:pPr>
        <w:spacing w:line="360" w:lineRule="auto"/>
        <w:ind w:left="1440" w:hanging="720"/>
        <w:jc w:val="both"/>
        <w:rPr>
          <w:rFonts w:ascii="Arial" w:hAnsi="Arial"/>
          <w:rtl/>
        </w:rPr>
      </w:pPr>
    </w:p>
    <w:p w14:paraId="71C96733" w14:textId="77777777" w:rsidR="00537560" w:rsidRPr="006501D9" w:rsidRDefault="001B55A1" w:rsidP="00537560">
      <w:pPr>
        <w:spacing w:line="360" w:lineRule="auto"/>
        <w:jc w:val="both"/>
        <w:rPr>
          <w:rFonts w:ascii="Arial" w:hAnsi="Arial"/>
          <w:b/>
          <w:bCs/>
        </w:rPr>
      </w:pPr>
      <w:r w:rsidRPr="001B55A1">
        <w:rPr>
          <w:rFonts w:ascii="Arial" w:hAnsi="Arial"/>
          <w:b/>
          <w:bCs/>
          <w:color w:val="FFFFFF"/>
          <w:sz w:val="2"/>
          <w:szCs w:val="2"/>
          <w:rtl/>
        </w:rPr>
        <w:t>5129371</w:t>
      </w:r>
      <w:r>
        <w:rPr>
          <w:rFonts w:ascii="Arial" w:hAnsi="Arial"/>
          <w:b/>
          <w:bCs/>
          <w:rtl/>
        </w:rPr>
        <w:t xml:space="preserve">ניתן היום,  כ"א אדר תשע"ז, 19 מרץ 2017, בנוכחות ב"כ המאשימה עו"ד גימפל, הסנגור עו"ד </w:t>
      </w:r>
      <w:r w:rsidR="00537560" w:rsidRPr="006501D9">
        <w:rPr>
          <w:rFonts w:ascii="Arial" w:hAnsi="Arial" w:hint="cs"/>
          <w:b/>
          <w:bCs/>
          <w:rtl/>
        </w:rPr>
        <w:t>מג'אדלה והנאשם בעצמו.</w:t>
      </w:r>
    </w:p>
    <w:p w14:paraId="56890E74" w14:textId="77777777" w:rsidR="00537560" w:rsidRPr="001B55A1" w:rsidRDefault="001B55A1" w:rsidP="00537560">
      <w:pPr>
        <w:rPr>
          <w:rFonts w:cs="FrankRuehl"/>
          <w:color w:val="FFFFFF"/>
          <w:sz w:val="2"/>
          <w:szCs w:val="2"/>
          <w:rtl/>
        </w:rPr>
      </w:pPr>
      <w:r w:rsidRPr="001B55A1">
        <w:rPr>
          <w:rFonts w:cs="FrankRuehl"/>
          <w:color w:val="FFFFFF"/>
          <w:sz w:val="2"/>
          <w:szCs w:val="2"/>
          <w:rtl/>
        </w:rPr>
        <w:t>54678313</w:t>
      </w:r>
    </w:p>
    <w:p w14:paraId="62FC6CF4" w14:textId="77777777" w:rsidR="00537560" w:rsidRDefault="00537560" w:rsidP="0053756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8ECAD4D" w14:textId="77777777" w:rsidR="00537560" w:rsidRDefault="00537560" w:rsidP="00537560">
      <w:pPr>
        <w:jc w:val="center"/>
        <w:rPr>
          <w:rFonts w:ascii="Arial" w:hAnsi="Arial" w:cs="FrankRuehl"/>
          <w:sz w:val="28"/>
          <w:szCs w:val="28"/>
          <w:rtl/>
        </w:rPr>
      </w:pPr>
    </w:p>
    <w:p w14:paraId="7AC12295" w14:textId="77777777" w:rsidR="00537560" w:rsidRDefault="00537560" w:rsidP="00537560">
      <w:pPr>
        <w:rPr>
          <w:rFonts w:cs="FrankRuehl"/>
          <w:sz w:val="28"/>
          <w:szCs w:val="28"/>
          <w:rtl/>
        </w:rPr>
      </w:pPr>
    </w:p>
    <w:p w14:paraId="5E58B67F" w14:textId="77777777" w:rsidR="00537560" w:rsidRDefault="00537560" w:rsidP="00537560">
      <w:pPr>
        <w:pStyle w:val="a3"/>
        <w:jc w:val="center"/>
        <w:rPr>
          <w:rtl/>
        </w:rPr>
      </w:pPr>
    </w:p>
    <w:p w14:paraId="0C5E1675" w14:textId="77777777" w:rsidR="001B55A1" w:rsidRPr="001B55A1" w:rsidRDefault="001B55A1" w:rsidP="001B55A1">
      <w:pPr>
        <w:keepNext/>
        <w:rPr>
          <w:rFonts w:ascii="David" w:hAnsi="David"/>
          <w:color w:val="000000"/>
          <w:sz w:val="22"/>
          <w:szCs w:val="22"/>
          <w:rtl/>
        </w:rPr>
      </w:pPr>
    </w:p>
    <w:p w14:paraId="109044B3" w14:textId="77777777" w:rsidR="001B55A1" w:rsidRPr="001B55A1" w:rsidRDefault="001B55A1" w:rsidP="001B55A1">
      <w:pPr>
        <w:keepNext/>
        <w:rPr>
          <w:rFonts w:ascii="David" w:hAnsi="David"/>
          <w:color w:val="000000"/>
          <w:sz w:val="22"/>
          <w:szCs w:val="22"/>
          <w:rtl/>
        </w:rPr>
      </w:pPr>
      <w:r w:rsidRPr="001B55A1">
        <w:rPr>
          <w:rFonts w:ascii="David" w:hAnsi="David"/>
          <w:color w:val="000000"/>
          <w:sz w:val="22"/>
          <w:szCs w:val="22"/>
          <w:rtl/>
        </w:rPr>
        <w:t>אברהם אליקים 54678313</w:t>
      </w:r>
    </w:p>
    <w:p w14:paraId="09A8315E" w14:textId="77777777" w:rsidR="001B55A1" w:rsidRDefault="001B55A1" w:rsidP="001B55A1">
      <w:pPr>
        <w:rPr>
          <w:color w:val="000000"/>
          <w:rtl/>
        </w:rPr>
      </w:pPr>
      <w:r w:rsidRPr="001B55A1">
        <w:rPr>
          <w:color w:val="000000"/>
          <w:rtl/>
        </w:rPr>
        <w:t>נוסח מסמך זה כפוף לשינויי ניסוח ועריכה</w:t>
      </w:r>
    </w:p>
    <w:p w14:paraId="147A8851" w14:textId="77777777" w:rsidR="001B55A1" w:rsidRDefault="001B55A1" w:rsidP="001B55A1">
      <w:pPr>
        <w:rPr>
          <w:rtl/>
        </w:rPr>
      </w:pPr>
    </w:p>
    <w:p w14:paraId="3BCC4280" w14:textId="77777777" w:rsidR="001B55A1" w:rsidRDefault="001B55A1" w:rsidP="001B55A1">
      <w:pPr>
        <w:jc w:val="center"/>
        <w:rPr>
          <w:color w:val="0000FF"/>
          <w:u w:val="single"/>
          <w:rtl/>
        </w:rPr>
      </w:pPr>
      <w:hyperlink r:id="rId41" w:history="1">
        <w:r>
          <w:rPr>
            <w:rStyle w:val="Hyperlink"/>
            <w:rtl/>
          </w:rPr>
          <w:t>בעניין עריכה ושינויים במסמכי פסיקה, חקיקה ועוד באתר נבו – הקש כאן</w:t>
        </w:r>
      </w:hyperlink>
      <w:r w:rsidR="00533481">
        <w:rPr>
          <w:rFonts w:hint="cs"/>
          <w:color w:val="0000FF"/>
          <w:u w:val="single"/>
          <w:rtl/>
        </w:rPr>
        <w:t xml:space="preserve"> </w:t>
      </w:r>
    </w:p>
    <w:p w14:paraId="261FEF62" w14:textId="77777777" w:rsidR="00DF27D7" w:rsidRPr="001B55A1" w:rsidRDefault="00DF27D7" w:rsidP="001B55A1">
      <w:pPr>
        <w:jc w:val="center"/>
        <w:rPr>
          <w:color w:val="0000FF"/>
          <w:u w:val="single"/>
        </w:rPr>
      </w:pPr>
    </w:p>
    <w:sectPr w:rsidR="00DF27D7" w:rsidRPr="001B55A1" w:rsidSect="001B55A1">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B0BAA" w14:textId="77777777" w:rsidR="000F697E" w:rsidRDefault="000F697E">
      <w:r>
        <w:separator/>
      </w:r>
    </w:p>
  </w:endnote>
  <w:endnote w:type="continuationSeparator" w:id="0">
    <w:p w14:paraId="2F958A4A" w14:textId="77777777" w:rsidR="000F697E" w:rsidRDefault="000F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DC392" w14:textId="77777777" w:rsidR="008922B2" w:rsidRDefault="008922B2" w:rsidP="001B55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64A044" w14:textId="77777777" w:rsidR="008922B2" w:rsidRPr="001B55A1" w:rsidRDefault="008922B2" w:rsidP="001B55A1">
    <w:pPr>
      <w:pStyle w:val="a5"/>
      <w:pBdr>
        <w:top w:val="single" w:sz="4" w:space="1" w:color="auto"/>
        <w:between w:val="single" w:sz="4" w:space="0" w:color="auto"/>
      </w:pBdr>
      <w:spacing w:after="60"/>
      <w:jc w:val="center"/>
      <w:rPr>
        <w:rFonts w:ascii="FrankRuehl" w:hAnsi="FrankRuehl" w:cs="FrankRuehl"/>
        <w:color w:val="000000"/>
      </w:rPr>
    </w:pPr>
    <w:r w:rsidRPr="001B55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C9E8A" w14:textId="77777777" w:rsidR="008922B2" w:rsidRDefault="008922B2" w:rsidP="001B55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0E09">
      <w:rPr>
        <w:rFonts w:ascii="FrankRuehl" w:hAnsi="FrankRuehl" w:cs="FrankRuehl"/>
        <w:noProof/>
        <w:rtl/>
      </w:rPr>
      <w:t>1</w:t>
    </w:r>
    <w:r>
      <w:rPr>
        <w:rFonts w:ascii="FrankRuehl" w:hAnsi="FrankRuehl" w:cs="FrankRuehl"/>
        <w:rtl/>
      </w:rPr>
      <w:fldChar w:fldCharType="end"/>
    </w:r>
  </w:p>
  <w:p w14:paraId="2CCB03ED" w14:textId="77777777" w:rsidR="008922B2" w:rsidRPr="001B55A1" w:rsidRDefault="008922B2" w:rsidP="001B55A1">
    <w:pPr>
      <w:pStyle w:val="a5"/>
      <w:pBdr>
        <w:top w:val="single" w:sz="4" w:space="1" w:color="auto"/>
        <w:between w:val="single" w:sz="4" w:space="0" w:color="auto"/>
      </w:pBdr>
      <w:spacing w:after="60"/>
      <w:jc w:val="center"/>
      <w:rPr>
        <w:rFonts w:ascii="FrankRuehl" w:hAnsi="FrankRuehl" w:cs="FrankRuehl"/>
        <w:color w:val="000000"/>
      </w:rPr>
    </w:pPr>
    <w:r w:rsidRPr="001B55A1">
      <w:rPr>
        <w:rFonts w:ascii="FrankRuehl" w:hAnsi="FrankRuehl" w:cs="FrankRuehl"/>
        <w:color w:val="000000"/>
      </w:rPr>
      <w:pict w14:anchorId="56A13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2F7D8" w14:textId="77777777" w:rsidR="000F697E" w:rsidRDefault="000F697E">
      <w:r>
        <w:separator/>
      </w:r>
    </w:p>
  </w:footnote>
  <w:footnote w:type="continuationSeparator" w:id="0">
    <w:p w14:paraId="32D2605F" w14:textId="77777777" w:rsidR="000F697E" w:rsidRDefault="000F6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5DEF8" w14:textId="77777777" w:rsidR="008922B2" w:rsidRPr="001B55A1" w:rsidRDefault="008922B2" w:rsidP="001B55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30242-04-16</w:t>
    </w:r>
    <w:r>
      <w:rPr>
        <w:rFonts w:ascii="David" w:hAnsi="David"/>
        <w:color w:val="000000"/>
        <w:sz w:val="22"/>
        <w:szCs w:val="22"/>
        <w:rtl/>
      </w:rPr>
      <w:tab/>
      <w:t xml:space="preserve"> מדינת ישראל נ' מג'ד דעאיף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BB165" w14:textId="77777777" w:rsidR="008922B2" w:rsidRPr="001B55A1" w:rsidRDefault="008922B2" w:rsidP="001B55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30242-04-16</w:t>
    </w:r>
    <w:r>
      <w:rPr>
        <w:rFonts w:ascii="David" w:hAnsi="David"/>
        <w:color w:val="000000"/>
        <w:sz w:val="22"/>
        <w:szCs w:val="22"/>
        <w:rtl/>
      </w:rPr>
      <w:tab/>
      <w:t xml:space="preserve"> מדינת ישראל נ' מג'ד דעאיף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284AE8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EC13184"/>
    <w:multiLevelType w:val="hybridMultilevel"/>
    <w:tmpl w:val="B1163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4394696">
    <w:abstractNumId w:val="0"/>
  </w:num>
  <w:num w:numId="2" w16cid:durableId="63510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7560"/>
    <w:rsid w:val="00014F93"/>
    <w:rsid w:val="000477C4"/>
    <w:rsid w:val="000F697E"/>
    <w:rsid w:val="001B55A1"/>
    <w:rsid w:val="00533481"/>
    <w:rsid w:val="00537560"/>
    <w:rsid w:val="0056463E"/>
    <w:rsid w:val="005B663B"/>
    <w:rsid w:val="005C64EC"/>
    <w:rsid w:val="006368DE"/>
    <w:rsid w:val="00810E09"/>
    <w:rsid w:val="008922B2"/>
    <w:rsid w:val="00A966DB"/>
    <w:rsid w:val="00D039E9"/>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4893FC"/>
  <w15:chartTrackingRefBased/>
  <w15:docId w15:val="{C6E07FF8-7EF8-41A9-8A21-190FE17C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756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37560"/>
    <w:pPr>
      <w:tabs>
        <w:tab w:val="center" w:pos="4153"/>
        <w:tab w:val="right" w:pos="8306"/>
      </w:tabs>
    </w:pPr>
  </w:style>
  <w:style w:type="paragraph" w:styleId="a5">
    <w:name w:val="footer"/>
    <w:basedOn w:val="a"/>
    <w:rsid w:val="00537560"/>
    <w:pPr>
      <w:tabs>
        <w:tab w:val="center" w:pos="4153"/>
        <w:tab w:val="right" w:pos="8306"/>
      </w:tabs>
    </w:pPr>
  </w:style>
  <w:style w:type="character" w:styleId="a6">
    <w:name w:val="page number"/>
    <w:basedOn w:val="a0"/>
    <w:rsid w:val="00537560"/>
  </w:style>
  <w:style w:type="character" w:customStyle="1" w:styleId="a4">
    <w:name w:val="כותרת עליונה תו"/>
    <w:link w:val="a3"/>
    <w:rsid w:val="00537560"/>
    <w:rPr>
      <w:rFonts w:cs="David"/>
      <w:sz w:val="24"/>
      <w:szCs w:val="24"/>
      <w:lang w:val="en-US" w:eastAsia="en-US" w:bidi="he-IL"/>
    </w:rPr>
  </w:style>
  <w:style w:type="character" w:customStyle="1" w:styleId="TimesNewRomanTimesNewRoman">
    <w:name w:val="סגנון (לטיני) Times New Roman (עברית ושפות אחרות) Times New Roman..."/>
    <w:rsid w:val="00537560"/>
    <w:rPr>
      <w:rFonts w:ascii="Times New Roman" w:hAnsi="Times New Roman" w:cs="David" w:hint="default"/>
      <w:b/>
      <w:bCs/>
      <w:sz w:val="26"/>
      <w:szCs w:val="26"/>
    </w:rPr>
  </w:style>
  <w:style w:type="character" w:styleId="Hyperlink">
    <w:name w:val="Hyperlink"/>
    <w:rsid w:val="001B55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20245898" TargetMode="External"/><Relationship Id="rId39" Type="http://schemas.openxmlformats.org/officeDocument/2006/relationships/hyperlink" Target="http://www.nevo.co.il/case/5806930"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40i"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6473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f"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8471804" TargetMode="External"/><Relationship Id="rId37" Type="http://schemas.openxmlformats.org/officeDocument/2006/relationships/hyperlink" Target="http://www.nevo.co.il/case/20178063"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10485615" TargetMode="External"/><Relationship Id="rId28" Type="http://schemas.openxmlformats.org/officeDocument/2006/relationships/hyperlink" Target="http://www.nevo.co.il/case/5568354" TargetMode="External"/><Relationship Id="rId36" Type="http://schemas.openxmlformats.org/officeDocument/2006/relationships/hyperlink" Target="http://www.nevo.co.il/case/21303385"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7791489"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31" TargetMode="External"/><Relationship Id="rId30" Type="http://schemas.openxmlformats.org/officeDocument/2006/relationships/hyperlink" Target="http://www.nevo.co.il/case/20775010" TargetMode="External"/><Relationship Id="rId35" Type="http://schemas.openxmlformats.org/officeDocument/2006/relationships/hyperlink" Target="http://www.nevo.co.il/law/70301/40f" TargetMode="External"/><Relationship Id="rId43" Type="http://schemas.openxmlformats.org/officeDocument/2006/relationships/header" Target="head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420489" TargetMode="External"/><Relationship Id="rId33" Type="http://schemas.openxmlformats.org/officeDocument/2006/relationships/hyperlink" Target="http://www.nevo.co.il/case/10485614" TargetMode="External"/><Relationship Id="rId38" Type="http://schemas.openxmlformats.org/officeDocument/2006/relationships/hyperlink" Target="http://www.nevo.co.il/case/13104267" TargetMode="External"/><Relationship Id="rId46" Type="http://schemas.openxmlformats.org/officeDocument/2006/relationships/fontTable" Target="fontTable.xml"/><Relationship Id="rId20" Type="http://schemas.openxmlformats.org/officeDocument/2006/relationships/hyperlink" Target="http://www.nevo.co.il/law/70301/25"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3150</Words>
  <Characters>15753</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18866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3932281</vt:i4>
      </vt:variant>
      <vt:variant>
        <vt:i4>96</vt:i4>
      </vt:variant>
      <vt:variant>
        <vt:i4>0</vt:i4>
      </vt:variant>
      <vt:variant>
        <vt:i4>5</vt:i4>
      </vt:variant>
      <vt:variant>
        <vt:lpwstr>http://www.nevo.co.il/case/5806930</vt:lpwstr>
      </vt:variant>
      <vt:variant>
        <vt:lpwstr/>
      </vt:variant>
      <vt:variant>
        <vt:i4>3276917</vt:i4>
      </vt:variant>
      <vt:variant>
        <vt:i4>93</vt:i4>
      </vt:variant>
      <vt:variant>
        <vt:i4>0</vt:i4>
      </vt:variant>
      <vt:variant>
        <vt:i4>5</vt:i4>
      </vt:variant>
      <vt:variant>
        <vt:lpwstr>http://www.nevo.co.il/case/13104267</vt:lpwstr>
      </vt:variant>
      <vt:variant>
        <vt:lpwstr/>
      </vt:variant>
      <vt:variant>
        <vt:i4>3997811</vt:i4>
      </vt:variant>
      <vt:variant>
        <vt:i4>90</vt:i4>
      </vt:variant>
      <vt:variant>
        <vt:i4>0</vt:i4>
      </vt:variant>
      <vt:variant>
        <vt:i4>5</vt:i4>
      </vt:variant>
      <vt:variant>
        <vt:lpwstr>http://www.nevo.co.il/case/20178063</vt:lpwstr>
      </vt:variant>
      <vt:variant>
        <vt:lpwstr/>
      </vt:variant>
      <vt:variant>
        <vt:i4>3801206</vt:i4>
      </vt:variant>
      <vt:variant>
        <vt:i4>87</vt:i4>
      </vt:variant>
      <vt:variant>
        <vt:i4>0</vt:i4>
      </vt:variant>
      <vt:variant>
        <vt:i4>5</vt:i4>
      </vt:variant>
      <vt:variant>
        <vt:lpwstr>http://www.nevo.co.il/case/21303385</vt:lpwstr>
      </vt:variant>
      <vt:variant>
        <vt:lpwstr/>
      </vt:variant>
      <vt:variant>
        <vt:i4>6619233</vt:i4>
      </vt:variant>
      <vt:variant>
        <vt:i4>84</vt:i4>
      </vt:variant>
      <vt:variant>
        <vt:i4>0</vt:i4>
      </vt:variant>
      <vt:variant>
        <vt:i4>5</vt:i4>
      </vt:variant>
      <vt:variant>
        <vt:lpwstr>http://www.nevo.co.il/law/70301/40f</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3211386</vt:i4>
      </vt:variant>
      <vt:variant>
        <vt:i4>78</vt:i4>
      </vt:variant>
      <vt:variant>
        <vt:i4>0</vt:i4>
      </vt:variant>
      <vt:variant>
        <vt:i4>5</vt:i4>
      </vt:variant>
      <vt:variant>
        <vt:lpwstr>http://www.nevo.co.il/case/10485614</vt:lpwstr>
      </vt:variant>
      <vt:variant>
        <vt:lpwstr/>
      </vt:variant>
      <vt:variant>
        <vt:i4>3342449</vt:i4>
      </vt:variant>
      <vt:variant>
        <vt:i4>75</vt:i4>
      </vt:variant>
      <vt:variant>
        <vt:i4>0</vt:i4>
      </vt:variant>
      <vt:variant>
        <vt:i4>5</vt:i4>
      </vt:variant>
      <vt:variant>
        <vt:lpwstr>http://www.nevo.co.il/case/8471804</vt:lpwstr>
      </vt:variant>
      <vt:variant>
        <vt:lpwstr/>
      </vt:variant>
      <vt:variant>
        <vt:i4>3342458</vt:i4>
      </vt:variant>
      <vt:variant>
        <vt:i4>72</vt:i4>
      </vt:variant>
      <vt:variant>
        <vt:i4>0</vt:i4>
      </vt:variant>
      <vt:variant>
        <vt:i4>5</vt:i4>
      </vt:variant>
      <vt:variant>
        <vt:lpwstr>http://www.nevo.co.il/case/7791489</vt:lpwstr>
      </vt:variant>
      <vt:variant>
        <vt:lpwstr/>
      </vt:variant>
      <vt:variant>
        <vt:i4>3211379</vt:i4>
      </vt:variant>
      <vt:variant>
        <vt:i4>69</vt:i4>
      </vt:variant>
      <vt:variant>
        <vt:i4>0</vt:i4>
      </vt:variant>
      <vt:variant>
        <vt:i4>5</vt:i4>
      </vt:variant>
      <vt:variant>
        <vt:lpwstr>http://www.nevo.co.il/case/20775010</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3407996</vt:i4>
      </vt:variant>
      <vt:variant>
        <vt:i4>63</vt:i4>
      </vt:variant>
      <vt:variant>
        <vt:i4>0</vt:i4>
      </vt:variant>
      <vt:variant>
        <vt:i4>5</vt:i4>
      </vt:variant>
      <vt:variant>
        <vt:lpwstr>http://www.nevo.co.il/case/5568354</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3932280</vt:i4>
      </vt:variant>
      <vt:variant>
        <vt:i4>57</vt:i4>
      </vt:variant>
      <vt:variant>
        <vt:i4>0</vt:i4>
      </vt:variant>
      <vt:variant>
        <vt:i4>5</vt:i4>
      </vt:variant>
      <vt:variant>
        <vt:lpwstr>http://www.nevo.co.il/case/20245898</vt:lpwstr>
      </vt:variant>
      <vt:variant>
        <vt:lpwstr/>
      </vt:variant>
      <vt:variant>
        <vt:i4>4063346</vt:i4>
      </vt:variant>
      <vt:variant>
        <vt:i4>54</vt:i4>
      </vt:variant>
      <vt:variant>
        <vt:i4>0</vt:i4>
      </vt:variant>
      <vt:variant>
        <vt:i4>5</vt:i4>
      </vt:variant>
      <vt:variant>
        <vt:lpwstr>http://www.nevo.co.il/case/20420489</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3211386</vt:i4>
      </vt:variant>
      <vt:variant>
        <vt:i4>48</vt:i4>
      </vt:variant>
      <vt:variant>
        <vt:i4>0</vt:i4>
      </vt:variant>
      <vt:variant>
        <vt:i4>5</vt:i4>
      </vt:variant>
      <vt:variant>
        <vt:lpwstr>http://www.nevo.co.il/case/10485615</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תפ;תא</vt:lpwstr>
  </property>
  <property fmtid="{D5CDD505-2E9C-101B-9397-08002B2CF9AE}" pid="5" name="NEWPARTA">
    <vt:lpwstr>30242;30239</vt:lpwstr>
  </property>
  <property fmtid="{D5CDD505-2E9C-101B-9397-08002B2CF9AE}" pid="6" name="NEWPARTB">
    <vt:lpwstr>04;04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מג'ד דעאיף</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20170319</vt:lpwstr>
  </property>
  <property fmtid="{D5CDD505-2E9C-101B-9397-08002B2CF9AE}" pid="13" name="TYPE_N_DATE">
    <vt:lpwstr>39020170319</vt:lpwstr>
  </property>
  <property fmtid="{D5CDD505-2E9C-101B-9397-08002B2CF9AE}" pid="14" name="CASESLISTTMP1">
    <vt:lpwstr>10485615;20420489;20245898;5568354;6473037;20775010;7791489;8471804;10485614;21303385;20178063;13104267;5806930</vt:lpwstr>
  </property>
  <property fmtid="{D5CDD505-2E9C-101B-9397-08002B2CF9AE}" pid="15" name="CASENOTES1">
    <vt:lpwstr>ProcID=184&amp;PartA=30239&amp;PartB=04&amp;PartC=16</vt:lpwstr>
  </property>
  <property fmtid="{D5CDD505-2E9C-101B-9397-08002B2CF9AE}" pid="16" name="WORDNUMPAGES">
    <vt:lpwstr>11</vt:lpwstr>
  </property>
  <property fmtid="{D5CDD505-2E9C-101B-9397-08002B2CF9AE}" pid="17" name="TYPE_ABS_DATE">
    <vt:lpwstr>390020170319</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70301/499.a.1;144.b2;031:2;025:2;144.a;040b;040i;040f</vt:lpwstr>
  </property>
  <property fmtid="{D5CDD505-2E9C-101B-9397-08002B2CF9AE}" pid="37" name="ISABSTRACT">
    <vt:lpwstr>Y</vt:lpwstr>
  </property>
</Properties>
</file>