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2A6690" w:rsidRPr="00263C85" w14:paraId="27FEC947" w14:textId="77777777" w:rsidTr="0026253F">
        <w:trPr>
          <w:trHeight w:hRule="exact" w:val="418"/>
          <w:jc w:val="center"/>
        </w:trPr>
        <w:tc>
          <w:tcPr>
            <w:tcW w:w="8721" w:type="dxa"/>
            <w:gridSpan w:val="2"/>
          </w:tcPr>
          <w:p w14:paraId="28177C0D" w14:textId="77777777" w:rsidR="002A6690" w:rsidRPr="00263C85" w:rsidRDefault="002A6690" w:rsidP="00263C85">
            <w:pPr>
              <w:pStyle w:val="a3"/>
              <w:jc w:val="center"/>
              <w:rPr>
                <w:rFonts w:ascii="Tahoma" w:hAnsi="Tahoma" w:cs="Tahoma"/>
                <w:color w:val="000080"/>
                <w:rtl/>
              </w:rPr>
            </w:pPr>
            <w:bookmarkStart w:id="0" w:name="LastJudge"/>
            <w:r w:rsidRPr="00263C85">
              <w:rPr>
                <w:rFonts w:ascii="Tahoma" w:hAnsi="Tahoma" w:cs="Tahoma"/>
                <w:b/>
                <w:bCs/>
                <w:color w:val="000080"/>
                <w:sz w:val="26"/>
                <w:szCs w:val="26"/>
                <w:rtl/>
              </w:rPr>
              <w:t>בית המשפט המחוזי בירושלים</w:t>
            </w:r>
          </w:p>
        </w:tc>
      </w:tr>
      <w:tr w:rsidR="002A6690" w:rsidRPr="00263C85" w14:paraId="625C4CDB" w14:textId="77777777" w:rsidTr="0026253F">
        <w:trPr>
          <w:trHeight w:val="337"/>
          <w:jc w:val="center"/>
        </w:trPr>
        <w:tc>
          <w:tcPr>
            <w:tcW w:w="5046" w:type="dxa"/>
          </w:tcPr>
          <w:p w14:paraId="747C785D" w14:textId="77777777" w:rsidR="002A6690" w:rsidRPr="00263C85" w:rsidRDefault="002A6690" w:rsidP="00263C85">
            <w:pPr>
              <w:rPr>
                <w:rFonts w:ascii="Tahoma" w:hAnsi="Tahoma" w:cs="Tahoma"/>
                <w:b/>
                <w:bCs/>
                <w:color w:val="000080"/>
                <w:rtl/>
              </w:rPr>
            </w:pPr>
            <w:r w:rsidRPr="00263C85">
              <w:rPr>
                <w:rFonts w:ascii="Tahoma" w:hAnsi="Tahoma" w:cs="Tahoma" w:hint="cs"/>
                <w:b/>
                <w:bCs/>
                <w:color w:val="000080"/>
                <w:rtl/>
              </w:rPr>
              <w:t>לפני כב' השופט רפי כרמל</w:t>
            </w:r>
          </w:p>
          <w:p w14:paraId="6622843D" w14:textId="77777777" w:rsidR="002A6690" w:rsidRPr="00263C85" w:rsidRDefault="002A6690" w:rsidP="00263C85">
            <w:pPr>
              <w:pStyle w:val="a3"/>
              <w:rPr>
                <w:rFonts w:ascii="Tahoma" w:hAnsi="Tahoma" w:cs="Tahoma"/>
                <w:b/>
                <w:bCs/>
                <w:color w:val="000080"/>
                <w:rtl/>
              </w:rPr>
            </w:pPr>
          </w:p>
        </w:tc>
        <w:tc>
          <w:tcPr>
            <w:tcW w:w="3675" w:type="dxa"/>
          </w:tcPr>
          <w:p w14:paraId="55380D1F" w14:textId="77777777" w:rsidR="002A6690" w:rsidRPr="00263C85" w:rsidRDefault="002A6690" w:rsidP="00263C85">
            <w:pPr>
              <w:pStyle w:val="a3"/>
              <w:jc w:val="right"/>
              <w:rPr>
                <w:rFonts w:ascii="Tahoma" w:hAnsi="Tahoma" w:cs="Tahoma"/>
                <w:b/>
                <w:bCs/>
                <w:color w:val="000080"/>
                <w:rtl/>
              </w:rPr>
            </w:pPr>
            <w:r w:rsidRPr="00263C85">
              <w:rPr>
                <w:rFonts w:ascii="Tahoma" w:hAnsi="Tahoma" w:cs="Tahoma"/>
                <w:b/>
                <w:bCs/>
                <w:color w:val="000080"/>
                <w:rtl/>
              </w:rPr>
              <w:t>ת"פ</w:t>
            </w:r>
            <w:r w:rsidRPr="00263C85">
              <w:rPr>
                <w:rFonts w:ascii="Tahoma" w:hAnsi="Tahoma" w:cs="Tahoma" w:hint="cs"/>
                <w:b/>
                <w:bCs/>
                <w:color w:val="000080"/>
                <w:rtl/>
              </w:rPr>
              <w:t xml:space="preserve"> </w:t>
            </w:r>
            <w:r w:rsidRPr="00263C85">
              <w:rPr>
                <w:rFonts w:ascii="Tahoma" w:hAnsi="Tahoma" w:cs="Tahoma"/>
                <w:b/>
                <w:bCs/>
                <w:color w:val="000080"/>
                <w:rtl/>
              </w:rPr>
              <w:t>33882-04-16</w:t>
            </w:r>
          </w:p>
        </w:tc>
      </w:tr>
    </w:tbl>
    <w:p w14:paraId="09FD4B4C" w14:textId="77777777" w:rsidR="002A6690" w:rsidRPr="00263C85" w:rsidRDefault="002A6690" w:rsidP="002A6690">
      <w:pPr>
        <w:pStyle w:val="a3"/>
        <w:rPr>
          <w:rFonts w:ascii="Tahoma" w:hAnsi="Tahoma" w:cs="Tahoma"/>
          <w:b/>
          <w:bCs/>
          <w:color w:val="000080"/>
          <w:rtl/>
        </w:rPr>
      </w:pPr>
      <w:r w:rsidRPr="00263C85">
        <w:rPr>
          <w:rFonts w:ascii="Tahoma" w:hAnsi="Tahoma" w:cs="Tahoma" w:hint="cs"/>
          <w:b/>
          <w:bCs/>
          <w:color w:val="000080"/>
          <w:rtl/>
        </w:rPr>
        <w:t xml:space="preserve"> </w:t>
      </w:r>
    </w:p>
    <w:p w14:paraId="553E5F00" w14:textId="77777777" w:rsidR="002A6690" w:rsidRPr="00263C85" w:rsidRDefault="002A6690" w:rsidP="002A6690">
      <w:pPr>
        <w:rPr>
          <w:rtl/>
        </w:rPr>
      </w:pPr>
    </w:p>
    <w:tbl>
      <w:tblPr>
        <w:bidiVisual/>
        <w:tblW w:w="8802" w:type="dxa"/>
        <w:tblInd w:w="-28" w:type="dxa"/>
        <w:tblLook w:val="01E0" w:firstRow="1" w:lastRow="1" w:firstColumn="1" w:lastColumn="1" w:noHBand="0" w:noVBand="0"/>
      </w:tblPr>
      <w:tblGrid>
        <w:gridCol w:w="2880"/>
        <w:gridCol w:w="5922"/>
      </w:tblGrid>
      <w:tr w:rsidR="002A6690" w:rsidRPr="00263C85" w14:paraId="3F5F8D92" w14:textId="77777777" w:rsidTr="00263C85">
        <w:tc>
          <w:tcPr>
            <w:tcW w:w="2880" w:type="dxa"/>
            <w:shd w:val="clear" w:color="auto" w:fill="auto"/>
          </w:tcPr>
          <w:p w14:paraId="54CF6C46" w14:textId="77777777" w:rsidR="002A6690" w:rsidRPr="00263C85" w:rsidRDefault="002A6690" w:rsidP="00263C85">
            <w:pPr>
              <w:spacing w:line="480" w:lineRule="auto"/>
              <w:ind w:left="26"/>
              <w:rPr>
                <w:b/>
                <w:bCs/>
                <w:sz w:val="28"/>
                <w:szCs w:val="28"/>
              </w:rPr>
            </w:pPr>
            <w:bookmarkStart w:id="1" w:name="FirstAppellant"/>
            <w:r w:rsidRPr="00263C85">
              <w:rPr>
                <w:rFonts w:hint="cs"/>
                <w:b/>
                <w:bCs/>
                <w:sz w:val="28"/>
                <w:szCs w:val="28"/>
                <w:rtl/>
              </w:rPr>
              <w:t>המאשימה</w:t>
            </w:r>
          </w:p>
        </w:tc>
        <w:tc>
          <w:tcPr>
            <w:tcW w:w="5922" w:type="dxa"/>
            <w:shd w:val="clear" w:color="auto" w:fill="auto"/>
          </w:tcPr>
          <w:p w14:paraId="34799B23" w14:textId="77777777" w:rsidR="002A6690" w:rsidRPr="00263C85" w:rsidRDefault="002A6690" w:rsidP="00263C85">
            <w:pPr>
              <w:spacing w:line="480" w:lineRule="auto"/>
              <w:rPr>
                <w:b/>
                <w:bCs/>
                <w:sz w:val="28"/>
                <w:szCs w:val="28"/>
                <w:rtl/>
              </w:rPr>
            </w:pPr>
            <w:r w:rsidRPr="00263C85">
              <w:rPr>
                <w:rFonts w:hint="cs"/>
                <w:b/>
                <w:bCs/>
                <w:sz w:val="28"/>
                <w:szCs w:val="28"/>
                <w:rtl/>
              </w:rPr>
              <w:t xml:space="preserve"> מדינת ישראל</w:t>
            </w:r>
          </w:p>
          <w:p w14:paraId="38416229" w14:textId="77777777" w:rsidR="002A6690" w:rsidRPr="00263C85" w:rsidRDefault="002A6690" w:rsidP="00263C85">
            <w:pPr>
              <w:spacing w:line="480" w:lineRule="auto"/>
              <w:rPr>
                <w:b/>
                <w:bCs/>
                <w:sz w:val="28"/>
                <w:szCs w:val="28"/>
                <w:rtl/>
              </w:rPr>
            </w:pPr>
            <w:r w:rsidRPr="00263C85">
              <w:rPr>
                <w:rFonts w:hint="cs"/>
                <w:b/>
                <w:bCs/>
                <w:sz w:val="28"/>
                <w:szCs w:val="28"/>
                <w:rtl/>
              </w:rPr>
              <w:t>באמצעות פרקליטות מחוז ירושלים</w:t>
            </w:r>
          </w:p>
        </w:tc>
      </w:tr>
      <w:bookmarkEnd w:id="1"/>
      <w:tr w:rsidR="002A6690" w:rsidRPr="00263C85" w14:paraId="0DB64A35" w14:textId="77777777" w:rsidTr="00263C85">
        <w:tc>
          <w:tcPr>
            <w:tcW w:w="8802" w:type="dxa"/>
            <w:gridSpan w:val="2"/>
            <w:shd w:val="clear" w:color="auto" w:fill="auto"/>
          </w:tcPr>
          <w:p w14:paraId="4FC6E93D" w14:textId="77777777" w:rsidR="002A6690" w:rsidRPr="00263C85" w:rsidRDefault="002A6690" w:rsidP="00263C85">
            <w:pPr>
              <w:spacing w:line="480" w:lineRule="auto"/>
              <w:ind w:left="26"/>
              <w:rPr>
                <w:b/>
                <w:bCs/>
                <w:sz w:val="28"/>
                <w:szCs w:val="28"/>
                <w:rtl/>
              </w:rPr>
            </w:pPr>
          </w:p>
          <w:p w14:paraId="1CEEA2C7" w14:textId="77777777" w:rsidR="002A6690" w:rsidRPr="00263C85" w:rsidRDefault="002A6690" w:rsidP="00263C85">
            <w:pPr>
              <w:spacing w:line="480" w:lineRule="auto"/>
              <w:ind w:left="26"/>
              <w:jc w:val="center"/>
              <w:rPr>
                <w:b/>
                <w:bCs/>
                <w:sz w:val="28"/>
                <w:szCs w:val="28"/>
                <w:rtl/>
              </w:rPr>
            </w:pPr>
            <w:r w:rsidRPr="00263C85">
              <w:rPr>
                <w:rFonts w:hint="cs"/>
                <w:b/>
                <w:bCs/>
                <w:sz w:val="28"/>
                <w:szCs w:val="28"/>
                <w:rtl/>
              </w:rPr>
              <w:t>נגד</w:t>
            </w:r>
          </w:p>
          <w:p w14:paraId="09E76910" w14:textId="77777777" w:rsidR="002A6690" w:rsidRPr="00263C85" w:rsidRDefault="002A6690" w:rsidP="00263C85">
            <w:pPr>
              <w:spacing w:line="480" w:lineRule="auto"/>
              <w:ind w:left="26"/>
              <w:rPr>
                <w:b/>
                <w:bCs/>
                <w:sz w:val="28"/>
                <w:szCs w:val="28"/>
                <w:rtl/>
              </w:rPr>
            </w:pPr>
          </w:p>
        </w:tc>
      </w:tr>
      <w:tr w:rsidR="002A6690" w:rsidRPr="00263C85" w14:paraId="7CA185A2" w14:textId="77777777" w:rsidTr="00263C85">
        <w:tc>
          <w:tcPr>
            <w:tcW w:w="2880" w:type="dxa"/>
            <w:shd w:val="clear" w:color="auto" w:fill="auto"/>
          </w:tcPr>
          <w:p w14:paraId="254979FE" w14:textId="77777777" w:rsidR="002A6690" w:rsidRPr="00263C85" w:rsidRDefault="002A6690" w:rsidP="00263C85">
            <w:pPr>
              <w:spacing w:line="480" w:lineRule="auto"/>
              <w:ind w:left="26"/>
              <w:rPr>
                <w:b/>
                <w:bCs/>
                <w:sz w:val="28"/>
                <w:szCs w:val="28"/>
              </w:rPr>
            </w:pPr>
            <w:bookmarkStart w:id="2" w:name="FirstLawyer"/>
            <w:r w:rsidRPr="00263C85">
              <w:rPr>
                <w:rFonts w:hint="cs"/>
                <w:b/>
                <w:bCs/>
                <w:sz w:val="28"/>
                <w:szCs w:val="28"/>
                <w:rtl/>
              </w:rPr>
              <w:t>הנאשם</w:t>
            </w:r>
          </w:p>
        </w:tc>
        <w:tc>
          <w:tcPr>
            <w:tcW w:w="5922" w:type="dxa"/>
            <w:shd w:val="clear" w:color="auto" w:fill="auto"/>
          </w:tcPr>
          <w:p w14:paraId="0ED9DB98" w14:textId="77777777" w:rsidR="002A6690" w:rsidRPr="00263C85" w:rsidRDefault="002A6690" w:rsidP="00263C85">
            <w:pPr>
              <w:spacing w:line="480" w:lineRule="auto"/>
              <w:rPr>
                <w:b/>
                <w:bCs/>
                <w:sz w:val="28"/>
                <w:szCs w:val="28"/>
                <w:rtl/>
              </w:rPr>
            </w:pPr>
            <w:r w:rsidRPr="00263C85">
              <w:rPr>
                <w:rFonts w:hint="cs"/>
                <w:b/>
                <w:bCs/>
                <w:sz w:val="28"/>
                <w:szCs w:val="28"/>
                <w:rtl/>
              </w:rPr>
              <w:t xml:space="preserve">חיים שיטרית  </w:t>
            </w:r>
          </w:p>
          <w:p w14:paraId="56CA1349" w14:textId="77777777" w:rsidR="002A6690" w:rsidRPr="00263C85" w:rsidRDefault="002A6690" w:rsidP="00263C85">
            <w:pPr>
              <w:spacing w:line="480" w:lineRule="auto"/>
              <w:rPr>
                <w:b/>
                <w:bCs/>
                <w:sz w:val="28"/>
                <w:szCs w:val="28"/>
                <w:rtl/>
              </w:rPr>
            </w:pPr>
            <w:r w:rsidRPr="00263C85">
              <w:rPr>
                <w:rFonts w:hint="cs"/>
                <w:b/>
                <w:bCs/>
                <w:sz w:val="28"/>
                <w:szCs w:val="28"/>
                <w:rtl/>
              </w:rPr>
              <w:t>ע"י ב"כ עו"ד אשר אוחיון</w:t>
            </w:r>
          </w:p>
          <w:p w14:paraId="2152B2C9" w14:textId="77777777" w:rsidR="002A6690" w:rsidRPr="00263C85" w:rsidRDefault="002A6690" w:rsidP="00263C85">
            <w:pPr>
              <w:spacing w:line="480" w:lineRule="auto"/>
              <w:rPr>
                <w:b/>
                <w:bCs/>
                <w:sz w:val="28"/>
                <w:szCs w:val="28"/>
                <w:rtl/>
              </w:rPr>
            </w:pPr>
          </w:p>
        </w:tc>
      </w:tr>
    </w:tbl>
    <w:bookmarkEnd w:id="2"/>
    <w:p w14:paraId="5B909608" w14:textId="77777777" w:rsidR="0026253F" w:rsidRPr="0026253F" w:rsidRDefault="0026253F" w:rsidP="0026253F">
      <w:pPr>
        <w:spacing w:after="120" w:line="240" w:lineRule="exact"/>
        <w:ind w:left="283" w:hanging="283"/>
        <w:jc w:val="both"/>
        <w:rPr>
          <w:rFonts w:ascii="FrankRuehl" w:hAnsi="FrankRuehl" w:cs="FrankRuehl"/>
          <w:rtl/>
        </w:rPr>
      </w:pPr>
      <w:r w:rsidRPr="0026253F">
        <w:rPr>
          <w:rFonts w:ascii="FrankRuehl" w:hAnsi="FrankRuehl" w:cs="FrankRuehl"/>
          <w:rtl/>
        </w:rPr>
        <w:t xml:space="preserve">חקיקה שאוזכרה: </w:t>
      </w:r>
    </w:p>
    <w:p w14:paraId="54D88640" w14:textId="77777777" w:rsidR="002A6690" w:rsidRPr="0026253F" w:rsidRDefault="0026253F" w:rsidP="0026253F">
      <w:pPr>
        <w:spacing w:after="120" w:line="240" w:lineRule="exact"/>
        <w:ind w:left="283" w:hanging="283"/>
        <w:jc w:val="both"/>
        <w:rPr>
          <w:rFonts w:ascii="FrankRuehl" w:hAnsi="FrankRuehl" w:cs="FrankRuehl" w:hint="cs"/>
          <w:rtl/>
        </w:rPr>
      </w:pPr>
      <w:hyperlink r:id="rId6" w:history="1">
        <w:r w:rsidRPr="0026253F">
          <w:rPr>
            <w:rFonts w:ascii="FrankRuehl" w:hAnsi="FrankRuehl" w:cs="FrankRuehl"/>
            <w:color w:val="0000FF"/>
            <w:u w:val="single"/>
            <w:rtl/>
          </w:rPr>
          <w:t>חוק העונשין, תשל"ז-1977</w:t>
        </w:r>
      </w:hyperlink>
      <w:r w:rsidRPr="0026253F">
        <w:rPr>
          <w:rFonts w:ascii="FrankRuehl" w:hAnsi="FrankRuehl" w:cs="FrankRuehl"/>
          <w:rtl/>
        </w:rPr>
        <w:t xml:space="preserve">: סע'  </w:t>
      </w:r>
      <w:hyperlink r:id="rId7" w:history="1">
        <w:r w:rsidRPr="0026253F">
          <w:rPr>
            <w:rFonts w:ascii="FrankRuehl" w:hAnsi="FrankRuehl" w:cs="FrankRuehl"/>
            <w:color w:val="0000FF"/>
            <w:u w:val="single"/>
            <w:rtl/>
          </w:rPr>
          <w:t>40 ג'(א)</w:t>
        </w:r>
      </w:hyperlink>
      <w:r w:rsidRPr="0026253F">
        <w:rPr>
          <w:rFonts w:ascii="FrankRuehl" w:hAnsi="FrankRuehl" w:cs="FrankRuehl"/>
          <w:rtl/>
        </w:rPr>
        <w:t xml:space="preserve">, </w:t>
      </w:r>
      <w:hyperlink r:id="rId8" w:history="1">
        <w:r w:rsidRPr="0026253F">
          <w:rPr>
            <w:rFonts w:ascii="FrankRuehl" w:hAnsi="FrankRuehl" w:cs="FrankRuehl"/>
            <w:color w:val="0000FF"/>
            <w:u w:val="single"/>
            <w:rtl/>
          </w:rPr>
          <w:t>40ט'</w:t>
        </w:r>
      </w:hyperlink>
      <w:r w:rsidRPr="0026253F">
        <w:rPr>
          <w:rFonts w:ascii="FrankRuehl" w:hAnsi="FrankRuehl" w:cs="FrankRuehl"/>
          <w:rtl/>
        </w:rPr>
        <w:t xml:space="preserve">, </w:t>
      </w:r>
      <w:hyperlink r:id="rId9" w:history="1">
        <w:r w:rsidRPr="0026253F">
          <w:rPr>
            <w:rFonts w:ascii="FrankRuehl" w:hAnsi="FrankRuehl" w:cs="FrankRuehl"/>
            <w:color w:val="0000FF"/>
            <w:u w:val="single"/>
            <w:rtl/>
          </w:rPr>
          <w:t>144(ב)</w:t>
        </w:r>
      </w:hyperlink>
      <w:r w:rsidRPr="0026253F">
        <w:rPr>
          <w:rFonts w:ascii="FrankRuehl" w:hAnsi="FrankRuehl" w:cs="FrankRuehl"/>
          <w:rtl/>
        </w:rPr>
        <w:t xml:space="preserve">, </w:t>
      </w:r>
      <w:hyperlink r:id="rId10" w:history="1">
        <w:r w:rsidRPr="0026253F">
          <w:rPr>
            <w:rFonts w:ascii="FrankRuehl" w:hAnsi="FrankRuehl" w:cs="FrankRuehl"/>
            <w:color w:val="0000FF"/>
            <w:u w:val="single"/>
            <w:rtl/>
          </w:rPr>
          <w:t>329(א)(1)</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6690" w14:paraId="34575D2A" w14:textId="77777777" w:rsidTr="00263C85">
        <w:trPr>
          <w:trHeight w:val="355"/>
          <w:jc w:val="center"/>
        </w:trPr>
        <w:tc>
          <w:tcPr>
            <w:tcW w:w="8820" w:type="dxa"/>
            <w:tcBorders>
              <w:top w:val="nil"/>
              <w:left w:val="nil"/>
              <w:bottom w:val="nil"/>
              <w:right w:val="nil"/>
            </w:tcBorders>
            <w:shd w:val="clear" w:color="auto" w:fill="auto"/>
          </w:tcPr>
          <w:p w14:paraId="11A31AD2" w14:textId="77777777" w:rsidR="00263C85" w:rsidRPr="00263C85" w:rsidRDefault="00263C85" w:rsidP="00263C85">
            <w:pPr>
              <w:jc w:val="center"/>
              <w:rPr>
                <w:rFonts w:ascii="Arial" w:hAnsi="Arial" w:cs="FrankRuehl"/>
                <w:b/>
                <w:bCs/>
                <w:sz w:val="38"/>
                <w:szCs w:val="38"/>
                <w:u w:val="single"/>
                <w:rtl/>
              </w:rPr>
            </w:pPr>
            <w:bookmarkStart w:id="3" w:name="PsakDin" w:colFirst="0" w:colLast="0"/>
            <w:bookmarkEnd w:id="0"/>
            <w:r w:rsidRPr="00263C85">
              <w:rPr>
                <w:rFonts w:ascii="Arial" w:hAnsi="Arial" w:cs="FrankRuehl"/>
                <w:b/>
                <w:bCs/>
                <w:sz w:val="38"/>
                <w:szCs w:val="38"/>
                <w:u w:val="single"/>
                <w:rtl/>
              </w:rPr>
              <w:t>גזר דין</w:t>
            </w:r>
          </w:p>
          <w:p w14:paraId="3948AE66" w14:textId="77777777" w:rsidR="002A6690" w:rsidRPr="00263C85" w:rsidRDefault="002A6690" w:rsidP="00263C85">
            <w:pPr>
              <w:jc w:val="center"/>
              <w:rPr>
                <w:rFonts w:ascii="Arial" w:hAnsi="Arial" w:cs="FrankRuehl"/>
                <w:bCs/>
                <w:sz w:val="32"/>
                <w:szCs w:val="32"/>
                <w:u w:val="single"/>
                <w:rtl/>
              </w:rPr>
            </w:pPr>
          </w:p>
        </w:tc>
      </w:tr>
      <w:bookmarkEnd w:id="3"/>
    </w:tbl>
    <w:p w14:paraId="169DF37F" w14:textId="77777777" w:rsidR="002A6690" w:rsidRDefault="002A6690" w:rsidP="002A6690">
      <w:pPr>
        <w:rPr>
          <w:rFonts w:ascii="Arial" w:hAnsi="Arial"/>
          <w:rtl/>
        </w:rPr>
      </w:pPr>
    </w:p>
    <w:p w14:paraId="4492FD71" w14:textId="77777777" w:rsidR="002A6690" w:rsidRPr="00B05847" w:rsidRDefault="002A6690" w:rsidP="002A6690">
      <w:pPr>
        <w:rPr>
          <w:rFonts w:ascii="Arial" w:hAnsi="Arial"/>
          <w:rtl/>
        </w:rPr>
      </w:pPr>
    </w:p>
    <w:p w14:paraId="5611BBA1" w14:textId="77777777" w:rsidR="002A6690" w:rsidRDefault="002A6690" w:rsidP="002A6690">
      <w:pPr>
        <w:rPr>
          <w:rFonts w:ascii="Arial" w:hAnsi="Arial"/>
          <w:rtl/>
        </w:rPr>
      </w:pPr>
    </w:p>
    <w:p w14:paraId="0157F8B1" w14:textId="77777777" w:rsidR="002A6690" w:rsidRDefault="002A6690" w:rsidP="002A6690">
      <w:pPr>
        <w:spacing w:line="360" w:lineRule="auto"/>
        <w:jc w:val="both"/>
        <w:rPr>
          <w:rFonts w:ascii="Arial" w:hAnsi="Arial"/>
          <w:spacing w:val="22"/>
          <w:rtl/>
        </w:rPr>
      </w:pPr>
      <w:r w:rsidRPr="00B32C9B">
        <w:rPr>
          <w:rFonts w:ascii="Arial" w:hAnsi="Arial" w:hint="cs"/>
          <w:spacing w:val="22"/>
          <w:rtl/>
        </w:rPr>
        <w:t>1.</w:t>
      </w:r>
      <w:r w:rsidRPr="00B32C9B">
        <w:rPr>
          <w:rFonts w:ascii="Arial" w:hAnsi="Arial"/>
          <w:spacing w:val="22"/>
          <w:rtl/>
        </w:rPr>
        <w:tab/>
      </w:r>
      <w:r w:rsidRPr="00B32C9B">
        <w:rPr>
          <w:rFonts w:ascii="Arial" w:hAnsi="Arial" w:hint="cs"/>
          <w:spacing w:val="22"/>
          <w:rtl/>
        </w:rPr>
        <w:t xml:space="preserve">הנאשם </w:t>
      </w:r>
      <w:bookmarkStart w:id="4" w:name="ABSTRACT_START"/>
      <w:bookmarkEnd w:id="4"/>
      <w:r w:rsidRPr="00B32C9B">
        <w:rPr>
          <w:rFonts w:ascii="Arial" w:hAnsi="Arial" w:hint="cs"/>
          <w:spacing w:val="22"/>
          <w:rtl/>
        </w:rPr>
        <w:t xml:space="preserve">הורשע בעבירה של חבלה בכוונה מחמירה, לפי </w:t>
      </w:r>
      <w:hyperlink r:id="rId11" w:history="1">
        <w:r w:rsidR="0026253F" w:rsidRPr="0026253F">
          <w:rPr>
            <w:rFonts w:ascii="Arial" w:hAnsi="Arial"/>
            <w:color w:val="0000FF"/>
            <w:spacing w:val="22"/>
            <w:u w:val="single"/>
            <w:rtl/>
          </w:rPr>
          <w:t>סעיף 329(א)(1)</w:t>
        </w:r>
      </w:hyperlink>
      <w:r w:rsidRPr="00B32C9B">
        <w:rPr>
          <w:rFonts w:ascii="Arial" w:hAnsi="Arial" w:hint="cs"/>
          <w:spacing w:val="22"/>
          <w:rtl/>
        </w:rPr>
        <w:t xml:space="preserve"> ל</w:t>
      </w:r>
      <w:hyperlink r:id="rId12" w:history="1">
        <w:r w:rsidR="00263C85" w:rsidRPr="00263C85">
          <w:rPr>
            <w:rFonts w:ascii="Arial" w:hAnsi="Arial"/>
            <w:color w:val="0000FF"/>
            <w:spacing w:val="22"/>
            <w:u w:val="single"/>
            <w:rtl/>
          </w:rPr>
          <w:t>חוק העונשין</w:t>
        </w:r>
      </w:hyperlink>
      <w:r w:rsidRPr="00B32C9B">
        <w:rPr>
          <w:rFonts w:ascii="Arial" w:hAnsi="Arial" w:hint="cs"/>
          <w:spacing w:val="22"/>
          <w:rtl/>
        </w:rPr>
        <w:t>, התשל"ז-1977 (להלן: "</w:t>
      </w:r>
      <w:r w:rsidRPr="00B32C9B">
        <w:rPr>
          <w:rFonts w:ascii="Arial" w:hAnsi="Arial" w:hint="cs"/>
          <w:b/>
          <w:bCs/>
          <w:spacing w:val="22"/>
          <w:rtl/>
        </w:rPr>
        <w:t>החוק</w:t>
      </w:r>
      <w:r w:rsidRPr="00B32C9B">
        <w:rPr>
          <w:rFonts w:ascii="Arial" w:hAnsi="Arial" w:hint="cs"/>
          <w:spacing w:val="22"/>
          <w:rtl/>
        </w:rPr>
        <w:t xml:space="preserve">"), ועבירה של נשיאת נשק, לפי </w:t>
      </w:r>
      <w:hyperlink r:id="rId13" w:history="1">
        <w:r w:rsidR="0026253F" w:rsidRPr="0026253F">
          <w:rPr>
            <w:rFonts w:ascii="Arial" w:hAnsi="Arial"/>
            <w:color w:val="0000FF"/>
            <w:spacing w:val="22"/>
            <w:u w:val="single"/>
            <w:rtl/>
          </w:rPr>
          <w:t>סעיף 144(ב)</w:t>
        </w:r>
      </w:hyperlink>
      <w:r w:rsidRPr="00B32C9B">
        <w:rPr>
          <w:rFonts w:ascii="Arial" w:hAnsi="Arial" w:hint="cs"/>
          <w:spacing w:val="22"/>
          <w:rtl/>
        </w:rPr>
        <w:t xml:space="preserve"> לחוק. </w:t>
      </w:r>
      <w:r>
        <w:rPr>
          <w:rFonts w:ascii="Arial" w:hAnsi="Arial" w:hint="cs"/>
          <w:spacing w:val="22"/>
          <w:rtl/>
        </w:rPr>
        <w:t>בהתאם להכרעת הדין, היה סכסוך בין הנאשם לבין אדם בשם שימי ממרם. ביום 27/3/16, השניים שוחחו בטלפון וקבעו להיפגש. באותו היום הגיע ממרם עם אחרים לביתו של הנאשם בשכונת בית הכרם. לאחר מכן הגיע אף הנאשם לביתו.</w:t>
      </w:r>
      <w:bookmarkStart w:id="5" w:name="ABSTRACT_END"/>
      <w:bookmarkEnd w:id="5"/>
      <w:r>
        <w:rPr>
          <w:rFonts w:ascii="Arial" w:hAnsi="Arial" w:hint="cs"/>
          <w:spacing w:val="22"/>
          <w:rtl/>
        </w:rPr>
        <w:t xml:space="preserve"> בהמשך, פגש הנאשם את ממרם והאחרים ברחוב משה קול, יצא מרכבו וירה לעברם מרחק מטרים בודדים מספר יריות ונמלט מהמקום. כתוצאה מהירי פגע קליע בגופו של אוראל ברסקה אשר היה מחבריו של ממרם. הקליע פגע באזור הגב התחתון, עבר דרך עמוד השדרה ופגע בכליה ובכבד. לאוראל נגרמו שברים בעמוד השדרה, הקליע נותר בגופו ונותרה לו נכות ממותניו ומטה. יצוין כי יתכן שבשל חלוף הזמן, חל שיפור מסוים במצבו של אוראל, אולם עדיין פגיעתו קשה. עוד יוער כי אוראל לא הגיע למסור עדות במהלך המשפט. לעניין זה קיים סיכום מחלה מיום 7/4/16, ממנו עולה כי הנפגע סובל, בין היתר, משיתוק, </w:t>
      </w:r>
      <w:r>
        <w:rPr>
          <w:rFonts w:ascii="Arial" w:hAnsi="Arial" w:hint="cs"/>
          <w:spacing w:val="22"/>
          <w:rtl/>
        </w:rPr>
        <w:lastRenderedPageBreak/>
        <w:t xml:space="preserve">ברמה מסוימת לפחות, ברגליו. הוא סבל, בין היתר, משבר מרוסק בחוליה בעמוד השדרה. </w:t>
      </w:r>
    </w:p>
    <w:p w14:paraId="26EC52AD" w14:textId="77777777" w:rsidR="002A6690" w:rsidRDefault="002A6690" w:rsidP="002A6690">
      <w:pPr>
        <w:spacing w:line="360" w:lineRule="auto"/>
        <w:jc w:val="both"/>
        <w:rPr>
          <w:rFonts w:ascii="Arial" w:hAnsi="Arial"/>
          <w:spacing w:val="22"/>
          <w:rtl/>
        </w:rPr>
      </w:pPr>
    </w:p>
    <w:p w14:paraId="532C8F6A" w14:textId="77777777" w:rsidR="002A6690" w:rsidRDefault="002A6690" w:rsidP="002A6690">
      <w:pPr>
        <w:spacing w:line="360" w:lineRule="auto"/>
        <w:jc w:val="both"/>
        <w:rPr>
          <w:rFonts w:ascii="Arial" w:hAnsi="Arial"/>
          <w:spacing w:val="22"/>
          <w:rtl/>
        </w:rPr>
      </w:pPr>
      <w:r>
        <w:rPr>
          <w:rFonts w:ascii="Arial" w:hAnsi="Arial" w:hint="cs"/>
          <w:spacing w:val="22"/>
          <w:rtl/>
        </w:rPr>
        <w:t>2.</w:t>
      </w:r>
      <w:r>
        <w:rPr>
          <w:rFonts w:ascii="Arial" w:hAnsi="Arial" w:hint="cs"/>
          <w:spacing w:val="22"/>
          <w:rtl/>
        </w:rPr>
        <w:tab/>
        <w:t xml:space="preserve">הנאשם הנו כבן 53. לנאשם עבר פלילי מכביד במיוחד, הכולל שמונה הרשעות בעבירות חמורות, ועיקרן עבירות רכוש וסמים. הנאשם ריצה בעבר עונשי מאסר, בין היתר תקופות לא קצרות. יחד עם זאת, הרשעתו האחרונה של הנאשם הנה משנת 2007, אם כי בגין הרשעה אחרת, בשנת 2006, הוא נדון לעונש מאסר בפועל לתקופה של כמעט שמונה שנים. בנוגע עם הנאשם התקבל תסקיר שירות מבחן. מהתסקיר עולה כי הנאשם נשוי בשנית, אב לשישה ילדים. מהתסקיר עולה כי הנאשם העתיק את מקום מגוריו לשכונת רמת בית הכרם משום רצונו לעזוב את הסביבה השולית בה חי קודם לכן, ולדבריו, עונש המאסר האחרון, במסגרתו קיבל טיפולים פרטניים, חיזק את רצונו לשינוי אורח חייו העברייני ולנהל אורח חיים תקין. עוד עולה מהתסקיר כי בעבר היה הנאשם מכור לסמים תקופה ארוכה. הנאשם התקשה לקבל אחריות על התנהגותו האלימה בעת ביצוע העבירות, ובשקלול הגורמים, הגיע שירות המבחן למסקנה כי יש להעריך שקיים סיכוי גבוה להישנות עבירות אלימות בחומרה גבוהה. שירות המבחן המליץ על הטלת עונש מאסר בפועל שיציב גבול ברור לנאשם. </w:t>
      </w:r>
    </w:p>
    <w:p w14:paraId="6F86AF4F" w14:textId="77777777" w:rsidR="002A6690" w:rsidRDefault="002A6690" w:rsidP="002A6690">
      <w:pPr>
        <w:spacing w:line="360" w:lineRule="auto"/>
        <w:jc w:val="both"/>
        <w:rPr>
          <w:rFonts w:ascii="Arial" w:hAnsi="Arial"/>
          <w:spacing w:val="22"/>
          <w:rtl/>
        </w:rPr>
      </w:pPr>
    </w:p>
    <w:p w14:paraId="1D004B1C" w14:textId="77777777" w:rsidR="002A6690" w:rsidRDefault="002A6690" w:rsidP="002A6690">
      <w:pPr>
        <w:spacing w:line="360" w:lineRule="auto"/>
        <w:jc w:val="both"/>
        <w:rPr>
          <w:rFonts w:ascii="Arial" w:hAnsi="Arial"/>
          <w:spacing w:val="22"/>
          <w:rtl/>
        </w:rPr>
      </w:pPr>
      <w:r>
        <w:rPr>
          <w:rFonts w:ascii="Arial" w:hAnsi="Arial" w:hint="cs"/>
          <w:spacing w:val="22"/>
          <w:rtl/>
        </w:rPr>
        <w:t>3.</w:t>
      </w:r>
      <w:r>
        <w:rPr>
          <w:rFonts w:ascii="Arial" w:hAnsi="Arial"/>
          <w:spacing w:val="22"/>
          <w:rtl/>
        </w:rPr>
        <w:tab/>
      </w:r>
      <w:r>
        <w:rPr>
          <w:rFonts w:ascii="Arial" w:hAnsi="Arial" w:hint="cs"/>
          <w:spacing w:val="22"/>
          <w:rtl/>
        </w:rPr>
        <w:t xml:space="preserve">במסגרת הטיעונים לעונש העיד מר עובד מור, בעל חברת הסעות. הנאשם עבד אצלו כנהג הסעות בשנים האחרונות. לדבריו, מדובר בעובד העושה מלאכתו נאמנה. מדובר בהסעת ילדים אוטיסטים ונכים. הנאשם היה מתנדב מעבר לשעות העבודה, מסייע להם ועוזר ככל יכולתו. אחת מבנותיו של הנאשם, הגב' אורטל עמר, בת 27, העידה כי כילדה היא ומשפחתה סבלו מאוד מאורח חייו של האב, שהיה בבתי סוהר, אולם היא ראתה את השינוי שחל בנאשם במאסרו הארוך האחרון, שם עבר תוכנית שיקומית. הנאשם הלך עימה לשיחות אצל מטפלת, מגלה רצון לשינוי אמיתי. לדבריה, הנאשם אף היה דואג לילדיה, מעשיו נבעו עקב התגרות של אנשים אחרים, אשר גררו אותו לעשות מעשה כנגד רצונו. אשת הנאשם, יעל שטרית, אשתו מזה 21 שנים, לשניים ארבעה ילדים, שתי בנות חיילות ושני בנים צעירים יותר. לדבריה, בעבר החיים עם הנאשם היו קשים מאוד, אולם במסגרת מאסרו האחרון הוא בחר בדרך השיקום, הפסיק להשתמש בסמים, המשפחה ביצעה שינוי במעבר דירה, כל המשפחה הלכה לטיפול. בשנים האחרונות תפקודו של הנאשם היה נורמטיבי. כיום חייה התמוטטו, קיימים לה קשיים כלכליים והיא עושה כל מאמץ שילדיה ימשיכו בחיים נורמטיביים. </w:t>
      </w:r>
    </w:p>
    <w:p w14:paraId="2F4E29BE" w14:textId="77777777" w:rsidR="002A6690" w:rsidRDefault="002A6690" w:rsidP="002A6690">
      <w:pPr>
        <w:spacing w:line="360" w:lineRule="auto"/>
        <w:jc w:val="both"/>
        <w:rPr>
          <w:rFonts w:ascii="Arial" w:hAnsi="Arial"/>
          <w:spacing w:val="22"/>
          <w:rtl/>
        </w:rPr>
      </w:pPr>
    </w:p>
    <w:p w14:paraId="64A43D2E" w14:textId="77777777" w:rsidR="002A6690" w:rsidRDefault="002A6690" w:rsidP="002A6690">
      <w:pPr>
        <w:spacing w:line="360" w:lineRule="auto"/>
        <w:jc w:val="both"/>
        <w:rPr>
          <w:rFonts w:ascii="Arial" w:hAnsi="Arial"/>
          <w:spacing w:val="22"/>
          <w:rtl/>
        </w:rPr>
      </w:pPr>
      <w:r>
        <w:rPr>
          <w:rFonts w:ascii="Arial" w:hAnsi="Arial" w:hint="cs"/>
          <w:spacing w:val="22"/>
          <w:rtl/>
        </w:rPr>
        <w:lastRenderedPageBreak/>
        <w:t>4.</w:t>
      </w:r>
      <w:r>
        <w:rPr>
          <w:rFonts w:ascii="Arial" w:hAnsi="Arial"/>
          <w:spacing w:val="22"/>
        </w:rPr>
        <w:tab/>
      </w:r>
      <w:r>
        <w:rPr>
          <w:rFonts w:ascii="Arial" w:hAnsi="Arial" w:hint="cs"/>
          <w:spacing w:val="22"/>
          <w:rtl/>
        </w:rPr>
        <w:t xml:space="preserve">ב"כ המאשימה הפנתה לעברו הפלילי של הנאשם, לחומרת מעשיו של הנאשם, לפגיעה שנגרמה לקורבן, לחומרת עבירת נשיאת הנשק. הנאשם עשה שימוש בנשק חם שביכולתו לגרום למומים ולהמית אדם, הירי נעשה ברחוב ראשי בשעת ערב. במקום היו אנשים נוספים. לנפגע נגרם נזק גופני קשה כעולה מהתעודה הרפואית, מדובר בבחור בן 20, ולא ניתן להתעלם מהנזקים הקשים שנותרו לו, זאת לאחר שהנאשם, במסגרת סכסוך, לקח את הדין לידיו וירה לעבר הנפגע והאנשים הנוספים. לשיטת המאשימה, ובהסתמך לפסיקה אליה הפנתה, המתחם הראוי הוא בין 10 עד 16 שנות מאסר והמאשימה עתרה להטיל על הנאשם עונש מאסר בפועל לתקופה של 14 שנים, עונש מאסר על תנאי  ופיצוי למתלונן. </w:t>
      </w:r>
    </w:p>
    <w:p w14:paraId="0BCC01C7" w14:textId="77777777" w:rsidR="002A6690" w:rsidRDefault="002A6690" w:rsidP="002A6690">
      <w:pPr>
        <w:spacing w:line="360" w:lineRule="auto"/>
        <w:jc w:val="both"/>
        <w:rPr>
          <w:rFonts w:ascii="Arial" w:hAnsi="Arial"/>
          <w:spacing w:val="22"/>
          <w:rtl/>
        </w:rPr>
      </w:pPr>
      <w:r>
        <w:rPr>
          <w:rFonts w:ascii="Arial" w:hAnsi="Arial"/>
          <w:spacing w:val="22"/>
          <w:rtl/>
        </w:rPr>
        <w:tab/>
      </w:r>
      <w:r>
        <w:rPr>
          <w:rFonts w:ascii="Arial" w:hAnsi="Arial" w:hint="cs"/>
          <w:spacing w:val="22"/>
          <w:rtl/>
        </w:rPr>
        <w:t xml:space="preserve">מנגד, הסנגור הפנה לכך שהנאשם נקלע לסכסוך בין שתי קבוצות, כאשר הנאשם נגרר לכך בעל כורחו על ידי אנשים שהגיעו לביתו, שעה שבבית מצויים אשתו וילדיו. הנאשם עבר תהליך שיקום משמעותי, חדל מלהשתמש בסמים, אף שכל חייו כמעט הוא השתמש בסמים. למרות כל הקשיים ולמרות עברו, הוא הצליח לפתח אורח חיים נורמטיבי ולבצע מהלך שיקומי נדיר. הנאשם עבד בצורה מסודרת והתנדב. הקים משפחה נורמטיבית, שתי בנותיו משרתות בצה"ל. הנאשם נקלע לאירוע בסערת רגשות, לאחר שאשתו אמרה לו שחייה וחיי הילדים בסכנה, עובדה שאף לא הייתה שנויה במחלוקת. בשעת הירי הנאשם כיוון לגובה נמוך ולא לפלג גוף עליון. אי הגשת הצהרת נפגע באה מתוך רצון למתן את הסכסוך. לנאשם ולמשפחתו נגרם נזק כבד כתוצאה מהסתבכות הנאשם באירוע. דווקא מעברו הפלילי המכביד של הנאשם, ניתן ללמוד על השינוי שחל באורח חייו ועל רצונו לשנות את התנהלותו. סביבתו של הנאשם ניסתה לערב אותו בנושאים עברייניים והוא ניסה להתרחק מכך. מדובר בהחלטה שגויה, אך קדמה לה התגרות בלתי סבירה. ב"כ הנאשם הפנה להחלטות בעניינים אחרים והוא ביקש ללמוד מכך על ענישת הנאשם שאמורה להשאיר פתח של תקווה לנאשם, על מנת שלא הוא ולא בני משפחתו יגיעו לכלל ייאוש. </w:t>
      </w:r>
    </w:p>
    <w:p w14:paraId="2C6CF0A2" w14:textId="77777777" w:rsidR="002A6690" w:rsidRDefault="002A6690" w:rsidP="002A6690">
      <w:pPr>
        <w:spacing w:line="360" w:lineRule="auto"/>
        <w:jc w:val="both"/>
        <w:rPr>
          <w:rFonts w:ascii="Arial" w:hAnsi="Arial"/>
          <w:spacing w:val="22"/>
          <w:rtl/>
        </w:rPr>
      </w:pPr>
    </w:p>
    <w:p w14:paraId="6A583950" w14:textId="77777777" w:rsidR="002A6690" w:rsidRDefault="002A6690" w:rsidP="002A6690">
      <w:pPr>
        <w:spacing w:line="360" w:lineRule="auto"/>
        <w:jc w:val="both"/>
        <w:rPr>
          <w:rFonts w:ascii="Arial" w:hAnsi="Arial"/>
          <w:spacing w:val="22"/>
          <w:rtl/>
        </w:rPr>
      </w:pPr>
      <w:r>
        <w:rPr>
          <w:rFonts w:ascii="Arial" w:hAnsi="Arial" w:hint="cs"/>
          <w:spacing w:val="22"/>
          <w:rtl/>
        </w:rPr>
        <w:t>5.</w:t>
      </w:r>
      <w:r>
        <w:rPr>
          <w:rFonts w:ascii="Arial" w:hAnsi="Arial"/>
          <w:spacing w:val="22"/>
          <w:rtl/>
        </w:rPr>
        <w:tab/>
      </w:r>
      <w:r>
        <w:rPr>
          <w:rFonts w:ascii="Arial" w:hAnsi="Arial" w:hint="cs"/>
          <w:spacing w:val="22"/>
          <w:rtl/>
        </w:rPr>
        <w:t xml:space="preserve">לדברי הנאשם, מאז שחרורו מבית הסוהר הוא ביקש להתרחק מחייו הקודמים, הוא רצה לשמור על משפחתו, וביום האירוע הוא היה בסכנת חיים גדולה. </w:t>
      </w:r>
    </w:p>
    <w:p w14:paraId="559B9052" w14:textId="77777777" w:rsidR="002A6690" w:rsidRDefault="002A6690" w:rsidP="002A6690">
      <w:pPr>
        <w:spacing w:line="360" w:lineRule="auto"/>
        <w:jc w:val="both"/>
        <w:rPr>
          <w:rFonts w:ascii="Arial" w:hAnsi="Arial"/>
          <w:spacing w:val="22"/>
          <w:rtl/>
        </w:rPr>
      </w:pPr>
    </w:p>
    <w:p w14:paraId="4BFC86F6" w14:textId="77777777" w:rsidR="002A6690" w:rsidRPr="00EF7553" w:rsidRDefault="002A6690" w:rsidP="002A6690">
      <w:pPr>
        <w:spacing w:line="360" w:lineRule="auto"/>
        <w:jc w:val="both"/>
        <w:rPr>
          <w:rFonts w:ascii="Arial" w:hAnsi="Arial"/>
          <w:b/>
          <w:bCs/>
          <w:spacing w:val="22"/>
          <w:rtl/>
        </w:rPr>
      </w:pPr>
      <w:r>
        <w:rPr>
          <w:rFonts w:ascii="Arial" w:hAnsi="Arial"/>
          <w:spacing w:val="22"/>
          <w:rtl/>
        </w:rPr>
        <w:tab/>
      </w:r>
      <w:r>
        <w:rPr>
          <w:rFonts w:ascii="Arial" w:hAnsi="Arial" w:hint="cs"/>
          <w:b/>
          <w:bCs/>
          <w:spacing w:val="22"/>
          <w:rtl/>
        </w:rPr>
        <w:t>דיון</w:t>
      </w:r>
    </w:p>
    <w:p w14:paraId="31D257CC" w14:textId="77777777" w:rsidR="002A6690" w:rsidRDefault="002A6690" w:rsidP="002A6690">
      <w:pPr>
        <w:spacing w:line="360" w:lineRule="auto"/>
        <w:jc w:val="both"/>
        <w:rPr>
          <w:rFonts w:ascii="Arial" w:hAnsi="Arial"/>
          <w:spacing w:val="22"/>
          <w:rtl/>
        </w:rPr>
      </w:pPr>
      <w:r w:rsidRPr="00F751FB">
        <w:rPr>
          <w:rFonts w:ascii="Arial" w:hAnsi="Arial"/>
          <w:spacing w:val="22"/>
          <w:rtl/>
        </w:rPr>
        <w:t xml:space="preserve">6. </w:t>
      </w:r>
      <w:r w:rsidRPr="00F751FB">
        <w:rPr>
          <w:rFonts w:ascii="Arial" w:hAnsi="Arial"/>
          <w:spacing w:val="22"/>
          <w:rtl/>
        </w:rPr>
        <w:tab/>
      </w:r>
      <w:hyperlink r:id="rId14" w:history="1">
        <w:r w:rsidR="00263C85" w:rsidRPr="00263C85">
          <w:rPr>
            <w:rFonts w:ascii="Arial" w:hAnsi="Arial"/>
            <w:color w:val="0000FF"/>
            <w:spacing w:val="22"/>
            <w:u w:val="single"/>
            <w:rtl/>
          </w:rPr>
          <w:t>חוק העונשין</w:t>
        </w:r>
      </w:hyperlink>
      <w:r w:rsidRPr="00F751FB">
        <w:rPr>
          <w:rFonts w:ascii="Arial" w:hAnsi="Arial"/>
          <w:spacing w:val="22"/>
          <w:rtl/>
        </w:rPr>
        <w:t xml:space="preserve"> (תיקון 113) קבע את עקרון ההלימה שמשמעו אימוץ עקרון הגמול כעקרון מנחה. יש לבדוק העבירה וכל העולה ממנה ולאחר מכן הנסיבות האישיות. בחינת העבירה ונסיבותיה מביאה לקביעת מתחם ענישה ולאחר מכן יש לבחון הנסיבות האישיות. </w:t>
      </w:r>
    </w:p>
    <w:p w14:paraId="6D7EEB13" w14:textId="77777777" w:rsidR="002A6690" w:rsidRPr="00F751FB" w:rsidRDefault="002A6690" w:rsidP="002A6690">
      <w:pPr>
        <w:spacing w:line="360" w:lineRule="auto"/>
        <w:jc w:val="both"/>
        <w:rPr>
          <w:rFonts w:ascii="Arial" w:hAnsi="Arial"/>
          <w:spacing w:val="22"/>
          <w:rtl/>
        </w:rPr>
      </w:pPr>
    </w:p>
    <w:p w14:paraId="390D1A0F" w14:textId="77777777" w:rsidR="002A6690" w:rsidRPr="00F751FB" w:rsidRDefault="002A6690" w:rsidP="002A6690">
      <w:pPr>
        <w:spacing w:line="360" w:lineRule="auto"/>
        <w:ind w:firstLine="720"/>
        <w:jc w:val="both"/>
        <w:rPr>
          <w:rFonts w:ascii="Arial" w:hAnsi="Arial"/>
          <w:spacing w:val="22"/>
          <w:rtl/>
        </w:rPr>
      </w:pPr>
      <w:r w:rsidRPr="00F751FB">
        <w:rPr>
          <w:rFonts w:ascii="Arial" w:hAnsi="Arial"/>
          <w:spacing w:val="22"/>
          <w:rtl/>
        </w:rPr>
        <w:t xml:space="preserve"> </w:t>
      </w:r>
      <w:r w:rsidRPr="00F751FB">
        <w:rPr>
          <w:rFonts w:ascii="Arial" w:hAnsi="Arial"/>
          <w:b/>
          <w:bCs/>
          <w:spacing w:val="22"/>
          <w:rtl/>
        </w:rPr>
        <w:t>בשלב הראשון</w:t>
      </w:r>
      <w:r w:rsidRPr="00F751FB">
        <w:rPr>
          <w:rFonts w:ascii="Arial" w:hAnsi="Arial"/>
          <w:spacing w:val="22"/>
          <w:rtl/>
        </w:rPr>
        <w:t xml:space="preserve">, יש לבדוק האם הנאשם הורשע בכמה עבירות, והאם אלו מהוות אירוע אחד או כמה אירועים נפרדים. כאשר מדובר בכמה אירועים, יש לקבוע עונש הולם לכל אירוע בנפרד ולבסוף ניתן לגזור עונש נפרד לכל אירוע או עונש כולל לכל האירועים. </w:t>
      </w:r>
      <w:r w:rsidRPr="00F751FB">
        <w:rPr>
          <w:rFonts w:ascii="Arial" w:hAnsi="Arial"/>
          <w:b/>
          <w:bCs/>
          <w:spacing w:val="22"/>
          <w:rtl/>
        </w:rPr>
        <w:t>בשלב השני</w:t>
      </w:r>
      <w:r w:rsidRPr="00F751FB">
        <w:rPr>
          <w:rFonts w:ascii="Arial" w:hAnsi="Arial"/>
          <w:spacing w:val="22"/>
          <w:rtl/>
        </w:rPr>
        <w:t xml:space="preserve">, יש לקבוע את מתחם הענישה הראוי כעולה </w:t>
      </w:r>
      <w:hyperlink r:id="rId15" w:history="1">
        <w:r w:rsidR="0026253F" w:rsidRPr="0026253F">
          <w:rPr>
            <w:rStyle w:val="Hyperlink"/>
            <w:rFonts w:ascii="Arial" w:hAnsi="Arial"/>
            <w:spacing w:val="22"/>
            <w:rtl/>
          </w:rPr>
          <w:t>מסעיף 40 ג'(א)</w:t>
        </w:r>
      </w:hyperlink>
      <w:r w:rsidRPr="00F751FB">
        <w:rPr>
          <w:rFonts w:ascii="Arial" w:hAnsi="Arial"/>
          <w:spacing w:val="22"/>
          <w:rtl/>
        </w:rPr>
        <w:t xml:space="preserve"> ל</w:t>
      </w:r>
      <w:hyperlink r:id="rId16" w:history="1">
        <w:r w:rsidR="00263C85" w:rsidRPr="00263C85">
          <w:rPr>
            <w:rFonts w:ascii="Arial" w:hAnsi="Arial"/>
            <w:color w:val="0000FF"/>
            <w:spacing w:val="22"/>
            <w:u w:val="single"/>
            <w:rtl/>
          </w:rPr>
          <w:t>חוק העונשין</w:t>
        </w:r>
      </w:hyperlink>
      <w:r w:rsidRPr="00F751FB">
        <w:rPr>
          <w:rFonts w:ascii="Arial" w:hAnsi="Arial"/>
          <w:spacing w:val="22"/>
          <w:rtl/>
        </w:rPr>
        <w:t xml:space="preserve">. ביצירת המתחם מספר שיקולים: האחד, הערך החברתי שנפגע מביצוע העבירה ומידת הפגיעה בו. השני, מדיניות הענישה הנוהגת. השלישי, נסיבות הקשורות בביצוע העבירה כמפורט </w:t>
      </w:r>
      <w:hyperlink r:id="rId17" w:history="1">
        <w:r w:rsidR="0026253F" w:rsidRPr="0026253F">
          <w:rPr>
            <w:rStyle w:val="Hyperlink"/>
            <w:rFonts w:ascii="Arial" w:hAnsi="Arial"/>
            <w:spacing w:val="22"/>
            <w:rtl/>
          </w:rPr>
          <w:t>בסעיף 40ט'</w:t>
        </w:r>
      </w:hyperlink>
      <w:r w:rsidRPr="00F751FB">
        <w:rPr>
          <w:rFonts w:ascii="Arial" w:hAnsi="Arial"/>
          <w:spacing w:val="22"/>
          <w:rtl/>
        </w:rPr>
        <w:t xml:space="preserve"> והם: תכנון, חלקו של הנאשם, הנזק הצפוי וזה שנגרם, הסיבות לביצוע העבירה, הבנת הנאשם ויכולת להימנע מעבירה, מצוקתו הנפשית, קרבה לסייג אחריות פלילית, מידת האכזריות כלפי נפגע העבירה, ניצול כוח ומעמד. </w:t>
      </w:r>
      <w:r w:rsidRPr="00F751FB">
        <w:rPr>
          <w:rFonts w:ascii="Arial" w:hAnsi="Arial"/>
          <w:b/>
          <w:bCs/>
          <w:spacing w:val="22"/>
          <w:rtl/>
        </w:rPr>
        <w:t>בשלב השלישי</w:t>
      </w:r>
      <w:r w:rsidRPr="00F751FB">
        <w:rPr>
          <w:rFonts w:ascii="Arial" w:hAnsi="Arial"/>
          <w:spacing w:val="22"/>
          <w:rtl/>
        </w:rPr>
        <w:t>, יש לגזור את העונש המתאים לנאשם בתוך המתחם ולהתחשב בנסיבות שאינן קשורות בביצוע העבירה: הפגיעה של העונש בנאשם, לרבות שיקולי גיל; פגיעה במשפחתו; הנזקים שנגרמו לנאשם מביצוע העבירה וההרשעה; מידת האחריות של הנאשם למעשיו; שיקומו או ניסיונות שיקום; מאמצי הנאשם לתיקון תוצאות העבירה ופיצוי על הנזק שנגרם בעטיה; שיתוף פעולה עם רשויות אכיפת החוק; התנהגות חיובית של הנאשם ותרומתו לחברה; נסיבות חיים קשות של הנאשם; התנהגות רשויות אכיפת החוק; חלוף הזמן מביצוע העבירה; עברו הפלילי של הנאשם או העדר עבר.</w:t>
      </w:r>
    </w:p>
    <w:p w14:paraId="46AD897D" w14:textId="77777777" w:rsidR="002A6690" w:rsidRPr="00F751FB" w:rsidRDefault="002A6690" w:rsidP="002A6690">
      <w:pPr>
        <w:spacing w:line="360" w:lineRule="auto"/>
        <w:jc w:val="both"/>
        <w:rPr>
          <w:rFonts w:ascii="Arial" w:hAnsi="Arial"/>
          <w:spacing w:val="22"/>
          <w:rtl/>
        </w:rPr>
      </w:pPr>
      <w:r w:rsidRPr="00F751FB">
        <w:rPr>
          <w:rFonts w:ascii="Arial" w:hAnsi="Arial"/>
          <w:spacing w:val="22"/>
          <w:rtl/>
        </w:rPr>
        <w:tab/>
      </w:r>
    </w:p>
    <w:p w14:paraId="0A806AA9" w14:textId="77777777" w:rsidR="002A6690" w:rsidRDefault="002A6690" w:rsidP="002A6690">
      <w:pPr>
        <w:spacing w:line="360" w:lineRule="auto"/>
        <w:jc w:val="both"/>
        <w:rPr>
          <w:rFonts w:ascii="Arial" w:hAnsi="Arial"/>
          <w:spacing w:val="22"/>
          <w:rtl/>
        </w:rPr>
      </w:pPr>
      <w:r w:rsidRPr="00F751FB">
        <w:rPr>
          <w:rFonts w:ascii="Arial" w:hAnsi="Arial" w:hint="cs"/>
          <w:spacing w:val="22"/>
          <w:rtl/>
        </w:rPr>
        <w:t>7.</w:t>
      </w:r>
      <w:r>
        <w:rPr>
          <w:rFonts w:ascii="Arial" w:hAnsi="Arial"/>
          <w:spacing w:val="22"/>
          <w:rtl/>
        </w:rPr>
        <w:tab/>
      </w:r>
      <w:r>
        <w:rPr>
          <w:rFonts w:ascii="Arial" w:hAnsi="Arial" w:hint="cs"/>
          <w:spacing w:val="22"/>
          <w:rtl/>
        </w:rPr>
        <w:t xml:space="preserve">בענייננו, הערך המוגן בו פגע הנאשם הנו שלמות הגוף ושלום הציבור. הנאשם ירה בנשק חם במקום מרכזי בו עוברים הולכים ושבים, פגע בגופו של הנפגע וגרם לו לפגיעה קשה וחמורה ביותר. מדיניות הענישה הנוהגת בעבירות אלו הנה חמורה ומכבידה, זאת מתוך מגמה לצמצם ככל הניתן תופעות מעין אלו של ירי בנשק חם (ר' </w:t>
      </w:r>
      <w:hyperlink r:id="rId18" w:history="1">
        <w:r w:rsidR="00263C85" w:rsidRPr="00263C85">
          <w:rPr>
            <w:rFonts w:ascii="Arial" w:hAnsi="Arial"/>
            <w:color w:val="0000FF"/>
            <w:spacing w:val="22"/>
            <w:u w:val="single"/>
            <w:rtl/>
          </w:rPr>
          <w:t>ע"פ 6989/13</w:t>
        </w:r>
      </w:hyperlink>
      <w:r>
        <w:rPr>
          <w:rFonts w:ascii="Arial" w:hAnsi="Arial" w:hint="cs"/>
          <w:spacing w:val="22"/>
          <w:rtl/>
        </w:rPr>
        <w:t xml:space="preserve"> ו</w:t>
      </w:r>
      <w:hyperlink r:id="rId19" w:history="1">
        <w:r w:rsidR="00263C85" w:rsidRPr="00263C85">
          <w:rPr>
            <w:rFonts w:ascii="Arial" w:hAnsi="Arial"/>
            <w:color w:val="0000FF"/>
            <w:spacing w:val="22"/>
            <w:u w:val="single"/>
            <w:rtl/>
          </w:rPr>
          <w:t>ע"פ 4119/14</w:t>
        </w:r>
      </w:hyperlink>
      <w:r>
        <w:rPr>
          <w:rFonts w:ascii="Arial" w:hAnsi="Arial" w:hint="cs"/>
          <w:spacing w:val="22"/>
          <w:rtl/>
        </w:rPr>
        <w:t>). אף הענישה שלצד סעיפי העבירות בהן הורשע הנאשם, הנה חמורה. לזכות הנאשם יש לומר כי יתכן שמדובר באירוע מתגלגל, כאשר הנאשם לא תכנן את שלביו ואת תוצאותיו, והוא נקלע למעגל אלימות שיתכן שהחל שלא ביוזמתו. יחד עם זאת, הנאשם לקח חלק בלעדי בירי, הנזק הצפוי והנזק שנגרם חמורים מלכתחילה, הנאשם הבין את מעשיו ויכול היה להימנע מהם. מדובר באירוע אחד. מתחם העונש הראוי הנו 6 עד 14 שנות מאסר. באשר לעונשו של הנאשם בתוך המתחם, יש לשקול את גילו המבוגר יחסית, את הפגיעה הקשה שנגרמה למשפחתו, לאשתו ולילדיו המנסים לקיים אורח חיים נורמטיבי ככל האפשר, על אף התנהלותו של הנאשם. לחובת הנאשם עומדים גם עברו המכביד ותוצאות מעשיו.</w:t>
      </w:r>
    </w:p>
    <w:p w14:paraId="7B889E99" w14:textId="77777777" w:rsidR="002A6690" w:rsidRDefault="002A6690" w:rsidP="002A6690">
      <w:pPr>
        <w:spacing w:line="360" w:lineRule="auto"/>
        <w:jc w:val="both"/>
        <w:rPr>
          <w:rFonts w:ascii="Arial" w:hAnsi="Arial"/>
          <w:spacing w:val="22"/>
          <w:rtl/>
        </w:rPr>
      </w:pPr>
    </w:p>
    <w:p w14:paraId="43393F2E" w14:textId="77777777" w:rsidR="002A6690" w:rsidRDefault="002A6690" w:rsidP="002A6690">
      <w:pPr>
        <w:spacing w:line="360" w:lineRule="auto"/>
        <w:jc w:val="both"/>
        <w:rPr>
          <w:rFonts w:ascii="Arial" w:hAnsi="Arial"/>
          <w:spacing w:val="22"/>
          <w:rtl/>
        </w:rPr>
      </w:pPr>
    </w:p>
    <w:p w14:paraId="06399B43" w14:textId="77777777" w:rsidR="002A6690" w:rsidRDefault="002A6690" w:rsidP="002A6690">
      <w:pPr>
        <w:spacing w:line="360" w:lineRule="auto"/>
        <w:jc w:val="both"/>
        <w:rPr>
          <w:rFonts w:ascii="Arial" w:hAnsi="Arial"/>
          <w:spacing w:val="22"/>
          <w:rtl/>
        </w:rPr>
      </w:pPr>
      <w:r>
        <w:rPr>
          <w:rFonts w:ascii="Arial" w:hAnsi="Arial" w:hint="cs"/>
          <w:spacing w:val="22"/>
          <w:rtl/>
        </w:rPr>
        <w:t>8.</w:t>
      </w:r>
      <w:r>
        <w:rPr>
          <w:rFonts w:ascii="Arial" w:hAnsi="Arial"/>
          <w:spacing w:val="22"/>
          <w:rtl/>
        </w:rPr>
        <w:tab/>
      </w:r>
      <w:r>
        <w:rPr>
          <w:rFonts w:ascii="Arial" w:hAnsi="Arial" w:hint="cs"/>
          <w:spacing w:val="22"/>
          <w:rtl/>
        </w:rPr>
        <w:t>לאחר שקלול הנתונים הצריכים לעניין אני גוזר על הנאשם כלהלן:</w:t>
      </w:r>
    </w:p>
    <w:p w14:paraId="6B05FAC1" w14:textId="77777777" w:rsidR="002A6690" w:rsidRDefault="002A6690" w:rsidP="002A6690">
      <w:pPr>
        <w:spacing w:line="360" w:lineRule="auto"/>
        <w:jc w:val="both"/>
        <w:rPr>
          <w:rFonts w:ascii="Arial" w:hAnsi="Arial"/>
          <w:spacing w:val="22"/>
          <w:rtl/>
        </w:rPr>
      </w:pPr>
    </w:p>
    <w:p w14:paraId="5F71BEC3" w14:textId="77777777" w:rsidR="002A6690" w:rsidRDefault="002A6690" w:rsidP="002A6690">
      <w:pPr>
        <w:spacing w:line="360" w:lineRule="auto"/>
        <w:jc w:val="both"/>
        <w:rPr>
          <w:rFonts w:ascii="Arial" w:hAnsi="Arial"/>
          <w:spacing w:val="22"/>
          <w:rtl/>
        </w:rPr>
      </w:pPr>
      <w:r>
        <w:rPr>
          <w:rFonts w:ascii="Arial" w:hAnsi="Arial"/>
          <w:spacing w:val="22"/>
          <w:rtl/>
        </w:rPr>
        <w:tab/>
      </w:r>
      <w:r>
        <w:rPr>
          <w:rFonts w:ascii="Arial" w:hAnsi="Arial" w:hint="cs"/>
          <w:spacing w:val="22"/>
          <w:rtl/>
        </w:rPr>
        <w:t>א.</w:t>
      </w:r>
      <w:r>
        <w:rPr>
          <w:rFonts w:ascii="Arial" w:hAnsi="Arial" w:hint="cs"/>
          <w:spacing w:val="22"/>
          <w:rtl/>
        </w:rPr>
        <w:tab/>
        <w:t>מאסר בפועל לתקופה של 9 שנים. תחילת מאסרו מיום מעצרו.</w:t>
      </w:r>
    </w:p>
    <w:p w14:paraId="29B03A66" w14:textId="77777777" w:rsidR="002A6690" w:rsidRDefault="002A6690" w:rsidP="002A6690">
      <w:pPr>
        <w:spacing w:line="360" w:lineRule="auto"/>
        <w:jc w:val="both"/>
        <w:rPr>
          <w:rFonts w:ascii="Arial" w:hAnsi="Arial"/>
          <w:spacing w:val="22"/>
          <w:rtl/>
        </w:rPr>
      </w:pPr>
    </w:p>
    <w:p w14:paraId="68BD22AF" w14:textId="77777777" w:rsidR="002A6690" w:rsidRDefault="002A6690" w:rsidP="002A6690">
      <w:pPr>
        <w:spacing w:line="360" w:lineRule="auto"/>
        <w:ind w:left="1440" w:hanging="720"/>
        <w:jc w:val="both"/>
        <w:rPr>
          <w:rFonts w:ascii="Arial" w:hAnsi="Arial"/>
          <w:spacing w:val="22"/>
          <w:rtl/>
        </w:rPr>
      </w:pPr>
      <w:r>
        <w:rPr>
          <w:rFonts w:ascii="Arial" w:hAnsi="Arial" w:hint="cs"/>
          <w:spacing w:val="22"/>
          <w:rtl/>
        </w:rPr>
        <w:t>ב.</w:t>
      </w:r>
      <w:r>
        <w:rPr>
          <w:rFonts w:ascii="Arial" w:hAnsi="Arial" w:hint="cs"/>
          <w:spacing w:val="22"/>
          <w:rtl/>
        </w:rPr>
        <w:tab/>
        <w:t xml:space="preserve">מאסר מותנה לתקופה של 7 חודשים והתנאי הוא שהנאשם לא יעבור עבירה מסוג פשע בתוך 3 שנים מיום שחרורו ממאסר. </w:t>
      </w:r>
    </w:p>
    <w:p w14:paraId="3AE8864A" w14:textId="77777777" w:rsidR="002A6690" w:rsidRDefault="002A6690" w:rsidP="002A6690">
      <w:pPr>
        <w:spacing w:line="360" w:lineRule="auto"/>
        <w:jc w:val="both"/>
        <w:rPr>
          <w:rFonts w:ascii="Arial" w:hAnsi="Arial"/>
          <w:spacing w:val="22"/>
          <w:rtl/>
        </w:rPr>
      </w:pPr>
    </w:p>
    <w:p w14:paraId="0574A23F" w14:textId="77777777" w:rsidR="002A6690" w:rsidRPr="00B32C9B" w:rsidRDefault="002A6690" w:rsidP="002A6690">
      <w:pPr>
        <w:rPr>
          <w:spacing w:val="22"/>
          <w:rtl/>
        </w:rPr>
      </w:pPr>
    </w:p>
    <w:p w14:paraId="66810ACC" w14:textId="77777777" w:rsidR="002A6690" w:rsidRPr="00B32C9B" w:rsidRDefault="002A6690" w:rsidP="002A6690">
      <w:pPr>
        <w:rPr>
          <w:spacing w:val="22"/>
          <w:rtl/>
        </w:rPr>
      </w:pPr>
      <w:r w:rsidRPr="00B32C9B">
        <w:rPr>
          <w:spacing w:val="22"/>
          <w:rtl/>
        </w:rPr>
        <w:tab/>
      </w:r>
      <w:r w:rsidRPr="00B32C9B">
        <w:rPr>
          <w:rFonts w:hint="cs"/>
          <w:spacing w:val="22"/>
          <w:rtl/>
        </w:rPr>
        <w:t xml:space="preserve">זכות ערעור לבית משפט העליון בתוך 45 יום מהיום. </w:t>
      </w:r>
    </w:p>
    <w:p w14:paraId="7F8831FC" w14:textId="77777777" w:rsidR="002A6690" w:rsidRPr="00B32C9B" w:rsidRDefault="002A6690" w:rsidP="002A6690">
      <w:pPr>
        <w:rPr>
          <w:spacing w:val="22"/>
          <w:rtl/>
        </w:rPr>
      </w:pPr>
    </w:p>
    <w:p w14:paraId="26F296BF" w14:textId="77777777" w:rsidR="002A6690" w:rsidRPr="00B32C9B" w:rsidRDefault="002A6690" w:rsidP="002A6690">
      <w:pPr>
        <w:rPr>
          <w:spacing w:val="22"/>
          <w:rtl/>
        </w:rPr>
      </w:pPr>
    </w:p>
    <w:p w14:paraId="438DDD27" w14:textId="77777777" w:rsidR="002A6690" w:rsidRPr="00B32C9B" w:rsidRDefault="00263C85" w:rsidP="002A6690">
      <w:pPr>
        <w:spacing w:line="360" w:lineRule="auto"/>
        <w:ind w:firstLine="720"/>
        <w:jc w:val="both"/>
        <w:rPr>
          <w:rFonts w:ascii="Arial" w:hAnsi="Arial"/>
          <w:spacing w:val="22"/>
          <w:rtl/>
        </w:rPr>
      </w:pPr>
      <w:r>
        <w:rPr>
          <w:rFonts w:ascii="Arial" w:hAnsi="Arial"/>
          <w:spacing w:val="22"/>
          <w:rtl/>
        </w:rPr>
        <w:t xml:space="preserve">ניתן היום,  י"ב אייר תשע"ז, 08 מאי 2017, במעמד ב"כ המאשימה, ב"כ </w:t>
      </w:r>
      <w:r w:rsidR="002A6690" w:rsidRPr="00B32C9B">
        <w:rPr>
          <w:rFonts w:ascii="Arial" w:hAnsi="Arial" w:hint="cs"/>
          <w:spacing w:val="22"/>
          <w:rtl/>
        </w:rPr>
        <w:t>הנאשם והנאשם בעצמו</w:t>
      </w:r>
      <w:r w:rsidR="002A6690" w:rsidRPr="00B32C9B">
        <w:rPr>
          <w:rFonts w:ascii="Arial" w:hAnsi="Arial"/>
          <w:spacing w:val="22"/>
          <w:rtl/>
        </w:rPr>
        <w:t>.</w:t>
      </w:r>
    </w:p>
    <w:p w14:paraId="3469EAC0" w14:textId="77777777" w:rsidR="002A6690" w:rsidRDefault="002A6690" w:rsidP="002A6690">
      <w:pPr>
        <w:spacing w:line="360" w:lineRule="auto"/>
        <w:ind w:firstLine="720"/>
        <w:jc w:val="both"/>
        <w:rPr>
          <w:rFonts w:ascii="Arial" w:hAnsi="Arial"/>
          <w:rtl/>
        </w:rPr>
      </w:pPr>
    </w:p>
    <w:p w14:paraId="5E5F8976" w14:textId="77777777" w:rsidR="002A6690" w:rsidRPr="00263C85" w:rsidRDefault="00263C85" w:rsidP="002A6690">
      <w:pPr>
        <w:spacing w:line="360" w:lineRule="auto"/>
        <w:ind w:firstLine="720"/>
        <w:jc w:val="both"/>
        <w:rPr>
          <w:rFonts w:ascii="Arial" w:hAnsi="Arial"/>
          <w:color w:val="FFFFFF"/>
          <w:sz w:val="2"/>
          <w:szCs w:val="2"/>
          <w:rtl/>
        </w:rPr>
      </w:pPr>
      <w:r w:rsidRPr="00263C85">
        <w:rPr>
          <w:rFonts w:ascii="Arial" w:hAnsi="Arial"/>
          <w:color w:val="FFFFFF"/>
          <w:sz w:val="2"/>
          <w:szCs w:val="2"/>
          <w:rtl/>
        </w:rPr>
        <w:t>5129371</w:t>
      </w:r>
    </w:p>
    <w:tbl>
      <w:tblPr>
        <w:bidiVisual/>
        <w:tblW w:w="0" w:type="auto"/>
        <w:tblInd w:w="5444" w:type="dxa"/>
        <w:tblLook w:val="01E0" w:firstRow="1" w:lastRow="1" w:firstColumn="1" w:lastColumn="1" w:noHBand="0" w:noVBand="0"/>
      </w:tblPr>
      <w:tblGrid>
        <w:gridCol w:w="754"/>
      </w:tblGrid>
      <w:tr w:rsidR="002A6690" w14:paraId="574EB6A3" w14:textId="77777777" w:rsidTr="00263C85">
        <w:tc>
          <w:tcPr>
            <w:tcW w:w="284" w:type="dxa"/>
            <w:tcBorders>
              <w:top w:val="nil"/>
              <w:left w:val="nil"/>
              <w:bottom w:val="single" w:sz="4" w:space="0" w:color="auto"/>
              <w:right w:val="nil"/>
            </w:tcBorders>
            <w:shd w:val="clear" w:color="auto" w:fill="auto"/>
            <w:vAlign w:val="center"/>
          </w:tcPr>
          <w:p w14:paraId="1229592C" w14:textId="77777777" w:rsidR="002A6690" w:rsidRPr="00263C85" w:rsidRDefault="00263C85" w:rsidP="00263C85">
            <w:pPr>
              <w:jc w:val="center"/>
              <w:rPr>
                <w:rFonts w:ascii="Courier New" w:hAnsi="Courier New"/>
                <w:b/>
                <w:bCs/>
                <w:color w:val="FFFFFF"/>
                <w:sz w:val="2"/>
                <w:szCs w:val="2"/>
              </w:rPr>
            </w:pPr>
            <w:r w:rsidRPr="00263C85">
              <w:rPr>
                <w:rFonts w:ascii="Courier New" w:hAnsi="Courier New"/>
                <w:b/>
                <w:bCs/>
                <w:color w:val="FFFFFF"/>
                <w:sz w:val="2"/>
                <w:szCs w:val="2"/>
                <w:rtl/>
              </w:rPr>
              <w:t>54678313</w:t>
            </w:r>
          </w:p>
        </w:tc>
      </w:tr>
      <w:tr w:rsidR="002A6690" w14:paraId="767C1728" w14:textId="77777777" w:rsidTr="00263C85">
        <w:tc>
          <w:tcPr>
            <w:tcW w:w="284" w:type="dxa"/>
            <w:tcBorders>
              <w:top w:val="single" w:sz="4" w:space="0" w:color="auto"/>
              <w:left w:val="nil"/>
              <w:bottom w:val="nil"/>
              <w:right w:val="nil"/>
            </w:tcBorders>
            <w:shd w:val="clear" w:color="auto" w:fill="auto"/>
            <w:vAlign w:val="center"/>
          </w:tcPr>
          <w:p w14:paraId="01C17A43" w14:textId="77777777" w:rsidR="002A6690" w:rsidRPr="00314875" w:rsidRDefault="002A6690" w:rsidP="00263C85">
            <w:pPr>
              <w:spacing w:line="360" w:lineRule="auto"/>
              <w:jc w:val="center"/>
              <w:rPr>
                <w:b/>
                <w:bCs/>
                <w:noProof/>
                <w:rtl/>
              </w:rPr>
            </w:pPr>
            <w:r w:rsidRPr="00314875">
              <w:rPr>
                <w:rFonts w:hint="cs"/>
                <w:b/>
                <w:bCs/>
                <w:rtl/>
              </w:rPr>
              <w:t>רפי כרמל, שופט</w:t>
            </w:r>
          </w:p>
        </w:tc>
      </w:tr>
    </w:tbl>
    <w:p w14:paraId="119149EE" w14:textId="77777777" w:rsidR="002A6690" w:rsidRDefault="002A6690" w:rsidP="002A6690"/>
    <w:p w14:paraId="0DCDE556" w14:textId="77777777" w:rsidR="002A6690" w:rsidRDefault="002A6690" w:rsidP="002A6690">
      <w:pPr>
        <w:spacing w:line="360" w:lineRule="auto"/>
        <w:ind w:firstLine="720"/>
        <w:jc w:val="both"/>
        <w:rPr>
          <w:rFonts w:ascii="Arial" w:hAnsi="Arial"/>
        </w:rPr>
      </w:pPr>
    </w:p>
    <w:p w14:paraId="2EE3DEB9" w14:textId="77777777" w:rsidR="002A6690" w:rsidRPr="0026253F" w:rsidRDefault="0026253F" w:rsidP="002A6690">
      <w:pPr>
        <w:pStyle w:val="a3"/>
        <w:jc w:val="center"/>
        <w:rPr>
          <w:color w:val="FFFFFF"/>
          <w:sz w:val="2"/>
          <w:szCs w:val="2"/>
          <w:rtl/>
        </w:rPr>
      </w:pPr>
      <w:r w:rsidRPr="0026253F">
        <w:rPr>
          <w:color w:val="FFFFFF"/>
          <w:sz w:val="2"/>
          <w:szCs w:val="2"/>
          <w:rtl/>
        </w:rPr>
        <w:t>5129371</w:t>
      </w:r>
    </w:p>
    <w:p w14:paraId="76E427CF" w14:textId="77777777" w:rsidR="00263C85" w:rsidRPr="0026253F" w:rsidRDefault="0026253F" w:rsidP="00263C85">
      <w:pPr>
        <w:keepNext/>
        <w:rPr>
          <w:rFonts w:ascii="David" w:hAnsi="David"/>
          <w:color w:val="FFFFFF"/>
          <w:sz w:val="2"/>
          <w:szCs w:val="2"/>
          <w:rtl/>
        </w:rPr>
      </w:pPr>
      <w:r w:rsidRPr="0026253F">
        <w:rPr>
          <w:rFonts w:ascii="David" w:hAnsi="David"/>
          <w:color w:val="FFFFFF"/>
          <w:sz w:val="2"/>
          <w:szCs w:val="2"/>
          <w:rtl/>
        </w:rPr>
        <w:t>54678313</w:t>
      </w:r>
    </w:p>
    <w:p w14:paraId="29D830C7" w14:textId="77777777" w:rsidR="00263C85" w:rsidRPr="00263C85" w:rsidRDefault="00263C85" w:rsidP="00263C85">
      <w:pPr>
        <w:keepNext/>
        <w:rPr>
          <w:rFonts w:ascii="David" w:hAnsi="David"/>
          <w:color w:val="000000"/>
          <w:sz w:val="22"/>
          <w:szCs w:val="22"/>
          <w:rtl/>
        </w:rPr>
      </w:pPr>
      <w:r w:rsidRPr="00263C85">
        <w:rPr>
          <w:rFonts w:ascii="David" w:hAnsi="David"/>
          <w:color w:val="000000"/>
          <w:sz w:val="22"/>
          <w:szCs w:val="22"/>
          <w:rtl/>
        </w:rPr>
        <w:t>רפי כרמל 54678313</w:t>
      </w:r>
    </w:p>
    <w:p w14:paraId="65D41071" w14:textId="77777777" w:rsidR="00263C85" w:rsidRDefault="00263C85" w:rsidP="00263C85">
      <w:r w:rsidRPr="00263C85">
        <w:rPr>
          <w:color w:val="000000"/>
          <w:rtl/>
        </w:rPr>
        <w:t>נוסח מסמך זה כפוף לשינויי ניסוח ועריכה</w:t>
      </w:r>
    </w:p>
    <w:p w14:paraId="1387AA34" w14:textId="77777777" w:rsidR="00263C85" w:rsidRDefault="00263C85" w:rsidP="00263C85">
      <w:pPr>
        <w:rPr>
          <w:rtl/>
        </w:rPr>
      </w:pPr>
    </w:p>
    <w:p w14:paraId="569936A0" w14:textId="77777777" w:rsidR="00263C85" w:rsidRDefault="00263C85" w:rsidP="00263C85">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r w:rsidR="001B3E2A">
        <w:rPr>
          <w:rFonts w:hint="cs"/>
          <w:color w:val="0000FF"/>
          <w:u w:val="single"/>
          <w:rtl/>
        </w:rPr>
        <w:t xml:space="preserve"> </w:t>
      </w:r>
    </w:p>
    <w:p w14:paraId="4ED178A2" w14:textId="77777777" w:rsidR="0026253F" w:rsidRPr="0026253F" w:rsidRDefault="0026253F" w:rsidP="0026253F">
      <w:pPr>
        <w:keepNext/>
        <w:rPr>
          <w:rFonts w:ascii="David" w:hAnsi="David"/>
          <w:color w:val="000000"/>
          <w:sz w:val="22"/>
          <w:szCs w:val="22"/>
          <w:rtl/>
        </w:rPr>
      </w:pPr>
    </w:p>
    <w:p w14:paraId="550DB6E4" w14:textId="77777777" w:rsidR="00B35717" w:rsidRPr="00263C85" w:rsidRDefault="00B35717" w:rsidP="0026253F">
      <w:pPr>
        <w:rPr>
          <w:color w:val="0000FF"/>
          <w:u w:val="single"/>
        </w:rPr>
      </w:pPr>
    </w:p>
    <w:sectPr w:rsidR="00B35717" w:rsidRPr="00263C85" w:rsidSect="0026253F">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FBDC6" w14:textId="77777777" w:rsidR="00092683" w:rsidRDefault="00092683">
      <w:r>
        <w:separator/>
      </w:r>
    </w:p>
  </w:endnote>
  <w:endnote w:type="continuationSeparator" w:id="0">
    <w:p w14:paraId="4CE772B0" w14:textId="77777777" w:rsidR="00092683" w:rsidRDefault="0009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3F2CF" w14:textId="77777777" w:rsidR="00B02D7C" w:rsidRDefault="00B02D7C" w:rsidP="002625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E6A6A6" w14:textId="77777777" w:rsidR="00B02D7C" w:rsidRPr="0026253F" w:rsidRDefault="00B02D7C" w:rsidP="0026253F">
    <w:pPr>
      <w:pStyle w:val="a4"/>
      <w:pBdr>
        <w:top w:val="single" w:sz="4" w:space="1" w:color="auto"/>
        <w:between w:val="single" w:sz="4" w:space="0" w:color="auto"/>
      </w:pBdr>
      <w:spacing w:after="60"/>
      <w:jc w:val="center"/>
      <w:rPr>
        <w:rFonts w:ascii="FrankRuehl" w:hAnsi="FrankRuehl" w:cs="FrankRuehl"/>
        <w:color w:val="000000"/>
      </w:rPr>
    </w:pPr>
    <w:r w:rsidRPr="002625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AEBE9" w14:textId="77777777" w:rsidR="00B02D7C" w:rsidRDefault="00B02D7C" w:rsidP="002625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04F5">
      <w:rPr>
        <w:rFonts w:ascii="FrankRuehl" w:hAnsi="FrankRuehl" w:cs="FrankRuehl"/>
        <w:noProof/>
        <w:rtl/>
      </w:rPr>
      <w:t>1</w:t>
    </w:r>
    <w:r>
      <w:rPr>
        <w:rFonts w:ascii="FrankRuehl" w:hAnsi="FrankRuehl" w:cs="FrankRuehl"/>
        <w:rtl/>
      </w:rPr>
      <w:fldChar w:fldCharType="end"/>
    </w:r>
  </w:p>
  <w:p w14:paraId="31292BBA" w14:textId="77777777" w:rsidR="00B02D7C" w:rsidRPr="0026253F" w:rsidRDefault="00B02D7C" w:rsidP="0026253F">
    <w:pPr>
      <w:pStyle w:val="a4"/>
      <w:pBdr>
        <w:top w:val="single" w:sz="4" w:space="1" w:color="auto"/>
        <w:between w:val="single" w:sz="4" w:space="0" w:color="auto"/>
      </w:pBdr>
      <w:spacing w:after="60"/>
      <w:jc w:val="center"/>
      <w:rPr>
        <w:rFonts w:ascii="FrankRuehl" w:hAnsi="FrankRuehl" w:cs="FrankRuehl"/>
        <w:color w:val="000000"/>
      </w:rPr>
    </w:pPr>
    <w:r w:rsidRPr="0026253F">
      <w:rPr>
        <w:rFonts w:ascii="FrankRuehl" w:hAnsi="FrankRuehl" w:cs="FrankRuehl"/>
        <w:color w:val="000000"/>
      </w:rPr>
      <w:pict w14:anchorId="69B24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A4F79" w14:textId="77777777" w:rsidR="00092683" w:rsidRDefault="00092683">
      <w:r>
        <w:separator/>
      </w:r>
    </w:p>
  </w:footnote>
  <w:footnote w:type="continuationSeparator" w:id="0">
    <w:p w14:paraId="7D631D58" w14:textId="77777777" w:rsidR="00092683" w:rsidRDefault="00092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2D091" w14:textId="77777777" w:rsidR="00B02D7C" w:rsidRPr="0026253F" w:rsidRDefault="00B02D7C" w:rsidP="002625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33882-04-16</w:t>
    </w:r>
    <w:r>
      <w:rPr>
        <w:rFonts w:ascii="David" w:hAnsi="David"/>
        <w:color w:val="000000"/>
        <w:sz w:val="22"/>
        <w:szCs w:val="22"/>
        <w:rtl/>
      </w:rPr>
      <w:tab/>
      <w:t xml:space="preserve"> מדינת ישראל נ' חיים שיטרית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3949F" w14:textId="77777777" w:rsidR="00B02D7C" w:rsidRPr="0026253F" w:rsidRDefault="00B02D7C" w:rsidP="002625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33882-04-16</w:t>
    </w:r>
    <w:r>
      <w:rPr>
        <w:rFonts w:ascii="David" w:hAnsi="David"/>
        <w:color w:val="000000"/>
        <w:sz w:val="22"/>
        <w:szCs w:val="22"/>
        <w:rtl/>
      </w:rPr>
      <w:tab/>
      <w:t xml:space="preserve"> מדינת ישראל נ' חיים שיטרית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6690"/>
    <w:rsid w:val="00004B4A"/>
    <w:rsid w:val="000258C6"/>
    <w:rsid w:val="00092683"/>
    <w:rsid w:val="00092DB2"/>
    <w:rsid w:val="000B222D"/>
    <w:rsid w:val="000F3716"/>
    <w:rsid w:val="000F776E"/>
    <w:rsid w:val="001163D9"/>
    <w:rsid w:val="00123268"/>
    <w:rsid w:val="0013605C"/>
    <w:rsid w:val="0015154B"/>
    <w:rsid w:val="0017711A"/>
    <w:rsid w:val="001B3E2A"/>
    <w:rsid w:val="00203146"/>
    <w:rsid w:val="002474C9"/>
    <w:rsid w:val="0026253F"/>
    <w:rsid w:val="00263C85"/>
    <w:rsid w:val="002A6690"/>
    <w:rsid w:val="002B1389"/>
    <w:rsid w:val="002D2C1C"/>
    <w:rsid w:val="002E4BA2"/>
    <w:rsid w:val="00327617"/>
    <w:rsid w:val="00371D27"/>
    <w:rsid w:val="00374124"/>
    <w:rsid w:val="003C709F"/>
    <w:rsid w:val="003D65D3"/>
    <w:rsid w:val="003E30A4"/>
    <w:rsid w:val="003E51B4"/>
    <w:rsid w:val="003F02C5"/>
    <w:rsid w:val="00437FF1"/>
    <w:rsid w:val="004D1A95"/>
    <w:rsid w:val="004D5997"/>
    <w:rsid w:val="00523633"/>
    <w:rsid w:val="00533D5C"/>
    <w:rsid w:val="00551C5E"/>
    <w:rsid w:val="005638FB"/>
    <w:rsid w:val="00582B08"/>
    <w:rsid w:val="005847C1"/>
    <w:rsid w:val="005B4DDE"/>
    <w:rsid w:val="005E305D"/>
    <w:rsid w:val="00671477"/>
    <w:rsid w:val="006D1E81"/>
    <w:rsid w:val="007004F5"/>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044A6"/>
    <w:rsid w:val="00913EC5"/>
    <w:rsid w:val="00946CA3"/>
    <w:rsid w:val="009A4E50"/>
    <w:rsid w:val="009A720E"/>
    <w:rsid w:val="009B4682"/>
    <w:rsid w:val="00A03304"/>
    <w:rsid w:val="00A24369"/>
    <w:rsid w:val="00A472AB"/>
    <w:rsid w:val="00A52B25"/>
    <w:rsid w:val="00A96648"/>
    <w:rsid w:val="00AE1669"/>
    <w:rsid w:val="00B02D7C"/>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A60CD"/>
    <w:rsid w:val="00EE2A1B"/>
    <w:rsid w:val="00F0400D"/>
    <w:rsid w:val="00F274FE"/>
    <w:rsid w:val="00FC3D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B99E82"/>
  <w15:chartTrackingRefBased/>
  <w15:docId w15:val="{A4FB9E06-4672-45B0-97F3-A4D3E5EB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669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A6690"/>
    <w:pPr>
      <w:tabs>
        <w:tab w:val="center" w:pos="4153"/>
        <w:tab w:val="right" w:pos="8306"/>
      </w:tabs>
    </w:pPr>
  </w:style>
  <w:style w:type="paragraph" w:styleId="a4">
    <w:name w:val="footer"/>
    <w:basedOn w:val="a"/>
    <w:rsid w:val="002A6690"/>
    <w:pPr>
      <w:tabs>
        <w:tab w:val="center" w:pos="4153"/>
        <w:tab w:val="right" w:pos="8306"/>
      </w:tabs>
    </w:pPr>
  </w:style>
  <w:style w:type="character" w:styleId="a5">
    <w:name w:val="page number"/>
    <w:basedOn w:val="a0"/>
    <w:rsid w:val="002A6690"/>
  </w:style>
  <w:style w:type="character" w:styleId="Hyperlink">
    <w:name w:val="Hyperlink"/>
    <w:rsid w:val="00263C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8291683"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40c.a"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footer" Target="footer1.xml"/><Relationship Id="rId10" Type="http://schemas.openxmlformats.org/officeDocument/2006/relationships/hyperlink" Target="http://www.nevo.co.il/law/70301/329.a.1" TargetMode="External"/><Relationship Id="rId19" Type="http://schemas.openxmlformats.org/officeDocument/2006/relationships/hyperlink" Target="http://www.nevo.co.il/case/16987369"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1434</Words>
  <Characters>7175</Characters>
  <Application>Microsoft Office Word</Application>
  <DocSecurity>0</DocSecurity>
  <Lines>59</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8592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3735673</vt:i4>
      </vt:variant>
      <vt:variant>
        <vt:i4>39</vt:i4>
      </vt:variant>
      <vt:variant>
        <vt:i4>0</vt:i4>
      </vt:variant>
      <vt:variant>
        <vt:i4>5</vt:i4>
      </vt:variant>
      <vt:variant>
        <vt:lpwstr>http://www.nevo.co.il/case/16987369</vt:lpwstr>
      </vt:variant>
      <vt:variant>
        <vt:lpwstr/>
      </vt:variant>
      <vt:variant>
        <vt:i4>3407999</vt:i4>
      </vt:variant>
      <vt:variant>
        <vt:i4>36</vt:i4>
      </vt:variant>
      <vt:variant>
        <vt:i4>0</vt:i4>
      </vt:variant>
      <vt:variant>
        <vt:i4>5</vt:i4>
      </vt:variant>
      <vt:variant>
        <vt:lpwstr>http://www.nevo.co.il/case/8291683</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33882</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חיים שיטרית</vt:lpwstr>
  </property>
  <property fmtid="{D5CDD505-2E9C-101B-9397-08002B2CF9AE}" pid="10" name="LAWYER">
    <vt:lpwstr>אשר אוחיון</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20170508</vt:lpwstr>
  </property>
  <property fmtid="{D5CDD505-2E9C-101B-9397-08002B2CF9AE}" pid="14" name="TYPE_N_DATE">
    <vt:lpwstr>39020170508</vt:lpwstr>
  </property>
  <property fmtid="{D5CDD505-2E9C-101B-9397-08002B2CF9AE}" pid="15" name="CASESLISTTMP1">
    <vt:lpwstr>8291683;16987369</vt:lpwstr>
  </property>
  <property fmtid="{D5CDD505-2E9C-101B-9397-08002B2CF9AE}" pid="16" name="WORDNUMPAGES">
    <vt:lpwstr>5</vt:lpwstr>
  </property>
  <property fmtid="{D5CDD505-2E9C-101B-9397-08002B2CF9AE}" pid="17" name="TYPE_ABS_DATE">
    <vt:lpwstr>390020170508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70301/329.a.1;144.b;040c.a;040i</vt:lpwstr>
  </property>
</Properties>
</file>