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CF29E2" w:rsidRPr="0007748E" w14:paraId="109A315E" w14:textId="77777777">
        <w:trPr>
          <w:trHeight w:hRule="exact" w:val="418"/>
          <w:jc w:val="center"/>
        </w:trPr>
        <w:tc>
          <w:tcPr>
            <w:tcW w:w="8721" w:type="dxa"/>
            <w:gridSpan w:val="2"/>
          </w:tcPr>
          <w:p w14:paraId="68EE14A0" w14:textId="77777777" w:rsidR="00CF29E2" w:rsidRPr="0007748E" w:rsidRDefault="00CF29E2" w:rsidP="0007748E">
            <w:pPr>
              <w:pStyle w:val="a3"/>
              <w:jc w:val="center"/>
              <w:rPr>
                <w:rFonts w:ascii="Tahoma" w:hAnsi="Tahoma" w:cs="Tahoma"/>
                <w:color w:val="000080"/>
                <w:rtl/>
              </w:rPr>
            </w:pPr>
            <w:bookmarkStart w:id="0" w:name="FirstLawyer"/>
            <w:bookmarkStart w:id="1" w:name="LastJudge"/>
            <w:r w:rsidRPr="0007748E">
              <w:rPr>
                <w:rFonts w:ascii="Tahoma" w:hAnsi="Tahoma" w:cs="Tahoma"/>
                <w:b/>
                <w:bCs/>
                <w:color w:val="000080"/>
                <w:rtl/>
              </w:rPr>
              <w:t>בית המשפט המחוזי בחיפה</w:t>
            </w:r>
          </w:p>
        </w:tc>
      </w:tr>
      <w:tr w:rsidR="00CF29E2" w:rsidRPr="0007748E" w14:paraId="17237271" w14:textId="77777777">
        <w:trPr>
          <w:trHeight w:val="337"/>
          <w:jc w:val="center"/>
        </w:trPr>
        <w:tc>
          <w:tcPr>
            <w:tcW w:w="5059" w:type="dxa"/>
          </w:tcPr>
          <w:p w14:paraId="0664A491" w14:textId="77777777" w:rsidR="00CF29E2" w:rsidRPr="0007748E" w:rsidRDefault="00CF29E2" w:rsidP="0007748E">
            <w:pPr>
              <w:rPr>
                <w:rFonts w:cs="FrankRuehl"/>
                <w:sz w:val="28"/>
                <w:szCs w:val="28"/>
                <w:rtl/>
              </w:rPr>
            </w:pPr>
            <w:r w:rsidRPr="0007748E">
              <w:rPr>
                <w:rFonts w:cs="FrankRuehl"/>
                <w:sz w:val="28"/>
                <w:szCs w:val="28"/>
                <w:rtl/>
              </w:rPr>
              <w:t>ת"פ</w:t>
            </w:r>
            <w:r w:rsidRPr="0007748E">
              <w:rPr>
                <w:rFonts w:cs="FrankRuehl" w:hint="cs"/>
                <w:sz w:val="28"/>
                <w:szCs w:val="28"/>
                <w:rtl/>
              </w:rPr>
              <w:t xml:space="preserve"> </w:t>
            </w:r>
            <w:r w:rsidRPr="0007748E">
              <w:rPr>
                <w:rFonts w:cs="FrankRuehl"/>
                <w:sz w:val="28"/>
                <w:szCs w:val="28"/>
                <w:rtl/>
              </w:rPr>
              <w:t>20367-05-16</w:t>
            </w:r>
            <w:r w:rsidRPr="0007748E">
              <w:rPr>
                <w:rFonts w:cs="FrankRuehl" w:hint="cs"/>
                <w:sz w:val="28"/>
                <w:szCs w:val="28"/>
                <w:rtl/>
              </w:rPr>
              <w:t xml:space="preserve"> </w:t>
            </w:r>
            <w:r w:rsidRPr="0007748E">
              <w:rPr>
                <w:rFonts w:cs="FrankRuehl"/>
                <w:sz w:val="28"/>
                <w:szCs w:val="28"/>
                <w:rtl/>
              </w:rPr>
              <w:t>מדינת ישראל נ' אדעייף(עציר)</w:t>
            </w:r>
          </w:p>
          <w:p w14:paraId="5E09F1BE" w14:textId="77777777" w:rsidR="00CF29E2" w:rsidRPr="0007748E" w:rsidRDefault="00CF29E2" w:rsidP="0007748E">
            <w:pPr>
              <w:pStyle w:val="a3"/>
              <w:rPr>
                <w:rFonts w:cs="FrankRuehl"/>
                <w:sz w:val="28"/>
                <w:szCs w:val="28"/>
                <w:rtl/>
              </w:rPr>
            </w:pPr>
          </w:p>
        </w:tc>
        <w:tc>
          <w:tcPr>
            <w:tcW w:w="3662" w:type="dxa"/>
          </w:tcPr>
          <w:p w14:paraId="3E8BE02A" w14:textId="77777777" w:rsidR="00CF29E2" w:rsidRPr="0007748E" w:rsidRDefault="00CF29E2" w:rsidP="0007748E">
            <w:pPr>
              <w:pStyle w:val="a3"/>
              <w:jc w:val="right"/>
              <w:rPr>
                <w:rFonts w:cs="FrankRuehl"/>
                <w:sz w:val="28"/>
                <w:szCs w:val="28"/>
                <w:rtl/>
              </w:rPr>
            </w:pPr>
          </w:p>
        </w:tc>
      </w:tr>
    </w:tbl>
    <w:p w14:paraId="45EA21F5" w14:textId="77777777" w:rsidR="00CF29E2" w:rsidRPr="0007748E" w:rsidRDefault="00CF29E2" w:rsidP="00CF29E2">
      <w:pPr>
        <w:pStyle w:val="a3"/>
        <w:rPr>
          <w:rtl/>
        </w:rPr>
      </w:pPr>
      <w:r w:rsidRPr="0007748E">
        <w:rPr>
          <w:rFonts w:hint="cs"/>
          <w:rtl/>
        </w:rPr>
        <w:t xml:space="preserve"> </w:t>
      </w:r>
    </w:p>
    <w:p w14:paraId="422583BA" w14:textId="77777777" w:rsidR="00CF29E2" w:rsidRPr="0007748E" w:rsidRDefault="00CF29E2" w:rsidP="00CF29E2">
      <w:pPr>
        <w:rPr>
          <w:rFonts w:ascii="Arial" w:hAnsi="Arial"/>
          <w:rtl/>
        </w:rPr>
      </w:pPr>
    </w:p>
    <w:tbl>
      <w:tblPr>
        <w:bidiVisual/>
        <w:tblW w:w="8820" w:type="dxa"/>
        <w:jc w:val="center"/>
        <w:tblLook w:val="01E0" w:firstRow="1" w:lastRow="1" w:firstColumn="1" w:lastColumn="1" w:noHBand="0" w:noVBand="0"/>
      </w:tblPr>
      <w:tblGrid>
        <w:gridCol w:w="743"/>
        <w:gridCol w:w="2506"/>
        <w:gridCol w:w="5571"/>
      </w:tblGrid>
      <w:tr w:rsidR="00CF29E2" w:rsidRPr="0007748E" w14:paraId="43837572" w14:textId="77777777">
        <w:trPr>
          <w:jc w:val="center"/>
        </w:trPr>
        <w:tc>
          <w:tcPr>
            <w:tcW w:w="743" w:type="dxa"/>
            <w:shd w:val="clear" w:color="auto" w:fill="auto"/>
          </w:tcPr>
          <w:p w14:paraId="343B5A9A" w14:textId="77777777" w:rsidR="00CF29E2" w:rsidRPr="0007748E" w:rsidRDefault="00CF29E2" w:rsidP="0007748E">
            <w:pPr>
              <w:jc w:val="both"/>
              <w:rPr>
                <w:rFonts w:ascii="Arial" w:hAnsi="Arial"/>
                <w:b/>
                <w:bCs/>
              </w:rPr>
            </w:pPr>
            <w:r w:rsidRPr="0007748E">
              <w:rPr>
                <w:rFonts w:ascii="Arial" w:hAnsi="Arial" w:hint="cs"/>
                <w:b/>
                <w:bCs/>
                <w:rtl/>
              </w:rPr>
              <w:t xml:space="preserve">בפני </w:t>
            </w:r>
          </w:p>
        </w:tc>
        <w:tc>
          <w:tcPr>
            <w:tcW w:w="8077" w:type="dxa"/>
            <w:gridSpan w:val="2"/>
            <w:shd w:val="clear" w:color="auto" w:fill="auto"/>
          </w:tcPr>
          <w:p w14:paraId="640F8C3A" w14:textId="77777777" w:rsidR="00CF29E2" w:rsidRPr="0007748E" w:rsidRDefault="00CF29E2" w:rsidP="0007748E">
            <w:pPr>
              <w:rPr>
                <w:rFonts w:ascii="Arial" w:hAnsi="Arial"/>
                <w:b/>
                <w:bCs/>
                <w:rtl/>
              </w:rPr>
            </w:pPr>
            <w:r w:rsidRPr="0007748E">
              <w:rPr>
                <w:rFonts w:ascii="Arial" w:hAnsi="Arial" w:hint="cs"/>
                <w:b/>
                <w:bCs/>
                <w:rtl/>
              </w:rPr>
              <w:t>כבוד ה</w:t>
            </w:r>
            <w:r w:rsidRPr="0007748E">
              <w:rPr>
                <w:rFonts w:hint="cs"/>
                <w:b/>
                <w:bCs/>
                <w:rtl/>
              </w:rPr>
              <w:t>שופט</w:t>
            </w:r>
            <w:r w:rsidRPr="0007748E">
              <w:rPr>
                <w:rFonts w:ascii="Arial" w:hAnsi="Arial" w:hint="cs"/>
                <w:b/>
                <w:bCs/>
                <w:rtl/>
              </w:rPr>
              <w:t xml:space="preserve">  </w:t>
            </w:r>
            <w:r w:rsidRPr="0007748E">
              <w:rPr>
                <w:rFonts w:hint="cs"/>
                <w:b/>
                <w:bCs/>
                <w:rtl/>
              </w:rPr>
              <w:t>דניאל פיש</w:t>
            </w:r>
          </w:p>
        </w:tc>
      </w:tr>
      <w:tr w:rsidR="00CF29E2" w:rsidRPr="0007748E" w14:paraId="56720A8F" w14:textId="77777777">
        <w:trPr>
          <w:jc w:val="center"/>
        </w:trPr>
        <w:tc>
          <w:tcPr>
            <w:tcW w:w="3249" w:type="dxa"/>
            <w:gridSpan w:val="2"/>
            <w:shd w:val="clear" w:color="auto" w:fill="auto"/>
          </w:tcPr>
          <w:p w14:paraId="253D713B" w14:textId="77777777" w:rsidR="00CF29E2" w:rsidRPr="0007748E" w:rsidRDefault="00CF29E2" w:rsidP="0007748E">
            <w:pPr>
              <w:rPr>
                <w:rFonts w:ascii="Arial" w:hAnsi="Arial"/>
                <w:b/>
                <w:bCs/>
              </w:rPr>
            </w:pPr>
            <w:bookmarkStart w:id="2" w:name="FirstAppellant"/>
          </w:p>
          <w:p w14:paraId="412D9D9B" w14:textId="77777777" w:rsidR="00CF29E2" w:rsidRPr="0007748E" w:rsidRDefault="00CF29E2" w:rsidP="0007748E">
            <w:pPr>
              <w:rPr>
                <w:rFonts w:ascii="Arial" w:hAnsi="Arial"/>
                <w:b/>
                <w:bCs/>
              </w:rPr>
            </w:pPr>
            <w:r w:rsidRPr="0007748E">
              <w:rPr>
                <w:rFonts w:hint="cs"/>
                <w:b/>
                <w:bCs/>
                <w:rtl/>
              </w:rPr>
              <w:t>מאשימה</w:t>
            </w:r>
          </w:p>
        </w:tc>
        <w:tc>
          <w:tcPr>
            <w:tcW w:w="5571" w:type="dxa"/>
            <w:shd w:val="clear" w:color="auto" w:fill="auto"/>
          </w:tcPr>
          <w:p w14:paraId="0E040D7E" w14:textId="77777777" w:rsidR="00CF29E2" w:rsidRPr="0007748E" w:rsidRDefault="00CF29E2" w:rsidP="0007748E">
            <w:pPr>
              <w:rPr>
                <w:rFonts w:ascii="Arial" w:hAnsi="Arial"/>
                <w:b/>
                <w:bCs/>
                <w:rtl/>
              </w:rPr>
            </w:pPr>
          </w:p>
          <w:p w14:paraId="4C864781" w14:textId="77777777" w:rsidR="00CF29E2" w:rsidRPr="0007748E" w:rsidRDefault="00CF29E2" w:rsidP="0007748E">
            <w:pPr>
              <w:rPr>
                <w:b/>
                <w:bCs/>
                <w:rtl/>
              </w:rPr>
            </w:pPr>
            <w:r w:rsidRPr="0007748E">
              <w:rPr>
                <w:rFonts w:hint="cs"/>
                <w:b/>
                <w:bCs/>
                <w:rtl/>
              </w:rPr>
              <w:t>מדינת ישראל</w:t>
            </w:r>
            <w:r w:rsidRPr="0007748E">
              <w:rPr>
                <w:rFonts w:hint="cs"/>
                <w:b/>
                <w:bCs/>
                <w:rtl/>
              </w:rPr>
              <w:br/>
              <w:t>ע"י ב"כ עו"ד ד"ר ערן בר</w:t>
            </w:r>
            <w:r w:rsidRPr="0007748E">
              <w:rPr>
                <w:rFonts w:hint="cs"/>
                <w:b/>
                <w:bCs/>
                <w:rtl/>
              </w:rPr>
              <w:br/>
              <w:t xml:space="preserve">מפרקליטות מחוז חיפה – פלילי </w:t>
            </w:r>
          </w:p>
        </w:tc>
      </w:tr>
      <w:bookmarkEnd w:id="2"/>
      <w:tr w:rsidR="00CF29E2" w:rsidRPr="0007748E" w14:paraId="36EA39E4" w14:textId="77777777">
        <w:trPr>
          <w:jc w:val="center"/>
        </w:trPr>
        <w:tc>
          <w:tcPr>
            <w:tcW w:w="8820" w:type="dxa"/>
            <w:gridSpan w:val="3"/>
            <w:shd w:val="clear" w:color="auto" w:fill="auto"/>
          </w:tcPr>
          <w:p w14:paraId="700C02F6" w14:textId="77777777" w:rsidR="00CF29E2" w:rsidRPr="0007748E" w:rsidRDefault="00CF29E2" w:rsidP="0007748E">
            <w:pPr>
              <w:rPr>
                <w:rFonts w:ascii="Arial" w:hAnsi="Arial"/>
                <w:b/>
                <w:bCs/>
              </w:rPr>
            </w:pPr>
          </w:p>
          <w:p w14:paraId="17DA909B" w14:textId="77777777" w:rsidR="00CF29E2" w:rsidRPr="0007748E" w:rsidRDefault="00CF29E2" w:rsidP="0007748E">
            <w:pPr>
              <w:jc w:val="center"/>
              <w:rPr>
                <w:rFonts w:ascii="Arial" w:hAnsi="Arial"/>
                <w:b/>
                <w:bCs/>
                <w:rtl/>
              </w:rPr>
            </w:pPr>
            <w:r w:rsidRPr="0007748E">
              <w:rPr>
                <w:rFonts w:ascii="Arial" w:hAnsi="Arial" w:hint="cs"/>
                <w:b/>
                <w:bCs/>
                <w:rtl/>
              </w:rPr>
              <w:t>נגד</w:t>
            </w:r>
          </w:p>
        </w:tc>
      </w:tr>
      <w:tr w:rsidR="00CF29E2" w:rsidRPr="0007748E" w14:paraId="0C6F43F5" w14:textId="77777777">
        <w:trPr>
          <w:jc w:val="center"/>
        </w:trPr>
        <w:tc>
          <w:tcPr>
            <w:tcW w:w="3249" w:type="dxa"/>
            <w:gridSpan w:val="2"/>
            <w:shd w:val="clear" w:color="auto" w:fill="auto"/>
          </w:tcPr>
          <w:p w14:paraId="52BBA06A" w14:textId="77777777" w:rsidR="00CF29E2" w:rsidRPr="0007748E" w:rsidRDefault="00CF29E2" w:rsidP="0007748E">
            <w:pPr>
              <w:rPr>
                <w:rFonts w:ascii="Arial" w:hAnsi="Arial"/>
                <w:b/>
                <w:bCs/>
              </w:rPr>
            </w:pPr>
          </w:p>
          <w:p w14:paraId="0305F261" w14:textId="77777777" w:rsidR="00CF29E2" w:rsidRPr="0007748E" w:rsidRDefault="00CF29E2" w:rsidP="0007748E">
            <w:pPr>
              <w:rPr>
                <w:rFonts w:ascii="Arial" w:hAnsi="Arial"/>
                <w:b/>
                <w:bCs/>
                <w:rtl/>
              </w:rPr>
            </w:pPr>
            <w:r w:rsidRPr="0007748E">
              <w:rPr>
                <w:rFonts w:hint="cs"/>
                <w:b/>
                <w:bCs/>
                <w:rtl/>
              </w:rPr>
              <w:t>נאשם</w:t>
            </w:r>
          </w:p>
        </w:tc>
        <w:tc>
          <w:tcPr>
            <w:tcW w:w="5571" w:type="dxa"/>
            <w:shd w:val="clear" w:color="auto" w:fill="auto"/>
          </w:tcPr>
          <w:p w14:paraId="16302DFC" w14:textId="77777777" w:rsidR="00CF29E2" w:rsidRPr="0007748E" w:rsidRDefault="00CF29E2" w:rsidP="0007748E">
            <w:pPr>
              <w:rPr>
                <w:rFonts w:ascii="Arial" w:hAnsi="Arial"/>
                <w:b/>
                <w:bCs/>
              </w:rPr>
            </w:pPr>
          </w:p>
          <w:p w14:paraId="5160DF9C" w14:textId="77777777" w:rsidR="00CF29E2" w:rsidRPr="0007748E" w:rsidRDefault="00CF29E2" w:rsidP="0007748E">
            <w:pPr>
              <w:rPr>
                <w:b/>
                <w:bCs/>
                <w:rtl/>
              </w:rPr>
            </w:pPr>
            <w:r w:rsidRPr="0007748E">
              <w:rPr>
                <w:rFonts w:hint="cs"/>
                <w:b/>
                <w:bCs/>
                <w:rtl/>
              </w:rPr>
              <w:t xml:space="preserve">אדם אדעייף ת.ז. </w:t>
            </w:r>
            <w:r w:rsidR="0007748E">
              <w:rPr>
                <w:b/>
                <w:bCs/>
              </w:rPr>
              <w:t>xxxxxxxxxx</w:t>
            </w:r>
            <w:r w:rsidRPr="0007748E">
              <w:rPr>
                <w:rFonts w:hint="cs"/>
                <w:b/>
                <w:bCs/>
                <w:rtl/>
              </w:rPr>
              <w:br/>
              <w:t>ע"י ב"כ עו"ד עדאל בויראת</w:t>
            </w:r>
          </w:p>
        </w:tc>
      </w:tr>
      <w:tr w:rsidR="00CF29E2" w:rsidRPr="0007748E" w14:paraId="15190761" w14:textId="77777777">
        <w:trPr>
          <w:jc w:val="center"/>
        </w:trPr>
        <w:tc>
          <w:tcPr>
            <w:tcW w:w="8820" w:type="dxa"/>
            <w:gridSpan w:val="3"/>
            <w:shd w:val="clear" w:color="auto" w:fill="auto"/>
          </w:tcPr>
          <w:p w14:paraId="238ED124" w14:textId="77777777" w:rsidR="00CF29E2" w:rsidRPr="0007748E" w:rsidRDefault="00CF29E2" w:rsidP="0007748E">
            <w:pPr>
              <w:rPr>
                <w:rFonts w:ascii="Arial" w:hAnsi="Arial"/>
                <w:b/>
                <w:bCs/>
                <w:rtl/>
              </w:rPr>
            </w:pPr>
          </w:p>
          <w:p w14:paraId="38FA2254" w14:textId="77777777" w:rsidR="00CF29E2" w:rsidRPr="0007748E" w:rsidRDefault="00CF29E2" w:rsidP="0007748E">
            <w:pPr>
              <w:rPr>
                <w:rFonts w:ascii="Arial" w:hAnsi="Arial"/>
                <w:b/>
                <w:bCs/>
                <w:rtl/>
              </w:rPr>
            </w:pPr>
            <w:r w:rsidRPr="0007748E">
              <w:rPr>
                <w:rFonts w:ascii="Arial" w:hAnsi="Arial" w:hint="cs"/>
                <w:b/>
                <w:bCs/>
                <w:rtl/>
              </w:rPr>
              <w:t>נוכחים:</w:t>
            </w:r>
          </w:p>
          <w:p w14:paraId="6F03B898" w14:textId="77777777" w:rsidR="00CF29E2" w:rsidRPr="0007748E" w:rsidRDefault="00CF29E2" w:rsidP="0007748E">
            <w:pPr>
              <w:rPr>
                <w:rFonts w:ascii="Arial" w:hAnsi="Arial"/>
                <w:rtl/>
              </w:rPr>
            </w:pPr>
            <w:r w:rsidRPr="0007748E">
              <w:rPr>
                <w:rFonts w:ascii="Arial" w:hAnsi="Arial" w:hint="cs"/>
                <w:rtl/>
              </w:rPr>
              <w:t>ב"כ המאשימה- עו"ד אמיר אוליאל</w:t>
            </w:r>
          </w:p>
          <w:p w14:paraId="7CCD9561" w14:textId="77777777" w:rsidR="00CF29E2" w:rsidRPr="0007748E" w:rsidRDefault="00CF29E2" w:rsidP="0007748E">
            <w:pPr>
              <w:rPr>
                <w:rFonts w:ascii="Arial" w:hAnsi="Arial"/>
                <w:rtl/>
              </w:rPr>
            </w:pPr>
            <w:r w:rsidRPr="0007748E">
              <w:rPr>
                <w:rFonts w:ascii="Arial" w:hAnsi="Arial" w:hint="cs"/>
                <w:rtl/>
              </w:rPr>
              <w:t xml:space="preserve">ב"כ הנאשם </w:t>
            </w:r>
            <w:r w:rsidRPr="0007748E">
              <w:rPr>
                <w:rFonts w:ascii="Arial" w:hAnsi="Arial"/>
                <w:rtl/>
              </w:rPr>
              <w:t>–</w:t>
            </w:r>
            <w:r w:rsidRPr="0007748E">
              <w:rPr>
                <w:rFonts w:ascii="Arial" w:hAnsi="Arial" w:hint="cs"/>
                <w:rtl/>
              </w:rPr>
              <w:t xml:space="preserve"> עו"ד עאדל בויראת</w:t>
            </w:r>
          </w:p>
          <w:p w14:paraId="75E8954F" w14:textId="77777777" w:rsidR="00CF29E2" w:rsidRPr="0007748E" w:rsidRDefault="00CF29E2" w:rsidP="0007748E">
            <w:pPr>
              <w:rPr>
                <w:rFonts w:ascii="Arial" w:hAnsi="Arial"/>
                <w:rtl/>
              </w:rPr>
            </w:pPr>
            <w:r w:rsidRPr="0007748E">
              <w:rPr>
                <w:rFonts w:ascii="Arial" w:hAnsi="Arial" w:hint="cs"/>
                <w:rtl/>
              </w:rPr>
              <w:t>הנאשם הובא באמצעות הליווי</w:t>
            </w:r>
          </w:p>
          <w:p w14:paraId="76B4E744" w14:textId="77777777" w:rsidR="00CF29E2" w:rsidRPr="0007748E" w:rsidRDefault="00CF29E2" w:rsidP="0007748E">
            <w:pPr>
              <w:rPr>
                <w:rFonts w:ascii="Arial" w:hAnsi="Arial"/>
                <w:b/>
                <w:bCs/>
                <w:rtl/>
              </w:rPr>
            </w:pPr>
          </w:p>
        </w:tc>
      </w:tr>
      <w:tr w:rsidR="00CF29E2" w:rsidRPr="00BD5E7B" w14:paraId="6406C07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3"/>
            <w:tcBorders>
              <w:top w:val="nil"/>
              <w:left w:val="nil"/>
              <w:bottom w:val="nil"/>
              <w:right w:val="nil"/>
            </w:tcBorders>
            <w:shd w:val="clear" w:color="auto" w:fill="auto"/>
          </w:tcPr>
          <w:p w14:paraId="7C3CC876" w14:textId="77777777" w:rsidR="00DE6E90" w:rsidRPr="00DE6E90" w:rsidRDefault="00DE6E90" w:rsidP="00DE6E90">
            <w:pPr>
              <w:spacing w:after="120" w:line="240" w:lineRule="exact"/>
              <w:ind w:left="283" w:hanging="283"/>
              <w:jc w:val="both"/>
              <w:rPr>
                <w:rFonts w:ascii="FrankRuehl" w:hAnsi="FrankRuehl" w:cs="FrankRuehl"/>
                <w:rtl/>
              </w:rPr>
            </w:pPr>
            <w:bookmarkStart w:id="3" w:name="PsakDin" w:colFirst="0" w:colLast="0"/>
            <w:bookmarkStart w:id="4" w:name="LawTable"/>
            <w:bookmarkEnd w:id="0"/>
            <w:bookmarkEnd w:id="1"/>
            <w:bookmarkEnd w:id="4"/>
            <w:r w:rsidRPr="00DE6E90">
              <w:rPr>
                <w:rFonts w:ascii="FrankRuehl" w:hAnsi="FrankRuehl" w:cs="FrankRuehl"/>
                <w:rtl/>
              </w:rPr>
              <w:t xml:space="preserve">חקיקה שאוזכרה: </w:t>
            </w:r>
          </w:p>
          <w:p w14:paraId="42E347DC" w14:textId="77777777" w:rsidR="00DE6E90" w:rsidRPr="00DE6E90" w:rsidRDefault="00DE6E90" w:rsidP="00DE6E90">
            <w:pPr>
              <w:spacing w:after="120" w:line="240" w:lineRule="exact"/>
              <w:ind w:left="283" w:hanging="283"/>
              <w:jc w:val="both"/>
              <w:rPr>
                <w:rFonts w:ascii="FrankRuehl" w:hAnsi="FrankRuehl" w:cs="FrankRuehl"/>
                <w:rtl/>
              </w:rPr>
            </w:pPr>
            <w:hyperlink r:id="rId7" w:history="1">
              <w:r w:rsidRPr="00DE6E90">
                <w:rPr>
                  <w:rFonts w:ascii="FrankRuehl" w:hAnsi="FrankRuehl" w:cs="FrankRuehl"/>
                  <w:color w:val="0000FF"/>
                  <w:u w:val="single"/>
                  <w:rtl/>
                </w:rPr>
                <w:t>חוק העונשין, תשל"ז-1977</w:t>
              </w:r>
            </w:hyperlink>
            <w:r w:rsidRPr="00DE6E90">
              <w:rPr>
                <w:rFonts w:ascii="FrankRuehl" w:hAnsi="FrankRuehl" w:cs="FrankRuehl"/>
                <w:rtl/>
              </w:rPr>
              <w:t xml:space="preserve">: סע'  </w:t>
            </w:r>
            <w:hyperlink r:id="rId8" w:history="1">
              <w:r w:rsidRPr="00DE6E90">
                <w:rPr>
                  <w:rFonts w:ascii="FrankRuehl" w:hAnsi="FrankRuehl" w:cs="FrankRuehl"/>
                  <w:color w:val="0000FF"/>
                  <w:u w:val="single"/>
                  <w:rtl/>
                </w:rPr>
                <w:t>144(א)</w:t>
              </w:r>
            </w:hyperlink>
            <w:r w:rsidRPr="00DE6E90">
              <w:rPr>
                <w:rFonts w:ascii="FrankRuehl" w:hAnsi="FrankRuehl" w:cs="FrankRuehl"/>
                <w:rtl/>
              </w:rPr>
              <w:t xml:space="preserve">, </w:t>
            </w:r>
            <w:hyperlink r:id="rId9" w:history="1">
              <w:r w:rsidRPr="00DE6E90">
                <w:rPr>
                  <w:rFonts w:ascii="FrankRuehl" w:hAnsi="FrankRuehl" w:cs="FrankRuehl"/>
                  <w:color w:val="0000FF"/>
                  <w:u w:val="single"/>
                  <w:rtl/>
                </w:rPr>
                <w:t>144(ב)</w:t>
              </w:r>
            </w:hyperlink>
          </w:p>
          <w:p w14:paraId="24489977" w14:textId="77777777" w:rsidR="00DE6E90" w:rsidRPr="00DE6E90" w:rsidRDefault="00DE6E90" w:rsidP="00DE6E90">
            <w:pPr>
              <w:spacing w:after="120" w:line="240" w:lineRule="exact"/>
              <w:ind w:left="283" w:hanging="283"/>
              <w:jc w:val="both"/>
              <w:rPr>
                <w:rFonts w:ascii="FrankRuehl" w:hAnsi="FrankRuehl" w:cs="FrankRuehl"/>
                <w:rtl/>
              </w:rPr>
            </w:pPr>
            <w:hyperlink r:id="rId10" w:history="1">
              <w:r w:rsidRPr="00DE6E90">
                <w:rPr>
                  <w:rFonts w:ascii="FrankRuehl" w:hAnsi="FrankRuehl" w:cs="FrankRuehl"/>
                  <w:color w:val="0000FF"/>
                  <w:u w:val="single"/>
                  <w:rtl/>
                </w:rPr>
                <w:t>פקודת התעבורה [נוסח חדש]</w:t>
              </w:r>
            </w:hyperlink>
            <w:r w:rsidRPr="00DE6E90">
              <w:rPr>
                <w:rFonts w:ascii="FrankRuehl" w:hAnsi="FrankRuehl" w:cs="FrankRuehl"/>
                <w:rtl/>
              </w:rPr>
              <w:t xml:space="preserve">: סע'  </w:t>
            </w:r>
            <w:hyperlink r:id="rId11" w:history="1">
              <w:r w:rsidRPr="00DE6E90">
                <w:rPr>
                  <w:rFonts w:ascii="FrankRuehl" w:hAnsi="FrankRuehl" w:cs="FrankRuehl"/>
                  <w:color w:val="0000FF"/>
                  <w:u w:val="single"/>
                  <w:rtl/>
                </w:rPr>
                <w:t>10(א)</w:t>
              </w:r>
            </w:hyperlink>
            <w:r w:rsidRPr="00DE6E90">
              <w:rPr>
                <w:rFonts w:ascii="FrankRuehl" w:hAnsi="FrankRuehl" w:cs="FrankRuehl"/>
                <w:rtl/>
              </w:rPr>
              <w:t xml:space="preserve">, </w:t>
            </w:r>
            <w:hyperlink r:id="rId12" w:history="1">
              <w:r w:rsidRPr="00DE6E90">
                <w:rPr>
                  <w:rFonts w:ascii="FrankRuehl" w:hAnsi="FrankRuehl" w:cs="FrankRuehl"/>
                  <w:color w:val="0000FF"/>
                  <w:u w:val="single"/>
                  <w:rtl/>
                </w:rPr>
                <w:t>62(2)</w:t>
              </w:r>
            </w:hyperlink>
          </w:p>
          <w:p w14:paraId="10343C35" w14:textId="77777777" w:rsidR="00DE6E90" w:rsidRPr="00DE6E90" w:rsidRDefault="00DE6E90" w:rsidP="00DE6E90">
            <w:pPr>
              <w:spacing w:after="120" w:line="240" w:lineRule="exact"/>
              <w:ind w:left="283" w:hanging="283"/>
              <w:jc w:val="both"/>
              <w:rPr>
                <w:rFonts w:ascii="FrankRuehl" w:hAnsi="FrankRuehl" w:cs="FrankRuehl"/>
                <w:rtl/>
              </w:rPr>
            </w:pPr>
            <w:hyperlink r:id="rId13" w:history="1">
              <w:r w:rsidRPr="00DE6E90">
                <w:rPr>
                  <w:rFonts w:ascii="FrankRuehl" w:hAnsi="FrankRuehl" w:cs="FrankRuehl"/>
                  <w:color w:val="0000FF"/>
                  <w:u w:val="single"/>
                  <w:rtl/>
                </w:rPr>
                <w:t>פקודת ביטוח רכב מנועי [נוסח חדש], תש"ל-1970</w:t>
              </w:r>
            </w:hyperlink>
            <w:r w:rsidRPr="00DE6E90">
              <w:rPr>
                <w:rFonts w:ascii="FrankRuehl" w:hAnsi="FrankRuehl" w:cs="FrankRuehl"/>
                <w:rtl/>
              </w:rPr>
              <w:t xml:space="preserve">: סע'  </w:t>
            </w:r>
            <w:hyperlink r:id="rId14" w:history="1">
              <w:r w:rsidRPr="00DE6E90">
                <w:rPr>
                  <w:rFonts w:ascii="FrankRuehl" w:hAnsi="FrankRuehl" w:cs="FrankRuehl"/>
                  <w:color w:val="0000FF"/>
                  <w:u w:val="single"/>
                  <w:rtl/>
                </w:rPr>
                <w:t>2</w:t>
              </w:r>
            </w:hyperlink>
          </w:p>
          <w:p w14:paraId="3EF665CA" w14:textId="77777777" w:rsidR="00DE6E90" w:rsidRPr="00DE6E90" w:rsidRDefault="00DE6E90" w:rsidP="00DE6E90">
            <w:pPr>
              <w:spacing w:after="120" w:line="240" w:lineRule="exact"/>
              <w:ind w:left="283" w:hanging="283"/>
              <w:jc w:val="both"/>
              <w:rPr>
                <w:rFonts w:ascii="FrankRuehl" w:hAnsi="FrankRuehl" w:cs="FrankRuehl"/>
                <w:rtl/>
              </w:rPr>
            </w:pPr>
            <w:hyperlink r:id="rId15" w:history="1">
              <w:r w:rsidRPr="00DE6E90">
                <w:rPr>
                  <w:rFonts w:ascii="FrankRuehl" w:hAnsi="FrankRuehl" w:cs="FrankRuehl"/>
                  <w:color w:val="0000FF"/>
                  <w:u w:val="single"/>
                  <w:rtl/>
                </w:rPr>
                <w:t>תקנות התעבורה, תשכ"א-1961 - לא מרובדות</w:t>
              </w:r>
            </w:hyperlink>
            <w:r w:rsidRPr="00DE6E90">
              <w:rPr>
                <w:rFonts w:ascii="FrankRuehl" w:hAnsi="FrankRuehl" w:cs="FrankRuehl"/>
                <w:rtl/>
              </w:rPr>
              <w:t xml:space="preserve">: סע'  </w:t>
            </w:r>
            <w:hyperlink r:id="rId16" w:history="1">
              <w:r w:rsidRPr="00DE6E90">
                <w:rPr>
                  <w:rFonts w:ascii="FrankRuehl" w:hAnsi="FrankRuehl" w:cs="FrankRuehl"/>
                  <w:color w:val="0000FF"/>
                  <w:u w:val="single"/>
                  <w:rtl/>
                </w:rPr>
                <w:t>305(א)</w:t>
              </w:r>
            </w:hyperlink>
          </w:p>
          <w:p w14:paraId="0DABDA7E" w14:textId="77777777" w:rsidR="00DE6E90" w:rsidRPr="00DE6E90" w:rsidRDefault="00DE6E90" w:rsidP="00DE6E90">
            <w:pPr>
              <w:spacing w:after="120" w:line="240" w:lineRule="exact"/>
              <w:ind w:left="283" w:hanging="283"/>
              <w:jc w:val="both"/>
              <w:rPr>
                <w:rFonts w:ascii="FrankRuehl" w:hAnsi="FrankRuehl" w:cs="FrankRuehl"/>
                <w:rtl/>
              </w:rPr>
            </w:pPr>
          </w:p>
          <w:p w14:paraId="14E9BAAA" w14:textId="77777777" w:rsidR="0007748E" w:rsidRPr="0007748E" w:rsidRDefault="0007748E" w:rsidP="0007748E">
            <w:pPr>
              <w:jc w:val="center"/>
              <w:rPr>
                <w:rFonts w:ascii="Arial" w:hAnsi="Arial" w:cs="FrankRuehl"/>
                <w:b/>
                <w:bCs/>
                <w:sz w:val="32"/>
                <w:szCs w:val="32"/>
                <w:rtl/>
              </w:rPr>
            </w:pPr>
            <w:bookmarkStart w:id="5" w:name="LawTable_End"/>
            <w:bookmarkEnd w:id="5"/>
            <w:r w:rsidRPr="0007748E">
              <w:rPr>
                <w:rFonts w:ascii="Arial" w:hAnsi="Arial" w:cs="FrankRuehl"/>
                <w:b/>
                <w:bCs/>
                <w:sz w:val="32"/>
                <w:szCs w:val="32"/>
                <w:rtl/>
              </w:rPr>
              <w:t>גזר דין</w:t>
            </w:r>
          </w:p>
          <w:p w14:paraId="65AAC9A6" w14:textId="77777777" w:rsidR="00CF29E2" w:rsidRPr="0007748E" w:rsidRDefault="00CF29E2" w:rsidP="0007748E">
            <w:pPr>
              <w:jc w:val="center"/>
              <w:rPr>
                <w:rFonts w:ascii="Arial" w:hAnsi="Arial" w:cs="FrankRuehl"/>
                <w:bCs/>
                <w:sz w:val="32"/>
                <w:szCs w:val="32"/>
                <w:rtl/>
              </w:rPr>
            </w:pPr>
          </w:p>
        </w:tc>
      </w:tr>
      <w:bookmarkEnd w:id="3"/>
    </w:tbl>
    <w:p w14:paraId="72137DC8" w14:textId="77777777" w:rsidR="00CF29E2" w:rsidRPr="00B05847" w:rsidRDefault="00CF29E2" w:rsidP="00CF29E2">
      <w:pPr>
        <w:rPr>
          <w:rFonts w:ascii="Arial" w:hAnsi="Arial"/>
          <w:rtl/>
        </w:rPr>
      </w:pPr>
    </w:p>
    <w:p w14:paraId="70CD63F4" w14:textId="77777777" w:rsidR="00CF29E2" w:rsidRDefault="00CF29E2" w:rsidP="00CF29E2">
      <w:pPr>
        <w:pStyle w:val="ListParagraph"/>
        <w:numPr>
          <w:ilvl w:val="0"/>
          <w:numId w:val="1"/>
        </w:numPr>
        <w:spacing w:line="360" w:lineRule="auto"/>
        <w:jc w:val="both"/>
        <w:rPr>
          <w:rtl/>
        </w:rPr>
      </w:pPr>
      <w:r>
        <w:rPr>
          <w:rtl/>
        </w:rPr>
        <w:t xml:space="preserve">הנאשם הודה </w:t>
      </w:r>
      <w:r>
        <w:rPr>
          <w:rFonts w:hint="cs"/>
          <w:rtl/>
        </w:rPr>
        <w:t>ב</w:t>
      </w:r>
      <w:r>
        <w:rPr>
          <w:rtl/>
        </w:rPr>
        <w:t xml:space="preserve">כתב אישום מתוקן במסגרת הסדר טיעון שלא כלל הסדר אודות העונש בביצוע עבירות נשק לפי </w:t>
      </w:r>
      <w:hyperlink r:id="rId17" w:history="1">
        <w:r w:rsidR="00DE6E90" w:rsidRPr="00DE6E90">
          <w:rPr>
            <w:color w:val="0000FF"/>
            <w:u w:val="single"/>
            <w:rtl/>
          </w:rPr>
          <w:t>סעיף 144(א)</w:t>
        </w:r>
      </w:hyperlink>
      <w:r>
        <w:rPr>
          <w:rtl/>
        </w:rPr>
        <w:t xml:space="preserve"> רישא + סיפא + </w:t>
      </w:r>
      <w:hyperlink r:id="rId18" w:history="1">
        <w:r w:rsidR="00DE6E90" w:rsidRPr="00DE6E90">
          <w:rPr>
            <w:color w:val="0000FF"/>
            <w:u w:val="single"/>
            <w:rtl/>
          </w:rPr>
          <w:t>144(ב)</w:t>
        </w:r>
      </w:hyperlink>
      <w:r>
        <w:rPr>
          <w:rtl/>
        </w:rPr>
        <w:t xml:space="preserve"> רישא + סיפא ל</w:t>
      </w:r>
      <w:hyperlink r:id="rId19" w:history="1">
        <w:r w:rsidR="0007748E" w:rsidRPr="0007748E">
          <w:rPr>
            <w:color w:val="0000FF"/>
            <w:u w:val="single"/>
            <w:rtl/>
          </w:rPr>
          <w:t>חוק העונשין</w:t>
        </w:r>
      </w:hyperlink>
      <w:r>
        <w:rPr>
          <w:rtl/>
        </w:rPr>
        <w:t xml:space="preserve">, נהיגה ללא רישיון נהיגה לפי </w:t>
      </w:r>
      <w:hyperlink r:id="rId20" w:history="1">
        <w:r w:rsidR="00DE6E90" w:rsidRPr="00DE6E90">
          <w:rPr>
            <w:color w:val="0000FF"/>
            <w:u w:val="single"/>
            <w:rtl/>
          </w:rPr>
          <w:t>סעיף 10(א)</w:t>
        </w:r>
      </w:hyperlink>
      <w:r>
        <w:rPr>
          <w:rtl/>
        </w:rPr>
        <w:t xml:space="preserve"> ל</w:t>
      </w:r>
      <w:hyperlink r:id="rId21" w:history="1">
        <w:r w:rsidR="0007748E" w:rsidRPr="0007748E">
          <w:rPr>
            <w:color w:val="0000FF"/>
            <w:u w:val="single"/>
            <w:rtl/>
          </w:rPr>
          <w:t>פקודת התעבורה</w:t>
        </w:r>
      </w:hyperlink>
      <w:r>
        <w:rPr>
          <w:rtl/>
        </w:rPr>
        <w:t xml:space="preserve">, חובת פוליסה לפי </w:t>
      </w:r>
      <w:hyperlink r:id="rId22" w:history="1">
        <w:r w:rsidR="00DE6E90" w:rsidRPr="00DE6E90">
          <w:rPr>
            <w:color w:val="0000FF"/>
            <w:u w:val="single"/>
            <w:rtl/>
          </w:rPr>
          <w:t>סעיף 2</w:t>
        </w:r>
      </w:hyperlink>
      <w:r>
        <w:rPr>
          <w:rtl/>
        </w:rPr>
        <w:t xml:space="preserve"> ל</w:t>
      </w:r>
      <w:hyperlink r:id="rId23" w:history="1">
        <w:r w:rsidR="0007748E" w:rsidRPr="0007748E">
          <w:rPr>
            <w:color w:val="0000FF"/>
            <w:u w:val="single"/>
            <w:rtl/>
          </w:rPr>
          <w:t>פקודת ביטוח רכב מנועי</w:t>
        </w:r>
      </w:hyperlink>
      <w:r>
        <w:rPr>
          <w:rtl/>
        </w:rPr>
        <w:t xml:space="preserve"> [נוסח חדש] (מספר מקרים), נהיגה ללא לוחית זיהוי לפי </w:t>
      </w:r>
      <w:hyperlink r:id="rId24" w:history="1">
        <w:r w:rsidR="00DE6E90" w:rsidRPr="00DE6E90">
          <w:rPr>
            <w:color w:val="0000FF"/>
            <w:u w:val="single"/>
            <w:rtl/>
          </w:rPr>
          <w:t>תקנה 305(א)</w:t>
        </w:r>
      </w:hyperlink>
      <w:r>
        <w:rPr>
          <w:rtl/>
        </w:rPr>
        <w:t xml:space="preserve"> ל</w:t>
      </w:r>
      <w:hyperlink r:id="rId25" w:history="1">
        <w:r w:rsidR="0007748E" w:rsidRPr="0007748E">
          <w:rPr>
            <w:color w:val="0000FF"/>
            <w:u w:val="single"/>
            <w:rtl/>
          </w:rPr>
          <w:t>תקנות התעבורה</w:t>
        </w:r>
      </w:hyperlink>
      <w:r>
        <w:rPr>
          <w:rtl/>
        </w:rPr>
        <w:t xml:space="preserve"> ונהיגה בקלות ראש לפי </w:t>
      </w:r>
      <w:hyperlink r:id="rId26" w:history="1">
        <w:r w:rsidR="00DE6E90" w:rsidRPr="00DE6E90">
          <w:rPr>
            <w:color w:val="0000FF"/>
            <w:u w:val="single"/>
            <w:rtl/>
          </w:rPr>
          <w:t>סעיף 62(2)</w:t>
        </w:r>
      </w:hyperlink>
      <w:r>
        <w:rPr>
          <w:rtl/>
        </w:rPr>
        <w:t xml:space="preserve"> לפקודת התעבורה. </w:t>
      </w:r>
    </w:p>
    <w:p w14:paraId="1280830D" w14:textId="77777777" w:rsidR="00CF29E2" w:rsidRDefault="00CF29E2" w:rsidP="00CF29E2">
      <w:pPr>
        <w:spacing w:line="360" w:lineRule="auto"/>
        <w:jc w:val="both"/>
        <w:rPr>
          <w:rtl/>
        </w:rPr>
      </w:pPr>
    </w:p>
    <w:p w14:paraId="6730437E" w14:textId="77777777" w:rsidR="00CF29E2" w:rsidRDefault="00CF29E2" w:rsidP="00CF29E2">
      <w:pPr>
        <w:pStyle w:val="ListParagraph"/>
        <w:numPr>
          <w:ilvl w:val="0"/>
          <w:numId w:val="1"/>
        </w:numPr>
        <w:spacing w:line="360" w:lineRule="auto"/>
        <w:jc w:val="both"/>
        <w:rPr>
          <w:rtl/>
        </w:rPr>
      </w:pPr>
      <w:r>
        <w:rPr>
          <w:rtl/>
        </w:rPr>
        <w:t xml:space="preserve">על פי האמור בכתב האישום, </w:t>
      </w:r>
      <w:bookmarkStart w:id="6" w:name="ABSTRACT_START"/>
      <w:bookmarkEnd w:id="6"/>
      <w:r>
        <w:rPr>
          <w:rtl/>
        </w:rPr>
        <w:t>ביום 15.11.15 רכש הנאשם רכב מסוג ב.מ.וו. למרות שמעולם לא קיבל רישיון נהיגה. בתאריך 27.4.16 בשעה 12:20 נהג הנאשם בכביש 65 לכיוון צפון כאשר לרכב חסר</w:t>
      </w:r>
      <w:r>
        <w:rPr>
          <w:rFonts w:hint="cs"/>
          <w:rtl/>
        </w:rPr>
        <w:t>ה</w:t>
      </w:r>
      <w:r>
        <w:rPr>
          <w:rtl/>
        </w:rPr>
        <w:t xml:space="preserve"> לוחית זיהוי קדמית. הנאשם פנה מכביש 65 לתוך כפר קרע ועצר בשל </w:t>
      </w:r>
      <w:r>
        <w:rPr>
          <w:rFonts w:hint="cs"/>
          <w:rtl/>
        </w:rPr>
        <w:t>עומס</w:t>
      </w:r>
      <w:r>
        <w:rPr>
          <w:rtl/>
        </w:rPr>
        <w:t xml:space="preserve"> תנועה. שוטרים שהיו במקום בתפקיד הבחינו בו, עצרו את רכבם, אחד מהם הזדהה בפני הנאשם כשוטר</w:t>
      </w:r>
      <w:r>
        <w:rPr>
          <w:rFonts w:hint="cs"/>
          <w:rtl/>
        </w:rPr>
        <w:t>,</w:t>
      </w:r>
      <w:r>
        <w:rPr>
          <w:rtl/>
        </w:rPr>
        <w:t xml:space="preserve"> הורה לו לדומם את המנוע ולצאת מן הרכב. בתגובה סטה הנאשם </w:t>
      </w:r>
      <w:r>
        <w:rPr>
          <w:rtl/>
        </w:rPr>
        <w:lastRenderedPageBreak/>
        <w:t xml:space="preserve">בחדות ימינה, האיץ, עלה על המדרכה, עקף מימין את הרכב שעמד לפניו ואז פנה בחדות שמאלה ונמלט מהשוטרים. במהלך מנוסתו הוא נהג נהיגה פרועה תוך שהוא פוגע בשני רכבים חונים שעמדו במקום וגרם להם נזק, רכב אחד מסוג שברולט שניזוק בשווי 4,415 ₪ והשני, רכב מסוג ניסאן </w:t>
      </w:r>
      <w:r>
        <w:rPr>
          <w:rFonts w:hint="cs"/>
          <w:rtl/>
        </w:rPr>
        <w:t>ש</w:t>
      </w:r>
      <w:r>
        <w:rPr>
          <w:rtl/>
        </w:rPr>
        <w:t xml:space="preserve">ניזוק גם הוא. הנאשם הגיע לבית משפחתו בכפר. בעקבות האמור לעיל, הגיעו השוטרים לבית על מנת לעכבו. באותה עת עמד הנאשם בפתח ביתו כשהוא מחזיק תיק גב שחור ובתוכו תת מקלע מאולתר מסוג קרל גוסטב, מחסנית תואמת מלאה בכדורים, כדור נוסף וכפפות שחורות. כשהבחין  בשוטרים הוא החל לברוח , השוטרים דלקו אחריו וקראו לו לעצור, אולם הנאשם המשיך בבריחה תוך כדי שהוא </w:t>
      </w:r>
      <w:r>
        <w:rPr>
          <w:rFonts w:hint="cs"/>
          <w:rtl/>
        </w:rPr>
        <w:t>מ</w:t>
      </w:r>
      <w:r>
        <w:rPr>
          <w:rtl/>
        </w:rPr>
        <w:t xml:space="preserve">שליך את התיק ונמלט. </w:t>
      </w:r>
    </w:p>
    <w:p w14:paraId="419A1456" w14:textId="77777777" w:rsidR="00CF29E2" w:rsidRDefault="00CF29E2" w:rsidP="00CF29E2">
      <w:pPr>
        <w:spacing w:line="360" w:lineRule="auto"/>
        <w:jc w:val="both"/>
        <w:rPr>
          <w:sz w:val="18"/>
          <w:szCs w:val="18"/>
          <w:rtl/>
        </w:rPr>
      </w:pPr>
    </w:p>
    <w:p w14:paraId="4F0AFFBB" w14:textId="77777777" w:rsidR="00CF29E2" w:rsidRPr="001B517C" w:rsidRDefault="00CF29E2" w:rsidP="00CF29E2">
      <w:pPr>
        <w:spacing w:line="360" w:lineRule="auto"/>
        <w:jc w:val="both"/>
        <w:rPr>
          <w:sz w:val="18"/>
          <w:szCs w:val="18"/>
          <w:rtl/>
        </w:rPr>
      </w:pPr>
      <w:bookmarkStart w:id="7" w:name="ABSTRACT_END"/>
      <w:bookmarkEnd w:id="7"/>
    </w:p>
    <w:p w14:paraId="740196A0" w14:textId="77777777" w:rsidR="00CF29E2" w:rsidRDefault="00CF29E2" w:rsidP="00CF29E2">
      <w:pPr>
        <w:pStyle w:val="ListParagraph"/>
        <w:spacing w:line="360" w:lineRule="auto"/>
        <w:ind w:left="360"/>
        <w:jc w:val="both"/>
        <w:rPr>
          <w:rtl/>
        </w:rPr>
      </w:pPr>
      <w:r w:rsidRPr="001B517C">
        <w:rPr>
          <w:b/>
          <w:bCs/>
          <w:u w:val="single"/>
          <w:rtl/>
        </w:rPr>
        <w:t>תסקיר שירות המבחן</w:t>
      </w:r>
    </w:p>
    <w:p w14:paraId="7BFC7554" w14:textId="77777777" w:rsidR="00CF29E2" w:rsidRPr="001B517C" w:rsidRDefault="00CF29E2" w:rsidP="00CF29E2">
      <w:pPr>
        <w:spacing w:line="360" w:lineRule="auto"/>
        <w:jc w:val="both"/>
        <w:rPr>
          <w:sz w:val="18"/>
          <w:szCs w:val="18"/>
          <w:rtl/>
        </w:rPr>
      </w:pPr>
    </w:p>
    <w:p w14:paraId="1F2E0570" w14:textId="77777777" w:rsidR="00CF29E2" w:rsidRDefault="00CF29E2" w:rsidP="00CF29E2">
      <w:pPr>
        <w:pStyle w:val="ListParagraph"/>
        <w:numPr>
          <w:ilvl w:val="0"/>
          <w:numId w:val="1"/>
        </w:numPr>
        <w:spacing w:line="360" w:lineRule="auto"/>
        <w:jc w:val="both"/>
        <w:rPr>
          <w:rtl/>
        </w:rPr>
      </w:pPr>
      <w:r>
        <w:rPr>
          <w:rtl/>
        </w:rPr>
        <w:t xml:space="preserve">לנאשם נערך תסקיר שהוגש ביום 3.11.16. תואר שהוא בן 22, רווק ומתגורר עם הוריו בכפר </w:t>
      </w:r>
      <w:r>
        <w:rPr>
          <w:rFonts w:hint="cs"/>
          <w:rtl/>
        </w:rPr>
        <w:t>ערה</w:t>
      </w:r>
      <w:r>
        <w:rPr>
          <w:rtl/>
        </w:rPr>
        <w:t xml:space="preserve">. טרם מעצרו עבד בגינון וגם החל לעבוד כפועל במפעל. משפחת מוצאו נורמטיבית והוא הבן הבכור מתוך 4 ילדים. הוא סיים 11 שנות לימוד ואין לחובתו הרשעות קודמות למעט בתחום התעבורתי בו לחובתו שתי הרשעות. בהתייחסותו לעבירות הקודמות הנאשם מסר שהוא מודע לבעייתיות בהתנהלותו וייחס זאת לגילו הצעיר (העבירות נעברו לפני 4 שנים) אך לא זכר פרטים באשר לתהליך אותו עבר. ביחס לעבירות הנוכחיות הנאשם הודה שהתנהל באופן פזיז ולא הפעיל שיקול דעת ומסר שרכש את הרכב מספר חודשים לפני שנעצר ביודעו שאין לו רישיון נהיגה. הוא התקשה להסביר את מעשיו ושלל חיבור לחברה שולית. צויין שהנאשם מתפקד באופן רציף במישור התעסוקתי. שירות המבחן ציין שהתנהגותו מאופיינת בחוסר בגרות ובשלות וחוסר מודעות לדפוסי התנהגותו הבעייתיים והוערך כי הוא יתקשה להפיק תועלת מהשתתפות בהליך טיפולי בשלב זה. עם זאת, צויין רושם שחווית המעצר הממושך מהווה גורם מרתיע. שירות המבחן לא המליץ על חלופות ענישה או שיקום והוערך כי קיים סיכון להישנות התנהגות פורצת גבולות בעתיד. </w:t>
      </w:r>
    </w:p>
    <w:p w14:paraId="43935F25" w14:textId="77777777" w:rsidR="00CF29E2" w:rsidRDefault="00CF29E2" w:rsidP="00CF29E2">
      <w:pPr>
        <w:spacing w:line="360" w:lineRule="auto"/>
        <w:jc w:val="both"/>
        <w:rPr>
          <w:rtl/>
        </w:rPr>
      </w:pPr>
    </w:p>
    <w:p w14:paraId="07B5F6E5" w14:textId="77777777" w:rsidR="00CF29E2" w:rsidRDefault="00CF29E2" w:rsidP="00CF29E2">
      <w:pPr>
        <w:pStyle w:val="ListParagraph"/>
        <w:numPr>
          <w:ilvl w:val="0"/>
          <w:numId w:val="1"/>
        </w:numPr>
        <w:spacing w:line="360" w:lineRule="auto"/>
        <w:jc w:val="both"/>
        <w:rPr>
          <w:rtl/>
        </w:rPr>
      </w:pPr>
      <w:r>
        <w:rPr>
          <w:rtl/>
        </w:rPr>
        <w:t xml:space="preserve">מגליון הרישום הפלילי עולה שבמרץ 2015 הנאשם עבר עבירת מהירות ובשנת 2012 הוא עבר עבירה של נהיגה ללא רישיון, נהיגה בקלות ראש וסטיה מנתיב הנסיעה והוטל עליו של"צ. </w:t>
      </w:r>
    </w:p>
    <w:p w14:paraId="6ACD6A9B" w14:textId="77777777" w:rsidR="00CF29E2" w:rsidRDefault="00CF29E2" w:rsidP="00CF29E2">
      <w:pPr>
        <w:spacing w:line="360" w:lineRule="auto"/>
        <w:jc w:val="both"/>
        <w:rPr>
          <w:rtl/>
        </w:rPr>
      </w:pPr>
    </w:p>
    <w:p w14:paraId="657FBE15" w14:textId="77777777" w:rsidR="00CF29E2" w:rsidRDefault="00CF29E2" w:rsidP="00CF29E2">
      <w:pPr>
        <w:pStyle w:val="ListParagraph"/>
        <w:spacing w:line="360" w:lineRule="auto"/>
        <w:ind w:left="360"/>
        <w:jc w:val="both"/>
        <w:rPr>
          <w:rtl/>
        </w:rPr>
      </w:pPr>
      <w:r w:rsidRPr="001B517C">
        <w:rPr>
          <w:b/>
          <w:bCs/>
          <w:u w:val="single"/>
          <w:rtl/>
        </w:rPr>
        <w:t>טיעוני המדינה לעניין העונש</w:t>
      </w:r>
    </w:p>
    <w:p w14:paraId="70AC1C8B" w14:textId="77777777" w:rsidR="00CF29E2" w:rsidRDefault="00CF29E2" w:rsidP="00CF29E2">
      <w:pPr>
        <w:spacing w:line="360" w:lineRule="auto"/>
        <w:jc w:val="both"/>
        <w:rPr>
          <w:rtl/>
        </w:rPr>
      </w:pPr>
    </w:p>
    <w:p w14:paraId="15CFF670" w14:textId="77777777" w:rsidR="00CF29E2" w:rsidRDefault="00CF29E2" w:rsidP="00CF29E2">
      <w:pPr>
        <w:pStyle w:val="ListParagraph"/>
        <w:numPr>
          <w:ilvl w:val="0"/>
          <w:numId w:val="1"/>
        </w:numPr>
        <w:spacing w:line="360" w:lineRule="auto"/>
        <w:jc w:val="both"/>
        <w:rPr>
          <w:rtl/>
        </w:rPr>
      </w:pPr>
      <w:r>
        <w:rPr>
          <w:rtl/>
        </w:rPr>
        <w:t>המדינה טענה שמדובר במסכת אירועים שבוצעה תוך זמן קצר המצביעה על התנהגות עבריינית</w:t>
      </w:r>
      <w:r>
        <w:rPr>
          <w:rFonts w:hint="cs"/>
          <w:rtl/>
        </w:rPr>
        <w:t>,</w:t>
      </w:r>
      <w:r>
        <w:rPr>
          <w:rtl/>
        </w:rPr>
        <w:t xml:space="preserve"> העדר מורא מן החוק ועל מסוכנות רבה. נטען שאמנם מדובר בנאשם צעיר יחסית ללא עבר פלילי אך נטען שהמעשים מלמדים על התנהגות עבריינית של ממש ונטען שאין </w:t>
      </w:r>
      <w:r>
        <w:rPr>
          <w:rtl/>
        </w:rPr>
        <w:lastRenderedPageBreak/>
        <w:t>מקום לקבל הטענה שמדובר במעידה חד-פעמית. נטען שהפסיקה מתייחסת בחומרה לעבירות נשק בעקבות הסיכון הטמון בהן (</w:t>
      </w:r>
      <w:hyperlink r:id="rId27" w:history="1">
        <w:r w:rsidR="0007748E" w:rsidRPr="0007748E">
          <w:rPr>
            <w:color w:val="0000FF"/>
            <w:u w:val="single"/>
            <w:rtl/>
          </w:rPr>
          <w:t>ע"פ 7955/06</w:t>
        </w:r>
      </w:hyperlink>
      <w:r>
        <w:rPr>
          <w:rtl/>
        </w:rPr>
        <w:t xml:space="preserve"> </w:t>
      </w:r>
      <w:r w:rsidRPr="001B517C">
        <w:rPr>
          <w:b/>
          <w:bCs/>
          <w:rtl/>
        </w:rPr>
        <w:t>מיסורי נ' מדינת ישראל</w:t>
      </w:r>
      <w:r>
        <w:rPr>
          <w:rtl/>
        </w:rPr>
        <w:t xml:space="preserve"> (1.1.2007)) ונטען שנקבע זה מכבר שיש להחמיר אל מול עבירות הנשק (</w:t>
      </w:r>
      <w:hyperlink r:id="rId28" w:history="1">
        <w:r w:rsidR="0007748E" w:rsidRPr="0007748E">
          <w:rPr>
            <w:color w:val="0000FF"/>
            <w:u w:val="single"/>
            <w:rtl/>
          </w:rPr>
          <w:t>ע"פ 2839/05</w:t>
        </w:r>
      </w:hyperlink>
      <w:r>
        <w:rPr>
          <w:rtl/>
        </w:rPr>
        <w:t xml:space="preserve"> </w:t>
      </w:r>
      <w:r w:rsidRPr="001B517C">
        <w:rPr>
          <w:b/>
          <w:bCs/>
          <w:rtl/>
        </w:rPr>
        <w:t>רעיד קאדר נ' מדינת ישראל</w:t>
      </w:r>
      <w:r>
        <w:rPr>
          <w:rtl/>
        </w:rPr>
        <w:t xml:space="preserve"> (2005)). </w:t>
      </w:r>
    </w:p>
    <w:p w14:paraId="662DD691" w14:textId="77777777" w:rsidR="00CF29E2" w:rsidRDefault="00CF29E2" w:rsidP="00CF29E2">
      <w:pPr>
        <w:spacing w:line="360" w:lineRule="auto"/>
        <w:jc w:val="both"/>
        <w:rPr>
          <w:rtl/>
        </w:rPr>
      </w:pPr>
    </w:p>
    <w:p w14:paraId="078D5524" w14:textId="77777777" w:rsidR="00CF29E2" w:rsidRDefault="00CF29E2" w:rsidP="00CF29E2">
      <w:pPr>
        <w:pStyle w:val="ListParagraph"/>
        <w:numPr>
          <w:ilvl w:val="0"/>
          <w:numId w:val="1"/>
        </w:numPr>
        <w:spacing w:line="360" w:lineRule="auto"/>
        <w:jc w:val="both"/>
        <w:rPr>
          <w:rtl/>
        </w:rPr>
      </w:pPr>
      <w:r>
        <w:rPr>
          <w:rtl/>
        </w:rPr>
        <w:t>נטען שהתסקיר העלה גורמי סיכון רבים והצביע על התנהגות שלילית ודפוסים עברייניים. נטען שנפגעו הערכים המוגנים של שמירה על שלום הציבור והגנה על חיי אדם. באשר לנסיבות הקשורות בביצוע העבירה,</w:t>
      </w:r>
      <w:r>
        <w:t xml:space="preserve"> </w:t>
      </w:r>
      <w:r>
        <w:rPr>
          <w:rtl/>
        </w:rPr>
        <w:t xml:space="preserve">נטען שהנאשם לא סיפק הסבר מניח את הדעת למעורבותו ונטען שמדיניות הענישה מובילה לכך שייקבע מתחם ענישה הולם שבין 3 עד 5 שנות מאסר (בטיעון בעל פה נטען למתחם שבין 3 עד 4 שנות מאסר). </w:t>
      </w:r>
    </w:p>
    <w:p w14:paraId="5407FF19" w14:textId="77777777" w:rsidR="00CF29E2" w:rsidRDefault="00CF29E2" w:rsidP="00CF29E2">
      <w:pPr>
        <w:spacing w:line="360" w:lineRule="auto"/>
        <w:jc w:val="both"/>
        <w:rPr>
          <w:rtl/>
        </w:rPr>
      </w:pPr>
    </w:p>
    <w:p w14:paraId="51D244B0" w14:textId="77777777" w:rsidR="00CF29E2" w:rsidRDefault="00CF29E2" w:rsidP="00CF29E2">
      <w:pPr>
        <w:pStyle w:val="ListParagraph"/>
        <w:numPr>
          <w:ilvl w:val="0"/>
          <w:numId w:val="1"/>
        </w:numPr>
        <w:spacing w:line="360" w:lineRule="auto"/>
        <w:jc w:val="both"/>
        <w:rPr>
          <w:rtl/>
        </w:rPr>
      </w:pPr>
      <w:r>
        <w:rPr>
          <w:rtl/>
        </w:rPr>
        <w:t xml:space="preserve">בטיעונים בעל פה הבהירה המדינה כי מדובר ברצף אירועים אחד כאשר קיים קשר הדוק בין המעשים וכי אין מקום להפריד ביניהם. </w:t>
      </w:r>
    </w:p>
    <w:p w14:paraId="0AA1EF47" w14:textId="77777777" w:rsidR="00CF29E2" w:rsidRDefault="00CF29E2" w:rsidP="00CF29E2">
      <w:pPr>
        <w:spacing w:line="360" w:lineRule="auto"/>
        <w:jc w:val="both"/>
        <w:rPr>
          <w:rtl/>
        </w:rPr>
      </w:pPr>
    </w:p>
    <w:p w14:paraId="01653A62" w14:textId="77777777" w:rsidR="00CF29E2" w:rsidRDefault="00CF29E2" w:rsidP="00CF29E2">
      <w:pPr>
        <w:pStyle w:val="ListParagraph"/>
        <w:numPr>
          <w:ilvl w:val="0"/>
          <w:numId w:val="1"/>
        </w:numPr>
        <w:spacing w:line="360" w:lineRule="auto"/>
        <w:jc w:val="both"/>
        <w:rPr>
          <w:rtl/>
        </w:rPr>
      </w:pPr>
      <w:r>
        <w:rPr>
          <w:rtl/>
        </w:rPr>
        <w:t xml:space="preserve">המדינה איזכרה את המקרים הבאים: </w:t>
      </w:r>
      <w:hyperlink r:id="rId29" w:history="1">
        <w:r w:rsidR="0007748E" w:rsidRPr="0007748E">
          <w:rPr>
            <w:color w:val="0000FF"/>
            <w:u w:val="single"/>
            <w:rtl/>
          </w:rPr>
          <w:t>ע"פ 2077/09</w:t>
        </w:r>
      </w:hyperlink>
      <w:r>
        <w:rPr>
          <w:rtl/>
        </w:rPr>
        <w:t xml:space="preserve"> </w:t>
      </w:r>
      <w:r w:rsidRPr="001B517C">
        <w:rPr>
          <w:b/>
          <w:bCs/>
          <w:rtl/>
        </w:rPr>
        <w:t>נעים אל עביד נ' מדינת ישראל</w:t>
      </w:r>
      <w:r>
        <w:rPr>
          <w:rtl/>
        </w:rPr>
        <w:t xml:space="preserve"> (21.10.2009) – הנאשם הודה והורשע בביצוע עבירות של  נשיאה והובלת נשק והסתייעו</w:t>
      </w:r>
      <w:r>
        <w:rPr>
          <w:rFonts w:hint="cs"/>
          <w:rtl/>
        </w:rPr>
        <w:t>ת</w:t>
      </w:r>
      <w:r>
        <w:rPr>
          <w:rtl/>
        </w:rPr>
        <w:t xml:space="preserve"> ברכב לביצוע פשע. הערכאה הדיונית גזרה עליו</w:t>
      </w:r>
      <w:r>
        <w:rPr>
          <w:rFonts w:hint="cs"/>
          <w:rtl/>
        </w:rPr>
        <w:t xml:space="preserve"> עונש</w:t>
      </w:r>
      <w:r>
        <w:rPr>
          <w:rtl/>
        </w:rPr>
        <w:t xml:space="preserve"> של 3.5 שנות מאסר ופסילה מלהחזיק רישיון משך 10 חודשים. בערעור נקבע כי מדובר בעונש מתון והערעור נדחה. </w:t>
      </w:r>
    </w:p>
    <w:p w14:paraId="237D6EEF" w14:textId="77777777" w:rsidR="00CF29E2" w:rsidRDefault="00CF29E2" w:rsidP="00CF29E2">
      <w:pPr>
        <w:pStyle w:val="ListParagraph"/>
        <w:spacing w:line="360" w:lineRule="auto"/>
        <w:jc w:val="both"/>
        <w:rPr>
          <w:rtl/>
        </w:rPr>
      </w:pPr>
      <w:r>
        <w:rPr>
          <w:rtl/>
        </w:rPr>
        <w:t>ב</w:t>
      </w:r>
      <w:hyperlink r:id="rId30" w:history="1">
        <w:r w:rsidR="0007748E" w:rsidRPr="0007748E">
          <w:rPr>
            <w:color w:val="0000FF"/>
            <w:u w:val="single"/>
            <w:rtl/>
          </w:rPr>
          <w:t>ע"פ 761/07</w:t>
        </w:r>
      </w:hyperlink>
      <w:r>
        <w:rPr>
          <w:rtl/>
        </w:rPr>
        <w:t xml:space="preserve"> </w:t>
      </w:r>
      <w:r w:rsidRPr="001B517C">
        <w:rPr>
          <w:b/>
          <w:bCs/>
          <w:rtl/>
        </w:rPr>
        <w:t>מדינת ישראל נ' מיכאל אדרי</w:t>
      </w:r>
      <w:r>
        <w:rPr>
          <w:rtl/>
        </w:rPr>
        <w:t xml:space="preserve"> </w:t>
      </w:r>
      <w:r>
        <w:rPr>
          <w:rFonts w:hint="cs"/>
          <w:rtl/>
        </w:rPr>
        <w:t>(22.2.2007)</w:t>
      </w:r>
      <w:r>
        <w:rPr>
          <w:rtl/>
        </w:rPr>
        <w:t>– נאשם הודה והורשע בביצוע עבירות החזקת נשק והפרעה לשוטר במילוי תפקידו ונדון ל- 12 חודשי מאסר בפועל. ערעור המדינה התקבל וה</w:t>
      </w:r>
      <w:r>
        <w:rPr>
          <w:rFonts w:hint="cs"/>
          <w:rtl/>
        </w:rPr>
        <w:t>עונש</w:t>
      </w:r>
      <w:r>
        <w:rPr>
          <w:rtl/>
        </w:rPr>
        <w:t xml:space="preserve"> הוארך ל- 24 חודשי מאסר בפועל. </w:t>
      </w:r>
    </w:p>
    <w:p w14:paraId="1E159C8C" w14:textId="77777777" w:rsidR="00CF29E2" w:rsidRDefault="00CF29E2" w:rsidP="00CF29E2">
      <w:pPr>
        <w:pStyle w:val="ListParagraph"/>
        <w:spacing w:line="360" w:lineRule="auto"/>
        <w:jc w:val="both"/>
        <w:rPr>
          <w:rtl/>
        </w:rPr>
      </w:pPr>
      <w:r>
        <w:rPr>
          <w:rtl/>
        </w:rPr>
        <w:t>ב</w:t>
      </w:r>
      <w:hyperlink r:id="rId31" w:history="1">
        <w:r w:rsidR="0007748E" w:rsidRPr="0007748E">
          <w:rPr>
            <w:color w:val="0000FF"/>
            <w:u w:val="single"/>
            <w:rtl/>
          </w:rPr>
          <w:t>ע"פ 4329/10</w:t>
        </w:r>
      </w:hyperlink>
      <w:r>
        <w:rPr>
          <w:rtl/>
        </w:rPr>
        <w:t xml:space="preserve"> </w:t>
      </w:r>
      <w:r w:rsidRPr="001B517C">
        <w:rPr>
          <w:b/>
          <w:bCs/>
          <w:rtl/>
        </w:rPr>
        <w:t>מוחמד איסמעיל נ' מדינת ישראל</w:t>
      </w:r>
      <w:r>
        <w:rPr>
          <w:rtl/>
        </w:rPr>
        <w:t xml:space="preserve"> (25.10.2010) – הורשע המערער בביצוע עבירה של נשיאה והובלת נשק, אקדח ותחמושת, ונדון ל- 20 חודשי מאסר בפועל, מאסר על תנאי וקנס בסך 10,000 ₪, זאת למרות שהיה סטודנט צעיר נעדר עבר פלילי ששירות המבחן המליץ להסתפק בקשר אליו בעבודות שירות. בית המשפט העליון דחה את הערעור וקבע כי לא מדובר בעונש חמור. </w:t>
      </w:r>
    </w:p>
    <w:p w14:paraId="3E235E0B" w14:textId="77777777" w:rsidR="00CF29E2" w:rsidRDefault="00CF29E2" w:rsidP="00CF29E2">
      <w:pPr>
        <w:pStyle w:val="ListParagraph"/>
        <w:spacing w:line="360" w:lineRule="auto"/>
        <w:jc w:val="both"/>
        <w:rPr>
          <w:rtl/>
        </w:rPr>
      </w:pPr>
      <w:r>
        <w:rPr>
          <w:rtl/>
        </w:rPr>
        <w:t>ב</w:t>
      </w:r>
      <w:hyperlink r:id="rId32" w:history="1">
        <w:r w:rsidR="0007748E" w:rsidRPr="0007748E">
          <w:rPr>
            <w:color w:val="0000FF"/>
            <w:u w:val="single"/>
            <w:rtl/>
          </w:rPr>
          <w:t>רע"פ 5909/03</w:t>
        </w:r>
      </w:hyperlink>
      <w:r>
        <w:rPr>
          <w:rtl/>
        </w:rPr>
        <w:t xml:space="preserve"> </w:t>
      </w:r>
      <w:r w:rsidRPr="001B517C">
        <w:rPr>
          <w:b/>
          <w:bCs/>
          <w:rtl/>
        </w:rPr>
        <w:t>יוסף חרבת נ' מדינת ישראל</w:t>
      </w:r>
      <w:r>
        <w:rPr>
          <w:rtl/>
        </w:rPr>
        <w:t xml:space="preserve"> </w:t>
      </w:r>
      <w:r>
        <w:rPr>
          <w:rFonts w:hint="cs"/>
          <w:rtl/>
        </w:rPr>
        <w:t>(24.7.2003)</w:t>
      </w:r>
      <w:r>
        <w:rPr>
          <w:rtl/>
        </w:rPr>
        <w:t xml:space="preserve">– על  נאשם שהחזיק באקדח בודד ועשרות כדורים הוטל עונש של שנתיים מאסר בפועל. </w:t>
      </w:r>
    </w:p>
    <w:p w14:paraId="6DDBB083" w14:textId="77777777" w:rsidR="00CF29E2" w:rsidRDefault="00CF29E2" w:rsidP="00CF29E2">
      <w:pPr>
        <w:pStyle w:val="ListParagraph"/>
        <w:spacing w:line="360" w:lineRule="auto"/>
        <w:jc w:val="both"/>
        <w:rPr>
          <w:rtl/>
        </w:rPr>
      </w:pPr>
      <w:r>
        <w:rPr>
          <w:rtl/>
        </w:rPr>
        <w:t>ב</w:t>
      </w:r>
      <w:hyperlink r:id="rId33" w:history="1">
        <w:r w:rsidR="0007748E" w:rsidRPr="0007748E">
          <w:rPr>
            <w:color w:val="0000FF"/>
            <w:u w:val="single"/>
            <w:rtl/>
          </w:rPr>
          <w:t>ת"פ 24964-09-11</w:t>
        </w:r>
      </w:hyperlink>
      <w:r>
        <w:rPr>
          <w:rtl/>
        </w:rPr>
        <w:t xml:space="preserve"> </w:t>
      </w:r>
      <w:r w:rsidRPr="001B517C">
        <w:rPr>
          <w:b/>
          <w:bCs/>
          <w:rtl/>
        </w:rPr>
        <w:t>מדינת ישראל נ' דניאל גלר</w:t>
      </w:r>
      <w:r>
        <w:rPr>
          <w:rtl/>
        </w:rPr>
        <w:t xml:space="preserve"> (7.11.2012) – על נאשם שהורשע בביצוע עבירות של קשירת קשר לפשע, החזקת נשק ותחמושת, מעשה פזיזות ורשלנות, ירי במקום מגורים ושיבוש מהלכי משפט, הוטלו 48 חודשי מאסר בפועל. </w:t>
      </w:r>
    </w:p>
    <w:p w14:paraId="200F71F3" w14:textId="77777777" w:rsidR="00CF29E2" w:rsidRDefault="00CF29E2" w:rsidP="00CF29E2">
      <w:pPr>
        <w:pStyle w:val="ListParagraph"/>
        <w:spacing w:line="360" w:lineRule="auto"/>
        <w:jc w:val="both"/>
        <w:rPr>
          <w:rtl/>
        </w:rPr>
      </w:pPr>
      <w:r>
        <w:rPr>
          <w:rtl/>
        </w:rPr>
        <w:t>ב</w:t>
      </w:r>
      <w:hyperlink r:id="rId34" w:history="1">
        <w:r w:rsidR="0007748E" w:rsidRPr="0007748E">
          <w:rPr>
            <w:color w:val="0000FF"/>
            <w:u w:val="single"/>
            <w:rtl/>
          </w:rPr>
          <w:t>ת"פ 15148-03-12</w:t>
        </w:r>
      </w:hyperlink>
      <w:r>
        <w:rPr>
          <w:rtl/>
        </w:rPr>
        <w:t xml:space="preserve"> </w:t>
      </w:r>
      <w:r w:rsidRPr="001B517C">
        <w:rPr>
          <w:b/>
          <w:bCs/>
          <w:rtl/>
        </w:rPr>
        <w:t>מדינת ישראל נ' אחמד כבהאא</w:t>
      </w:r>
      <w:r>
        <w:rPr>
          <w:rtl/>
        </w:rPr>
        <w:t xml:space="preserve"> (19.2.2013) – לגבי נאשם שהורשע בביצוע עבירות של נשיאה והובלת נשק וזיוף לוחיות זיהוי של רכב נקבע מתחם ענישה שבין 2 עד 4 שנות מאסר בפועל ולאור העובדה כי מדובר בצעיר בן 22, נעדר עבר פלילי</w:t>
      </w:r>
      <w:r>
        <w:rPr>
          <w:rFonts w:hint="cs"/>
          <w:rtl/>
        </w:rPr>
        <w:t>,</w:t>
      </w:r>
      <w:r>
        <w:rPr>
          <w:rtl/>
        </w:rPr>
        <w:t xml:space="preserve"> הוטלו 24 חודשי מאסר בפועל בלבד. </w:t>
      </w:r>
    </w:p>
    <w:p w14:paraId="0B934189" w14:textId="77777777" w:rsidR="00CF29E2" w:rsidRDefault="00CF29E2" w:rsidP="00CF29E2">
      <w:pPr>
        <w:pStyle w:val="ListParagraph"/>
        <w:spacing w:line="360" w:lineRule="auto"/>
        <w:jc w:val="both"/>
        <w:rPr>
          <w:rtl/>
        </w:rPr>
      </w:pPr>
      <w:r>
        <w:rPr>
          <w:rtl/>
        </w:rPr>
        <w:t>ב</w:t>
      </w:r>
      <w:hyperlink r:id="rId35" w:history="1">
        <w:r w:rsidR="0007748E" w:rsidRPr="0007748E">
          <w:rPr>
            <w:color w:val="0000FF"/>
            <w:u w:val="single"/>
            <w:rtl/>
          </w:rPr>
          <w:t>ע"פ 7955/06</w:t>
        </w:r>
      </w:hyperlink>
      <w:r>
        <w:rPr>
          <w:rtl/>
        </w:rPr>
        <w:t xml:space="preserve"> </w:t>
      </w:r>
      <w:r w:rsidRPr="001B517C">
        <w:rPr>
          <w:b/>
          <w:bCs/>
          <w:rtl/>
        </w:rPr>
        <w:t>מיסור כרכור נ' מדינת ישראל</w:t>
      </w:r>
      <w:r>
        <w:rPr>
          <w:rtl/>
        </w:rPr>
        <w:t xml:space="preserve"> </w:t>
      </w:r>
      <w:r>
        <w:rPr>
          <w:rFonts w:hint="cs"/>
          <w:rtl/>
        </w:rPr>
        <w:t>(1.1.2007)</w:t>
      </w:r>
      <w:r>
        <w:rPr>
          <w:rtl/>
        </w:rPr>
        <w:t xml:space="preserve">– על נאשם שהחזיק באקדח ושתי מחסניות הוטלו </w:t>
      </w:r>
      <w:r>
        <w:rPr>
          <w:rFonts w:hint="cs"/>
          <w:rtl/>
        </w:rPr>
        <w:t xml:space="preserve">20 חודשי </w:t>
      </w:r>
      <w:r>
        <w:rPr>
          <w:rtl/>
        </w:rPr>
        <w:t>מאסר</w:t>
      </w:r>
      <w:r>
        <w:rPr>
          <w:rFonts w:hint="cs"/>
          <w:rtl/>
        </w:rPr>
        <w:t xml:space="preserve"> בפועל.</w:t>
      </w:r>
    </w:p>
    <w:p w14:paraId="2B45D879" w14:textId="77777777" w:rsidR="00CF29E2" w:rsidRPr="00463165" w:rsidRDefault="00CF29E2" w:rsidP="00CF29E2">
      <w:pPr>
        <w:spacing w:line="360" w:lineRule="auto"/>
        <w:jc w:val="both"/>
        <w:rPr>
          <w:sz w:val="16"/>
          <w:szCs w:val="16"/>
          <w:rtl/>
        </w:rPr>
      </w:pPr>
    </w:p>
    <w:p w14:paraId="318E5A2C" w14:textId="77777777" w:rsidR="00CF29E2" w:rsidRDefault="00CF29E2" w:rsidP="00CF29E2">
      <w:pPr>
        <w:pStyle w:val="ListParagraph"/>
        <w:spacing w:line="360" w:lineRule="auto"/>
        <w:ind w:left="360"/>
        <w:jc w:val="both"/>
        <w:rPr>
          <w:rtl/>
        </w:rPr>
      </w:pPr>
      <w:r w:rsidRPr="001B517C">
        <w:rPr>
          <w:b/>
          <w:bCs/>
          <w:u w:val="single"/>
          <w:rtl/>
        </w:rPr>
        <w:t>טיעוני ב"כ הנאשם לעניין העונש</w:t>
      </w:r>
    </w:p>
    <w:p w14:paraId="3D261703" w14:textId="77777777" w:rsidR="00CF29E2" w:rsidRPr="00463165" w:rsidRDefault="00CF29E2" w:rsidP="00CF29E2">
      <w:pPr>
        <w:spacing w:line="360" w:lineRule="auto"/>
        <w:jc w:val="both"/>
        <w:rPr>
          <w:sz w:val="18"/>
          <w:szCs w:val="18"/>
          <w:rtl/>
        </w:rPr>
      </w:pPr>
    </w:p>
    <w:p w14:paraId="794D9D70" w14:textId="77777777" w:rsidR="00CF29E2" w:rsidRDefault="00CF29E2" w:rsidP="00CF29E2">
      <w:pPr>
        <w:pStyle w:val="ListParagraph"/>
        <w:numPr>
          <w:ilvl w:val="0"/>
          <w:numId w:val="1"/>
        </w:numPr>
        <w:spacing w:line="360" w:lineRule="auto"/>
        <w:jc w:val="both"/>
        <w:rPr>
          <w:rtl/>
        </w:rPr>
      </w:pPr>
      <w:r>
        <w:rPr>
          <w:rtl/>
        </w:rPr>
        <w:t xml:space="preserve">ב"כ הנאשם ביקש שלא ימוצה הדין עם הנאשם. נטען שהנאשם היה צעיר בעת ביצוע העבירות, בן 21 בלבד. נטען שבהליכי מעצר הנאשם ביקש להעצר ונותר במעצר מאז יום 27.4.16, תקופה ארוכה למדי. נטען שתקופה זו, של קרוב ל- 7 חודשים, הינה מלוא תקופת המאסר שיש להטיל בהליך. נטען כי שירות המבחן ציין כי חווית המעצר הממושך מהווה גורם מרתיע, בייחוד בהתחשב בכך שלנאשם אין עבר פלילי משמעותי וזו הפעם הראשונה שהוא נמצא מאחורי סורג ובריח. </w:t>
      </w:r>
    </w:p>
    <w:p w14:paraId="319DB93D" w14:textId="77777777" w:rsidR="00CF29E2" w:rsidRDefault="00CF29E2" w:rsidP="00CF29E2">
      <w:pPr>
        <w:spacing w:line="360" w:lineRule="auto"/>
        <w:jc w:val="both"/>
        <w:rPr>
          <w:rtl/>
        </w:rPr>
      </w:pPr>
    </w:p>
    <w:p w14:paraId="0AD83434" w14:textId="77777777" w:rsidR="00CF29E2" w:rsidRDefault="00CF29E2" w:rsidP="00CF29E2">
      <w:pPr>
        <w:pStyle w:val="ListParagraph"/>
        <w:numPr>
          <w:ilvl w:val="0"/>
          <w:numId w:val="1"/>
        </w:numPr>
        <w:spacing w:line="360" w:lineRule="auto"/>
        <w:jc w:val="both"/>
        <w:rPr>
          <w:rtl/>
        </w:rPr>
      </w:pPr>
      <w:r>
        <w:rPr>
          <w:rtl/>
        </w:rPr>
        <w:t>הסניגור טען שתסקיר המבחן לא היה שלילי כיוון שהנאשם הודה בבעייתיות בהתנהלותו והודה שטעה באשר לעבירת הנשק ולקח אחריות מלאה עליה. נטען שככלל שירות המבחן אינו ממליץ על הליכים טיפוליים ביחס לנאשמים הנמצאים במעצר. נטען שנסיבותיו האישיות של הנאשם אינן פשוטות</w:t>
      </w:r>
      <w:r>
        <w:rPr>
          <w:rFonts w:hint="cs"/>
          <w:rtl/>
        </w:rPr>
        <w:t>.</w:t>
      </w:r>
      <w:r>
        <w:rPr>
          <w:rtl/>
        </w:rPr>
        <w:t xml:space="preserve"> משפחתו נורמטיבית והוא עובד באופן רצוף לפרנסתו ועל מנת לסייע בפרנסת המשפחה. הסניגור טען שעל אף שהרכב רשום על שם הנאשם היתה זו המשפחה שרכשה אותו כאשר אין לה רכב אחר. נטען עוד שאין מדובר בעבירת נשיאת נשק "קלאסית" כאשר הנאשם היה בפתח ביתו והנשיאה בוצעה במסגרת בריחה עם התיק מהשוטרים באותו רגע. נטען ביחס לעבירות התעבורה שהן למעשה עבירות קנס. הסניגור הסכים כי מדובר באירוע אחד. נטען שהנאשם הודה ולקח אחריות מלאה על מעשיו ונחסך זמן רב בהליך המשפטי כאשר ניתנה הודאה מוקדמת. </w:t>
      </w:r>
    </w:p>
    <w:p w14:paraId="2357569B" w14:textId="77777777" w:rsidR="00CF29E2" w:rsidRDefault="00CF29E2" w:rsidP="00CF29E2">
      <w:pPr>
        <w:spacing w:line="360" w:lineRule="auto"/>
        <w:jc w:val="both"/>
        <w:rPr>
          <w:rtl/>
        </w:rPr>
      </w:pPr>
    </w:p>
    <w:p w14:paraId="68A2361F" w14:textId="77777777" w:rsidR="00CF29E2" w:rsidRDefault="00CF29E2" w:rsidP="00CF29E2">
      <w:pPr>
        <w:pStyle w:val="ListParagraph"/>
        <w:numPr>
          <w:ilvl w:val="0"/>
          <w:numId w:val="1"/>
        </w:numPr>
        <w:spacing w:line="360" w:lineRule="auto"/>
        <w:jc w:val="both"/>
        <w:rPr>
          <w:rtl/>
        </w:rPr>
      </w:pPr>
      <w:r>
        <w:rPr>
          <w:rtl/>
        </w:rPr>
        <w:t xml:space="preserve">הסניגור איזכר את הפסיקה הבאה: </w:t>
      </w:r>
      <w:hyperlink r:id="rId36" w:history="1">
        <w:r w:rsidR="0007748E" w:rsidRPr="0007748E">
          <w:rPr>
            <w:color w:val="0000FF"/>
            <w:u w:val="single"/>
            <w:rtl/>
          </w:rPr>
          <w:t>ע"פ 8846/15</w:t>
        </w:r>
      </w:hyperlink>
      <w:r>
        <w:rPr>
          <w:rtl/>
        </w:rPr>
        <w:t xml:space="preserve"> </w:t>
      </w:r>
      <w:r w:rsidRPr="001B517C">
        <w:rPr>
          <w:b/>
          <w:bCs/>
          <w:rtl/>
        </w:rPr>
        <w:t>איהבאב דראז נ' מדינת ישראל</w:t>
      </w:r>
      <w:r>
        <w:rPr>
          <w:rtl/>
        </w:rPr>
        <w:t xml:space="preserve"> (13.3.2016) - שם החזיק המערער בנשק – אקדח גנוב, שתי מחסניות ו- 75 כדורים. כאשר הגיעו שוטרים הוא ברח. נגזרו עליו 7 חודשי מאסר בפועל. באותו מקרה שירות המבחן המליץ על עונש מאסר שירוצה בעבודות שירות. בית המשפט העליון לא התערב בתוצאה. </w:t>
      </w:r>
    </w:p>
    <w:p w14:paraId="32033DD8" w14:textId="77777777" w:rsidR="00CF29E2" w:rsidRDefault="00CF29E2" w:rsidP="00CF29E2">
      <w:pPr>
        <w:pStyle w:val="ListParagraph"/>
        <w:spacing w:line="360" w:lineRule="auto"/>
        <w:jc w:val="both"/>
        <w:rPr>
          <w:rtl/>
        </w:rPr>
      </w:pPr>
      <w:r>
        <w:rPr>
          <w:rtl/>
        </w:rPr>
        <w:t>ב</w:t>
      </w:r>
      <w:hyperlink r:id="rId37" w:history="1">
        <w:r w:rsidR="0007748E" w:rsidRPr="0007748E">
          <w:rPr>
            <w:color w:val="0000FF"/>
            <w:u w:val="single"/>
            <w:rtl/>
          </w:rPr>
          <w:t>ע"פ 7139/12</w:t>
        </w:r>
      </w:hyperlink>
      <w:r>
        <w:rPr>
          <w:rtl/>
        </w:rPr>
        <w:t xml:space="preserve"> </w:t>
      </w:r>
      <w:r w:rsidRPr="001B517C">
        <w:rPr>
          <w:b/>
          <w:bCs/>
          <w:rtl/>
        </w:rPr>
        <w:t>גורנו ליאור נ' מדינת ישראל</w:t>
      </w:r>
      <w:r>
        <w:rPr>
          <w:rtl/>
        </w:rPr>
        <w:t xml:space="preserve"> (7.3.2013) -  נאשם בעל עבר פלילי בסמים הורשע  בהחזקת אקדח משך 5 שנים ובנוסף בהחזקת רימון יד ורימון הלם</w:t>
      </w:r>
      <w:r>
        <w:rPr>
          <w:rFonts w:hint="cs"/>
          <w:rtl/>
        </w:rPr>
        <w:t>.</w:t>
      </w:r>
      <w:r>
        <w:rPr>
          <w:rtl/>
        </w:rPr>
        <w:t xml:space="preserve"> הושתו עליו 8 חודשי מאסר שהופחתו במסגרת הערעור ל- 6 חודשי מאסר </w:t>
      </w:r>
      <w:r>
        <w:rPr>
          <w:rFonts w:hint="cs"/>
          <w:rtl/>
        </w:rPr>
        <w:t xml:space="preserve">לריצוי </w:t>
      </w:r>
      <w:r>
        <w:rPr>
          <w:rtl/>
        </w:rPr>
        <w:t xml:space="preserve">בעבודות שירות. </w:t>
      </w:r>
    </w:p>
    <w:p w14:paraId="4168679A" w14:textId="77777777" w:rsidR="00CF29E2" w:rsidRDefault="00CF29E2" w:rsidP="00CF29E2">
      <w:pPr>
        <w:pStyle w:val="ListParagraph"/>
        <w:spacing w:line="360" w:lineRule="auto"/>
        <w:jc w:val="both"/>
        <w:rPr>
          <w:rtl/>
        </w:rPr>
      </w:pPr>
      <w:r>
        <w:rPr>
          <w:rtl/>
        </w:rPr>
        <w:t>ב</w:t>
      </w:r>
      <w:hyperlink r:id="rId38" w:history="1">
        <w:r w:rsidR="0007748E" w:rsidRPr="0007748E">
          <w:rPr>
            <w:color w:val="0000FF"/>
            <w:u w:val="single"/>
            <w:rtl/>
          </w:rPr>
          <w:t>ע"פ 2044/11</w:t>
        </w:r>
      </w:hyperlink>
      <w:r>
        <w:rPr>
          <w:rtl/>
        </w:rPr>
        <w:t xml:space="preserve"> </w:t>
      </w:r>
      <w:r w:rsidRPr="001B517C">
        <w:rPr>
          <w:b/>
          <w:bCs/>
          <w:rtl/>
        </w:rPr>
        <w:t>מדינת ישראל נ' גנאדי בלוצרקובסקי</w:t>
      </w:r>
      <w:r>
        <w:rPr>
          <w:rtl/>
        </w:rPr>
        <w:t xml:space="preserve"> (7.7.2011) – השית בית המשפט העליון 7 חודשי מאסר בפועל על נאשם שהורשע בהחזקה ונשיאת 2 אקדחים, מחסניות ותחמושת כאשר הוא הוביל אותם מחיפה לביתו והטמין אותם בארון הבגדים בחדר השינה. שירות המבחן המליץ להסתפק בענישה מותנית ושל"צ. הערכאה הדיונית הטילה 6 חודשי מאסר שירוצו בעבודות שירות. </w:t>
      </w:r>
    </w:p>
    <w:p w14:paraId="5D5B5A82" w14:textId="77777777" w:rsidR="00CF29E2" w:rsidRDefault="00CF29E2" w:rsidP="00CF29E2">
      <w:pPr>
        <w:pStyle w:val="ListParagraph"/>
        <w:spacing w:line="360" w:lineRule="auto"/>
        <w:jc w:val="both"/>
        <w:rPr>
          <w:rtl/>
        </w:rPr>
      </w:pPr>
      <w:r>
        <w:rPr>
          <w:rtl/>
        </w:rPr>
        <w:t>ב</w:t>
      </w:r>
      <w:hyperlink r:id="rId39" w:history="1">
        <w:r w:rsidR="0007748E" w:rsidRPr="0007748E">
          <w:rPr>
            <w:color w:val="0000FF"/>
            <w:u w:val="single"/>
            <w:rtl/>
          </w:rPr>
          <w:t>ת"פ 45597-05-15</w:t>
        </w:r>
      </w:hyperlink>
      <w:r>
        <w:rPr>
          <w:rtl/>
        </w:rPr>
        <w:t xml:space="preserve"> </w:t>
      </w:r>
      <w:r w:rsidRPr="001B517C">
        <w:rPr>
          <w:b/>
          <w:bCs/>
          <w:rtl/>
        </w:rPr>
        <w:t>מדינת ישראל נ' שיח עבד עבדאללה</w:t>
      </w:r>
      <w:r>
        <w:rPr>
          <w:rtl/>
        </w:rPr>
        <w:t xml:space="preserve"> (1.9.2016) – החזיק הנאשם ברכבו תת-מקלע עם מחסנית, כדורים ועוד מחסנית ריקה עם קופסה בה 24 כדורים. הוא הכניסם לרכבו והחל בנסיעה עד שנעצר. שירות המבחן המליץ על צו מבחן לצד עבודות שירות. הושתו עליו 5 חודשי עבודות שירות. </w:t>
      </w:r>
    </w:p>
    <w:p w14:paraId="14AC05B8" w14:textId="77777777" w:rsidR="00CF29E2" w:rsidRDefault="00CF29E2" w:rsidP="00CF29E2">
      <w:pPr>
        <w:pStyle w:val="ListParagraph"/>
        <w:spacing w:line="360" w:lineRule="auto"/>
        <w:jc w:val="both"/>
        <w:rPr>
          <w:rtl/>
        </w:rPr>
      </w:pPr>
      <w:r>
        <w:rPr>
          <w:rtl/>
        </w:rPr>
        <w:t>ב</w:t>
      </w:r>
      <w:hyperlink r:id="rId40" w:history="1">
        <w:r w:rsidR="0007748E" w:rsidRPr="0007748E">
          <w:rPr>
            <w:color w:val="0000FF"/>
            <w:u w:val="single"/>
            <w:rtl/>
          </w:rPr>
          <w:t>ת"פ 3622-10-13</w:t>
        </w:r>
      </w:hyperlink>
      <w:r>
        <w:rPr>
          <w:rtl/>
        </w:rPr>
        <w:t xml:space="preserve"> </w:t>
      </w:r>
      <w:r w:rsidRPr="001B517C">
        <w:rPr>
          <w:b/>
          <w:bCs/>
          <w:rtl/>
        </w:rPr>
        <w:t>מדינת ישראל נ' מוחמד עמאש</w:t>
      </w:r>
      <w:r>
        <w:rPr>
          <w:rtl/>
        </w:rPr>
        <w:t xml:space="preserve"> (5.5.2015) – הנאשם החזיק תת מקלע. שירות המבחן המליץ על צו מבחן לצד עבודות שירות. בית המשפט קבע כי קיים סיכוי ממשי לשיקום והושתו 4 חודשי עבודות שירות וצו מבחן. </w:t>
      </w:r>
    </w:p>
    <w:p w14:paraId="26642B2D" w14:textId="77777777" w:rsidR="00CF29E2" w:rsidRDefault="00CF29E2" w:rsidP="00CF29E2">
      <w:pPr>
        <w:spacing w:line="360" w:lineRule="auto"/>
        <w:jc w:val="both"/>
        <w:rPr>
          <w:rtl/>
        </w:rPr>
      </w:pPr>
    </w:p>
    <w:p w14:paraId="6BD93430" w14:textId="77777777" w:rsidR="00CF29E2" w:rsidRDefault="00CF29E2" w:rsidP="00CF29E2">
      <w:pPr>
        <w:pStyle w:val="ListParagraph"/>
        <w:numPr>
          <w:ilvl w:val="0"/>
          <w:numId w:val="1"/>
        </w:numPr>
        <w:spacing w:line="360" w:lineRule="auto"/>
        <w:jc w:val="both"/>
        <w:rPr>
          <w:rtl/>
        </w:rPr>
      </w:pPr>
      <w:r>
        <w:rPr>
          <w:rtl/>
        </w:rPr>
        <w:t>הסניגור הביע מוכנות מצד הנאשם לפצות את בעלי הרכבים שנפגעו וביקש להמנע מהטלת קנס. התבקש בנוסף שככל שתוטל פסילת רישיון</w:t>
      </w:r>
      <w:r>
        <w:rPr>
          <w:rFonts w:hint="cs"/>
          <w:rtl/>
        </w:rPr>
        <w:t>,</w:t>
      </w:r>
      <w:r>
        <w:rPr>
          <w:rtl/>
        </w:rPr>
        <w:t xml:space="preserve"> התקופה תהיה מ</w:t>
      </w:r>
      <w:r>
        <w:rPr>
          <w:rFonts w:hint="cs"/>
          <w:rtl/>
        </w:rPr>
        <w:t>י</w:t>
      </w:r>
      <w:r>
        <w:rPr>
          <w:rtl/>
        </w:rPr>
        <w:t xml:space="preserve">דתית. </w:t>
      </w:r>
    </w:p>
    <w:p w14:paraId="06B40349" w14:textId="77777777" w:rsidR="00CF29E2" w:rsidRDefault="00CF29E2" w:rsidP="00CF29E2">
      <w:pPr>
        <w:spacing w:line="360" w:lineRule="auto"/>
        <w:jc w:val="both"/>
        <w:rPr>
          <w:rtl/>
        </w:rPr>
      </w:pPr>
    </w:p>
    <w:p w14:paraId="42EEC616" w14:textId="77777777" w:rsidR="00CF29E2" w:rsidRDefault="00CF29E2" w:rsidP="00CF29E2">
      <w:pPr>
        <w:pStyle w:val="ListParagraph"/>
        <w:numPr>
          <w:ilvl w:val="0"/>
          <w:numId w:val="1"/>
        </w:numPr>
        <w:spacing w:line="360" w:lineRule="auto"/>
        <w:jc w:val="both"/>
        <w:rPr>
          <w:rtl/>
        </w:rPr>
      </w:pPr>
      <w:r>
        <w:rPr>
          <w:rtl/>
        </w:rPr>
        <w:t xml:space="preserve">הנאשם בדבריו אמר שהוא יודע שטעה והביע צער על מעשיו וטען שחוויית המעצר היתה מרתיעה עבורו. </w:t>
      </w:r>
    </w:p>
    <w:p w14:paraId="5D32072B" w14:textId="77777777" w:rsidR="00CF29E2" w:rsidRDefault="00CF29E2" w:rsidP="00CF29E2">
      <w:pPr>
        <w:spacing w:line="360" w:lineRule="auto"/>
        <w:jc w:val="both"/>
        <w:rPr>
          <w:rtl/>
        </w:rPr>
      </w:pPr>
    </w:p>
    <w:p w14:paraId="6349D9E8" w14:textId="77777777" w:rsidR="00CF29E2" w:rsidRDefault="00CF29E2" w:rsidP="00CF29E2">
      <w:pPr>
        <w:pStyle w:val="ListParagraph"/>
        <w:spacing w:line="360" w:lineRule="auto"/>
        <w:ind w:left="360"/>
        <w:jc w:val="both"/>
        <w:rPr>
          <w:rtl/>
        </w:rPr>
      </w:pPr>
      <w:r w:rsidRPr="001B517C">
        <w:rPr>
          <w:b/>
          <w:bCs/>
          <w:u w:val="single"/>
          <w:rtl/>
        </w:rPr>
        <w:t>דיון</w:t>
      </w:r>
    </w:p>
    <w:p w14:paraId="23397898" w14:textId="77777777" w:rsidR="00CF29E2" w:rsidRDefault="00CF29E2" w:rsidP="00CF29E2">
      <w:pPr>
        <w:spacing w:line="360" w:lineRule="auto"/>
        <w:jc w:val="both"/>
        <w:rPr>
          <w:rtl/>
        </w:rPr>
      </w:pPr>
    </w:p>
    <w:p w14:paraId="6ED4147E" w14:textId="77777777" w:rsidR="00CF29E2" w:rsidRDefault="00CF29E2" w:rsidP="00CF29E2">
      <w:pPr>
        <w:pStyle w:val="ListParagraph"/>
        <w:numPr>
          <w:ilvl w:val="0"/>
          <w:numId w:val="1"/>
        </w:numPr>
        <w:spacing w:line="360" w:lineRule="auto"/>
        <w:jc w:val="both"/>
        <w:rPr>
          <w:rtl/>
        </w:rPr>
      </w:pPr>
      <w:r>
        <w:rPr>
          <w:rtl/>
        </w:rPr>
        <w:t>במקרה זה קיים קשר הדוק בין העבירות ומדובר הלכה למעשה ברצף מעשים אחד מתמשך ועל כן יש להגדירו כאירוע אחד. הערכים החברתיים שנפגעו היו: שמירה על שלום הציבור ובטחונו ושמירה על הקניין.</w:t>
      </w:r>
    </w:p>
    <w:p w14:paraId="5923053B" w14:textId="77777777" w:rsidR="00CF29E2" w:rsidRDefault="00CF29E2" w:rsidP="00CF29E2">
      <w:pPr>
        <w:spacing w:line="360" w:lineRule="auto"/>
        <w:jc w:val="both"/>
        <w:rPr>
          <w:rtl/>
        </w:rPr>
      </w:pPr>
    </w:p>
    <w:p w14:paraId="2F8C9229" w14:textId="77777777" w:rsidR="00CF29E2" w:rsidRDefault="00CF29E2" w:rsidP="00CF29E2">
      <w:pPr>
        <w:pStyle w:val="ListParagraph"/>
        <w:numPr>
          <w:ilvl w:val="0"/>
          <w:numId w:val="1"/>
        </w:numPr>
        <w:spacing w:line="360" w:lineRule="auto"/>
        <w:jc w:val="both"/>
        <w:rPr>
          <w:rtl/>
        </w:rPr>
      </w:pPr>
      <w:r>
        <w:rPr>
          <w:rtl/>
        </w:rPr>
        <w:t xml:space="preserve">מבחינת נסיבות הקשורות בביצוע העבירה, מעבר לתכנון הכרוך ברכישת מכונית והשגת נשק, אין מדובר בעבירות שביחס אליהן בוצע תכנון מוקדם משמעותי. לעומת זאת, חלקו היחסי של הנאשם היה מוחלט. כתוצאה מעבירות התעבורה נגרמו נזקים לרכבים אחרים. הסיבות שהביאו את הנאשם לביצוע העבירות היו כמובן פסולות. הנאשם אף היה צריך להבין את הפסול במעשיו. </w:t>
      </w:r>
    </w:p>
    <w:p w14:paraId="3ECFEDAF" w14:textId="77777777" w:rsidR="00CF29E2" w:rsidRDefault="00CF29E2" w:rsidP="00CF29E2">
      <w:pPr>
        <w:spacing w:line="360" w:lineRule="auto"/>
        <w:jc w:val="both"/>
        <w:rPr>
          <w:rtl/>
        </w:rPr>
      </w:pPr>
    </w:p>
    <w:p w14:paraId="49DE34A8" w14:textId="77777777" w:rsidR="00CF29E2" w:rsidRDefault="00CF29E2" w:rsidP="00CF29E2">
      <w:pPr>
        <w:pStyle w:val="ListParagraph"/>
        <w:numPr>
          <w:ilvl w:val="0"/>
          <w:numId w:val="1"/>
        </w:numPr>
        <w:spacing w:line="360" w:lineRule="auto"/>
        <w:jc w:val="both"/>
        <w:rPr>
          <w:rtl/>
        </w:rPr>
      </w:pPr>
      <w:r>
        <w:rPr>
          <w:rtl/>
        </w:rPr>
        <w:t xml:space="preserve">על  בסיס כל האמור לעיל והפסיקה שהובאה על ידי הצדדים הנני קובע שמתחם הענישה נמצא בין 10 חודשי מאסר בפועל עד שלוש שנות מאסר בנסיבות המקרה. </w:t>
      </w:r>
    </w:p>
    <w:p w14:paraId="6C96E1F4" w14:textId="77777777" w:rsidR="00CF29E2" w:rsidRDefault="00CF29E2" w:rsidP="00CF29E2">
      <w:pPr>
        <w:spacing w:line="360" w:lineRule="auto"/>
        <w:jc w:val="both"/>
        <w:rPr>
          <w:rtl/>
        </w:rPr>
      </w:pPr>
    </w:p>
    <w:p w14:paraId="73672E12" w14:textId="77777777" w:rsidR="00CF29E2" w:rsidRDefault="00CF29E2" w:rsidP="00CF29E2">
      <w:pPr>
        <w:pStyle w:val="ListParagraph"/>
        <w:numPr>
          <w:ilvl w:val="0"/>
          <w:numId w:val="1"/>
        </w:numPr>
        <w:spacing w:line="360" w:lineRule="auto"/>
        <w:jc w:val="both"/>
        <w:rPr>
          <w:rtl/>
        </w:rPr>
      </w:pPr>
      <w:r>
        <w:rPr>
          <w:rtl/>
        </w:rPr>
        <w:t>במקרה זה יושם לב כי כפי שטען הסניגור, עבירת נשיאת הנשק התרחשה כתוצאה מבריחה ולא במה שהיה ניתן לכנות נשיאה רגילה ובפועל המצב היה דומה לעבירת החזקה בלבד. עם זאת, אין להתעלם מהעובדה כי הנאשם היה מוכן לשאת את הנשק על מנת להבריח אותו מגילוי בחיפוש.</w:t>
      </w:r>
    </w:p>
    <w:p w14:paraId="585F600C" w14:textId="77777777" w:rsidR="00CF29E2" w:rsidRDefault="00CF29E2" w:rsidP="00CF29E2">
      <w:pPr>
        <w:spacing w:line="360" w:lineRule="auto"/>
        <w:jc w:val="both"/>
        <w:rPr>
          <w:rtl/>
        </w:rPr>
      </w:pPr>
    </w:p>
    <w:p w14:paraId="5DF4A1C5" w14:textId="77777777" w:rsidR="00CF29E2" w:rsidRDefault="00CF29E2" w:rsidP="00CF29E2">
      <w:pPr>
        <w:pStyle w:val="ListParagraph"/>
        <w:numPr>
          <w:ilvl w:val="0"/>
          <w:numId w:val="1"/>
        </w:numPr>
        <w:spacing w:line="360" w:lineRule="auto"/>
        <w:jc w:val="both"/>
        <w:rPr>
          <w:rtl/>
        </w:rPr>
      </w:pPr>
      <w:r>
        <w:rPr>
          <w:rtl/>
        </w:rPr>
        <w:t>באשר לשיקולים לקביעת העונש בתוך המתחם, לחומרה, יצויין שעבירות התעבורה הקודמות לא מנעו מן הנאשם מלחזור ולבצע עבירות בתחום זה. לקולא, תצויין העובדה שהנאשם הודה ולא ניהל את ההליך ו</w:t>
      </w:r>
      <w:r>
        <w:rPr>
          <w:rFonts w:hint="cs"/>
          <w:rtl/>
        </w:rPr>
        <w:t xml:space="preserve">בכך </w:t>
      </w:r>
      <w:r>
        <w:rPr>
          <w:rtl/>
        </w:rPr>
        <w:t xml:space="preserve">קיבל אחריות על מעשיו. בנוסף, יש לקחת בחשבון במידה מסויימת שמדובר באדם צעיר שטרם גיבש את אישיותו הבוגרת. כמו כן, הישיבה במעצר פוגעת במשפחתו של הנאשם שהוא מסייע בפרנסתה ולכך יש עוד להוסיף שהנאשם נמצא מזה חודשים ארוכים בתנאים של מעצר שכידוע קשים יותר מאשר תנאי מאסר. </w:t>
      </w:r>
    </w:p>
    <w:p w14:paraId="0CEEF49C" w14:textId="77777777" w:rsidR="00CF29E2" w:rsidRDefault="00CF29E2" w:rsidP="00CF29E2">
      <w:pPr>
        <w:spacing w:line="360" w:lineRule="auto"/>
        <w:jc w:val="both"/>
        <w:rPr>
          <w:rtl/>
        </w:rPr>
      </w:pPr>
    </w:p>
    <w:p w14:paraId="462AC9AE" w14:textId="77777777" w:rsidR="00CF29E2" w:rsidRDefault="00CF29E2" w:rsidP="00CF29E2">
      <w:pPr>
        <w:pStyle w:val="ListParagraph"/>
        <w:numPr>
          <w:ilvl w:val="0"/>
          <w:numId w:val="1"/>
        </w:numPr>
        <w:spacing w:line="360" w:lineRule="auto"/>
        <w:jc w:val="both"/>
        <w:rPr>
          <w:rtl/>
        </w:rPr>
      </w:pPr>
      <w:r>
        <w:rPr>
          <w:rtl/>
        </w:rPr>
        <w:t xml:space="preserve">מכל האמור, הגעתי למסקנה שיש להטיל על הנאשם עונשים כדלקמן: </w:t>
      </w:r>
    </w:p>
    <w:p w14:paraId="7287FD36" w14:textId="77777777" w:rsidR="00CF29E2" w:rsidRDefault="00CF29E2" w:rsidP="00CF29E2">
      <w:pPr>
        <w:pStyle w:val="ListParagraph"/>
        <w:numPr>
          <w:ilvl w:val="0"/>
          <w:numId w:val="2"/>
        </w:numPr>
        <w:spacing w:line="360" w:lineRule="auto"/>
        <w:jc w:val="both"/>
        <w:rPr>
          <w:rtl/>
        </w:rPr>
      </w:pPr>
      <w:r>
        <w:rPr>
          <w:rtl/>
        </w:rPr>
        <w:t xml:space="preserve">12 חודשי מאסר בפועל שמהם תנוכה תקופת מעצרו החל מיום  27.4.16 ועד היום. </w:t>
      </w:r>
    </w:p>
    <w:p w14:paraId="6609FB1F" w14:textId="77777777" w:rsidR="00CF29E2" w:rsidRDefault="00CF29E2" w:rsidP="00CF29E2">
      <w:pPr>
        <w:pStyle w:val="ListParagraph"/>
        <w:numPr>
          <w:ilvl w:val="0"/>
          <w:numId w:val="2"/>
        </w:numPr>
        <w:spacing w:line="360" w:lineRule="auto"/>
        <w:jc w:val="both"/>
        <w:rPr>
          <w:rtl/>
        </w:rPr>
      </w:pPr>
      <w:r>
        <w:rPr>
          <w:rtl/>
        </w:rPr>
        <w:t xml:space="preserve">12 חודשי מאסר על תנאי למשך 3 שנים מיום שחרורו. התנאי יחול במידה והנאשם יעבור עבירות נשק. </w:t>
      </w:r>
    </w:p>
    <w:p w14:paraId="27F3D3DE" w14:textId="77777777" w:rsidR="00CF29E2" w:rsidRPr="008A423F" w:rsidRDefault="00CF29E2" w:rsidP="00CF29E2">
      <w:pPr>
        <w:pStyle w:val="ListParagraph"/>
        <w:numPr>
          <w:ilvl w:val="0"/>
          <w:numId w:val="2"/>
        </w:numPr>
        <w:spacing w:line="360" w:lineRule="auto"/>
        <w:jc w:val="both"/>
      </w:pPr>
      <w:r>
        <w:rPr>
          <w:rtl/>
        </w:rPr>
        <w:t>פיצוי בסך 4,416 ₪ לבעל רכב השברולט</w:t>
      </w:r>
      <w:r>
        <w:rPr>
          <w:rFonts w:hint="cs"/>
          <w:rtl/>
        </w:rPr>
        <w:t xml:space="preserve"> ובנוסף</w:t>
      </w:r>
      <w:r>
        <w:rPr>
          <w:rtl/>
        </w:rPr>
        <w:t xml:space="preserve"> פיצוי בסך 1,500 ₪ לבעל רכב הניסאן</w:t>
      </w:r>
      <w:r>
        <w:rPr>
          <w:rFonts w:hint="cs"/>
          <w:rtl/>
        </w:rPr>
        <w:t xml:space="preserve">, שניהם לתשלום עד ליום 31.12.16. </w:t>
      </w:r>
    </w:p>
    <w:p w14:paraId="5013ABF0" w14:textId="77777777" w:rsidR="00CF29E2" w:rsidRDefault="00CF29E2" w:rsidP="00CF29E2">
      <w:pPr>
        <w:spacing w:line="360" w:lineRule="auto"/>
        <w:ind w:left="720"/>
        <w:jc w:val="both"/>
        <w:rPr>
          <w:rtl/>
        </w:rPr>
      </w:pPr>
      <w:r>
        <w:rPr>
          <w:rFonts w:hint="cs"/>
          <w:rtl/>
        </w:rPr>
        <w:t xml:space="preserve">ד. </w:t>
      </w:r>
      <w:r>
        <w:rPr>
          <w:rFonts w:hint="cs"/>
          <w:rtl/>
        </w:rPr>
        <w:tab/>
        <w:t xml:space="preserve">בנוסף יחולט האמל"ח שנתפס בידי המשטרה. </w:t>
      </w:r>
    </w:p>
    <w:p w14:paraId="1DB7EA2F" w14:textId="77777777" w:rsidR="00CF29E2" w:rsidRPr="009C33A8" w:rsidRDefault="00CF29E2" w:rsidP="00CF29E2">
      <w:pPr>
        <w:spacing w:line="360" w:lineRule="auto"/>
        <w:jc w:val="both"/>
        <w:rPr>
          <w:rtl/>
        </w:rPr>
      </w:pPr>
    </w:p>
    <w:p w14:paraId="339FD84E" w14:textId="77777777" w:rsidR="00CF29E2" w:rsidRPr="00B05847" w:rsidRDefault="00CF29E2" w:rsidP="00CF29E2">
      <w:pPr>
        <w:spacing w:line="360" w:lineRule="auto"/>
        <w:jc w:val="both"/>
        <w:rPr>
          <w:rtl/>
        </w:rPr>
      </w:pPr>
      <w:r>
        <w:rPr>
          <w:rFonts w:hint="cs"/>
          <w:b/>
          <w:bCs/>
          <w:u w:val="single"/>
          <w:rtl/>
        </w:rPr>
        <w:t xml:space="preserve">זכות ערעור לבית המשפט העליון תוך 45 יום. </w:t>
      </w:r>
    </w:p>
    <w:p w14:paraId="1639E9E7" w14:textId="77777777" w:rsidR="00CF29E2" w:rsidRPr="00B05847" w:rsidRDefault="00CF29E2" w:rsidP="00CF29E2">
      <w:pPr>
        <w:rPr>
          <w:rtl/>
        </w:rPr>
      </w:pPr>
    </w:p>
    <w:p w14:paraId="46CEF3EC" w14:textId="77777777" w:rsidR="00CF29E2" w:rsidRDefault="0007748E" w:rsidP="00CF29E2">
      <w:pPr>
        <w:jc w:val="center"/>
        <w:rPr>
          <w:rtl/>
        </w:rPr>
      </w:pPr>
      <w:r>
        <w:rPr>
          <w:rFonts w:ascii="Arial" w:hAnsi="Arial"/>
          <w:rtl/>
        </w:rPr>
        <w:t xml:space="preserve">ניתן היום,  כ"ז חשוון תשע"ז, 28 נובמבר 2016, בנוכחות הצדדים. </w:t>
      </w:r>
    </w:p>
    <w:p w14:paraId="0C7076A2" w14:textId="77777777" w:rsidR="00CF29E2" w:rsidRPr="0007748E" w:rsidRDefault="0007748E" w:rsidP="00CF29E2">
      <w:pPr>
        <w:spacing w:line="360" w:lineRule="auto"/>
        <w:jc w:val="both"/>
        <w:rPr>
          <w:rFonts w:ascii="Arial" w:hAnsi="Arial"/>
          <w:color w:val="FFFFFF"/>
          <w:sz w:val="2"/>
          <w:szCs w:val="2"/>
          <w:rtl/>
        </w:rPr>
      </w:pPr>
      <w:r w:rsidRPr="0007748E">
        <w:rPr>
          <w:rFonts w:ascii="Arial" w:hAnsi="Arial"/>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F29E2" w14:paraId="50D256FA" w14:textId="77777777">
        <w:trPr>
          <w:trHeight w:val="316"/>
          <w:jc w:val="right"/>
        </w:trPr>
        <w:tc>
          <w:tcPr>
            <w:tcW w:w="3936" w:type="dxa"/>
            <w:shd w:val="clear" w:color="auto" w:fill="auto"/>
          </w:tcPr>
          <w:p w14:paraId="5183ECC8" w14:textId="77777777" w:rsidR="00CF29E2" w:rsidRPr="0007748E" w:rsidRDefault="0007748E" w:rsidP="0007748E">
            <w:pPr>
              <w:jc w:val="center"/>
              <w:rPr>
                <w:color w:val="FFFFFF"/>
                <w:sz w:val="2"/>
                <w:szCs w:val="2"/>
              </w:rPr>
            </w:pPr>
            <w:r w:rsidRPr="0007748E">
              <w:rPr>
                <w:color w:val="FFFFFF"/>
                <w:sz w:val="2"/>
                <w:szCs w:val="2"/>
                <w:rtl/>
              </w:rPr>
              <w:t>54678313</w:t>
            </w:r>
          </w:p>
          <w:p w14:paraId="4D1F9CE2" w14:textId="77777777" w:rsidR="00CF29E2" w:rsidRDefault="00CF29E2" w:rsidP="0007748E">
            <w:pPr>
              <w:jc w:val="center"/>
              <w:rPr>
                <w:rtl/>
              </w:rPr>
            </w:pPr>
          </w:p>
        </w:tc>
      </w:tr>
      <w:tr w:rsidR="00CF29E2" w14:paraId="5F076303" w14:textId="77777777">
        <w:trPr>
          <w:trHeight w:val="361"/>
          <w:jc w:val="right"/>
        </w:trPr>
        <w:tc>
          <w:tcPr>
            <w:tcW w:w="3936" w:type="dxa"/>
            <w:shd w:val="clear" w:color="auto" w:fill="auto"/>
          </w:tcPr>
          <w:p w14:paraId="305F9C99" w14:textId="77777777" w:rsidR="00CF29E2" w:rsidRPr="00A30AEB" w:rsidRDefault="00CF29E2" w:rsidP="0007748E">
            <w:pPr>
              <w:jc w:val="center"/>
              <w:rPr>
                <w:b/>
                <w:bCs/>
                <w:rtl/>
              </w:rPr>
            </w:pPr>
            <w:r w:rsidRPr="00A30AEB">
              <w:rPr>
                <w:rFonts w:hint="cs"/>
                <w:b/>
                <w:bCs/>
                <w:rtl/>
              </w:rPr>
              <w:t>דניאל פיש</w:t>
            </w:r>
            <w:r w:rsidRPr="00A30AEB">
              <w:rPr>
                <w:b/>
                <w:bCs/>
                <w:rtl/>
              </w:rPr>
              <w:t xml:space="preserve"> </w:t>
            </w:r>
            <w:r w:rsidRPr="00A30AEB">
              <w:rPr>
                <w:rFonts w:hint="cs"/>
                <w:b/>
                <w:bCs/>
                <w:rtl/>
              </w:rPr>
              <w:t>, שופט</w:t>
            </w:r>
            <w:r w:rsidRPr="00A30AEB">
              <w:rPr>
                <w:b/>
                <w:bCs/>
                <w:rtl/>
              </w:rPr>
              <w:t xml:space="preserve"> </w:t>
            </w:r>
          </w:p>
        </w:tc>
      </w:tr>
    </w:tbl>
    <w:p w14:paraId="396E443B" w14:textId="77777777" w:rsidR="00CF29E2" w:rsidRDefault="00CF29E2" w:rsidP="00CF29E2">
      <w:pPr>
        <w:spacing w:line="360" w:lineRule="auto"/>
        <w:jc w:val="both"/>
        <w:rPr>
          <w:rFonts w:ascii="Arial" w:hAnsi="Arial"/>
          <w:rtl/>
        </w:rPr>
      </w:pPr>
    </w:p>
    <w:p w14:paraId="563C529D" w14:textId="77777777" w:rsidR="0007748E" w:rsidRPr="0007748E" w:rsidRDefault="0007748E" w:rsidP="0007748E">
      <w:pPr>
        <w:keepNext/>
        <w:rPr>
          <w:rFonts w:ascii="David" w:hAnsi="David"/>
          <w:color w:val="000000"/>
          <w:sz w:val="22"/>
          <w:szCs w:val="22"/>
          <w:rtl/>
        </w:rPr>
      </w:pPr>
    </w:p>
    <w:p w14:paraId="633A404D" w14:textId="77777777" w:rsidR="0007748E" w:rsidRPr="0007748E" w:rsidRDefault="0007748E" w:rsidP="0007748E">
      <w:pPr>
        <w:keepNext/>
        <w:rPr>
          <w:rFonts w:ascii="David" w:hAnsi="David"/>
          <w:color w:val="000000"/>
          <w:sz w:val="22"/>
          <w:szCs w:val="22"/>
          <w:rtl/>
        </w:rPr>
      </w:pPr>
      <w:r w:rsidRPr="0007748E">
        <w:rPr>
          <w:rFonts w:ascii="David" w:hAnsi="David"/>
          <w:color w:val="000000"/>
          <w:sz w:val="22"/>
          <w:szCs w:val="22"/>
          <w:rtl/>
        </w:rPr>
        <w:t>דניאל פיש 54678313</w:t>
      </w:r>
    </w:p>
    <w:p w14:paraId="4CC1C00F" w14:textId="77777777" w:rsidR="0007748E" w:rsidRDefault="0007748E" w:rsidP="0007748E">
      <w:r w:rsidRPr="0007748E">
        <w:rPr>
          <w:color w:val="000000"/>
          <w:rtl/>
        </w:rPr>
        <w:t>נוסח מסמך זה כפוף לשינויי ניסוח ועריכה</w:t>
      </w:r>
    </w:p>
    <w:p w14:paraId="3FF1E37B" w14:textId="77777777" w:rsidR="0007748E" w:rsidRDefault="0007748E" w:rsidP="0007748E">
      <w:pPr>
        <w:rPr>
          <w:rtl/>
        </w:rPr>
      </w:pPr>
    </w:p>
    <w:p w14:paraId="3DB0ABF8" w14:textId="77777777" w:rsidR="0007748E" w:rsidRDefault="0007748E" w:rsidP="0007748E">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r w:rsidR="007D658B">
        <w:rPr>
          <w:rFonts w:hint="cs"/>
          <w:color w:val="0000FF"/>
          <w:u w:val="single"/>
          <w:rtl/>
        </w:rPr>
        <w:t xml:space="preserve"> </w:t>
      </w:r>
    </w:p>
    <w:p w14:paraId="3DC20B1B" w14:textId="77777777" w:rsidR="00B35717" w:rsidRPr="0007748E" w:rsidRDefault="00B35717" w:rsidP="0007748E">
      <w:pPr>
        <w:jc w:val="center"/>
        <w:rPr>
          <w:color w:val="0000FF"/>
          <w:u w:val="single"/>
        </w:rPr>
      </w:pPr>
    </w:p>
    <w:sectPr w:rsidR="00B35717" w:rsidRPr="0007748E" w:rsidSect="0007748E">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EF078" w14:textId="77777777" w:rsidR="00247239" w:rsidRDefault="00247239">
      <w:r>
        <w:separator/>
      </w:r>
    </w:p>
  </w:endnote>
  <w:endnote w:type="continuationSeparator" w:id="0">
    <w:p w14:paraId="654DF105" w14:textId="77777777" w:rsidR="00247239" w:rsidRDefault="00247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45EDE" w14:textId="77777777" w:rsidR="00071C7D" w:rsidRDefault="00071C7D" w:rsidP="000774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4483367" w14:textId="77777777" w:rsidR="00071C7D" w:rsidRPr="0007748E" w:rsidRDefault="00071C7D" w:rsidP="0007748E">
    <w:pPr>
      <w:pStyle w:val="a4"/>
      <w:pBdr>
        <w:top w:val="single" w:sz="4" w:space="1" w:color="auto"/>
        <w:between w:val="single" w:sz="4" w:space="0" w:color="auto"/>
      </w:pBdr>
      <w:spacing w:after="60"/>
      <w:jc w:val="center"/>
      <w:rPr>
        <w:rFonts w:ascii="FrankRuehl" w:hAnsi="FrankRuehl" w:cs="FrankRuehl"/>
        <w:color w:val="000000"/>
      </w:rPr>
    </w:pPr>
    <w:r w:rsidRPr="000774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4CF3" w14:textId="77777777" w:rsidR="00071C7D" w:rsidRDefault="00071C7D" w:rsidP="000774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F1D61">
      <w:rPr>
        <w:rFonts w:ascii="FrankRuehl" w:hAnsi="FrankRuehl" w:cs="FrankRuehl"/>
        <w:noProof/>
        <w:rtl/>
      </w:rPr>
      <w:t>1</w:t>
    </w:r>
    <w:r>
      <w:rPr>
        <w:rFonts w:ascii="FrankRuehl" w:hAnsi="FrankRuehl" w:cs="FrankRuehl"/>
        <w:rtl/>
      </w:rPr>
      <w:fldChar w:fldCharType="end"/>
    </w:r>
  </w:p>
  <w:p w14:paraId="5027CBE3" w14:textId="77777777" w:rsidR="00071C7D" w:rsidRPr="0007748E" w:rsidRDefault="00071C7D" w:rsidP="0007748E">
    <w:pPr>
      <w:pStyle w:val="a4"/>
      <w:pBdr>
        <w:top w:val="single" w:sz="4" w:space="1" w:color="auto"/>
        <w:between w:val="single" w:sz="4" w:space="0" w:color="auto"/>
      </w:pBdr>
      <w:spacing w:after="60"/>
      <w:jc w:val="center"/>
      <w:rPr>
        <w:rFonts w:ascii="FrankRuehl" w:hAnsi="FrankRuehl" w:cs="FrankRuehl"/>
        <w:color w:val="000000"/>
      </w:rPr>
    </w:pPr>
    <w:r w:rsidRPr="0007748E">
      <w:rPr>
        <w:rFonts w:ascii="FrankRuehl" w:hAnsi="FrankRuehl" w:cs="FrankRuehl"/>
        <w:color w:val="000000"/>
      </w:rPr>
      <w:pict w14:anchorId="34497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5E44B" w14:textId="77777777" w:rsidR="00247239" w:rsidRDefault="00247239">
      <w:r>
        <w:separator/>
      </w:r>
    </w:p>
  </w:footnote>
  <w:footnote w:type="continuationSeparator" w:id="0">
    <w:p w14:paraId="2975757B" w14:textId="77777777" w:rsidR="00247239" w:rsidRDefault="00247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BEBE9" w14:textId="77777777" w:rsidR="00071C7D" w:rsidRPr="0007748E" w:rsidRDefault="00071C7D" w:rsidP="000774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20367-05-16</w:t>
    </w:r>
    <w:r>
      <w:rPr>
        <w:rFonts w:ascii="David" w:hAnsi="David"/>
        <w:color w:val="000000"/>
        <w:sz w:val="22"/>
        <w:szCs w:val="22"/>
        <w:rtl/>
      </w:rPr>
      <w:tab/>
      <w:t xml:space="preserve"> מדינת ישראל נ' אדם אדעייף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91257" w14:textId="77777777" w:rsidR="00071C7D" w:rsidRPr="0007748E" w:rsidRDefault="00071C7D" w:rsidP="000774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20367-05-16</w:t>
    </w:r>
    <w:r>
      <w:rPr>
        <w:rFonts w:ascii="David" w:hAnsi="David"/>
        <w:color w:val="000000"/>
        <w:sz w:val="22"/>
        <w:szCs w:val="22"/>
        <w:rtl/>
      </w:rPr>
      <w:tab/>
      <w:t xml:space="preserve"> מדינת ישראל נ' אדם אדעייף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92858"/>
    <w:multiLevelType w:val="hybridMultilevel"/>
    <w:tmpl w:val="F79CCD72"/>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201208"/>
    <w:multiLevelType w:val="hybridMultilevel"/>
    <w:tmpl w:val="E2EE50C2"/>
    <w:lvl w:ilvl="0" w:tplc="893E91A2">
      <w:start w:val="1"/>
      <w:numFmt w:val="decimal"/>
      <w:lvlText w:val="%1."/>
      <w:lvlJc w:val="left"/>
      <w:pPr>
        <w:ind w:left="720" w:hanging="360"/>
      </w:pPr>
      <w:rPr>
        <w:rFonts w:cs="David"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186102">
    <w:abstractNumId w:val="1"/>
  </w:num>
  <w:num w:numId="2" w16cid:durableId="110279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29E2"/>
    <w:rsid w:val="00004B4A"/>
    <w:rsid w:val="000258C6"/>
    <w:rsid w:val="00071C7D"/>
    <w:rsid w:val="0007748E"/>
    <w:rsid w:val="00092DB2"/>
    <w:rsid w:val="000B222D"/>
    <w:rsid w:val="000F3716"/>
    <w:rsid w:val="000F776E"/>
    <w:rsid w:val="001163D9"/>
    <w:rsid w:val="00123268"/>
    <w:rsid w:val="0013605C"/>
    <w:rsid w:val="0015154B"/>
    <w:rsid w:val="0017711A"/>
    <w:rsid w:val="00203146"/>
    <w:rsid w:val="00232F5F"/>
    <w:rsid w:val="00247239"/>
    <w:rsid w:val="002474C9"/>
    <w:rsid w:val="002B1389"/>
    <w:rsid w:val="002D2C1C"/>
    <w:rsid w:val="002E4BA2"/>
    <w:rsid w:val="002F1D61"/>
    <w:rsid w:val="00327617"/>
    <w:rsid w:val="00371D27"/>
    <w:rsid w:val="00374124"/>
    <w:rsid w:val="003C709F"/>
    <w:rsid w:val="003D65D3"/>
    <w:rsid w:val="003E51B4"/>
    <w:rsid w:val="003F02C5"/>
    <w:rsid w:val="004D1A95"/>
    <w:rsid w:val="004D5997"/>
    <w:rsid w:val="004E2A49"/>
    <w:rsid w:val="005129D0"/>
    <w:rsid w:val="00533D5C"/>
    <w:rsid w:val="00551C5E"/>
    <w:rsid w:val="005638FB"/>
    <w:rsid w:val="00582B08"/>
    <w:rsid w:val="005847C1"/>
    <w:rsid w:val="005B4DDE"/>
    <w:rsid w:val="005E305D"/>
    <w:rsid w:val="00671477"/>
    <w:rsid w:val="006D1E81"/>
    <w:rsid w:val="00710346"/>
    <w:rsid w:val="00710EDB"/>
    <w:rsid w:val="007171C2"/>
    <w:rsid w:val="00720984"/>
    <w:rsid w:val="007900C5"/>
    <w:rsid w:val="007A3B68"/>
    <w:rsid w:val="007D10E0"/>
    <w:rsid w:val="007D658B"/>
    <w:rsid w:val="007E62CB"/>
    <w:rsid w:val="008043FC"/>
    <w:rsid w:val="008057C3"/>
    <w:rsid w:val="00860D56"/>
    <w:rsid w:val="00866CE3"/>
    <w:rsid w:val="00875CAA"/>
    <w:rsid w:val="008760F0"/>
    <w:rsid w:val="008B2C82"/>
    <w:rsid w:val="008D4AF6"/>
    <w:rsid w:val="00901DEA"/>
    <w:rsid w:val="00913EC5"/>
    <w:rsid w:val="00946CA3"/>
    <w:rsid w:val="00977730"/>
    <w:rsid w:val="009A4E50"/>
    <w:rsid w:val="009A720E"/>
    <w:rsid w:val="009B4682"/>
    <w:rsid w:val="00A03304"/>
    <w:rsid w:val="00A24369"/>
    <w:rsid w:val="00A472AB"/>
    <w:rsid w:val="00A52B25"/>
    <w:rsid w:val="00A96648"/>
    <w:rsid w:val="00AE1669"/>
    <w:rsid w:val="00AF6273"/>
    <w:rsid w:val="00B07251"/>
    <w:rsid w:val="00B10E9A"/>
    <w:rsid w:val="00B24722"/>
    <w:rsid w:val="00B35717"/>
    <w:rsid w:val="00B47E2E"/>
    <w:rsid w:val="00B6502B"/>
    <w:rsid w:val="00B73086"/>
    <w:rsid w:val="00B922D9"/>
    <w:rsid w:val="00B970C5"/>
    <w:rsid w:val="00BA5B6F"/>
    <w:rsid w:val="00BD5087"/>
    <w:rsid w:val="00BF5C5D"/>
    <w:rsid w:val="00C15335"/>
    <w:rsid w:val="00C22EAD"/>
    <w:rsid w:val="00C25259"/>
    <w:rsid w:val="00C303EF"/>
    <w:rsid w:val="00C66536"/>
    <w:rsid w:val="00C6661F"/>
    <w:rsid w:val="00C9418A"/>
    <w:rsid w:val="00CF29E2"/>
    <w:rsid w:val="00D11A80"/>
    <w:rsid w:val="00D308EF"/>
    <w:rsid w:val="00D357B5"/>
    <w:rsid w:val="00D40041"/>
    <w:rsid w:val="00D56203"/>
    <w:rsid w:val="00D807AC"/>
    <w:rsid w:val="00DD36BA"/>
    <w:rsid w:val="00DE1662"/>
    <w:rsid w:val="00DE6E90"/>
    <w:rsid w:val="00E45CCB"/>
    <w:rsid w:val="00E61C95"/>
    <w:rsid w:val="00EA60CD"/>
    <w:rsid w:val="00EE2A1B"/>
    <w:rsid w:val="00F170EE"/>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65E809"/>
  <w15:chartTrackingRefBased/>
  <w15:docId w15:val="{FE4D0949-DD56-4D84-A03F-80C16E23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29E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F29E2"/>
    <w:pPr>
      <w:tabs>
        <w:tab w:val="center" w:pos="4153"/>
        <w:tab w:val="right" w:pos="8306"/>
      </w:tabs>
    </w:pPr>
  </w:style>
  <w:style w:type="paragraph" w:styleId="a4">
    <w:name w:val="footer"/>
    <w:basedOn w:val="a"/>
    <w:rsid w:val="00CF29E2"/>
    <w:pPr>
      <w:tabs>
        <w:tab w:val="center" w:pos="4153"/>
        <w:tab w:val="right" w:pos="8306"/>
      </w:tabs>
    </w:pPr>
  </w:style>
  <w:style w:type="character" w:styleId="a5">
    <w:name w:val="page number"/>
    <w:basedOn w:val="a0"/>
    <w:rsid w:val="00CF29E2"/>
  </w:style>
  <w:style w:type="paragraph" w:customStyle="1" w:styleId="ListParagraph">
    <w:name w:val="List Paragraph"/>
    <w:basedOn w:val="a"/>
    <w:rsid w:val="00CF29E2"/>
    <w:pPr>
      <w:ind w:left="720"/>
      <w:contextualSpacing/>
    </w:pPr>
  </w:style>
  <w:style w:type="character" w:styleId="Hyperlink">
    <w:name w:val="Hyperlink"/>
    <w:rsid w:val="00077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5227/62.2" TargetMode="External"/><Relationship Id="rId39" Type="http://schemas.openxmlformats.org/officeDocument/2006/relationships/hyperlink" Target="http://www.nevo.co.il/case/20307783" TargetMode="External"/><Relationship Id="rId21" Type="http://schemas.openxmlformats.org/officeDocument/2006/relationships/hyperlink" Target="http://www.nevo.co.il/law/5227" TargetMode="External"/><Relationship Id="rId34" Type="http://schemas.openxmlformats.org/officeDocument/2006/relationships/hyperlink" Target="http://www.nevo.co.il/case/455273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274/305.a" TargetMode="External"/><Relationship Id="rId29" Type="http://schemas.openxmlformats.org/officeDocument/2006/relationships/hyperlink" Target="http://www.nevo.co.il/case/58106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10.a" TargetMode="External"/><Relationship Id="rId24" Type="http://schemas.openxmlformats.org/officeDocument/2006/relationships/hyperlink" Target="http://www.nevo.co.il/law/74274/305.a" TargetMode="External"/><Relationship Id="rId32" Type="http://schemas.openxmlformats.org/officeDocument/2006/relationships/hyperlink" Target="http://www.nevo.co.il/case/6039049" TargetMode="External"/><Relationship Id="rId37" Type="http://schemas.openxmlformats.org/officeDocument/2006/relationships/hyperlink" Target="http://www.nevo.co.il/case/5614477" TargetMode="External"/><Relationship Id="rId40" Type="http://schemas.openxmlformats.org/officeDocument/2006/relationships/hyperlink" Target="http://www.nevo.co.il/case/8253344"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4274" TargetMode="External"/><Relationship Id="rId23" Type="http://schemas.openxmlformats.org/officeDocument/2006/relationships/hyperlink" Target="http://www.nevo.co.il/law/74501" TargetMode="External"/><Relationship Id="rId28" Type="http://schemas.openxmlformats.org/officeDocument/2006/relationships/hyperlink" Target="http://www.nevo.co.il/case/5859902" TargetMode="External"/><Relationship Id="rId36" Type="http://schemas.openxmlformats.org/officeDocument/2006/relationships/hyperlink" Target="http://www.nevo.co.il/case/20817891" TargetMode="External"/><Relationship Id="rId10" Type="http://schemas.openxmlformats.org/officeDocument/2006/relationships/hyperlink" Target="http://www.nevo.co.il/law/5227"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95017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4501/2" TargetMode="External"/><Relationship Id="rId22" Type="http://schemas.openxmlformats.org/officeDocument/2006/relationships/hyperlink" Target="http://www.nevo.co.il/law/74501/2" TargetMode="External"/><Relationship Id="rId27" Type="http://schemas.openxmlformats.org/officeDocument/2006/relationships/hyperlink" Target="http://www.nevo.co.il/case/6104546" TargetMode="External"/><Relationship Id="rId30" Type="http://schemas.openxmlformats.org/officeDocument/2006/relationships/hyperlink" Target="http://www.nevo.co.il/case/5724364" TargetMode="External"/><Relationship Id="rId35" Type="http://schemas.openxmlformats.org/officeDocument/2006/relationships/hyperlink" Target="http://www.nevo.co.il/case/6104546" TargetMode="External"/><Relationship Id="rId43"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5227/62.2"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4274" TargetMode="External"/><Relationship Id="rId33" Type="http://schemas.openxmlformats.org/officeDocument/2006/relationships/hyperlink" Target="http://www.nevo.co.il/case/2755820" TargetMode="External"/><Relationship Id="rId38" Type="http://schemas.openxmlformats.org/officeDocument/2006/relationships/hyperlink" Target="http://www.nevo.co.il/case/5808567" TargetMode="External"/><Relationship Id="rId46" Type="http://schemas.openxmlformats.org/officeDocument/2006/relationships/fontTable" Target="fontTable.xml"/><Relationship Id="rId20" Type="http://schemas.openxmlformats.org/officeDocument/2006/relationships/hyperlink" Target="http://www.nevo.co.il/law/5227/10.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2029</Words>
  <Characters>10147</Characters>
  <Application>Microsoft Office Word</Application>
  <DocSecurity>0</DocSecurity>
  <Lines>84</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12152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3801201</vt:i4>
      </vt:variant>
      <vt:variant>
        <vt:i4>99</vt:i4>
      </vt:variant>
      <vt:variant>
        <vt:i4>0</vt:i4>
      </vt:variant>
      <vt:variant>
        <vt:i4>5</vt:i4>
      </vt:variant>
      <vt:variant>
        <vt:lpwstr>http://www.nevo.co.il/case/8253344</vt:lpwstr>
      </vt:variant>
      <vt:variant>
        <vt:lpwstr/>
      </vt:variant>
      <vt:variant>
        <vt:i4>4063347</vt:i4>
      </vt:variant>
      <vt:variant>
        <vt:i4>96</vt:i4>
      </vt:variant>
      <vt:variant>
        <vt:i4>0</vt:i4>
      </vt:variant>
      <vt:variant>
        <vt:i4>5</vt:i4>
      </vt:variant>
      <vt:variant>
        <vt:lpwstr>http://www.nevo.co.il/case/20307783</vt:lpwstr>
      </vt:variant>
      <vt:variant>
        <vt:lpwstr/>
      </vt:variant>
      <vt:variant>
        <vt:i4>3604594</vt:i4>
      </vt:variant>
      <vt:variant>
        <vt:i4>93</vt:i4>
      </vt:variant>
      <vt:variant>
        <vt:i4>0</vt:i4>
      </vt:variant>
      <vt:variant>
        <vt:i4>5</vt:i4>
      </vt:variant>
      <vt:variant>
        <vt:lpwstr>http://www.nevo.co.il/case/5808567</vt:lpwstr>
      </vt:variant>
      <vt:variant>
        <vt:lpwstr/>
      </vt:variant>
      <vt:variant>
        <vt:i4>3604593</vt:i4>
      </vt:variant>
      <vt:variant>
        <vt:i4>90</vt:i4>
      </vt:variant>
      <vt:variant>
        <vt:i4>0</vt:i4>
      </vt:variant>
      <vt:variant>
        <vt:i4>5</vt:i4>
      </vt:variant>
      <vt:variant>
        <vt:lpwstr>http://www.nevo.co.il/case/5614477</vt:lpwstr>
      </vt:variant>
      <vt:variant>
        <vt:lpwstr/>
      </vt:variant>
      <vt:variant>
        <vt:i4>3407997</vt:i4>
      </vt:variant>
      <vt:variant>
        <vt:i4>87</vt:i4>
      </vt:variant>
      <vt:variant>
        <vt:i4>0</vt:i4>
      </vt:variant>
      <vt:variant>
        <vt:i4>5</vt:i4>
      </vt:variant>
      <vt:variant>
        <vt:lpwstr>http://www.nevo.co.il/case/20817891</vt:lpwstr>
      </vt:variant>
      <vt:variant>
        <vt:lpwstr/>
      </vt:variant>
      <vt:variant>
        <vt:i4>3473525</vt:i4>
      </vt:variant>
      <vt:variant>
        <vt:i4>84</vt:i4>
      </vt:variant>
      <vt:variant>
        <vt:i4>0</vt:i4>
      </vt:variant>
      <vt:variant>
        <vt:i4>5</vt:i4>
      </vt:variant>
      <vt:variant>
        <vt:lpwstr>http://www.nevo.co.il/case/6104546</vt:lpwstr>
      </vt:variant>
      <vt:variant>
        <vt:lpwstr/>
      </vt:variant>
      <vt:variant>
        <vt:i4>4063344</vt:i4>
      </vt:variant>
      <vt:variant>
        <vt:i4>81</vt:i4>
      </vt:variant>
      <vt:variant>
        <vt:i4>0</vt:i4>
      </vt:variant>
      <vt:variant>
        <vt:i4>5</vt:i4>
      </vt:variant>
      <vt:variant>
        <vt:lpwstr>http://www.nevo.co.il/case/4552738</vt:lpwstr>
      </vt:variant>
      <vt:variant>
        <vt:lpwstr/>
      </vt:variant>
      <vt:variant>
        <vt:i4>4128884</vt:i4>
      </vt:variant>
      <vt:variant>
        <vt:i4>78</vt:i4>
      </vt:variant>
      <vt:variant>
        <vt:i4>0</vt:i4>
      </vt:variant>
      <vt:variant>
        <vt:i4>5</vt:i4>
      </vt:variant>
      <vt:variant>
        <vt:lpwstr>http://www.nevo.co.il/case/2755820</vt:lpwstr>
      </vt:variant>
      <vt:variant>
        <vt:lpwstr/>
      </vt:variant>
      <vt:variant>
        <vt:i4>3932281</vt:i4>
      </vt:variant>
      <vt:variant>
        <vt:i4>75</vt:i4>
      </vt:variant>
      <vt:variant>
        <vt:i4>0</vt:i4>
      </vt:variant>
      <vt:variant>
        <vt:i4>5</vt:i4>
      </vt:variant>
      <vt:variant>
        <vt:lpwstr>http://www.nevo.co.il/case/6039049</vt:lpwstr>
      </vt:variant>
      <vt:variant>
        <vt:lpwstr/>
      </vt:variant>
      <vt:variant>
        <vt:i4>3342458</vt:i4>
      </vt:variant>
      <vt:variant>
        <vt:i4>72</vt:i4>
      </vt:variant>
      <vt:variant>
        <vt:i4>0</vt:i4>
      </vt:variant>
      <vt:variant>
        <vt:i4>5</vt:i4>
      </vt:variant>
      <vt:variant>
        <vt:lpwstr>http://www.nevo.co.il/case/5950172</vt:lpwstr>
      </vt:variant>
      <vt:variant>
        <vt:lpwstr/>
      </vt:variant>
      <vt:variant>
        <vt:i4>3145841</vt:i4>
      </vt:variant>
      <vt:variant>
        <vt:i4>69</vt:i4>
      </vt:variant>
      <vt:variant>
        <vt:i4>0</vt:i4>
      </vt:variant>
      <vt:variant>
        <vt:i4>5</vt:i4>
      </vt:variant>
      <vt:variant>
        <vt:lpwstr>http://www.nevo.co.il/case/5724364</vt:lpwstr>
      </vt:variant>
      <vt:variant>
        <vt:lpwstr/>
      </vt:variant>
      <vt:variant>
        <vt:i4>3276922</vt:i4>
      </vt:variant>
      <vt:variant>
        <vt:i4>66</vt:i4>
      </vt:variant>
      <vt:variant>
        <vt:i4>0</vt:i4>
      </vt:variant>
      <vt:variant>
        <vt:i4>5</vt:i4>
      </vt:variant>
      <vt:variant>
        <vt:lpwstr>http://www.nevo.co.il/case/5810660</vt:lpwstr>
      </vt:variant>
      <vt:variant>
        <vt:lpwstr/>
      </vt:variant>
      <vt:variant>
        <vt:i4>3866741</vt:i4>
      </vt:variant>
      <vt:variant>
        <vt:i4>63</vt:i4>
      </vt:variant>
      <vt:variant>
        <vt:i4>0</vt:i4>
      </vt:variant>
      <vt:variant>
        <vt:i4>5</vt:i4>
      </vt:variant>
      <vt:variant>
        <vt:lpwstr>http://www.nevo.co.il/case/5859902</vt:lpwstr>
      </vt:variant>
      <vt:variant>
        <vt:lpwstr/>
      </vt:variant>
      <vt:variant>
        <vt:i4>3473525</vt:i4>
      </vt:variant>
      <vt:variant>
        <vt:i4>60</vt:i4>
      </vt:variant>
      <vt:variant>
        <vt:i4>0</vt:i4>
      </vt:variant>
      <vt:variant>
        <vt:i4>5</vt:i4>
      </vt:variant>
      <vt:variant>
        <vt:lpwstr>http://www.nevo.co.il/case/6104546</vt:lpwstr>
      </vt:variant>
      <vt:variant>
        <vt:lpwstr/>
      </vt:variant>
      <vt:variant>
        <vt:i4>6750330</vt:i4>
      </vt:variant>
      <vt:variant>
        <vt:i4>57</vt:i4>
      </vt:variant>
      <vt:variant>
        <vt:i4>0</vt:i4>
      </vt:variant>
      <vt:variant>
        <vt:i4>5</vt:i4>
      </vt:variant>
      <vt:variant>
        <vt:lpwstr>http://www.nevo.co.il/law/5227/62.2</vt:lpwstr>
      </vt:variant>
      <vt:variant>
        <vt:lpwstr/>
      </vt:variant>
      <vt:variant>
        <vt:i4>7929957</vt:i4>
      </vt:variant>
      <vt:variant>
        <vt:i4>54</vt:i4>
      </vt:variant>
      <vt:variant>
        <vt:i4>0</vt:i4>
      </vt:variant>
      <vt:variant>
        <vt:i4>5</vt:i4>
      </vt:variant>
      <vt:variant>
        <vt:lpwstr>http://www.nevo.co.il/law/74274</vt:lpwstr>
      </vt:variant>
      <vt:variant>
        <vt:lpwstr/>
      </vt:variant>
      <vt:variant>
        <vt:i4>4718679</vt:i4>
      </vt:variant>
      <vt:variant>
        <vt:i4>51</vt:i4>
      </vt:variant>
      <vt:variant>
        <vt:i4>0</vt:i4>
      </vt:variant>
      <vt:variant>
        <vt:i4>5</vt:i4>
      </vt:variant>
      <vt:variant>
        <vt:lpwstr>http://www.nevo.co.il/law/74274/305.a</vt:lpwstr>
      </vt:variant>
      <vt:variant>
        <vt:lpwstr/>
      </vt:variant>
      <vt:variant>
        <vt:i4>8257634</vt:i4>
      </vt:variant>
      <vt:variant>
        <vt:i4>48</vt:i4>
      </vt:variant>
      <vt:variant>
        <vt:i4>0</vt:i4>
      </vt:variant>
      <vt:variant>
        <vt:i4>5</vt:i4>
      </vt:variant>
      <vt:variant>
        <vt:lpwstr>http://www.nevo.co.il/law/74501</vt:lpwstr>
      </vt:variant>
      <vt:variant>
        <vt:lpwstr/>
      </vt:variant>
      <vt:variant>
        <vt:i4>5308499</vt:i4>
      </vt:variant>
      <vt:variant>
        <vt:i4>45</vt:i4>
      </vt:variant>
      <vt:variant>
        <vt:i4>0</vt:i4>
      </vt:variant>
      <vt:variant>
        <vt:i4>5</vt:i4>
      </vt:variant>
      <vt:variant>
        <vt:lpwstr>http://www.nevo.co.il/law/74501/2</vt:lpwstr>
      </vt:variant>
      <vt:variant>
        <vt:lpwstr/>
      </vt:variant>
      <vt:variant>
        <vt:i4>8323175</vt:i4>
      </vt:variant>
      <vt:variant>
        <vt:i4>42</vt:i4>
      </vt:variant>
      <vt:variant>
        <vt:i4>0</vt:i4>
      </vt:variant>
      <vt:variant>
        <vt:i4>5</vt:i4>
      </vt:variant>
      <vt:variant>
        <vt:lpwstr>http://www.nevo.co.il/law/5227</vt:lpwstr>
      </vt:variant>
      <vt:variant>
        <vt:lpwstr/>
      </vt:variant>
      <vt:variant>
        <vt:i4>6291576</vt:i4>
      </vt:variant>
      <vt:variant>
        <vt:i4>39</vt:i4>
      </vt:variant>
      <vt:variant>
        <vt:i4>0</vt:i4>
      </vt:variant>
      <vt:variant>
        <vt:i4>5</vt:i4>
      </vt:variant>
      <vt:variant>
        <vt:lpwstr>http://www.nevo.co.il/law/5227/10.a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4718679</vt:i4>
      </vt:variant>
      <vt:variant>
        <vt:i4>27</vt:i4>
      </vt:variant>
      <vt:variant>
        <vt:i4>0</vt:i4>
      </vt:variant>
      <vt:variant>
        <vt:i4>5</vt:i4>
      </vt:variant>
      <vt:variant>
        <vt:lpwstr>http://www.nevo.co.il/law/74274/305.a</vt:lpwstr>
      </vt:variant>
      <vt:variant>
        <vt:lpwstr/>
      </vt:variant>
      <vt:variant>
        <vt:i4>7929957</vt:i4>
      </vt:variant>
      <vt:variant>
        <vt:i4>24</vt:i4>
      </vt:variant>
      <vt:variant>
        <vt:i4>0</vt:i4>
      </vt:variant>
      <vt:variant>
        <vt:i4>5</vt:i4>
      </vt:variant>
      <vt:variant>
        <vt:lpwstr>http://www.nevo.co.il/law/74274</vt:lpwstr>
      </vt:variant>
      <vt:variant>
        <vt:lpwstr/>
      </vt:variant>
      <vt:variant>
        <vt:i4>5308499</vt:i4>
      </vt:variant>
      <vt:variant>
        <vt:i4>21</vt:i4>
      </vt:variant>
      <vt:variant>
        <vt:i4>0</vt:i4>
      </vt:variant>
      <vt:variant>
        <vt:i4>5</vt:i4>
      </vt:variant>
      <vt:variant>
        <vt:lpwstr>http://www.nevo.co.il/law/74501/2</vt:lpwstr>
      </vt:variant>
      <vt:variant>
        <vt:lpwstr/>
      </vt:variant>
      <vt:variant>
        <vt:i4>8257634</vt:i4>
      </vt:variant>
      <vt:variant>
        <vt:i4>18</vt:i4>
      </vt:variant>
      <vt:variant>
        <vt:i4>0</vt:i4>
      </vt:variant>
      <vt:variant>
        <vt:i4>5</vt:i4>
      </vt:variant>
      <vt:variant>
        <vt:lpwstr>http://www.nevo.co.il/law/74501</vt:lpwstr>
      </vt:variant>
      <vt:variant>
        <vt:lpwstr/>
      </vt:variant>
      <vt:variant>
        <vt:i4>6750330</vt:i4>
      </vt:variant>
      <vt:variant>
        <vt:i4>15</vt:i4>
      </vt:variant>
      <vt:variant>
        <vt:i4>0</vt:i4>
      </vt:variant>
      <vt:variant>
        <vt:i4>5</vt:i4>
      </vt:variant>
      <vt:variant>
        <vt:lpwstr>http://www.nevo.co.il/law/5227/62.2</vt:lpwstr>
      </vt:variant>
      <vt:variant>
        <vt:lpwstr/>
      </vt:variant>
      <vt:variant>
        <vt:i4>6291576</vt:i4>
      </vt:variant>
      <vt:variant>
        <vt:i4>12</vt:i4>
      </vt:variant>
      <vt:variant>
        <vt:i4>0</vt:i4>
      </vt:variant>
      <vt:variant>
        <vt:i4>5</vt:i4>
      </vt:variant>
      <vt:variant>
        <vt:lpwstr>http://www.nevo.co.il/law/5227/10.a</vt:lpwstr>
      </vt:variant>
      <vt:variant>
        <vt:lpwstr/>
      </vt:variant>
      <vt:variant>
        <vt:i4>8323175</vt:i4>
      </vt:variant>
      <vt:variant>
        <vt:i4>9</vt:i4>
      </vt:variant>
      <vt:variant>
        <vt:i4>0</vt:i4>
      </vt:variant>
      <vt:variant>
        <vt:i4>5</vt:i4>
      </vt:variant>
      <vt:variant>
        <vt:lpwstr>http://www.nevo.co.il/law/5227</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2025-01-19T16:09:00Z</dcterms:created>
  <dcterms:modified xsi:type="dcterms:W3CDTF">2025-01-19T16:09:00Z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20367</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אדם אדעייף</vt:lpwstr>
  </property>
  <property fmtid="{D5CDD505-2E9C-101B-9397-08002B2CF9AE}" pid="10" name="LAWYER">
    <vt:lpwstr>ערן בר;עדאל בויראת;אמיר אוליאל</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20161128</vt:lpwstr>
  </property>
  <property fmtid="{D5CDD505-2E9C-101B-9397-08002B2CF9AE}" pid="14" name="TYPE_N_DATE">
    <vt:lpwstr>39020161128</vt:lpwstr>
  </property>
  <property fmtid="{D5CDD505-2E9C-101B-9397-08002B2CF9AE}" pid="15" name="CASESLISTTMP1">
    <vt:lpwstr>6104546:2;5859902;5810660;5724364;5950172;6039049;2755820;4552738;20817891;5614477;5808567;20307783;8253344</vt:lpwstr>
  </property>
  <property fmtid="{D5CDD505-2E9C-101B-9397-08002B2CF9AE}" pid="16" name="WORDNUMPAGES">
    <vt:lpwstr>6</vt:lpwstr>
  </property>
  <property fmtid="{D5CDD505-2E9C-101B-9397-08002B2CF9AE}" pid="17" name="TYPE_ABS_DATE">
    <vt:lpwstr>390020161128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70301/144.a;144.b</vt:lpwstr>
  </property>
  <property fmtid="{D5CDD505-2E9C-101B-9397-08002B2CF9AE}" pid="36" name="LAWLISTTMP2">
    <vt:lpwstr>5227/010.a;062.2</vt:lpwstr>
  </property>
  <property fmtid="{D5CDD505-2E9C-101B-9397-08002B2CF9AE}" pid="37" name="LAWLISTTMP3">
    <vt:lpwstr>74501/002</vt:lpwstr>
  </property>
  <property fmtid="{D5CDD505-2E9C-101B-9397-08002B2CF9AE}" pid="38" name="LAWLISTTMP4">
    <vt:lpwstr>74274/305.a</vt:lpwstr>
  </property>
  <property fmtid="{D5CDD505-2E9C-101B-9397-08002B2CF9AE}" pid="39" name="ISABSTRACT">
    <vt:lpwstr>Y</vt:lpwstr>
  </property>
</Properties>
</file>