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235A10" w:rsidRPr="00235A10" w14:paraId="7CA22219" w14:textId="77777777" w:rsidTr="00434717">
        <w:trPr>
          <w:trHeight w:hRule="exact" w:val="418"/>
          <w:jc w:val="center"/>
        </w:trPr>
        <w:tc>
          <w:tcPr>
            <w:tcW w:w="8721" w:type="dxa"/>
            <w:gridSpan w:val="2"/>
          </w:tcPr>
          <w:p w14:paraId="3FC4D167" w14:textId="77777777" w:rsidR="00235A10" w:rsidRPr="00235A10" w:rsidRDefault="00235A10" w:rsidP="00235A10">
            <w:pPr>
              <w:pStyle w:val="a3"/>
              <w:jc w:val="center"/>
              <w:rPr>
                <w:rFonts w:ascii="Tahoma" w:hAnsi="Tahoma" w:cs="Tahoma"/>
                <w:color w:val="000080"/>
                <w:rtl/>
              </w:rPr>
            </w:pPr>
            <w:r w:rsidRPr="00235A10">
              <w:rPr>
                <w:rFonts w:ascii="Tahoma" w:hAnsi="Tahoma" w:cs="Tahoma"/>
                <w:b/>
                <w:bCs/>
                <w:color w:val="000080"/>
                <w:rtl/>
              </w:rPr>
              <w:t>בית המשפט המחוזי בחיפה</w:t>
            </w:r>
          </w:p>
        </w:tc>
      </w:tr>
      <w:tr w:rsidR="00235A10" w:rsidRPr="00235A10" w14:paraId="351E2415" w14:textId="77777777" w:rsidTr="00434717">
        <w:trPr>
          <w:trHeight w:val="337"/>
          <w:jc w:val="center"/>
        </w:trPr>
        <w:tc>
          <w:tcPr>
            <w:tcW w:w="5057" w:type="dxa"/>
          </w:tcPr>
          <w:p w14:paraId="7303166F" w14:textId="77777777" w:rsidR="00235A10" w:rsidRPr="00235A10" w:rsidRDefault="00235A10" w:rsidP="00235A10">
            <w:pPr>
              <w:rPr>
                <w:rFonts w:cs="FrankRuehl"/>
                <w:sz w:val="28"/>
                <w:szCs w:val="28"/>
                <w:rtl/>
              </w:rPr>
            </w:pPr>
            <w:r w:rsidRPr="00235A10">
              <w:rPr>
                <w:b/>
                <w:bCs/>
                <w:sz w:val="26"/>
                <w:szCs w:val="26"/>
                <w:rtl/>
              </w:rPr>
              <w:t>ת"פ</w:t>
            </w:r>
            <w:r w:rsidRPr="00235A10">
              <w:rPr>
                <w:rFonts w:cs="FrankRuehl"/>
                <w:sz w:val="28"/>
                <w:szCs w:val="28"/>
                <w:rtl/>
              </w:rPr>
              <w:t xml:space="preserve"> </w:t>
            </w:r>
            <w:r w:rsidRPr="00235A10">
              <w:rPr>
                <w:b/>
                <w:bCs/>
                <w:sz w:val="26"/>
                <w:szCs w:val="26"/>
                <w:rtl/>
              </w:rPr>
              <w:t>26087-05-16</w:t>
            </w:r>
            <w:r w:rsidRPr="00235A10">
              <w:rPr>
                <w:rFonts w:cs="FrankRuehl"/>
                <w:sz w:val="28"/>
                <w:szCs w:val="28"/>
                <w:rtl/>
              </w:rPr>
              <w:t xml:space="preserve"> </w:t>
            </w:r>
            <w:r w:rsidRPr="00235A10">
              <w:rPr>
                <w:b/>
                <w:bCs/>
                <w:sz w:val="26"/>
                <w:szCs w:val="26"/>
                <w:rtl/>
              </w:rPr>
              <w:t>מדינת ישראל נ' בסל</w:t>
            </w:r>
            <w:r w:rsidR="007C5220">
              <w:rPr>
                <w:rFonts w:hint="cs"/>
                <w:b/>
                <w:bCs/>
                <w:sz w:val="26"/>
                <w:szCs w:val="26"/>
                <w:rtl/>
              </w:rPr>
              <w:t xml:space="preserve"> </w:t>
            </w:r>
            <w:r w:rsidRPr="00235A10">
              <w:rPr>
                <w:b/>
                <w:bCs/>
                <w:sz w:val="26"/>
                <w:szCs w:val="26"/>
                <w:rtl/>
              </w:rPr>
              <w:t>(עציר)</w:t>
            </w:r>
          </w:p>
          <w:p w14:paraId="58809C2E" w14:textId="77777777" w:rsidR="00235A10" w:rsidRPr="00235A10" w:rsidRDefault="00235A10" w:rsidP="00235A10">
            <w:pPr>
              <w:pStyle w:val="a3"/>
              <w:rPr>
                <w:rFonts w:cs="FrankRuehl"/>
                <w:sz w:val="28"/>
                <w:szCs w:val="28"/>
                <w:rtl/>
              </w:rPr>
            </w:pPr>
          </w:p>
        </w:tc>
        <w:tc>
          <w:tcPr>
            <w:tcW w:w="3664" w:type="dxa"/>
          </w:tcPr>
          <w:p w14:paraId="58F4744A" w14:textId="77777777" w:rsidR="00235A10" w:rsidRPr="00235A10" w:rsidRDefault="00235A10" w:rsidP="00235A10">
            <w:pPr>
              <w:pStyle w:val="a3"/>
              <w:jc w:val="right"/>
              <w:rPr>
                <w:rFonts w:cs="FrankRuehl"/>
                <w:sz w:val="28"/>
                <w:szCs w:val="28"/>
                <w:rtl/>
              </w:rPr>
            </w:pPr>
          </w:p>
        </w:tc>
      </w:tr>
    </w:tbl>
    <w:p w14:paraId="605B145E" w14:textId="77777777" w:rsidR="00235A10" w:rsidRPr="00235A10" w:rsidRDefault="00235A10" w:rsidP="00235A10">
      <w:pPr>
        <w:pStyle w:val="a3"/>
        <w:rPr>
          <w:rtl/>
        </w:rPr>
      </w:pPr>
      <w:r w:rsidRPr="00235A10">
        <w:rPr>
          <w:rtl/>
        </w:rPr>
        <w:t xml:space="preserve"> </w:t>
      </w:r>
    </w:p>
    <w:tbl>
      <w:tblPr>
        <w:bidiVisual/>
        <w:tblW w:w="0" w:type="auto"/>
        <w:jc w:val="center"/>
        <w:tblLook w:val="00A0" w:firstRow="1" w:lastRow="0" w:firstColumn="1" w:lastColumn="0" w:noHBand="0" w:noVBand="0"/>
      </w:tblPr>
      <w:tblGrid>
        <w:gridCol w:w="5856"/>
        <w:gridCol w:w="236"/>
        <w:gridCol w:w="2628"/>
      </w:tblGrid>
      <w:tr w:rsidR="00235A10" w:rsidRPr="00235A10" w14:paraId="0C543DFB" w14:textId="77777777" w:rsidTr="00235A10">
        <w:trPr>
          <w:trHeight w:val="337"/>
          <w:jc w:val="center"/>
        </w:trPr>
        <w:tc>
          <w:tcPr>
            <w:tcW w:w="5856" w:type="dxa"/>
          </w:tcPr>
          <w:p w14:paraId="212932B7" w14:textId="77777777" w:rsidR="00235A10" w:rsidRPr="00235A10" w:rsidRDefault="00235A10" w:rsidP="00235A10">
            <w:pPr>
              <w:spacing w:line="360" w:lineRule="auto"/>
              <w:jc w:val="both"/>
            </w:pPr>
            <w:r w:rsidRPr="00235A10">
              <w:rPr>
                <w:rFonts w:ascii="Arial" w:hAnsi="Arial"/>
                <w:b/>
                <w:bCs/>
                <w:rtl/>
              </w:rPr>
              <w:t xml:space="preserve">בפני כב' השופט רון שפירא, סגן </w:t>
            </w:r>
            <w:r w:rsidRPr="00235A10">
              <w:rPr>
                <w:b/>
                <w:bCs/>
                <w:rtl/>
              </w:rPr>
              <w:t>נשיא</w:t>
            </w:r>
          </w:p>
          <w:p w14:paraId="448B64C8" w14:textId="77777777" w:rsidR="00235A10" w:rsidRPr="00235A10" w:rsidRDefault="00235A10" w:rsidP="00235A10">
            <w:pPr>
              <w:jc w:val="both"/>
              <w:rPr>
                <w:b/>
                <w:bCs/>
                <w:sz w:val="26"/>
                <w:szCs w:val="26"/>
              </w:rPr>
            </w:pPr>
          </w:p>
        </w:tc>
        <w:tc>
          <w:tcPr>
            <w:tcW w:w="236" w:type="dxa"/>
          </w:tcPr>
          <w:p w14:paraId="32A61F61" w14:textId="77777777" w:rsidR="00235A10" w:rsidRPr="00235A10" w:rsidRDefault="00235A10" w:rsidP="00235A10">
            <w:pPr>
              <w:pStyle w:val="a3"/>
              <w:jc w:val="both"/>
              <w:rPr>
                <w:b/>
                <w:bCs/>
                <w:sz w:val="26"/>
                <w:szCs w:val="26"/>
                <w:rtl/>
              </w:rPr>
            </w:pPr>
          </w:p>
        </w:tc>
        <w:tc>
          <w:tcPr>
            <w:tcW w:w="2628" w:type="dxa"/>
          </w:tcPr>
          <w:p w14:paraId="2A0E9419" w14:textId="77777777" w:rsidR="00235A10" w:rsidRPr="00235A10" w:rsidRDefault="00235A10" w:rsidP="00235A10">
            <w:pPr>
              <w:pStyle w:val="a3"/>
              <w:jc w:val="both"/>
              <w:rPr>
                <w:b/>
                <w:bCs/>
                <w:sz w:val="26"/>
                <w:szCs w:val="26"/>
                <w:rtl/>
              </w:rPr>
            </w:pPr>
            <w:r w:rsidRPr="00235A10">
              <w:rPr>
                <w:b/>
                <w:bCs/>
                <w:sz w:val="26"/>
                <w:szCs w:val="26"/>
                <w:rtl/>
              </w:rPr>
              <w:t>26099-05-16</w:t>
            </w:r>
          </w:p>
        </w:tc>
      </w:tr>
    </w:tbl>
    <w:p w14:paraId="16DA70D2" w14:textId="77777777" w:rsidR="009C6F2C" w:rsidRPr="00235A10" w:rsidRDefault="009C6F2C" w:rsidP="00205B11">
      <w:pPr>
        <w:jc w:val="both"/>
        <w:rPr>
          <w:rFonts w:ascii="Arial" w:hAnsi="Arial"/>
          <w:rtl/>
        </w:rPr>
      </w:pPr>
      <w:bookmarkStart w:id="0" w:name="LastJudge"/>
      <w:bookmarkEnd w:id="0"/>
    </w:p>
    <w:tbl>
      <w:tblPr>
        <w:bidiVisual/>
        <w:tblW w:w="8805" w:type="dxa"/>
        <w:tblInd w:w="-28" w:type="dxa"/>
        <w:tblLayout w:type="fixed"/>
        <w:tblLook w:val="01E0" w:firstRow="1" w:lastRow="1" w:firstColumn="1" w:lastColumn="1" w:noHBand="0" w:noVBand="0"/>
      </w:tblPr>
      <w:tblGrid>
        <w:gridCol w:w="3241"/>
        <w:gridCol w:w="5564"/>
      </w:tblGrid>
      <w:tr w:rsidR="00235A10" w:rsidRPr="00235A10" w14:paraId="249BABFA" w14:textId="77777777" w:rsidTr="007C5220">
        <w:tc>
          <w:tcPr>
            <w:tcW w:w="3241" w:type="dxa"/>
          </w:tcPr>
          <w:p w14:paraId="5526E953" w14:textId="77777777" w:rsidR="00235A10" w:rsidRPr="00235A10" w:rsidRDefault="00235A10" w:rsidP="007C5220">
            <w:pPr>
              <w:spacing w:before="120" w:after="120"/>
              <w:ind w:left="26"/>
              <w:rPr>
                <w:b/>
                <w:bCs/>
                <w:sz w:val="26"/>
                <w:szCs w:val="26"/>
                <w:rtl/>
              </w:rPr>
            </w:pPr>
            <w:bookmarkStart w:id="1" w:name="FirstAppellant"/>
            <w:r w:rsidRPr="00235A10">
              <w:rPr>
                <w:b/>
                <w:bCs/>
                <w:sz w:val="26"/>
                <w:szCs w:val="26"/>
                <w:rtl/>
              </w:rPr>
              <w:t>המאשימה</w:t>
            </w:r>
          </w:p>
        </w:tc>
        <w:tc>
          <w:tcPr>
            <w:tcW w:w="5564" w:type="dxa"/>
          </w:tcPr>
          <w:p w14:paraId="50D20877" w14:textId="77777777" w:rsidR="00235A10" w:rsidRPr="00235A10" w:rsidRDefault="00235A10" w:rsidP="007C5220">
            <w:pPr>
              <w:spacing w:before="120" w:after="120"/>
              <w:rPr>
                <w:b/>
                <w:bCs/>
                <w:sz w:val="26"/>
                <w:szCs w:val="26"/>
                <w:rtl/>
              </w:rPr>
            </w:pPr>
            <w:r w:rsidRPr="00235A10">
              <w:rPr>
                <w:b/>
                <w:bCs/>
                <w:sz w:val="26"/>
                <w:szCs w:val="26"/>
                <w:rtl/>
              </w:rPr>
              <w:t xml:space="preserve"> מדינת ישראל</w:t>
            </w:r>
          </w:p>
        </w:tc>
      </w:tr>
      <w:bookmarkEnd w:id="1"/>
      <w:tr w:rsidR="00235A10" w:rsidRPr="00235A10" w14:paraId="71ADB158" w14:textId="77777777" w:rsidTr="007C5220">
        <w:tc>
          <w:tcPr>
            <w:tcW w:w="8805" w:type="dxa"/>
            <w:gridSpan w:val="2"/>
          </w:tcPr>
          <w:p w14:paraId="03215B22" w14:textId="77777777" w:rsidR="00235A10" w:rsidRPr="00235A10" w:rsidRDefault="00235A10" w:rsidP="00235A10">
            <w:pPr>
              <w:jc w:val="both"/>
              <w:rPr>
                <w:rFonts w:ascii="Arial" w:hAnsi="Arial"/>
                <w:b/>
                <w:bCs/>
                <w:sz w:val="26"/>
                <w:szCs w:val="26"/>
                <w:rtl/>
              </w:rPr>
            </w:pPr>
          </w:p>
          <w:p w14:paraId="31B1DB81" w14:textId="77777777" w:rsidR="00235A10" w:rsidRPr="00235A10" w:rsidRDefault="00235A10" w:rsidP="00235A10">
            <w:pPr>
              <w:jc w:val="center"/>
              <w:rPr>
                <w:rFonts w:ascii="Arial" w:hAnsi="Arial"/>
                <w:b/>
                <w:bCs/>
                <w:sz w:val="26"/>
                <w:szCs w:val="26"/>
                <w:rtl/>
              </w:rPr>
            </w:pPr>
            <w:r w:rsidRPr="00235A10">
              <w:rPr>
                <w:rFonts w:ascii="Arial" w:hAnsi="Arial"/>
                <w:b/>
                <w:bCs/>
                <w:sz w:val="26"/>
                <w:szCs w:val="26"/>
                <w:rtl/>
              </w:rPr>
              <w:t>נגד</w:t>
            </w:r>
          </w:p>
          <w:p w14:paraId="0F3EA787" w14:textId="77777777" w:rsidR="00235A10" w:rsidRPr="00235A10" w:rsidRDefault="00235A10" w:rsidP="00235A10">
            <w:pPr>
              <w:jc w:val="center"/>
              <w:rPr>
                <w:rFonts w:ascii="Arial" w:hAnsi="Arial"/>
                <w:b/>
                <w:bCs/>
                <w:sz w:val="26"/>
                <w:szCs w:val="26"/>
                <w:rtl/>
              </w:rPr>
            </w:pPr>
          </w:p>
        </w:tc>
      </w:tr>
      <w:tr w:rsidR="00235A10" w:rsidRPr="00235A10" w14:paraId="6EBEAE9E" w14:textId="77777777" w:rsidTr="007C5220">
        <w:tc>
          <w:tcPr>
            <w:tcW w:w="3241" w:type="dxa"/>
          </w:tcPr>
          <w:p w14:paraId="2F796BDD" w14:textId="77777777" w:rsidR="00235A10" w:rsidRPr="007C5220" w:rsidRDefault="00235A10" w:rsidP="007C5220">
            <w:pPr>
              <w:spacing w:before="120" w:after="120"/>
              <w:ind w:left="26"/>
              <w:rPr>
                <w:b/>
                <w:bCs/>
                <w:sz w:val="26"/>
                <w:szCs w:val="26"/>
              </w:rPr>
            </w:pPr>
            <w:bookmarkStart w:id="2" w:name="FirstLawyer"/>
            <w:r w:rsidRPr="007C5220">
              <w:rPr>
                <w:b/>
                <w:bCs/>
                <w:sz w:val="26"/>
                <w:szCs w:val="26"/>
                <w:rtl/>
              </w:rPr>
              <w:t>הנאשם</w:t>
            </w:r>
          </w:p>
        </w:tc>
        <w:tc>
          <w:tcPr>
            <w:tcW w:w="5564" w:type="dxa"/>
          </w:tcPr>
          <w:p w14:paraId="602BD087" w14:textId="77777777" w:rsidR="00235A10" w:rsidRPr="007C5220" w:rsidRDefault="00235A10" w:rsidP="007C5220">
            <w:pPr>
              <w:spacing w:before="120" w:after="120"/>
              <w:rPr>
                <w:sz w:val="26"/>
                <w:szCs w:val="26"/>
                <w:rtl/>
              </w:rPr>
            </w:pPr>
            <w:r w:rsidRPr="007C5220">
              <w:rPr>
                <w:b/>
                <w:bCs/>
                <w:sz w:val="26"/>
                <w:szCs w:val="26"/>
                <w:rtl/>
              </w:rPr>
              <w:t xml:space="preserve"> מהדי בסל, (עציר)</w:t>
            </w:r>
          </w:p>
          <w:p w14:paraId="0BEBC3AE" w14:textId="77777777" w:rsidR="00235A10" w:rsidRPr="007C5220" w:rsidRDefault="00235A10" w:rsidP="007C5220">
            <w:pPr>
              <w:spacing w:before="120" w:after="120"/>
              <w:rPr>
                <w:b/>
                <w:bCs/>
                <w:sz w:val="26"/>
                <w:szCs w:val="26"/>
                <w:rtl/>
              </w:rPr>
            </w:pPr>
            <w:r w:rsidRPr="007C5220">
              <w:rPr>
                <w:b/>
                <w:bCs/>
                <w:sz w:val="26"/>
                <w:szCs w:val="26"/>
                <w:rtl/>
              </w:rPr>
              <w:t>ע"י ב"כ עו"ד חנא בולוס</w:t>
            </w:r>
          </w:p>
        </w:tc>
      </w:tr>
    </w:tbl>
    <w:p w14:paraId="243DDD62" w14:textId="77777777" w:rsidR="007C5220" w:rsidRDefault="007C5220">
      <w:pPr>
        <w:rPr>
          <w:rtl/>
        </w:rPr>
      </w:pPr>
      <w:bookmarkStart w:id="3" w:name="LawTable"/>
      <w:bookmarkEnd w:id="2"/>
      <w:bookmarkEnd w:id="3"/>
    </w:p>
    <w:p w14:paraId="7462C759" w14:textId="77777777" w:rsidR="007C5220" w:rsidRPr="007C5220" w:rsidRDefault="007C5220" w:rsidP="007C5220">
      <w:pPr>
        <w:spacing w:after="120" w:line="240" w:lineRule="exact"/>
        <w:ind w:left="283" w:hanging="283"/>
        <w:jc w:val="both"/>
        <w:rPr>
          <w:rFonts w:ascii="FrankRuehl" w:hAnsi="FrankRuehl" w:cs="FrankRuehl"/>
          <w:rtl/>
        </w:rPr>
      </w:pPr>
      <w:r w:rsidRPr="007C5220">
        <w:rPr>
          <w:rFonts w:ascii="FrankRuehl" w:hAnsi="FrankRuehl" w:cs="FrankRuehl"/>
          <w:rtl/>
        </w:rPr>
        <w:t xml:space="preserve">חקיקה שאוזכרה: </w:t>
      </w:r>
    </w:p>
    <w:p w14:paraId="0C869DDE" w14:textId="77777777" w:rsidR="007C5220" w:rsidRPr="007C5220" w:rsidRDefault="007C5220" w:rsidP="007C5220">
      <w:pPr>
        <w:spacing w:after="120" w:line="240" w:lineRule="exact"/>
        <w:ind w:left="283" w:hanging="283"/>
        <w:jc w:val="both"/>
        <w:rPr>
          <w:rFonts w:ascii="FrankRuehl" w:hAnsi="FrankRuehl" w:cs="FrankRuehl"/>
          <w:rtl/>
        </w:rPr>
      </w:pPr>
      <w:hyperlink r:id="rId8" w:history="1">
        <w:r w:rsidRPr="007C5220">
          <w:rPr>
            <w:rFonts w:ascii="FrankRuehl" w:hAnsi="FrankRuehl" w:cs="FrankRuehl"/>
            <w:color w:val="0000FF"/>
            <w:u w:val="single"/>
            <w:rtl/>
          </w:rPr>
          <w:t>חוק העונשין, תשל"ז-1977</w:t>
        </w:r>
      </w:hyperlink>
      <w:r w:rsidRPr="007C5220">
        <w:rPr>
          <w:rFonts w:ascii="FrankRuehl" w:hAnsi="FrankRuehl" w:cs="FrankRuehl"/>
          <w:rtl/>
        </w:rPr>
        <w:t xml:space="preserve">: סע'  </w:t>
      </w:r>
      <w:hyperlink r:id="rId9" w:history="1">
        <w:r w:rsidRPr="007C5220">
          <w:rPr>
            <w:rFonts w:ascii="FrankRuehl" w:hAnsi="FrankRuehl" w:cs="FrankRuehl"/>
            <w:color w:val="0000FF"/>
            <w:u w:val="single"/>
            <w:rtl/>
          </w:rPr>
          <w:t>.ב</w:t>
        </w:r>
      </w:hyperlink>
      <w:r w:rsidRPr="007C5220">
        <w:rPr>
          <w:rFonts w:ascii="FrankRuehl" w:hAnsi="FrankRuehl" w:cs="FrankRuehl"/>
          <w:rtl/>
        </w:rPr>
        <w:t xml:space="preserve">, </w:t>
      </w:r>
      <w:hyperlink r:id="rId10" w:history="1">
        <w:r w:rsidRPr="007C5220">
          <w:rPr>
            <w:rFonts w:ascii="FrankRuehl" w:hAnsi="FrankRuehl" w:cs="FrankRuehl"/>
            <w:color w:val="0000FF"/>
            <w:u w:val="single"/>
            <w:rtl/>
          </w:rPr>
          <w:t>55</w:t>
        </w:r>
      </w:hyperlink>
      <w:r w:rsidRPr="007C5220">
        <w:rPr>
          <w:rFonts w:ascii="FrankRuehl" w:hAnsi="FrankRuehl" w:cs="FrankRuehl"/>
          <w:rtl/>
        </w:rPr>
        <w:t xml:space="preserve">, </w:t>
      </w:r>
      <w:hyperlink r:id="rId11" w:history="1">
        <w:r w:rsidRPr="007C5220">
          <w:rPr>
            <w:rFonts w:ascii="FrankRuehl" w:hAnsi="FrankRuehl" w:cs="FrankRuehl"/>
            <w:color w:val="0000FF"/>
            <w:u w:val="single"/>
            <w:rtl/>
          </w:rPr>
          <w:t>58</w:t>
        </w:r>
      </w:hyperlink>
      <w:r w:rsidRPr="007C5220">
        <w:rPr>
          <w:rFonts w:ascii="FrankRuehl" w:hAnsi="FrankRuehl" w:cs="FrankRuehl"/>
          <w:rtl/>
        </w:rPr>
        <w:t xml:space="preserve">, </w:t>
      </w:r>
      <w:hyperlink r:id="rId12" w:history="1">
        <w:r w:rsidRPr="007C5220">
          <w:rPr>
            <w:rFonts w:ascii="FrankRuehl" w:hAnsi="FrankRuehl" w:cs="FrankRuehl"/>
            <w:color w:val="0000FF"/>
            <w:u w:val="single"/>
            <w:rtl/>
          </w:rPr>
          <w:t>144(א)</w:t>
        </w:r>
      </w:hyperlink>
      <w:r w:rsidRPr="007C5220">
        <w:rPr>
          <w:rFonts w:ascii="FrankRuehl" w:hAnsi="FrankRuehl" w:cs="FrankRuehl"/>
          <w:rtl/>
        </w:rPr>
        <w:t xml:space="preserve">, </w:t>
      </w:r>
      <w:hyperlink r:id="rId13" w:history="1">
        <w:r w:rsidRPr="007C5220">
          <w:rPr>
            <w:rFonts w:ascii="FrankRuehl" w:hAnsi="FrankRuehl" w:cs="FrankRuehl"/>
            <w:color w:val="0000FF"/>
            <w:u w:val="single"/>
            <w:rtl/>
          </w:rPr>
          <w:t>144.ב</w:t>
        </w:r>
      </w:hyperlink>
    </w:p>
    <w:p w14:paraId="2362FCEE" w14:textId="77777777" w:rsidR="007C5220" w:rsidRPr="007C5220" w:rsidRDefault="007C5220" w:rsidP="007C5220">
      <w:pPr>
        <w:spacing w:after="120" w:line="240" w:lineRule="exact"/>
        <w:ind w:left="283" w:hanging="283"/>
        <w:jc w:val="both"/>
        <w:rPr>
          <w:rFonts w:ascii="FrankRuehl" w:hAnsi="FrankRuehl" w:cs="FrankRuehl"/>
          <w:rtl/>
        </w:rPr>
      </w:pPr>
    </w:p>
    <w:p w14:paraId="278E018A" w14:textId="77777777" w:rsidR="0003701D" w:rsidRDefault="0003701D" w:rsidP="0003701D">
      <w:pPr>
        <w:pBdr>
          <w:top w:val="single" w:sz="4" w:space="1" w:color="auto"/>
          <w:bottom w:val="single" w:sz="4" w:space="1" w:color="auto"/>
        </w:pBdr>
        <w:spacing w:after="120" w:line="320" w:lineRule="exact"/>
        <w:jc w:val="both"/>
        <w:rPr>
          <w:rFonts w:cs="FrankRuehl" w:hint="cs"/>
          <w:szCs w:val="26"/>
          <w:rtl/>
        </w:rPr>
      </w:pPr>
      <w:bookmarkStart w:id="4" w:name="LawTable_End"/>
      <w:bookmarkStart w:id="5" w:name="ABSTRACT_START"/>
      <w:bookmarkEnd w:id="4"/>
      <w:bookmarkEnd w:id="5"/>
      <w:r>
        <w:rPr>
          <w:rFonts w:cs="FrankRuehl"/>
          <w:szCs w:val="26"/>
          <w:rtl/>
        </w:rPr>
        <w:t>מיני-רציו:</w:t>
      </w:r>
    </w:p>
    <w:p w14:paraId="0DDDE520" w14:textId="77777777" w:rsidR="0003701D" w:rsidRPr="0003701D" w:rsidRDefault="0003701D" w:rsidP="0003701D">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03701D">
        <w:rPr>
          <w:rFonts w:cs="FrankRuehl" w:hint="cs"/>
          <w:szCs w:val="26"/>
          <w:rtl/>
        </w:rPr>
        <w:t xml:space="preserve">בית המשפט השית על הנאשם, בגין הרשעתו בעבירות נשק, </w:t>
      </w:r>
      <w:r w:rsidRPr="0003701D">
        <w:rPr>
          <w:rFonts w:cs="FrankRuehl"/>
          <w:szCs w:val="26"/>
          <w:rtl/>
        </w:rPr>
        <w:t>שלוש וחצי שנות מאסר בפועל</w:t>
      </w:r>
      <w:r w:rsidRPr="0003701D">
        <w:rPr>
          <w:rFonts w:cs="FrankRuehl" w:hint="cs"/>
          <w:szCs w:val="26"/>
          <w:rtl/>
        </w:rPr>
        <w:t>, הפעלת</w:t>
      </w:r>
      <w:r w:rsidRPr="0003701D">
        <w:rPr>
          <w:rFonts w:cs="FrankRuehl"/>
          <w:szCs w:val="26"/>
          <w:rtl/>
        </w:rPr>
        <w:t xml:space="preserve"> מאסר מותנה בן 10 חודשים</w:t>
      </w:r>
      <w:r w:rsidRPr="0003701D">
        <w:rPr>
          <w:rFonts w:cs="FrankRuehl" w:hint="cs"/>
          <w:szCs w:val="26"/>
          <w:rtl/>
        </w:rPr>
        <w:t xml:space="preserve"> </w:t>
      </w:r>
      <w:r w:rsidRPr="0003701D">
        <w:rPr>
          <w:rFonts w:cs="FrankRuehl"/>
          <w:szCs w:val="26"/>
          <w:rtl/>
        </w:rPr>
        <w:t>במצטבר</w:t>
      </w:r>
      <w:r w:rsidRPr="0003701D">
        <w:rPr>
          <w:rFonts w:cs="FrankRuehl" w:hint="cs"/>
          <w:szCs w:val="26"/>
          <w:rtl/>
        </w:rPr>
        <w:t xml:space="preserve"> ושנת מאסר</w:t>
      </w:r>
      <w:r w:rsidRPr="0003701D">
        <w:rPr>
          <w:rFonts w:cs="FrankRuehl"/>
          <w:szCs w:val="26"/>
          <w:rtl/>
        </w:rPr>
        <w:t xml:space="preserve"> על תנאי</w:t>
      </w:r>
      <w:r w:rsidRPr="0003701D">
        <w:rPr>
          <w:rFonts w:cs="FrankRuehl" w:hint="cs"/>
          <w:szCs w:val="26"/>
          <w:rtl/>
        </w:rPr>
        <w:t>.</w:t>
      </w:r>
    </w:p>
    <w:p w14:paraId="14ABB5E0" w14:textId="77777777" w:rsidR="0003701D" w:rsidRDefault="0003701D" w:rsidP="0003701D">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נשק</w:t>
      </w:r>
    </w:p>
    <w:p w14:paraId="1A6CFD29" w14:textId="77777777" w:rsidR="0003701D" w:rsidRDefault="0003701D" w:rsidP="0003701D">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238DCDE" w14:textId="77777777" w:rsidR="0003701D" w:rsidRPr="0003701D" w:rsidRDefault="0003701D" w:rsidP="0003701D">
      <w:pPr>
        <w:pBdr>
          <w:top w:val="single" w:sz="4" w:space="1" w:color="auto"/>
          <w:bottom w:val="single" w:sz="4" w:space="1" w:color="auto"/>
        </w:pBdr>
        <w:spacing w:after="120" w:line="320" w:lineRule="exact"/>
        <w:jc w:val="both"/>
        <w:rPr>
          <w:rFonts w:cs="FrankRuehl" w:hint="cs"/>
          <w:szCs w:val="26"/>
          <w:rtl/>
        </w:rPr>
      </w:pPr>
      <w:r w:rsidRPr="0003701D">
        <w:rPr>
          <w:rFonts w:cs="FrankRuehl"/>
          <w:szCs w:val="26"/>
          <w:rtl/>
        </w:rPr>
        <w:t xml:space="preserve">הנאשם הודה במסגרת הסדר טיעון </w:t>
      </w:r>
      <w:r w:rsidRPr="0003701D">
        <w:rPr>
          <w:rFonts w:cs="FrankRuehl" w:hint="cs"/>
          <w:szCs w:val="26"/>
          <w:rtl/>
        </w:rPr>
        <w:t xml:space="preserve">בעבירות של </w:t>
      </w:r>
      <w:r w:rsidRPr="0003701D">
        <w:rPr>
          <w:rFonts w:cs="FrankRuehl"/>
          <w:szCs w:val="26"/>
          <w:rtl/>
        </w:rPr>
        <w:t>רכישת נשק</w:t>
      </w:r>
      <w:r w:rsidRPr="0003701D">
        <w:rPr>
          <w:rFonts w:cs="FrankRuehl" w:hint="cs"/>
          <w:szCs w:val="26"/>
          <w:rtl/>
        </w:rPr>
        <w:t xml:space="preserve">, </w:t>
      </w:r>
      <w:r w:rsidRPr="0003701D">
        <w:rPr>
          <w:rFonts w:cs="FrankRuehl"/>
          <w:szCs w:val="26"/>
          <w:rtl/>
        </w:rPr>
        <w:t>החזקה נשיאה והובלת נשק</w:t>
      </w:r>
      <w:r w:rsidRPr="0003701D">
        <w:rPr>
          <w:rFonts w:cs="FrankRuehl" w:hint="cs"/>
          <w:szCs w:val="26"/>
          <w:rtl/>
        </w:rPr>
        <w:t>.</w:t>
      </w:r>
    </w:p>
    <w:p w14:paraId="3A7E1BB9" w14:textId="77777777" w:rsidR="0003701D" w:rsidRDefault="0003701D" w:rsidP="0003701D">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2FA5157" w14:textId="77777777" w:rsidR="0003701D" w:rsidRPr="0003701D" w:rsidRDefault="0003701D" w:rsidP="0003701D">
      <w:pPr>
        <w:pBdr>
          <w:top w:val="single" w:sz="4" w:space="1" w:color="auto"/>
          <w:bottom w:val="single" w:sz="4" w:space="1" w:color="auto"/>
        </w:pBdr>
        <w:spacing w:after="120" w:line="320" w:lineRule="exact"/>
        <w:jc w:val="both"/>
        <w:rPr>
          <w:rFonts w:cs="FrankRuehl" w:hint="cs"/>
          <w:szCs w:val="26"/>
          <w:rtl/>
        </w:rPr>
      </w:pPr>
      <w:r w:rsidRPr="0003701D">
        <w:rPr>
          <w:rFonts w:cs="FrankRuehl"/>
          <w:szCs w:val="26"/>
          <w:rtl/>
        </w:rPr>
        <w:t>בית המשפט המחוזי</w:t>
      </w:r>
      <w:r w:rsidRPr="0003701D">
        <w:rPr>
          <w:rFonts w:cs="FrankRuehl" w:hint="cs"/>
          <w:szCs w:val="26"/>
          <w:rtl/>
        </w:rPr>
        <w:t xml:space="preserve"> גזר את הדין ופסק:</w:t>
      </w:r>
    </w:p>
    <w:p w14:paraId="280F34DF" w14:textId="77777777" w:rsidR="0003701D" w:rsidRPr="0003701D" w:rsidRDefault="0003701D" w:rsidP="0003701D">
      <w:pPr>
        <w:pBdr>
          <w:top w:val="single" w:sz="4" w:space="1" w:color="auto"/>
          <w:bottom w:val="single" w:sz="4" w:space="1" w:color="auto"/>
        </w:pBdr>
        <w:spacing w:after="120" w:line="320" w:lineRule="exact"/>
        <w:jc w:val="both"/>
        <w:rPr>
          <w:rFonts w:cs="FrankRuehl"/>
          <w:szCs w:val="26"/>
          <w:rtl/>
        </w:rPr>
      </w:pPr>
      <w:r w:rsidRPr="0003701D">
        <w:rPr>
          <w:rFonts w:cs="FrankRuehl"/>
          <w:szCs w:val="26"/>
          <w:rtl/>
        </w:rPr>
        <w:t>רכישת נשק מסוג תת מקלע ומחסנית, הסתרתו ומסירתו לאחרים, מסכנת את שלום הציבור ואת בטחונו. אין צורך להרחיב בתיאור האפשרויות לשימוש פלילי או בטחוני בנשק מסוג תת מקלע והסיכון שעלול להתממש כתוצאה מכך. העובדה שהעבירות נעברו כשלושה חודשים לאחר שסיים הנאשם לרצות מאסר קודם, ולמעשה בראשית תקופת תחולתו של המאסר המותנה, נזקפות לחובתו. בנסיבות המקרה</w:t>
      </w:r>
      <w:r w:rsidRPr="0003701D">
        <w:rPr>
          <w:rFonts w:cs="FrankRuehl" w:hint="cs"/>
          <w:szCs w:val="26"/>
          <w:rtl/>
        </w:rPr>
        <w:t>,</w:t>
      </w:r>
      <w:r w:rsidRPr="0003701D">
        <w:rPr>
          <w:rFonts w:cs="FrankRuehl"/>
          <w:szCs w:val="26"/>
          <w:rtl/>
        </w:rPr>
        <w:t xml:space="preserve"> מתחם הענישה שהציעה המאשימה, בין שלוש לחמש שנות מאסר</w:t>
      </w:r>
      <w:r w:rsidRPr="0003701D">
        <w:rPr>
          <w:rFonts w:cs="FrankRuehl" w:hint="cs"/>
          <w:szCs w:val="26"/>
          <w:rtl/>
        </w:rPr>
        <w:t>,</w:t>
      </w:r>
      <w:r w:rsidRPr="0003701D">
        <w:rPr>
          <w:rFonts w:cs="FrankRuehl"/>
          <w:szCs w:val="26"/>
          <w:rtl/>
        </w:rPr>
        <w:t xml:space="preserve"> אינו מחמיר </w:t>
      </w:r>
      <w:r w:rsidRPr="0003701D">
        <w:rPr>
          <w:rFonts w:cs="FrankRuehl" w:hint="cs"/>
          <w:szCs w:val="26"/>
          <w:rtl/>
        </w:rPr>
        <w:t>ו</w:t>
      </w:r>
      <w:r w:rsidRPr="0003701D">
        <w:rPr>
          <w:rFonts w:cs="FrankRuehl"/>
          <w:szCs w:val="26"/>
          <w:rtl/>
        </w:rPr>
        <w:t xml:space="preserve">משקף את נסיבות המקרה וחומרתו. </w:t>
      </w:r>
      <w:r w:rsidRPr="0003701D">
        <w:rPr>
          <w:rFonts w:cs="FrankRuehl" w:hint="cs"/>
          <w:szCs w:val="26"/>
          <w:rtl/>
        </w:rPr>
        <w:t>לאור</w:t>
      </w:r>
      <w:r w:rsidRPr="0003701D">
        <w:rPr>
          <w:rFonts w:cs="FrankRuehl"/>
          <w:szCs w:val="26"/>
          <w:rtl/>
        </w:rPr>
        <w:t xml:space="preserve"> מכלול הנתונים, </w:t>
      </w:r>
      <w:r w:rsidRPr="0003701D">
        <w:rPr>
          <w:rFonts w:cs="FrankRuehl" w:hint="cs"/>
          <w:szCs w:val="26"/>
          <w:rtl/>
        </w:rPr>
        <w:t>יועמד</w:t>
      </w:r>
      <w:r w:rsidRPr="0003701D">
        <w:rPr>
          <w:rFonts w:cs="FrankRuehl"/>
          <w:szCs w:val="26"/>
          <w:rtl/>
        </w:rPr>
        <w:t xml:space="preserve"> עונשו של הנאשם על שלוש וחצי שנות מאסר בפועל </w:t>
      </w:r>
      <w:r w:rsidRPr="0003701D">
        <w:rPr>
          <w:rFonts w:cs="FrankRuehl" w:hint="cs"/>
          <w:szCs w:val="26"/>
          <w:rtl/>
        </w:rPr>
        <w:t>ושנה</w:t>
      </w:r>
      <w:r w:rsidRPr="0003701D">
        <w:rPr>
          <w:rFonts w:cs="FrankRuehl"/>
          <w:szCs w:val="26"/>
          <w:rtl/>
        </w:rPr>
        <w:t xml:space="preserve"> על תנאי. המאסר המותנה בן 10 חודשים </w:t>
      </w:r>
      <w:r w:rsidRPr="0003701D">
        <w:rPr>
          <w:rFonts w:cs="FrankRuehl" w:hint="cs"/>
          <w:szCs w:val="26"/>
          <w:rtl/>
        </w:rPr>
        <w:t xml:space="preserve">התלוי ועומד נגד הנאשם, </w:t>
      </w:r>
      <w:r w:rsidRPr="0003701D">
        <w:rPr>
          <w:rFonts w:cs="FrankRuehl"/>
          <w:szCs w:val="26"/>
          <w:rtl/>
        </w:rPr>
        <w:t>יופעל במצטבר</w:t>
      </w:r>
      <w:r w:rsidRPr="0003701D">
        <w:rPr>
          <w:rFonts w:cs="FrankRuehl" w:hint="cs"/>
          <w:szCs w:val="26"/>
          <w:rtl/>
        </w:rPr>
        <w:t>.</w:t>
      </w:r>
    </w:p>
    <w:p w14:paraId="6A6C26AD" w14:textId="77777777" w:rsidR="007C5220" w:rsidRPr="007C5220" w:rsidRDefault="007C5220">
      <w:pPr>
        <w:rPr>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C6F2C" w14:paraId="6E3D41FA" w14:textId="77777777" w:rsidTr="00586F33">
        <w:trPr>
          <w:trHeight w:val="355"/>
          <w:jc w:val="center"/>
        </w:trPr>
        <w:tc>
          <w:tcPr>
            <w:tcW w:w="8820" w:type="dxa"/>
            <w:tcBorders>
              <w:top w:val="nil"/>
              <w:left w:val="nil"/>
              <w:bottom w:val="nil"/>
              <w:right w:val="nil"/>
            </w:tcBorders>
          </w:tcPr>
          <w:p w14:paraId="5214A89E" w14:textId="77777777" w:rsidR="00235A10" w:rsidRPr="00235A10" w:rsidRDefault="00235A10" w:rsidP="00235A10">
            <w:pPr>
              <w:jc w:val="center"/>
              <w:rPr>
                <w:rFonts w:ascii="Arial" w:hAnsi="Arial"/>
                <w:b/>
                <w:bCs/>
                <w:sz w:val="28"/>
                <w:szCs w:val="28"/>
                <w:u w:val="single"/>
                <w:rtl/>
              </w:rPr>
            </w:pPr>
            <w:bookmarkStart w:id="7" w:name="PsakDin" w:colFirst="0" w:colLast="0"/>
            <w:r w:rsidRPr="00235A10">
              <w:rPr>
                <w:rFonts w:ascii="Arial" w:hAnsi="Arial"/>
                <w:b/>
                <w:bCs/>
                <w:sz w:val="28"/>
                <w:szCs w:val="28"/>
                <w:u w:val="single"/>
                <w:rtl/>
              </w:rPr>
              <w:t>גזר דין</w:t>
            </w:r>
          </w:p>
          <w:p w14:paraId="7D959335" w14:textId="77777777" w:rsidR="009C6F2C" w:rsidRPr="00235A10" w:rsidRDefault="009C6F2C" w:rsidP="00235A10">
            <w:pPr>
              <w:jc w:val="center"/>
              <w:rPr>
                <w:rFonts w:ascii="Arial" w:hAnsi="Arial"/>
                <w:bCs/>
                <w:sz w:val="28"/>
                <w:szCs w:val="28"/>
                <w:u w:val="single"/>
                <w:rtl/>
              </w:rPr>
            </w:pPr>
          </w:p>
        </w:tc>
      </w:tr>
      <w:bookmarkEnd w:id="7"/>
    </w:tbl>
    <w:p w14:paraId="3F18F90C" w14:textId="77777777" w:rsidR="009C6F2C" w:rsidRPr="00205B11" w:rsidRDefault="009C6F2C" w:rsidP="00301139">
      <w:pPr>
        <w:spacing w:line="360" w:lineRule="auto"/>
        <w:jc w:val="both"/>
        <w:rPr>
          <w:sz w:val="18"/>
          <w:szCs w:val="18"/>
          <w:rtl/>
        </w:rPr>
      </w:pPr>
    </w:p>
    <w:p w14:paraId="3C172A7C" w14:textId="77777777" w:rsidR="009C6F2C" w:rsidRPr="00671EB1" w:rsidRDefault="009C6F2C" w:rsidP="00671EB1">
      <w:pPr>
        <w:spacing w:line="360" w:lineRule="auto"/>
        <w:jc w:val="both"/>
        <w:rPr>
          <w:b/>
          <w:bCs/>
          <w:u w:val="single"/>
          <w:rtl/>
        </w:rPr>
      </w:pPr>
      <w:r w:rsidRPr="00671EB1">
        <w:rPr>
          <w:b/>
          <w:bCs/>
          <w:u w:val="single"/>
          <w:rtl/>
        </w:rPr>
        <w:t>העבירות בהן הורשע הנאשם</w:t>
      </w:r>
    </w:p>
    <w:p w14:paraId="5FC5AAD1" w14:textId="77777777" w:rsidR="009C6F2C" w:rsidRDefault="009C6F2C" w:rsidP="00865A3E">
      <w:pPr>
        <w:spacing w:line="360" w:lineRule="auto"/>
        <w:jc w:val="both"/>
        <w:rPr>
          <w:rtl/>
        </w:rPr>
      </w:pPr>
      <w:r>
        <w:rPr>
          <w:rtl/>
        </w:rPr>
        <w:t xml:space="preserve">הנאשם הודה במסגרת הסדר טיעון בעובדות כתב אישום מתוקן אשר סומן באות ב'. הסדר הטיעון התייחס אך ורק לכתב האישום בו הודה הנאשם והוסכם כי כל צד יטען לעונש כפי שימצא לנכון. </w:t>
      </w:r>
    </w:p>
    <w:p w14:paraId="3D36F09D" w14:textId="77777777" w:rsidR="009C6F2C" w:rsidRDefault="009C6F2C" w:rsidP="00865A3E">
      <w:pPr>
        <w:spacing w:line="360" w:lineRule="auto"/>
        <w:jc w:val="both"/>
        <w:rPr>
          <w:rtl/>
        </w:rPr>
      </w:pPr>
      <w:r>
        <w:rPr>
          <w:rtl/>
        </w:rPr>
        <w:lastRenderedPageBreak/>
        <w:t xml:space="preserve">על פי עובדות כתב האישום בו הודה הנאשם הוא רכש תת מקלע ומחסנית בכפר ברטעה, הוביל את הנשק לכפר מגוריו, ג'דידה מכר, בהמשך מסר את הנשק לאחרים ובסופו של יום קיבלו שוב לחזקתו להסתירו במקום מחבוא. </w:t>
      </w:r>
      <w:r w:rsidRPr="00575839">
        <w:rPr>
          <w:rtl/>
        </w:rPr>
        <w:t xml:space="preserve">בהתאם, הורשע הנאשם בעבירות הבאות: רכישת נשק – עבירה לפי </w:t>
      </w:r>
      <w:hyperlink r:id="rId14" w:history="1">
        <w:r w:rsidR="00434717" w:rsidRPr="00434717">
          <w:rPr>
            <w:color w:val="0000FF"/>
            <w:u w:val="single"/>
            <w:rtl/>
          </w:rPr>
          <w:t>סעיף 144(א)</w:t>
        </w:r>
      </w:hyperlink>
      <w:r w:rsidRPr="00575839">
        <w:rPr>
          <w:rtl/>
        </w:rPr>
        <w:t xml:space="preserve"> רישא + סיפא ל</w:t>
      </w:r>
      <w:hyperlink r:id="rId15" w:history="1">
        <w:r w:rsidR="00235A10" w:rsidRPr="00235A10">
          <w:rPr>
            <w:color w:val="0000FF"/>
            <w:u w:val="single"/>
            <w:rtl/>
          </w:rPr>
          <w:t>חוק העונשין</w:t>
        </w:r>
      </w:hyperlink>
      <w:r w:rsidRPr="00575839">
        <w:rPr>
          <w:rtl/>
        </w:rPr>
        <w:t xml:space="preserve"> ; החזקה נשיאה והובלת נשק – עבירות לפי </w:t>
      </w:r>
      <w:hyperlink r:id="rId16" w:history="1">
        <w:r w:rsidR="00434717" w:rsidRPr="00434717">
          <w:rPr>
            <w:color w:val="0000FF"/>
            <w:u w:val="single"/>
            <w:rtl/>
          </w:rPr>
          <w:t>סעיף 144(א)+(ב)</w:t>
        </w:r>
      </w:hyperlink>
      <w:r w:rsidRPr="00575839">
        <w:rPr>
          <w:rtl/>
        </w:rPr>
        <w:t xml:space="preserve"> רישא + סיפא לחוק העונשין.</w:t>
      </w:r>
    </w:p>
    <w:p w14:paraId="7FB984F5" w14:textId="77777777" w:rsidR="009C6F2C" w:rsidRPr="00205B11" w:rsidRDefault="009C6F2C" w:rsidP="00671EB1">
      <w:pPr>
        <w:spacing w:line="360" w:lineRule="auto"/>
        <w:jc w:val="both"/>
        <w:rPr>
          <w:sz w:val="14"/>
          <w:szCs w:val="14"/>
          <w:rtl/>
        </w:rPr>
      </w:pPr>
    </w:p>
    <w:p w14:paraId="0B2EA79D" w14:textId="77777777" w:rsidR="009C6F2C" w:rsidRPr="00671EB1" w:rsidRDefault="009C6F2C" w:rsidP="00671EB1">
      <w:pPr>
        <w:spacing w:line="360" w:lineRule="auto"/>
        <w:jc w:val="both"/>
        <w:rPr>
          <w:b/>
          <w:bCs/>
          <w:u w:val="single"/>
          <w:rtl/>
        </w:rPr>
      </w:pPr>
      <w:r w:rsidRPr="00671EB1">
        <w:rPr>
          <w:b/>
          <w:bCs/>
          <w:u w:val="single"/>
          <w:rtl/>
        </w:rPr>
        <w:t>הטיעון לעונש</w:t>
      </w:r>
    </w:p>
    <w:p w14:paraId="17E0E836" w14:textId="77777777" w:rsidR="009C6F2C" w:rsidRDefault="009C6F2C" w:rsidP="001E55E6">
      <w:pPr>
        <w:spacing w:line="360" w:lineRule="auto"/>
        <w:jc w:val="both"/>
        <w:rPr>
          <w:rtl/>
        </w:rPr>
      </w:pPr>
      <w:r>
        <w:rPr>
          <w:rtl/>
        </w:rPr>
        <w:t>ב"כ המאשימה לא הביאה ראיות לעונש, למעט גזר דין בהרשעה קודמת ב</w:t>
      </w:r>
      <w:hyperlink r:id="rId17" w:history="1">
        <w:r w:rsidR="00235A10" w:rsidRPr="00235A10">
          <w:rPr>
            <w:color w:val="0000FF"/>
            <w:u w:val="single"/>
            <w:rtl/>
          </w:rPr>
          <w:t>ת"פ 52</w:t>
        </w:r>
        <w:r w:rsidR="00235A10" w:rsidRPr="00235A10">
          <w:rPr>
            <w:color w:val="0000FF"/>
            <w:u w:val="single"/>
            <w:rtl/>
          </w:rPr>
          <w:t>0</w:t>
        </w:r>
        <w:r w:rsidR="00235A10" w:rsidRPr="00235A10">
          <w:rPr>
            <w:color w:val="0000FF"/>
            <w:u w:val="single"/>
            <w:rtl/>
          </w:rPr>
          <w:t>44-05-13</w:t>
        </w:r>
      </w:hyperlink>
      <w:r>
        <w:rPr>
          <w:rtl/>
        </w:rPr>
        <w:t xml:space="preserve"> של בית המשפט המחוזי בחיפה. שם הודה הנאשם כי יצר ביחד עם אחר בקבוקי תבערה והשליכם לעבר רכב בכביש בגליל. הוא הורשע בעבירות של סיכון חיי אדם בנתיב תחבורה; קשירת קשר לפשע, ייצור נשק ונשיאת נשק. נגזר עליו עונש של 36 חודשי מאסר, מהם 26 חודשי מאסר לריצוי בפועל ועוד 10 חודשי מאסר מותנה בעבירות בהן הורשע. המאסר המותנה חל על הרשעתו בפני.</w:t>
      </w:r>
    </w:p>
    <w:p w14:paraId="2A391F9C" w14:textId="77777777" w:rsidR="009C6F2C" w:rsidRPr="00205B11" w:rsidRDefault="009C6F2C" w:rsidP="00205B11">
      <w:pPr>
        <w:jc w:val="both"/>
        <w:rPr>
          <w:sz w:val="14"/>
          <w:szCs w:val="14"/>
          <w:rtl/>
        </w:rPr>
      </w:pPr>
    </w:p>
    <w:p w14:paraId="6C7E5BCA" w14:textId="77777777" w:rsidR="009C6F2C" w:rsidRDefault="009C6F2C" w:rsidP="00244609">
      <w:pPr>
        <w:spacing w:line="360" w:lineRule="auto"/>
        <w:jc w:val="both"/>
        <w:rPr>
          <w:rtl/>
        </w:rPr>
      </w:pPr>
      <w:r>
        <w:rPr>
          <w:rtl/>
        </w:rPr>
        <w:t xml:space="preserve">ב"כ המאשימה ציינה כי העבירות בתיק זה נעברו כשלושה חודשים לאחר שהנאשם שוחרר ממאסרו הקודם. נסיבה זו נזקפת לחובתו. מעבר לאמור, ולעונש המאסר המותנה שלא הרתיעו, עותרת המאשימה להחמיר בעונשו בשים לב למסוכנות הנגרמת לציבור מעבירות הנשק. כאשר מביאים בחשבון את סוג הנשק, תת מקלע, ואת מכלול הנסיבות, עותרת המאשימה לגזור על הנאשם עונש של בין שלוש לחמש שנות מאסר, אליו יתווסף המאסר המותנה שיופעל במצטבר. </w:t>
      </w:r>
    </w:p>
    <w:p w14:paraId="46945675" w14:textId="77777777" w:rsidR="009C6F2C" w:rsidRPr="00205B11" w:rsidRDefault="009C6F2C" w:rsidP="00205B11">
      <w:pPr>
        <w:jc w:val="both"/>
        <w:rPr>
          <w:sz w:val="18"/>
          <w:szCs w:val="18"/>
          <w:rtl/>
        </w:rPr>
      </w:pPr>
    </w:p>
    <w:p w14:paraId="43C5ACEE" w14:textId="77777777" w:rsidR="009C6F2C" w:rsidRDefault="009C6F2C" w:rsidP="00076DE8">
      <w:pPr>
        <w:spacing w:line="360" w:lineRule="auto"/>
        <w:jc w:val="both"/>
        <w:rPr>
          <w:rtl/>
        </w:rPr>
      </w:pPr>
      <w:r>
        <w:rPr>
          <w:rtl/>
        </w:rPr>
        <w:t xml:space="preserve">ב"כ הנאשם צין כי הנאשם הודה מיד במיוחס לו, וביקש לזקוף את הודאתו לזכותו. עוד ציין את הקושי שגרמה התנהגות הנאשם ומעצרו למשפחת הנאשם. בעת מעצרו נפטר האב והנאשם לא יכול היה להשתתף בטכס קבורתו. בנוסף ציין הסניגור את אמו הקשישה של הנאשם התלויה בו וזקוקה לעזרתו. על מצבה של המשפחה והקושי הרב שנגרם לה, בהיבטים שונים, העיד, מטעם הנאשם, ראש המועצה המקומית ג'דידה מכר שהביע רצון לסייע לנאשם בשיקומו ובהסדרת עבודה עבורו וכן תיאר את מצוקת משפחתו. </w:t>
      </w:r>
    </w:p>
    <w:p w14:paraId="11880BEB" w14:textId="77777777" w:rsidR="009C6F2C" w:rsidRDefault="009C6F2C" w:rsidP="00716649">
      <w:pPr>
        <w:spacing w:line="360" w:lineRule="auto"/>
        <w:jc w:val="both"/>
        <w:rPr>
          <w:rtl/>
        </w:rPr>
      </w:pPr>
      <w:r>
        <w:rPr>
          <w:rtl/>
        </w:rPr>
        <w:t xml:space="preserve">בנוסף טען ב"כ הנאשם לעניין המעצר הממושך בו שהה הנאשם, לרבות כאשר נעצר והוחזק במתקן מעצר של שירות הביטחון הכללי. הסניגור הדגיש את תנאי המעצר הקשים כשיקול להקלה בעונש. בהתאם עתר הסניגור לגזירת עונש מאסר במתחם שבין מאסר שניתן לרצותו בעבודות שירות לבין מעצר לתקופה של שלוש שנים וביקש להקל בעונש ככל שניתן ולהפעיל את המאסר המותנה בחופף לעונש המאסר שייגזר, ולו באופן חלקי.  </w:t>
      </w:r>
    </w:p>
    <w:p w14:paraId="2B3DE79A" w14:textId="77777777" w:rsidR="009C6F2C" w:rsidRDefault="009C6F2C" w:rsidP="00205B11">
      <w:pPr>
        <w:jc w:val="both"/>
        <w:rPr>
          <w:rtl/>
        </w:rPr>
      </w:pPr>
    </w:p>
    <w:p w14:paraId="00EABF63" w14:textId="77777777" w:rsidR="009C6F2C" w:rsidRDefault="009C6F2C" w:rsidP="003173A1">
      <w:pPr>
        <w:spacing w:line="360" w:lineRule="auto"/>
        <w:jc w:val="both"/>
        <w:rPr>
          <w:rtl/>
        </w:rPr>
      </w:pPr>
      <w:r>
        <w:rPr>
          <w:rtl/>
        </w:rPr>
        <w:t xml:space="preserve">הנאשם הביע חרטה וביקש להקל בעונשו כך שיוכל לחזור לבית אמו ולסייע לה במצוקתה. </w:t>
      </w:r>
    </w:p>
    <w:p w14:paraId="48BCF488" w14:textId="77777777" w:rsidR="009C6F2C" w:rsidRPr="00671EB1" w:rsidRDefault="009C6F2C" w:rsidP="009A4351">
      <w:pPr>
        <w:spacing w:line="360" w:lineRule="auto"/>
        <w:jc w:val="both"/>
        <w:rPr>
          <w:rtl/>
        </w:rPr>
      </w:pPr>
      <w:r>
        <w:rPr>
          <w:rtl/>
        </w:rPr>
        <w:t xml:space="preserve"> </w:t>
      </w:r>
    </w:p>
    <w:p w14:paraId="13FDEEC2" w14:textId="77777777" w:rsidR="009C6F2C" w:rsidRPr="00671EB1" w:rsidRDefault="009C6F2C" w:rsidP="00205B11">
      <w:pPr>
        <w:jc w:val="both"/>
        <w:rPr>
          <w:b/>
          <w:bCs/>
          <w:u w:val="single"/>
          <w:rtl/>
        </w:rPr>
      </w:pPr>
      <w:r w:rsidRPr="00671EB1">
        <w:rPr>
          <w:b/>
          <w:bCs/>
          <w:u w:val="single"/>
          <w:rtl/>
        </w:rPr>
        <w:t>שיקולי בית המשפט לעניין הענישה</w:t>
      </w:r>
    </w:p>
    <w:p w14:paraId="0FBD5641" w14:textId="77777777" w:rsidR="009C6F2C" w:rsidRDefault="009C6F2C" w:rsidP="00205B11">
      <w:pPr>
        <w:jc w:val="both"/>
        <w:rPr>
          <w:rtl/>
        </w:rPr>
      </w:pPr>
    </w:p>
    <w:p w14:paraId="6DA2C3EB" w14:textId="77777777" w:rsidR="009C6F2C" w:rsidRPr="00811E73" w:rsidRDefault="009C6F2C" w:rsidP="00B35F55">
      <w:pPr>
        <w:spacing w:line="360" w:lineRule="auto"/>
        <w:jc w:val="both"/>
        <w:rPr>
          <w:u w:val="single"/>
          <w:rtl/>
        </w:rPr>
      </w:pPr>
      <w:r w:rsidRPr="00811E73">
        <w:rPr>
          <w:u w:val="single"/>
          <w:rtl/>
        </w:rPr>
        <w:t>קביעת מתחם העונש ההולם</w:t>
      </w:r>
    </w:p>
    <w:p w14:paraId="1842F314" w14:textId="77777777" w:rsidR="009C6F2C" w:rsidRDefault="009C6F2C" w:rsidP="00E574A3">
      <w:pPr>
        <w:spacing w:line="360" w:lineRule="auto"/>
        <w:jc w:val="both"/>
      </w:pPr>
      <w:r>
        <w:rPr>
          <w:rtl/>
        </w:rPr>
        <w:t>בבואו של בית המשפט לקבוע את מתחם העונש ההולם, עליו להביא בחשבון את העונש הקבוע בחוק למעשים שבגינם הורשע הנאשם, חומרת נסיבות המקרה ומכלול הנתונים הקשורים למעשה ולמבצע העבירה. מתחם העונש ההולם משקף קביעה ערכית לעונש ראוי, ואינו משקף, בהכרח, את הענישה המקובלת והרווחת בפסיקה קודמת, ובמיוחד בפסיקה שקדמה לכניסתו לתוקף של תיקון 113 ל</w:t>
      </w:r>
      <w:hyperlink r:id="rId18" w:history="1">
        <w:r w:rsidR="00235A10" w:rsidRPr="00235A10">
          <w:rPr>
            <w:color w:val="0000FF"/>
            <w:u w:val="single"/>
            <w:rtl/>
          </w:rPr>
          <w:t>חוק העונשין</w:t>
        </w:r>
      </w:hyperlink>
      <w:r>
        <w:rPr>
          <w:rtl/>
        </w:rPr>
        <w:t xml:space="preserve">. </w:t>
      </w:r>
    </w:p>
    <w:p w14:paraId="5B73FE89" w14:textId="77777777" w:rsidR="009C6F2C" w:rsidRDefault="009C6F2C" w:rsidP="00205B11">
      <w:pPr>
        <w:jc w:val="both"/>
        <w:rPr>
          <w:rtl/>
        </w:rPr>
      </w:pPr>
    </w:p>
    <w:p w14:paraId="0BF8B76C" w14:textId="77777777" w:rsidR="009C6F2C" w:rsidRDefault="009C6F2C" w:rsidP="003173A1">
      <w:pPr>
        <w:spacing w:line="360" w:lineRule="auto"/>
        <w:jc w:val="both"/>
        <w:rPr>
          <w:rtl/>
        </w:rPr>
      </w:pPr>
      <w:r>
        <w:rPr>
          <w:rtl/>
        </w:rPr>
        <w:t xml:space="preserve">הנאשם הורשע, כאמור לעיל, בעבירות שהעונש המרבי הקבוע בחוק בגינן, הוא שבע שנות מאסר, בגין עבירה של </w:t>
      </w:r>
      <w:r w:rsidRPr="00314443">
        <w:rPr>
          <w:rtl/>
        </w:rPr>
        <w:t xml:space="preserve">רכישת נשק – עבירה לפי </w:t>
      </w:r>
      <w:hyperlink r:id="rId19" w:history="1">
        <w:r w:rsidR="00434717" w:rsidRPr="00434717">
          <w:rPr>
            <w:color w:val="0000FF"/>
            <w:u w:val="single"/>
            <w:rtl/>
          </w:rPr>
          <w:t>סעיף 144(א)</w:t>
        </w:r>
      </w:hyperlink>
      <w:r w:rsidRPr="00314443">
        <w:rPr>
          <w:rtl/>
        </w:rPr>
        <w:t xml:space="preserve"> רישא + סיפא ל</w:t>
      </w:r>
      <w:hyperlink r:id="rId20" w:history="1">
        <w:r w:rsidR="00235A10" w:rsidRPr="00235A10">
          <w:rPr>
            <w:color w:val="0000FF"/>
            <w:u w:val="single"/>
            <w:rtl/>
          </w:rPr>
          <w:t>חוק העונשין</w:t>
        </w:r>
      </w:hyperlink>
      <w:r w:rsidRPr="00314443">
        <w:rPr>
          <w:rtl/>
        </w:rPr>
        <w:t xml:space="preserve"> ; </w:t>
      </w:r>
      <w:r>
        <w:rPr>
          <w:rtl/>
        </w:rPr>
        <w:t xml:space="preserve">10 שנות מאסר בגין עבירה של </w:t>
      </w:r>
      <w:r w:rsidRPr="00314443">
        <w:rPr>
          <w:rtl/>
        </w:rPr>
        <w:t xml:space="preserve">החזקה נשיאה והובלת נשק – עבירות לפי </w:t>
      </w:r>
      <w:hyperlink r:id="rId21" w:history="1">
        <w:r w:rsidR="00434717" w:rsidRPr="00434717">
          <w:rPr>
            <w:color w:val="0000FF"/>
            <w:u w:val="single"/>
            <w:rtl/>
          </w:rPr>
          <w:t>סעיף 144(א)+(ב)</w:t>
        </w:r>
      </w:hyperlink>
      <w:r w:rsidRPr="00314443">
        <w:rPr>
          <w:rtl/>
        </w:rPr>
        <w:t xml:space="preserve"> רישא + סיפא לחוק העונשין.</w:t>
      </w:r>
      <w:r>
        <w:rPr>
          <w:rtl/>
        </w:rPr>
        <w:t xml:space="preserve"> המעשים נשוא כתב האישום בו הודה הנאשם נפרשו, למעשה, על משך מספר ימים בזירות שונות. עם זאת, ולצורך גזירת הדין, סבור אני כי במקרה זה יש לראות בעבירות כאילו בוצעו באירוע אחד, חמור לכשעצמו. </w:t>
      </w:r>
    </w:p>
    <w:p w14:paraId="5FA1620E" w14:textId="77777777" w:rsidR="009C6F2C" w:rsidRPr="00E574A3" w:rsidRDefault="009C6F2C" w:rsidP="00205B11">
      <w:pPr>
        <w:jc w:val="both"/>
        <w:rPr>
          <w:rtl/>
        </w:rPr>
      </w:pPr>
    </w:p>
    <w:p w14:paraId="4D3B994A" w14:textId="77777777" w:rsidR="009C6F2C" w:rsidRDefault="009C6F2C" w:rsidP="00B35F55">
      <w:pPr>
        <w:spacing w:line="360" w:lineRule="auto"/>
        <w:rPr>
          <w:u w:val="single"/>
          <w:rtl/>
        </w:rPr>
      </w:pPr>
      <w:r>
        <w:rPr>
          <w:u w:val="single"/>
          <w:rtl/>
        </w:rPr>
        <w:t>הערך החברתי שנפגע</w:t>
      </w:r>
    </w:p>
    <w:p w14:paraId="02747C6F" w14:textId="77777777" w:rsidR="009C6F2C" w:rsidRPr="00532295" w:rsidRDefault="009C6F2C" w:rsidP="002E514F">
      <w:pPr>
        <w:spacing w:line="360" w:lineRule="auto"/>
        <w:jc w:val="both"/>
        <w:rPr>
          <w:rtl/>
        </w:rPr>
      </w:pPr>
      <w:r>
        <w:rPr>
          <w:rtl/>
        </w:rPr>
        <w:t xml:space="preserve">הנאשם רכש נשק מסוג תת מקלע ומחסנית. כל זאת בלא רישיון להחזקת נשק ובניגוד לחוק. הנשק הובל לכפר מגוריו, הוסתר, נמסר לאחרים לשימוש והוסתר שוב. לא ידוע כי בוצעה בנשק זה או בסיועו עבירה כל שהיא.  עם זאת רכישת נשק מסוג זה, הסתרתו ומסירתו לאחרים, מסכנת את שלום הציבור ואת בטחונו. אין צורך להרחיב בתיאור האפשרויות לשימוש פלילי או בטחוני בנשק מסוג תת מקלע והסיכון שעלול להתממש כתוצאה מכך. </w:t>
      </w:r>
    </w:p>
    <w:p w14:paraId="49D66BEA" w14:textId="77777777" w:rsidR="009C6F2C" w:rsidRDefault="009C6F2C" w:rsidP="00205B11">
      <w:pPr>
        <w:rPr>
          <w:u w:val="single"/>
          <w:rtl/>
        </w:rPr>
      </w:pPr>
    </w:p>
    <w:p w14:paraId="41F6D5B0" w14:textId="77777777" w:rsidR="009C6F2C" w:rsidRDefault="009C6F2C" w:rsidP="00B35F55">
      <w:pPr>
        <w:spacing w:line="360" w:lineRule="auto"/>
        <w:rPr>
          <w:u w:val="single"/>
          <w:rtl/>
        </w:rPr>
      </w:pPr>
      <w:r>
        <w:rPr>
          <w:u w:val="single"/>
          <w:rtl/>
        </w:rPr>
        <w:t>נסיבות הקשורות בביצוע העבירה</w:t>
      </w:r>
    </w:p>
    <w:p w14:paraId="35709E13" w14:textId="77777777" w:rsidR="009C6F2C" w:rsidRDefault="009C6F2C" w:rsidP="00352B4F">
      <w:pPr>
        <w:spacing w:line="360" w:lineRule="auto"/>
        <w:jc w:val="both"/>
        <w:rPr>
          <w:rtl/>
        </w:rPr>
      </w:pPr>
      <w:r>
        <w:rPr>
          <w:rtl/>
        </w:rPr>
        <w:t xml:space="preserve">הנסיבות הקשורות לביצוע העבירה הן נסיבות מחמירות. הנאשם יצר קשר עם גורם פלילי אחר, נסע אליו, רכש בצורה בלתי חוקית את הנשק ושילם תמורתו. בהמשך הוביל ונשא את הנשק לכפר מגוריו, שם הסתיר אותו תוך שהוא משתף אחרים  ומאפשר שימוש בנשק. מדובר בנסיבות היוצרות מכפיל לעוצמת המסוכנות שיש במעשים ובשימוש האפשרי בנשק. כל אלו מהווים נסיבות לחומרה. הלכה היא כי </w:t>
      </w:r>
      <w:r w:rsidRPr="00BB2C1B">
        <w:rPr>
          <w:rtl/>
        </w:rPr>
        <w:t>"</w:t>
      </w:r>
      <w:r w:rsidRPr="00BB2C1B">
        <w:rPr>
          <w:b/>
          <w:bCs/>
          <w:rtl/>
        </w:rPr>
        <w:t>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w:t>
      </w:r>
      <w:r w:rsidRPr="00BB2C1B">
        <w:rPr>
          <w:rtl/>
        </w:rPr>
        <w:t>"</w:t>
      </w:r>
      <w:r>
        <w:rPr>
          <w:rtl/>
        </w:rPr>
        <w:t xml:space="preserve"> [</w:t>
      </w:r>
      <w:hyperlink r:id="rId22" w:history="1">
        <w:r w:rsidR="00235A10" w:rsidRPr="00235A10">
          <w:rPr>
            <w:color w:val="0000FF"/>
            <w:u w:val="single"/>
            <w:rtl/>
          </w:rPr>
          <w:t>ע"פ 5833/07</w:t>
        </w:r>
      </w:hyperlink>
      <w:r w:rsidRPr="00BB2C1B">
        <w:rPr>
          <w:rtl/>
        </w:rPr>
        <w:t xml:space="preserve"> </w:t>
      </w:r>
      <w:r w:rsidRPr="00BB2C1B">
        <w:rPr>
          <w:b/>
          <w:bCs/>
          <w:rtl/>
        </w:rPr>
        <w:t>ח'ורי נ' מדינת ישראל</w:t>
      </w:r>
      <w:r w:rsidRPr="00BB2C1B">
        <w:rPr>
          <w:rtl/>
        </w:rPr>
        <w:t xml:space="preserve"> ([פורסם בנבו], 18.11.2007); ראו גם </w:t>
      </w:r>
      <w:hyperlink r:id="rId23" w:history="1">
        <w:r w:rsidR="00235A10" w:rsidRPr="00235A10">
          <w:rPr>
            <w:color w:val="0000FF"/>
            <w:u w:val="single"/>
            <w:rtl/>
          </w:rPr>
          <w:t>ע"פ 9543/09</w:t>
        </w:r>
      </w:hyperlink>
      <w:r w:rsidRPr="00BB2C1B">
        <w:rPr>
          <w:rtl/>
        </w:rPr>
        <w:t xml:space="preserve"> </w:t>
      </w:r>
      <w:r w:rsidRPr="00BB2C1B">
        <w:rPr>
          <w:b/>
          <w:bCs/>
          <w:rtl/>
        </w:rPr>
        <w:t>רחאל נ' מדינת ישראל</w:t>
      </w:r>
      <w:r w:rsidRPr="00BB2C1B">
        <w:rPr>
          <w:rtl/>
        </w:rPr>
        <w:t>, פסקה ח' ([פורסם בנבו], 19.1.2010</w:t>
      </w:r>
      <w:r>
        <w:rPr>
          <w:rtl/>
        </w:rPr>
        <w:t xml:space="preserve">); </w:t>
      </w:r>
      <w:hyperlink r:id="rId24" w:history="1">
        <w:r w:rsidR="00235A10" w:rsidRPr="00235A10">
          <w:rPr>
            <w:color w:val="0000FF"/>
            <w:u w:val="single"/>
            <w:rtl/>
          </w:rPr>
          <w:t>ע"פ 2251/11</w:t>
        </w:r>
      </w:hyperlink>
      <w:r w:rsidRPr="00BB2C1B">
        <w:rPr>
          <w:rtl/>
        </w:rPr>
        <w:t xml:space="preserve"> </w:t>
      </w:r>
      <w:r w:rsidRPr="002D23A8">
        <w:rPr>
          <w:b/>
          <w:bCs/>
          <w:rtl/>
        </w:rPr>
        <w:t>נפעא נ' מדינת ישראל</w:t>
      </w:r>
      <w:r w:rsidRPr="00BB2C1B">
        <w:rPr>
          <w:rtl/>
        </w:rPr>
        <w:t xml:space="preserve">, </w:t>
      </w:r>
      <w:r>
        <w:rPr>
          <w:rtl/>
        </w:rPr>
        <w:t>(</w:t>
      </w:r>
      <w:r w:rsidRPr="00BB2C1B">
        <w:rPr>
          <w:rtl/>
        </w:rPr>
        <w:t>[פורסם בנבו] פסקה 5 4.12.2011)</w:t>
      </w:r>
      <w:r>
        <w:rPr>
          <w:rtl/>
        </w:rPr>
        <w:t>;</w:t>
      </w:r>
      <w:r w:rsidRPr="002D23A8">
        <w:rPr>
          <w:rtl/>
        </w:rPr>
        <w:t xml:space="preserve"> </w:t>
      </w:r>
      <w:hyperlink r:id="rId25" w:history="1">
        <w:r w:rsidR="00235A10" w:rsidRPr="00235A10">
          <w:rPr>
            <w:color w:val="0000FF"/>
            <w:u w:val="single"/>
            <w:rtl/>
          </w:rPr>
          <w:t>ע"פ 1768/14</w:t>
        </w:r>
      </w:hyperlink>
      <w:r w:rsidRPr="002D23A8">
        <w:rPr>
          <w:rtl/>
        </w:rPr>
        <w:t xml:space="preserve"> </w:t>
      </w:r>
      <w:r w:rsidRPr="002D23A8">
        <w:rPr>
          <w:b/>
          <w:bCs/>
          <w:rtl/>
        </w:rPr>
        <w:t>בהא גנאיים נ' מדינת ישראל</w:t>
      </w:r>
      <w:r>
        <w:rPr>
          <w:rtl/>
        </w:rPr>
        <w:t xml:space="preserve"> ([פורסם בנבו] פסקה 11, 22.7.2014)].  </w:t>
      </w:r>
    </w:p>
    <w:p w14:paraId="3C6D1046" w14:textId="77777777" w:rsidR="009C6F2C" w:rsidRDefault="009C6F2C" w:rsidP="00205B11">
      <w:pPr>
        <w:rPr>
          <w:u w:val="single"/>
          <w:rtl/>
        </w:rPr>
      </w:pPr>
    </w:p>
    <w:p w14:paraId="3F16314F" w14:textId="77777777" w:rsidR="009C6F2C" w:rsidRDefault="009C6F2C" w:rsidP="00B35F55">
      <w:pPr>
        <w:spacing w:line="360" w:lineRule="auto"/>
        <w:rPr>
          <w:u w:val="single"/>
          <w:rtl/>
        </w:rPr>
      </w:pPr>
      <w:r>
        <w:rPr>
          <w:u w:val="single"/>
          <w:rtl/>
        </w:rPr>
        <w:t>נסיבות שאינן קשורות בביצוע העבירה</w:t>
      </w:r>
    </w:p>
    <w:p w14:paraId="516E8268" w14:textId="77777777" w:rsidR="009C6F2C" w:rsidRDefault="009C6F2C" w:rsidP="00AB53FC">
      <w:pPr>
        <w:spacing w:line="360" w:lineRule="auto"/>
        <w:jc w:val="both"/>
        <w:rPr>
          <w:rtl/>
        </w:rPr>
      </w:pPr>
      <w:r w:rsidRPr="0058434C">
        <w:rPr>
          <w:rtl/>
        </w:rPr>
        <w:t xml:space="preserve">לחובתו של הנאשם עבר פלילי </w:t>
      </w:r>
      <w:r>
        <w:rPr>
          <w:rtl/>
        </w:rPr>
        <w:t>הכולל, כפי שפורט בטיעון לעונש לעיל, ה</w:t>
      </w:r>
      <w:r w:rsidRPr="0058434C">
        <w:rPr>
          <w:rtl/>
        </w:rPr>
        <w:t>רשעה קודמת ב</w:t>
      </w:r>
      <w:hyperlink r:id="rId26" w:history="1">
        <w:r w:rsidR="00235A10" w:rsidRPr="00235A10">
          <w:rPr>
            <w:color w:val="0000FF"/>
            <w:u w:val="single"/>
            <w:rtl/>
          </w:rPr>
          <w:t>ת"פ 52044-05-13</w:t>
        </w:r>
      </w:hyperlink>
      <w:r w:rsidRPr="0058434C">
        <w:rPr>
          <w:rtl/>
        </w:rPr>
        <w:t xml:space="preserve"> של בית המשפט המחוזי בחיפה. שם הודה הנאשם כי יצר ביחד עם אחר בקבוקי תבערה והשליכם לעבר רכב בכביש בגליל. </w:t>
      </w:r>
      <w:r>
        <w:rPr>
          <w:rtl/>
        </w:rPr>
        <w:t xml:space="preserve">בגין הרשעה זו נגזרו עליו, בין היתר, גם עשרה חודשי מאסר מותנה על עבירות שבביצוען הורשע כעת. את העבירות נשוא כתב אישום זה ביצע שלושה חודשים לאחר שסיים לרצות את מאסרו הקודם.  נסיבות אלו מצביעות על העדר הפנמה ומעבר לחובה להפעיל את המאסר המותנה, בהתאם לחוק, יש בהן גם כדי להוות נסיבות לחומרה ביחס לגזירת דינו בגין העבירות שבביצוען הורשע. </w:t>
      </w:r>
    </w:p>
    <w:p w14:paraId="178DC067" w14:textId="77777777" w:rsidR="009C6F2C" w:rsidRPr="00205B11" w:rsidRDefault="009C6F2C" w:rsidP="00205B11">
      <w:pPr>
        <w:jc w:val="both"/>
        <w:rPr>
          <w:sz w:val="16"/>
          <w:szCs w:val="16"/>
          <w:rtl/>
        </w:rPr>
      </w:pPr>
    </w:p>
    <w:p w14:paraId="341AE31F" w14:textId="77777777" w:rsidR="009C6F2C" w:rsidRPr="0058434C" w:rsidRDefault="009C6F2C" w:rsidP="00594C45">
      <w:pPr>
        <w:spacing w:line="360" w:lineRule="auto"/>
        <w:jc w:val="both"/>
        <w:rPr>
          <w:rtl/>
        </w:rPr>
      </w:pPr>
      <w:r>
        <w:rPr>
          <w:rtl/>
        </w:rPr>
        <w:t xml:space="preserve">לזכותו של הנאשם עומדת הודאתו בביצוע העבירות ונטילת האחריות ושיתוף הפעולה עם גורמי החקירה. על אלו אוסיף את נסיבות מעצרו כפי שפורטו בטיעוני בא כוחו וכן את העובדה שבעת מעצרו נפטר אביו ואחותו נישאה לבחיר ליבה. לנאשם לא ניתנה האפשרות להשתתף בהלוויית אביו והוא גם לא זכה לקחת חלק בחתונת אחותו.  מעדות ראש המועצה, כפי שפורטה לעיל, ניתן היה ללמוד גם על הסבל שנגרם למשפחתו של הנאשם כתוצאה ממעצרו והקושי שיש לאמו הקשישה בעת העדרו מהבית. נסיבות אלו, ביחד עם גילו הצעיר, יובאו בחשבון במסגרת מכלול השיקולים.  </w:t>
      </w:r>
    </w:p>
    <w:p w14:paraId="0687DC7B" w14:textId="77777777" w:rsidR="009C6F2C" w:rsidRDefault="009C6F2C" w:rsidP="00205B11">
      <w:pPr>
        <w:rPr>
          <w:u w:val="single"/>
          <w:rtl/>
        </w:rPr>
      </w:pPr>
    </w:p>
    <w:p w14:paraId="25220159" w14:textId="77777777" w:rsidR="009C6F2C" w:rsidRDefault="009C6F2C" w:rsidP="00B35F55">
      <w:pPr>
        <w:spacing w:line="360" w:lineRule="auto"/>
        <w:rPr>
          <w:u w:val="single"/>
          <w:rtl/>
        </w:rPr>
      </w:pPr>
      <w:r>
        <w:rPr>
          <w:u w:val="single"/>
          <w:rtl/>
        </w:rPr>
        <w:t>מתחם העונש ההולם</w:t>
      </w:r>
    </w:p>
    <w:p w14:paraId="249A82AF" w14:textId="77777777" w:rsidR="009C6F2C" w:rsidRDefault="009C6F2C" w:rsidP="005B2E15">
      <w:pPr>
        <w:spacing w:line="360" w:lineRule="auto"/>
        <w:jc w:val="both"/>
        <w:rPr>
          <w:rtl/>
        </w:rPr>
      </w:pPr>
      <w:r>
        <w:rPr>
          <w:rtl/>
        </w:rPr>
        <w:t>בהביאי בחשבון את כל האמור לעיל, ואת העובדה שמדובר בשתי עבירות שונות שביצוען התרחש על פני זירות שונות ולמשך זמן, סבור אני כי מדובר בנסיבות מחמירות שיש בהן כדי להשפיע על קביעת המתחם. המאשימה הציעה מתחם שבין שלוש לחמש שנות מאסר, זאת ביחד עם עונש מאסר מותנה  וקנס מרתיעים. אציין כי המתחם שהוצע אינו מחמיר ובוודאי שאינו חורג לחומרה ביחס לענישה המקובלת והראויה במקרים דומים. ראו למשל:</w:t>
      </w:r>
    </w:p>
    <w:p w14:paraId="569434C3" w14:textId="77777777" w:rsidR="009C6F2C" w:rsidRDefault="00235A10" w:rsidP="00352B4F">
      <w:pPr>
        <w:spacing w:line="360" w:lineRule="auto"/>
        <w:jc w:val="both"/>
        <w:rPr>
          <w:rtl/>
        </w:rPr>
      </w:pPr>
      <w:hyperlink r:id="rId27" w:history="1">
        <w:r w:rsidRPr="00235A10">
          <w:rPr>
            <w:color w:val="0000FF"/>
            <w:u w:val="single"/>
            <w:rtl/>
          </w:rPr>
          <w:t>ע"פ 1768/14</w:t>
        </w:r>
      </w:hyperlink>
      <w:r w:rsidR="009C6F2C" w:rsidRPr="00C8794C">
        <w:rPr>
          <w:rtl/>
        </w:rPr>
        <w:t xml:space="preserve"> </w:t>
      </w:r>
      <w:r w:rsidR="009C6F2C" w:rsidRPr="00C8794C">
        <w:rPr>
          <w:b/>
          <w:bCs/>
          <w:rtl/>
        </w:rPr>
        <w:t>בהא גנאיים נ' מדינת ישראל</w:t>
      </w:r>
      <w:r w:rsidR="009C6F2C" w:rsidRPr="00C8794C">
        <w:rPr>
          <w:rtl/>
        </w:rPr>
        <w:t xml:space="preserve"> </w:t>
      </w:r>
      <w:r w:rsidR="009C6F2C">
        <w:rPr>
          <w:rtl/>
        </w:rPr>
        <w:t>(</w:t>
      </w:r>
      <w:r w:rsidR="009C6F2C" w:rsidRPr="00C8794C">
        <w:rPr>
          <w:rtl/>
        </w:rPr>
        <w:t>[פורסם בנבו] 22.7.2014)</w:t>
      </w:r>
      <w:r w:rsidR="009C6F2C">
        <w:rPr>
          <w:rtl/>
        </w:rPr>
        <w:t xml:space="preserve"> – שם נגזר עונש של 36 חודשי מאסר; </w:t>
      </w:r>
    </w:p>
    <w:p w14:paraId="0EB8F7BB" w14:textId="77777777" w:rsidR="009C6F2C" w:rsidRDefault="00235A10" w:rsidP="00352B4F">
      <w:pPr>
        <w:spacing w:line="360" w:lineRule="auto"/>
        <w:jc w:val="both"/>
        <w:rPr>
          <w:rtl/>
        </w:rPr>
      </w:pPr>
      <w:hyperlink r:id="rId28" w:history="1">
        <w:r w:rsidRPr="00235A10">
          <w:rPr>
            <w:color w:val="0000FF"/>
            <w:u w:val="single"/>
            <w:rtl/>
          </w:rPr>
          <w:t>ע"פ 2251/11</w:t>
        </w:r>
      </w:hyperlink>
      <w:r w:rsidR="009C6F2C" w:rsidRPr="00DF010E">
        <w:rPr>
          <w:rtl/>
        </w:rPr>
        <w:t xml:space="preserve"> </w:t>
      </w:r>
      <w:r w:rsidR="009C6F2C" w:rsidRPr="00DF010E">
        <w:rPr>
          <w:b/>
          <w:bCs/>
          <w:rtl/>
        </w:rPr>
        <w:t>נפעא נ' מדינת ישראל</w:t>
      </w:r>
      <w:r w:rsidR="009C6F2C" w:rsidRPr="00DF010E">
        <w:rPr>
          <w:rtl/>
        </w:rPr>
        <w:t>,</w:t>
      </w:r>
      <w:r w:rsidR="009C6F2C">
        <w:rPr>
          <w:rtl/>
        </w:rPr>
        <w:t>(</w:t>
      </w:r>
      <w:r w:rsidR="009C6F2C" w:rsidRPr="00DF010E">
        <w:rPr>
          <w:rtl/>
        </w:rPr>
        <w:t>[פורסם בנבו] 4.12.2011)</w:t>
      </w:r>
      <w:r w:rsidR="009C6F2C">
        <w:rPr>
          <w:rtl/>
        </w:rPr>
        <w:t xml:space="preserve"> – שם נגזר עונש של 46 חודשי מאסר;</w:t>
      </w:r>
    </w:p>
    <w:p w14:paraId="69048112" w14:textId="77777777" w:rsidR="009C6F2C" w:rsidRPr="00CA533B" w:rsidRDefault="00235A10" w:rsidP="00CA533B">
      <w:pPr>
        <w:spacing w:line="360" w:lineRule="auto"/>
        <w:jc w:val="both"/>
        <w:rPr>
          <w:rtl/>
        </w:rPr>
      </w:pPr>
      <w:hyperlink r:id="rId29" w:history="1">
        <w:r w:rsidRPr="00235A10">
          <w:rPr>
            <w:color w:val="0000FF"/>
            <w:u w:val="single"/>
            <w:rtl/>
          </w:rPr>
          <w:t>ע"פ 5900/15</w:t>
        </w:r>
      </w:hyperlink>
      <w:r w:rsidR="009C6F2C" w:rsidRPr="00734F72">
        <w:rPr>
          <w:rtl/>
        </w:rPr>
        <w:t xml:space="preserve"> </w:t>
      </w:r>
      <w:r w:rsidR="009C6F2C" w:rsidRPr="00734F72">
        <w:rPr>
          <w:b/>
          <w:bCs/>
          <w:rtl/>
        </w:rPr>
        <w:t>מעוז נ' מדינת ישראל</w:t>
      </w:r>
      <w:r w:rsidR="009C6F2C" w:rsidRPr="00734F72">
        <w:rPr>
          <w:rtl/>
        </w:rPr>
        <w:t xml:space="preserve"> (10.5.16) – שם נגזר עונש של 34 חודשי מאסר.</w:t>
      </w:r>
      <w:r w:rsidR="009C6F2C">
        <w:rPr>
          <w:rtl/>
        </w:rPr>
        <w:t xml:space="preserve"> </w:t>
      </w:r>
    </w:p>
    <w:p w14:paraId="6CD87BF5" w14:textId="77777777" w:rsidR="009C6F2C" w:rsidRDefault="009C6F2C" w:rsidP="00205B11">
      <w:pPr>
        <w:jc w:val="both"/>
        <w:rPr>
          <w:rtl/>
        </w:rPr>
      </w:pPr>
      <w:r w:rsidRPr="00C8794C">
        <w:rPr>
          <w:rtl/>
        </w:rPr>
        <w:t xml:space="preserve"> </w:t>
      </w:r>
    </w:p>
    <w:p w14:paraId="48185FD6" w14:textId="77777777" w:rsidR="009C6F2C" w:rsidRDefault="009C6F2C" w:rsidP="00352B4F">
      <w:pPr>
        <w:spacing w:line="360" w:lineRule="auto"/>
        <w:jc w:val="both"/>
        <w:rPr>
          <w:rtl/>
        </w:rPr>
      </w:pPr>
      <w:r>
        <w:rPr>
          <w:rtl/>
        </w:rPr>
        <w:t>ער אני לעובדה כי נסיבות המקרים בכל אחד מפסקי הדין שונות ואולם עניינם של כולם ברכיבים של רכישת או מכירת נשק בלתי חוקי, נשיאתו והובלתו ומתן אפשרות לאחרים לעשות בו שימוש. בית המשפט העליון כבר הבהיר כי נסיבות אלו מצדיקות ומחייבות החמרה בענישה [</w:t>
      </w:r>
      <w:hyperlink r:id="rId30" w:history="1">
        <w:r w:rsidR="00235A10" w:rsidRPr="00235A10">
          <w:rPr>
            <w:color w:val="0000FF"/>
            <w:u w:val="single"/>
            <w:rtl/>
          </w:rPr>
          <w:t>ע"פ 4460/11</w:t>
        </w:r>
      </w:hyperlink>
      <w:r w:rsidRPr="00DF010E">
        <w:rPr>
          <w:rtl/>
        </w:rPr>
        <w:t xml:space="preserve"> </w:t>
      </w:r>
      <w:r w:rsidRPr="00352B4F">
        <w:rPr>
          <w:b/>
          <w:bCs/>
          <w:rtl/>
        </w:rPr>
        <w:t>מדינת ישראל נ' פאיד</w:t>
      </w:r>
      <w:r w:rsidRPr="00DF010E">
        <w:rPr>
          <w:rtl/>
        </w:rPr>
        <w:t xml:space="preserve"> </w:t>
      </w:r>
      <w:r>
        <w:rPr>
          <w:rtl/>
        </w:rPr>
        <w:t>(</w:t>
      </w:r>
      <w:r w:rsidRPr="00DF010E">
        <w:rPr>
          <w:rtl/>
        </w:rPr>
        <w:t>[פורסם בנבו] 28.11.2011</w:t>
      </w:r>
      <w:r>
        <w:rPr>
          <w:rtl/>
        </w:rPr>
        <w:t xml:space="preserve">); </w:t>
      </w:r>
      <w:hyperlink r:id="rId31" w:history="1">
        <w:r w:rsidR="007C5220" w:rsidRPr="007C5220">
          <w:rPr>
            <w:color w:val="0000FF"/>
            <w:u w:val="single"/>
            <w:rtl/>
          </w:rPr>
          <w:t>ע"פ 1332/04 מדינת ישראל נ' פס, פ"ד נח</w:t>
        </w:r>
      </w:hyperlink>
      <w:r w:rsidRPr="00352B4F">
        <w:rPr>
          <w:rtl/>
        </w:rPr>
        <w:t xml:space="preserve">(5) 541, 545 (2004); </w:t>
      </w:r>
      <w:hyperlink r:id="rId32" w:history="1">
        <w:r w:rsidR="00235A10" w:rsidRPr="00235A10">
          <w:rPr>
            <w:color w:val="0000FF"/>
            <w:u w:val="single"/>
            <w:rtl/>
          </w:rPr>
          <w:t>ע"פ 8012/04</w:t>
        </w:r>
      </w:hyperlink>
      <w:r w:rsidRPr="00352B4F">
        <w:rPr>
          <w:rtl/>
        </w:rPr>
        <w:t xml:space="preserve"> </w:t>
      </w:r>
      <w:r w:rsidRPr="00352B4F">
        <w:rPr>
          <w:b/>
          <w:bCs/>
          <w:rtl/>
        </w:rPr>
        <w:t>מתאני נ' מדינת ישראל</w:t>
      </w:r>
      <w:r w:rsidRPr="00352B4F">
        <w:rPr>
          <w:rtl/>
        </w:rPr>
        <w:t>, ([פורסם בנבו], 16.11.2005)</w:t>
      </w:r>
      <w:r>
        <w:rPr>
          <w:rtl/>
        </w:rPr>
        <w:t xml:space="preserve">. </w:t>
      </w:r>
    </w:p>
    <w:p w14:paraId="6A217C11" w14:textId="77777777" w:rsidR="009C6F2C" w:rsidRDefault="009C6F2C" w:rsidP="00352B4F">
      <w:pPr>
        <w:spacing w:line="360" w:lineRule="auto"/>
        <w:jc w:val="both"/>
        <w:rPr>
          <w:rtl/>
        </w:rPr>
      </w:pPr>
    </w:p>
    <w:p w14:paraId="21A18486" w14:textId="77777777" w:rsidR="009C6F2C" w:rsidRDefault="009C6F2C" w:rsidP="008F609B">
      <w:pPr>
        <w:spacing w:line="360" w:lineRule="auto"/>
        <w:jc w:val="both"/>
        <w:rPr>
          <w:rtl/>
        </w:rPr>
      </w:pPr>
      <w:r>
        <w:rPr>
          <w:rtl/>
        </w:rPr>
        <w:t xml:space="preserve">בנסיבות המקרה אני מאמץ את מתחם הענישה שהציעה המאשימה, שבין שלוש (3) לחמש (5) שנות מאסר, שלטעמי משקף את נסיבות המקרה וחומרתו. </w:t>
      </w:r>
    </w:p>
    <w:p w14:paraId="4C65D52E" w14:textId="77777777" w:rsidR="009C6F2C" w:rsidRPr="002B44B6" w:rsidRDefault="009C6F2C" w:rsidP="00B35F55">
      <w:pPr>
        <w:spacing w:line="360" w:lineRule="auto"/>
        <w:jc w:val="both"/>
        <w:rPr>
          <w:rtl/>
        </w:rPr>
      </w:pPr>
    </w:p>
    <w:p w14:paraId="79B03101" w14:textId="77777777" w:rsidR="009C6F2C" w:rsidRDefault="009C6F2C" w:rsidP="00B35F55">
      <w:pPr>
        <w:spacing w:line="360" w:lineRule="auto"/>
        <w:rPr>
          <w:u w:val="single"/>
          <w:rtl/>
        </w:rPr>
      </w:pPr>
      <w:r>
        <w:rPr>
          <w:u w:val="single"/>
          <w:rtl/>
        </w:rPr>
        <w:t>סטייה מהמתחם ומהעונש ההולם</w:t>
      </w:r>
    </w:p>
    <w:p w14:paraId="7754F7C2" w14:textId="77777777" w:rsidR="009C6F2C" w:rsidRDefault="009C6F2C" w:rsidP="001B6032">
      <w:pPr>
        <w:spacing w:line="360" w:lineRule="auto"/>
        <w:jc w:val="both"/>
        <w:rPr>
          <w:rtl/>
        </w:rPr>
      </w:pPr>
      <w:r w:rsidRPr="000D005E">
        <w:rPr>
          <w:rtl/>
        </w:rPr>
        <w:t>העובדה שהעבירות בוצעו כשלושה חודשים לאחר שחרור ממאסר קודם</w:t>
      </w:r>
      <w:r>
        <w:rPr>
          <w:rtl/>
        </w:rPr>
        <w:t xml:space="preserve"> וכאשר גם מאסר מותנה משמעותי אינו מרתיע מביצוע העבירות, כל אלו מלמדים כי אין בפני אדם צעיר המגלה רצון אמתי לשינוי אורחות חיים. בחירתו המודעת בעבריינות מצביעה כי בעת הזו אין פניו לשינוי ולשיקום. מכאן שאין מקום לסטות מהמתחם מטעם זה. </w:t>
      </w:r>
    </w:p>
    <w:p w14:paraId="11B1CC2F" w14:textId="77777777" w:rsidR="009C6F2C" w:rsidRDefault="009C6F2C" w:rsidP="00205B11">
      <w:pPr>
        <w:rPr>
          <w:rtl/>
        </w:rPr>
      </w:pPr>
    </w:p>
    <w:p w14:paraId="6CF2E08B" w14:textId="77777777" w:rsidR="009C6F2C" w:rsidRPr="000D005E" w:rsidRDefault="009C6F2C" w:rsidP="00D73F92">
      <w:pPr>
        <w:spacing w:line="360" w:lineRule="auto"/>
        <w:rPr>
          <w:rtl/>
        </w:rPr>
      </w:pPr>
      <w:r>
        <w:rPr>
          <w:rtl/>
        </w:rPr>
        <w:t xml:space="preserve">לא מצאתי במקרה שבפני גם עילות לסטייה לחומרה ממתחם העונש ההולם, הגם שהעובדה שהנשק נמסר לאחרים לשימוש, היא נסיבה לחומרה.   </w:t>
      </w:r>
    </w:p>
    <w:p w14:paraId="3C9D1A8D" w14:textId="77777777" w:rsidR="009C6F2C" w:rsidRDefault="009C6F2C" w:rsidP="00205B11">
      <w:pPr>
        <w:rPr>
          <w:u w:val="single"/>
          <w:rtl/>
        </w:rPr>
      </w:pPr>
    </w:p>
    <w:p w14:paraId="721055FB" w14:textId="77777777" w:rsidR="009C6F2C" w:rsidRDefault="009C6F2C" w:rsidP="00B35F55">
      <w:pPr>
        <w:spacing w:line="360" w:lineRule="auto"/>
        <w:rPr>
          <w:u w:val="single"/>
          <w:rtl/>
        </w:rPr>
      </w:pPr>
      <w:r>
        <w:rPr>
          <w:u w:val="single"/>
          <w:rtl/>
        </w:rPr>
        <w:t>קביעת העונש ההולם בתוך המתחם</w:t>
      </w:r>
    </w:p>
    <w:p w14:paraId="77BF7850" w14:textId="77777777" w:rsidR="009C6F2C" w:rsidRDefault="009C6F2C" w:rsidP="00935F3E">
      <w:pPr>
        <w:spacing w:line="360" w:lineRule="auto"/>
        <w:jc w:val="both"/>
        <w:rPr>
          <w:rtl/>
        </w:rPr>
      </w:pPr>
      <w:r>
        <w:rPr>
          <w:rtl/>
        </w:rPr>
        <w:t xml:space="preserve">בהביאי בחשבון את מכלול הנתונים, כפי שפורטו, אני מעמיד את עונשו של הנאשם בגין העבירות בהן הורשע כמפורט בכתב האישום על ארבע וחצי שנות מאסר, מהן שלוש וחצי שנות מאסר לריצוי בפועל (שהם ארבעים ושניים חודשי מאסר) וזאת מיום מעצרו. יתרת תקופת המאסר למשך שנה (12 חודשים) תהיה על תנאי. התנאי הוא שהנאשם לא יעבור העבירות בהן הורשע וכן כל עבירה בנשק וזאת בתוך שלוש שנים ויורשע בגינה.  </w:t>
      </w:r>
    </w:p>
    <w:p w14:paraId="07779844" w14:textId="77777777" w:rsidR="009C6F2C" w:rsidRDefault="009C6F2C" w:rsidP="00205B11">
      <w:pPr>
        <w:jc w:val="both"/>
        <w:rPr>
          <w:rtl/>
        </w:rPr>
      </w:pPr>
      <w:r>
        <w:rPr>
          <w:rtl/>
        </w:rPr>
        <w:t xml:space="preserve"> </w:t>
      </w:r>
    </w:p>
    <w:p w14:paraId="12191E48" w14:textId="77777777" w:rsidR="009C6F2C" w:rsidRDefault="009C6F2C" w:rsidP="00B35F55">
      <w:pPr>
        <w:spacing w:line="360" w:lineRule="auto"/>
        <w:jc w:val="both"/>
        <w:rPr>
          <w:rtl/>
        </w:rPr>
      </w:pPr>
      <w:r>
        <w:rPr>
          <w:u w:val="single"/>
          <w:rtl/>
        </w:rPr>
        <w:t>הצטברות העונשים</w:t>
      </w:r>
    </w:p>
    <w:p w14:paraId="68AB5EC2" w14:textId="77777777" w:rsidR="009C6F2C" w:rsidRDefault="009C6F2C" w:rsidP="000B6DDB">
      <w:pPr>
        <w:spacing w:line="360" w:lineRule="auto"/>
        <w:jc w:val="both"/>
        <w:rPr>
          <w:rtl/>
        </w:rPr>
      </w:pPr>
      <w:r>
        <w:rPr>
          <w:rtl/>
        </w:rPr>
        <w:t xml:space="preserve">כנגד הנאשם תלוי ועומד עונש של מאסר מותנה בן 10 חודשים שהוטל עליו ושעניינו במספר עבירות שבהן גם עבירה של נשיאת נשק, בה הורשע כעת. אמנם הנסיבות העובדתיות של נשיאת הנשק בגינה הוטל עליו המאסר המותנה שונות מאלו שבכתב האישום הנוכחי, ואולם אין בכך כדי להפחית מחומרת המעשה או מעילות הפעלת המאסר המותנה.  העובדה שהעבירות נשוא כתב האישום הנוכחי נעברו כשלושה חודשים לאחר שסיים הנאשם לרצות מאסר קודם, ולמעשה בראשית תקופת תחולתו של המאסר המותנה, נזקפות לחובתו. </w:t>
      </w:r>
    </w:p>
    <w:p w14:paraId="115F37EF" w14:textId="77777777" w:rsidR="009C6F2C" w:rsidRDefault="009C6F2C" w:rsidP="00205B11">
      <w:pPr>
        <w:jc w:val="both"/>
        <w:rPr>
          <w:rtl/>
        </w:rPr>
      </w:pPr>
    </w:p>
    <w:p w14:paraId="0CF17E2E" w14:textId="77777777" w:rsidR="009C6F2C" w:rsidRDefault="009C6F2C" w:rsidP="000B6DDB">
      <w:pPr>
        <w:spacing w:line="360" w:lineRule="auto"/>
        <w:jc w:val="both"/>
        <w:rPr>
          <w:rtl/>
        </w:rPr>
      </w:pPr>
      <w:r>
        <w:rPr>
          <w:rtl/>
        </w:rPr>
        <w:t xml:space="preserve">בנסיבות אלו, ובהתאם להוראות </w:t>
      </w:r>
      <w:hyperlink r:id="rId33" w:history="1">
        <w:r w:rsidR="00434717" w:rsidRPr="00434717">
          <w:rPr>
            <w:color w:val="0000FF"/>
            <w:u w:val="single"/>
            <w:rtl/>
          </w:rPr>
          <w:t>סעיף 55</w:t>
        </w:r>
      </w:hyperlink>
      <w:r>
        <w:rPr>
          <w:rtl/>
        </w:rPr>
        <w:t xml:space="preserve"> ל</w:t>
      </w:r>
      <w:hyperlink r:id="rId34" w:history="1">
        <w:r w:rsidR="00235A10" w:rsidRPr="00235A10">
          <w:rPr>
            <w:color w:val="0000FF"/>
            <w:u w:val="single"/>
            <w:rtl/>
          </w:rPr>
          <w:t>חוק העונשין</w:t>
        </w:r>
      </w:hyperlink>
      <w:r>
        <w:rPr>
          <w:rtl/>
        </w:rPr>
        <w:t xml:space="preserve">, התשל"ז – 1977, יש להורות על הפעלת המאסר המותנה. לא מצאתי בפני נימוקים ראויים, כמצוות </w:t>
      </w:r>
      <w:hyperlink r:id="rId35" w:history="1">
        <w:r w:rsidR="00434717" w:rsidRPr="00434717">
          <w:rPr>
            <w:color w:val="0000FF"/>
            <w:u w:val="single"/>
            <w:rtl/>
          </w:rPr>
          <w:t>סעיף 58</w:t>
        </w:r>
      </w:hyperlink>
      <w:r>
        <w:rPr>
          <w:rtl/>
        </w:rPr>
        <w:t xml:space="preserve"> ל</w:t>
      </w:r>
      <w:hyperlink r:id="rId36" w:history="1">
        <w:r w:rsidR="00235A10" w:rsidRPr="00235A10">
          <w:rPr>
            <w:color w:val="0000FF"/>
            <w:u w:val="single"/>
            <w:rtl/>
          </w:rPr>
          <w:t>חוק העונשין</w:t>
        </w:r>
      </w:hyperlink>
      <w:r>
        <w:rPr>
          <w:rtl/>
        </w:rPr>
        <w:t xml:space="preserve">, המצדיקים לחרוג מהכלל ולהורות כי העונש המותנה שהופעל לא ירוצה במצטבר למאסר שנגזר. </w:t>
      </w:r>
    </w:p>
    <w:p w14:paraId="27826096" w14:textId="77777777" w:rsidR="009C6F2C" w:rsidRDefault="009C6F2C" w:rsidP="00205B11">
      <w:pPr>
        <w:jc w:val="both"/>
        <w:rPr>
          <w:rtl/>
        </w:rPr>
      </w:pPr>
    </w:p>
    <w:p w14:paraId="4FC024F8" w14:textId="77777777" w:rsidR="009C6F2C" w:rsidRDefault="009C6F2C" w:rsidP="00935F3E">
      <w:pPr>
        <w:spacing w:line="360" w:lineRule="auto"/>
        <w:jc w:val="both"/>
        <w:rPr>
          <w:rtl/>
        </w:rPr>
      </w:pPr>
      <w:r>
        <w:rPr>
          <w:rtl/>
        </w:rPr>
        <w:t xml:space="preserve">אשר על כן אני מורה כי עונש המאסר המותנה בן 10 חודשים שנגזר על הנאשם   </w:t>
      </w:r>
      <w:r w:rsidRPr="000B6DDB">
        <w:rPr>
          <w:rtl/>
        </w:rPr>
        <w:t>ב</w:t>
      </w:r>
      <w:hyperlink r:id="rId37" w:history="1">
        <w:r w:rsidR="00235A10" w:rsidRPr="00235A10">
          <w:rPr>
            <w:color w:val="0000FF"/>
            <w:u w:val="single"/>
            <w:rtl/>
          </w:rPr>
          <w:t>ת"פ 52044-05-13</w:t>
        </w:r>
      </w:hyperlink>
      <w:r w:rsidRPr="000B6DDB">
        <w:rPr>
          <w:rtl/>
        </w:rPr>
        <w:t xml:space="preserve"> של בית המשפט המחוזי בחיפה</w:t>
      </w:r>
      <w:r>
        <w:rPr>
          <w:rtl/>
        </w:rPr>
        <w:t xml:space="preserve"> יופעל וירוצה במצטבר לעונש שנגזר בגין העבירות שבביצוען הורשע הנאשם בכתב האישום שבפני. </w:t>
      </w:r>
    </w:p>
    <w:p w14:paraId="19572D11" w14:textId="77777777" w:rsidR="009C6F2C" w:rsidRPr="00671EB1" w:rsidRDefault="009C6F2C" w:rsidP="00205B11">
      <w:pPr>
        <w:jc w:val="both"/>
        <w:rPr>
          <w:rtl/>
        </w:rPr>
      </w:pPr>
    </w:p>
    <w:p w14:paraId="40689907" w14:textId="77777777" w:rsidR="009C6F2C" w:rsidRPr="00671EB1" w:rsidRDefault="009C6F2C" w:rsidP="00205B11">
      <w:pPr>
        <w:spacing w:line="480" w:lineRule="auto"/>
        <w:jc w:val="both"/>
        <w:rPr>
          <w:b/>
          <w:bCs/>
          <w:u w:val="single"/>
          <w:rtl/>
        </w:rPr>
      </w:pPr>
      <w:r w:rsidRPr="00671EB1">
        <w:rPr>
          <w:b/>
          <w:bCs/>
          <w:u w:val="single"/>
          <w:rtl/>
        </w:rPr>
        <w:t>סיכום הענישה וגזר הדין</w:t>
      </w:r>
    </w:p>
    <w:p w14:paraId="07C36FB2" w14:textId="77777777" w:rsidR="009C6F2C" w:rsidRDefault="009C6F2C" w:rsidP="00671EB1">
      <w:pPr>
        <w:spacing w:line="360" w:lineRule="auto"/>
        <w:jc w:val="both"/>
        <w:rPr>
          <w:rtl/>
        </w:rPr>
      </w:pPr>
      <w:r>
        <w:rPr>
          <w:rtl/>
        </w:rPr>
        <w:t>בסיכומו של דבר אני גוזר את דינו של הנאשם כדלקמן:</w:t>
      </w:r>
    </w:p>
    <w:p w14:paraId="6FA0C472" w14:textId="77777777" w:rsidR="009C6F2C" w:rsidRDefault="009C6F2C" w:rsidP="00205B11">
      <w:pPr>
        <w:jc w:val="both"/>
        <w:rPr>
          <w:rtl/>
        </w:rPr>
      </w:pPr>
    </w:p>
    <w:p w14:paraId="059D3FE1" w14:textId="77777777" w:rsidR="009C6F2C" w:rsidRDefault="009C6F2C" w:rsidP="004B5B5F">
      <w:pPr>
        <w:spacing w:line="360" w:lineRule="auto"/>
        <w:jc w:val="both"/>
        <w:rPr>
          <w:rtl/>
        </w:rPr>
      </w:pPr>
      <w:r>
        <w:rPr>
          <w:rtl/>
        </w:rPr>
        <w:t xml:space="preserve">בגין העבירות שבביצוען הורשע בכתב האישום שבפני אני גוזר עליו </w:t>
      </w:r>
      <w:r w:rsidRPr="004B5B5F">
        <w:rPr>
          <w:rtl/>
        </w:rPr>
        <w:t xml:space="preserve">ארבע וחצי שנות מאסר, מהן שלוש וחצי שנות מאסר לריצוי בפועל (שהם </w:t>
      </w:r>
      <w:r>
        <w:rPr>
          <w:rtl/>
        </w:rPr>
        <w:t>42</w:t>
      </w:r>
      <w:r w:rsidRPr="004B5B5F">
        <w:rPr>
          <w:rtl/>
        </w:rPr>
        <w:t xml:space="preserve"> חודשי מאסר). יתרת תקופת המאסר למשך שנה (12 חודשים) תהיה על תנאי. התנאי הוא שהנאשם לא יעבור העבירות בהן הורשע וכן כל עבירה בנשק וזאת בתוך שלוש שנים ויורשע בגינה.  </w:t>
      </w:r>
    </w:p>
    <w:p w14:paraId="7CA854F4" w14:textId="77777777" w:rsidR="009C6F2C" w:rsidRDefault="009C6F2C" w:rsidP="00205B11">
      <w:pPr>
        <w:jc w:val="both"/>
        <w:rPr>
          <w:rtl/>
        </w:rPr>
      </w:pPr>
    </w:p>
    <w:p w14:paraId="60D01A03" w14:textId="77777777" w:rsidR="009C6F2C" w:rsidRDefault="009C6F2C" w:rsidP="004B5B5F">
      <w:pPr>
        <w:spacing w:line="360" w:lineRule="auto"/>
        <w:jc w:val="both"/>
        <w:rPr>
          <w:rtl/>
        </w:rPr>
      </w:pPr>
      <w:r>
        <w:rPr>
          <w:rtl/>
        </w:rPr>
        <w:t xml:space="preserve">בנוסף, </w:t>
      </w:r>
      <w:r w:rsidRPr="004B5B5F">
        <w:rPr>
          <w:rtl/>
        </w:rPr>
        <w:t>אני מורה כי עונש המאסר המותנה בן</w:t>
      </w:r>
      <w:r>
        <w:rPr>
          <w:rtl/>
        </w:rPr>
        <w:t xml:space="preserve"> עשרה (</w:t>
      </w:r>
      <w:r w:rsidRPr="004B5B5F">
        <w:rPr>
          <w:rtl/>
        </w:rPr>
        <w:t xml:space="preserve"> 10</w:t>
      </w:r>
      <w:r>
        <w:rPr>
          <w:rtl/>
        </w:rPr>
        <w:t>)</w:t>
      </w:r>
      <w:r w:rsidRPr="004B5B5F">
        <w:rPr>
          <w:rtl/>
        </w:rPr>
        <w:t xml:space="preserve"> חודשים שנגזר על הנאשם   ב</w:t>
      </w:r>
      <w:hyperlink r:id="rId38" w:history="1">
        <w:r w:rsidR="00235A10" w:rsidRPr="00235A10">
          <w:rPr>
            <w:color w:val="0000FF"/>
            <w:u w:val="single"/>
            <w:rtl/>
          </w:rPr>
          <w:t>ת"פ 52044-05-13</w:t>
        </w:r>
      </w:hyperlink>
      <w:r w:rsidRPr="004B5B5F">
        <w:rPr>
          <w:rtl/>
        </w:rPr>
        <w:t xml:space="preserve"> של בית המשפט המחוזי בחיפה יופעל וירוצה במצטבר</w:t>
      </w:r>
      <w:r>
        <w:rPr>
          <w:rtl/>
        </w:rPr>
        <w:t xml:space="preserve"> במלואו</w:t>
      </w:r>
      <w:r w:rsidRPr="004B5B5F">
        <w:rPr>
          <w:rtl/>
        </w:rPr>
        <w:t xml:space="preserve"> לעונש שנגזר בגין העבירות שבביצוען הורשע הנאשם בכתב האישום שבפני.</w:t>
      </w:r>
    </w:p>
    <w:p w14:paraId="2A82CB38" w14:textId="77777777" w:rsidR="009C6F2C" w:rsidRDefault="009C6F2C" w:rsidP="00205B11">
      <w:pPr>
        <w:jc w:val="both"/>
        <w:rPr>
          <w:rtl/>
        </w:rPr>
      </w:pPr>
    </w:p>
    <w:p w14:paraId="76BAECEC" w14:textId="77777777" w:rsidR="009C6F2C" w:rsidRPr="009A4351" w:rsidRDefault="009C6F2C" w:rsidP="004B5B5F">
      <w:pPr>
        <w:spacing w:line="360" w:lineRule="auto"/>
        <w:jc w:val="both"/>
        <w:rPr>
          <w:b/>
          <w:bCs/>
          <w:rtl/>
        </w:rPr>
      </w:pPr>
      <w:r w:rsidRPr="009A4351">
        <w:rPr>
          <w:b/>
          <w:bCs/>
          <w:rtl/>
        </w:rPr>
        <w:t xml:space="preserve">סה"כ ירצה הנאשם חמישים ושניים (52) חודשי מאסר שמניינם מיום 20.4.2016, מועד מעצרו. </w:t>
      </w:r>
    </w:p>
    <w:p w14:paraId="7C2001CE" w14:textId="77777777" w:rsidR="009C6F2C" w:rsidRDefault="009C6F2C" w:rsidP="00205B11">
      <w:pPr>
        <w:jc w:val="both"/>
        <w:rPr>
          <w:rtl/>
        </w:rPr>
      </w:pPr>
    </w:p>
    <w:p w14:paraId="72F24793" w14:textId="77777777" w:rsidR="009C6F2C" w:rsidRDefault="009C6F2C" w:rsidP="004B5B5F">
      <w:pPr>
        <w:spacing w:line="360" w:lineRule="auto"/>
        <w:jc w:val="both"/>
        <w:rPr>
          <w:rtl/>
        </w:rPr>
      </w:pPr>
      <w:r>
        <w:rPr>
          <w:rtl/>
        </w:rPr>
        <w:t xml:space="preserve">בנסיבות העניין, בשים לב לעונש המאסר שנגזר,  לא מצאתי לנכון לגזור על הנאשם קנס כספי שיפול לנטל על משפחתו. </w:t>
      </w:r>
    </w:p>
    <w:p w14:paraId="53B0C976" w14:textId="77777777" w:rsidR="009C6F2C" w:rsidRDefault="009C6F2C" w:rsidP="00671EB1">
      <w:pPr>
        <w:spacing w:line="360" w:lineRule="auto"/>
        <w:jc w:val="both"/>
        <w:rPr>
          <w:rtl/>
        </w:rPr>
      </w:pPr>
    </w:p>
    <w:p w14:paraId="402DA5D5" w14:textId="77777777" w:rsidR="009C6F2C" w:rsidRDefault="009C6F2C" w:rsidP="009A4351">
      <w:pPr>
        <w:spacing w:line="360" w:lineRule="auto"/>
        <w:jc w:val="both"/>
        <w:rPr>
          <w:rFonts w:hint="cs"/>
          <w:b/>
          <w:bCs/>
          <w:rtl/>
        </w:rPr>
      </w:pPr>
      <w:r w:rsidRPr="009A4351">
        <w:rPr>
          <w:b/>
          <w:bCs/>
          <w:rtl/>
        </w:rPr>
        <w:t xml:space="preserve">הוסברה לנאשם זכותו לערער לבית המשפט העליון בתוך 45 יום מהיום. </w:t>
      </w:r>
    </w:p>
    <w:p w14:paraId="323FC0C9" w14:textId="77777777" w:rsidR="007C5220" w:rsidRDefault="007C5220" w:rsidP="009A4351">
      <w:pPr>
        <w:spacing w:line="360" w:lineRule="auto"/>
        <w:jc w:val="both"/>
        <w:rPr>
          <w:rFonts w:hint="cs"/>
          <w:b/>
          <w:bCs/>
          <w:rtl/>
        </w:rPr>
      </w:pPr>
    </w:p>
    <w:p w14:paraId="52D3A1C8" w14:textId="77777777" w:rsidR="007C5220" w:rsidRDefault="007C5220" w:rsidP="009A4351">
      <w:pPr>
        <w:spacing w:line="360" w:lineRule="auto"/>
        <w:jc w:val="both"/>
        <w:rPr>
          <w:rFonts w:hint="cs"/>
          <w:b/>
          <w:bCs/>
          <w:rtl/>
        </w:rPr>
      </w:pPr>
      <w:r w:rsidRPr="007C5220">
        <w:rPr>
          <w:rFonts w:ascii="Arial" w:hAnsi="Arial"/>
          <w:color w:val="FFFFFF"/>
          <w:sz w:val="2"/>
          <w:szCs w:val="2"/>
          <w:rtl/>
        </w:rPr>
        <w:t>54678313</w:t>
      </w:r>
      <w:r>
        <w:rPr>
          <w:rFonts w:ascii="Arial" w:hAnsi="Arial"/>
          <w:rtl/>
        </w:rPr>
        <w:t xml:space="preserve">ניתן היום,  ט"ו חשוון תשע"ז, 16 נובמבר 2016, במעמד הנאשם וב"כ הצדדים.  </w:t>
      </w:r>
    </w:p>
    <w:p w14:paraId="1BF2496E" w14:textId="77777777" w:rsidR="007C5220" w:rsidRDefault="007C5220" w:rsidP="009A4351">
      <w:pPr>
        <w:spacing w:line="360" w:lineRule="auto"/>
        <w:jc w:val="both"/>
        <w:rPr>
          <w:rFonts w:hint="cs"/>
          <w:b/>
          <w:bCs/>
          <w:rtl/>
        </w:rPr>
      </w:pPr>
    </w:p>
    <w:p w14:paraId="38F7B749" w14:textId="77777777" w:rsidR="007C5220" w:rsidRDefault="007C5220" w:rsidP="009A4351">
      <w:pPr>
        <w:spacing w:line="360" w:lineRule="auto"/>
        <w:jc w:val="both"/>
        <w:rPr>
          <w:rFonts w:hint="cs"/>
          <w:b/>
          <w:bCs/>
          <w:rtl/>
        </w:rPr>
      </w:pPr>
    </w:p>
    <w:p w14:paraId="123F3973" w14:textId="77777777" w:rsidR="009C6F2C" w:rsidRPr="00235A10" w:rsidRDefault="00235A10" w:rsidP="009A4351">
      <w:pPr>
        <w:spacing w:line="360" w:lineRule="auto"/>
        <w:jc w:val="both"/>
        <w:rPr>
          <w:b/>
          <w:bCs/>
          <w:color w:val="FFFFFF"/>
          <w:sz w:val="2"/>
          <w:szCs w:val="2"/>
          <w:rtl/>
        </w:rPr>
      </w:pPr>
      <w:r w:rsidRPr="00235A10">
        <w:rPr>
          <w:b/>
          <w:bCs/>
          <w:color w:val="FFFFFF"/>
          <w:sz w:val="2"/>
          <w:szCs w:val="2"/>
          <w:rtl/>
        </w:rPr>
        <w:t>5129371</w:t>
      </w:r>
    </w:p>
    <w:p w14:paraId="1E8BA0A9" w14:textId="77777777" w:rsidR="009C6F2C" w:rsidRPr="00235A10" w:rsidRDefault="007C5220" w:rsidP="009A4351">
      <w:pPr>
        <w:spacing w:line="360" w:lineRule="auto"/>
        <w:jc w:val="both"/>
        <w:rPr>
          <w:b/>
          <w:bCs/>
          <w:color w:val="FFFFFF"/>
          <w:sz w:val="2"/>
          <w:szCs w:val="2"/>
        </w:rPr>
      </w:pPr>
      <w:r w:rsidRPr="007C5220">
        <w:rPr>
          <w:b/>
          <w:bCs/>
          <w:color w:val="FFFFFF"/>
          <w:sz w:val="2"/>
          <w:szCs w:val="2"/>
          <w:rtl/>
        </w:rPr>
        <w:t>5129371</w:t>
      </w:r>
      <w:r w:rsidR="00235A10" w:rsidRPr="00235A10">
        <w:rPr>
          <w:b/>
          <w:bCs/>
          <w:color w:val="FFFFFF"/>
          <w:sz w:val="2"/>
          <w:szCs w:val="2"/>
          <w:rtl/>
        </w:rPr>
        <w:t>54678313</w:t>
      </w:r>
    </w:p>
    <w:tbl>
      <w:tblPr>
        <w:bidiVisual/>
        <w:tblW w:w="0" w:type="auto"/>
        <w:tblInd w:w="5244" w:type="dxa"/>
        <w:tblLook w:val="01E0" w:firstRow="1" w:lastRow="1" w:firstColumn="1" w:lastColumn="1" w:noHBand="0" w:noVBand="0"/>
      </w:tblPr>
      <w:tblGrid>
        <w:gridCol w:w="3119"/>
      </w:tblGrid>
      <w:tr w:rsidR="009C6F2C" w14:paraId="0E07A629" w14:textId="77777777" w:rsidTr="00586F33">
        <w:tc>
          <w:tcPr>
            <w:tcW w:w="3119" w:type="dxa"/>
            <w:tcBorders>
              <w:top w:val="single" w:sz="4" w:space="0" w:color="auto"/>
              <w:left w:val="nil"/>
              <w:bottom w:val="nil"/>
              <w:right w:val="nil"/>
            </w:tcBorders>
          </w:tcPr>
          <w:p w14:paraId="6D9F297E" w14:textId="77777777" w:rsidR="009C6F2C" w:rsidRPr="00586F33" w:rsidRDefault="009C6F2C" w:rsidP="00586F33">
            <w:pPr>
              <w:jc w:val="center"/>
              <w:rPr>
                <w:b/>
                <w:bCs/>
                <w:noProof/>
                <w:sz w:val="28"/>
              </w:rPr>
            </w:pPr>
            <w:r w:rsidRPr="00586F33">
              <w:rPr>
                <w:b/>
                <w:bCs/>
                <w:sz w:val="28"/>
                <w:rtl/>
              </w:rPr>
              <w:t>ר. שפירא, סגן נשיא</w:t>
            </w:r>
          </w:p>
        </w:tc>
      </w:tr>
    </w:tbl>
    <w:p w14:paraId="567E2F36" w14:textId="77777777" w:rsidR="00235A10" w:rsidRPr="00235A10" w:rsidRDefault="00235A10" w:rsidP="00235A10">
      <w:pPr>
        <w:pStyle w:val="a3"/>
        <w:keepNext/>
        <w:rPr>
          <w:rFonts w:ascii="David" w:hAnsi="David"/>
          <w:color w:val="000000"/>
          <w:sz w:val="22"/>
          <w:szCs w:val="22"/>
          <w:rtl/>
        </w:rPr>
      </w:pPr>
    </w:p>
    <w:p w14:paraId="41E60CEC" w14:textId="77777777" w:rsidR="00235A10" w:rsidRDefault="00235A10" w:rsidP="00235A10">
      <w:pPr>
        <w:pStyle w:val="a3"/>
        <w:rPr>
          <w:rtl/>
        </w:rPr>
      </w:pPr>
    </w:p>
    <w:p w14:paraId="318A9F90" w14:textId="77777777" w:rsidR="00235A10" w:rsidRDefault="00235A10" w:rsidP="00235A10">
      <w:pPr>
        <w:pStyle w:val="a3"/>
        <w:jc w:val="center"/>
        <w:rPr>
          <w:color w:val="0000FF"/>
          <w:u w:val="single"/>
          <w:rtl/>
        </w:rPr>
      </w:pPr>
      <w:hyperlink r:id="rId39" w:history="1">
        <w:r>
          <w:rPr>
            <w:color w:val="0000FF"/>
            <w:u w:val="single"/>
            <w:rtl/>
          </w:rPr>
          <w:t>בעניין עריכה ושינויים במסמכי פסיקה, חקיקה ועוד באתר נבו – הקש כאן</w:t>
        </w:r>
      </w:hyperlink>
    </w:p>
    <w:p w14:paraId="2E182B62" w14:textId="77777777" w:rsidR="007C5220" w:rsidRPr="007C5220" w:rsidRDefault="007C5220" w:rsidP="007C5220">
      <w:pPr>
        <w:pStyle w:val="a3"/>
        <w:keepNext/>
        <w:rPr>
          <w:rFonts w:ascii="David" w:hAnsi="David"/>
          <w:color w:val="000000"/>
          <w:sz w:val="22"/>
          <w:szCs w:val="22"/>
          <w:rtl/>
        </w:rPr>
      </w:pPr>
    </w:p>
    <w:p w14:paraId="704520CC" w14:textId="77777777" w:rsidR="007C5220" w:rsidRPr="007C5220" w:rsidRDefault="007C5220" w:rsidP="007C5220">
      <w:pPr>
        <w:pStyle w:val="a3"/>
        <w:keepNext/>
        <w:rPr>
          <w:rFonts w:ascii="David" w:hAnsi="David"/>
          <w:color w:val="000000"/>
          <w:sz w:val="22"/>
          <w:szCs w:val="22"/>
          <w:rtl/>
        </w:rPr>
      </w:pPr>
      <w:r w:rsidRPr="007C5220">
        <w:rPr>
          <w:rFonts w:ascii="David" w:hAnsi="David"/>
          <w:color w:val="000000"/>
          <w:sz w:val="22"/>
          <w:szCs w:val="22"/>
          <w:rtl/>
        </w:rPr>
        <w:t>רון שפירא 54678313-/</w:t>
      </w:r>
    </w:p>
    <w:p w14:paraId="270815EA" w14:textId="77777777" w:rsidR="009C6F2C" w:rsidRPr="00235A10" w:rsidRDefault="007C5220" w:rsidP="007C5220">
      <w:pPr>
        <w:pStyle w:val="a3"/>
        <w:rPr>
          <w:color w:val="0000FF"/>
          <w:u w:val="single"/>
          <w:rtl/>
        </w:rPr>
      </w:pPr>
      <w:r w:rsidRPr="007C5220">
        <w:rPr>
          <w:color w:val="000000"/>
          <w:u w:val="single"/>
          <w:rtl/>
        </w:rPr>
        <w:t>נוסח מסמך זה כפוף לשינויי ניסוח ועריכה</w:t>
      </w:r>
    </w:p>
    <w:sectPr w:rsidR="009C6F2C" w:rsidRPr="00235A10" w:rsidSect="007C5220">
      <w:headerReference w:type="even" r:id="rId40"/>
      <w:headerReference w:type="default" r:id="rId41"/>
      <w:footerReference w:type="even" r:id="rId42"/>
      <w:footerReference w:type="default" r:id="rId43"/>
      <w:pgSz w:w="11907" w:h="16840" w:code="9"/>
      <w:pgMar w:top="1701" w:right="1701" w:bottom="1134"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F11800" w14:textId="77777777" w:rsidR="00BA1CE7" w:rsidRDefault="00BA1CE7">
      <w:r>
        <w:separator/>
      </w:r>
    </w:p>
  </w:endnote>
  <w:endnote w:type="continuationSeparator" w:id="0">
    <w:p w14:paraId="0000A311" w14:textId="77777777" w:rsidR="00BA1CE7" w:rsidRDefault="00BA1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065091" w14:textId="77777777" w:rsidR="007C5220" w:rsidRDefault="007C5220" w:rsidP="007C522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74DA231" w14:textId="77777777" w:rsidR="009C6F2C" w:rsidRPr="007C5220" w:rsidRDefault="007C5220" w:rsidP="007C5220">
    <w:pPr>
      <w:pStyle w:val="a5"/>
      <w:pBdr>
        <w:top w:val="single" w:sz="4" w:space="1" w:color="auto"/>
        <w:between w:val="single" w:sz="4" w:space="0" w:color="auto"/>
      </w:pBdr>
      <w:spacing w:after="60"/>
      <w:jc w:val="center"/>
      <w:rPr>
        <w:rFonts w:ascii="FrankRuehl" w:hAnsi="FrankRuehl" w:cs="FrankRuehl"/>
        <w:color w:val="000000"/>
      </w:rPr>
    </w:pPr>
    <w:r w:rsidRPr="007C522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559E8" w14:textId="77777777" w:rsidR="007C5220" w:rsidRDefault="007C5220" w:rsidP="007C522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C570A">
      <w:rPr>
        <w:rFonts w:ascii="FrankRuehl" w:hAnsi="FrankRuehl" w:cs="FrankRuehl"/>
        <w:noProof/>
        <w:rtl/>
      </w:rPr>
      <w:t>1</w:t>
    </w:r>
    <w:r>
      <w:rPr>
        <w:rFonts w:ascii="FrankRuehl" w:hAnsi="FrankRuehl" w:cs="FrankRuehl"/>
        <w:rtl/>
      </w:rPr>
      <w:fldChar w:fldCharType="end"/>
    </w:r>
  </w:p>
  <w:p w14:paraId="65C6DBE4" w14:textId="77777777" w:rsidR="009C6F2C" w:rsidRPr="007C5220" w:rsidRDefault="007C5220" w:rsidP="007C5220">
    <w:pPr>
      <w:pStyle w:val="a5"/>
      <w:pBdr>
        <w:top w:val="single" w:sz="4" w:space="1" w:color="auto"/>
        <w:between w:val="single" w:sz="4" w:space="0" w:color="auto"/>
      </w:pBdr>
      <w:spacing w:after="60"/>
      <w:jc w:val="center"/>
      <w:rPr>
        <w:rFonts w:ascii="FrankRuehl" w:hAnsi="FrankRuehl" w:cs="FrankRuehl"/>
        <w:color w:val="000000"/>
      </w:rPr>
    </w:pPr>
    <w:r w:rsidRPr="007C5220">
      <w:rPr>
        <w:rFonts w:ascii="FrankRuehl" w:hAnsi="FrankRuehl" w:cs="FrankRuehl"/>
        <w:color w:val="000000"/>
      </w:rPr>
      <w:pict w14:anchorId="192414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DA5920" w14:textId="77777777" w:rsidR="00BA1CE7" w:rsidRDefault="00BA1CE7">
      <w:r>
        <w:separator/>
      </w:r>
    </w:p>
  </w:footnote>
  <w:footnote w:type="continuationSeparator" w:id="0">
    <w:p w14:paraId="6C2A78E6" w14:textId="77777777" w:rsidR="00BA1CE7" w:rsidRDefault="00BA1C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02969" w14:textId="77777777" w:rsidR="00235A10" w:rsidRPr="007C5220" w:rsidRDefault="007C5220" w:rsidP="007C522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26087-05-16</w:t>
    </w:r>
    <w:r>
      <w:rPr>
        <w:rFonts w:ascii="David" w:hAnsi="David"/>
        <w:color w:val="000000"/>
        <w:sz w:val="22"/>
        <w:szCs w:val="22"/>
        <w:rtl/>
      </w:rPr>
      <w:tab/>
      <w:t xml:space="preserve"> מדינת ישראל נ' מהדי בסל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D34157" w14:textId="77777777" w:rsidR="009C6F2C" w:rsidRPr="007C5220" w:rsidRDefault="007C5220" w:rsidP="007C522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26087-05-16</w:t>
    </w:r>
    <w:r>
      <w:rPr>
        <w:rFonts w:ascii="David" w:hAnsi="David"/>
        <w:color w:val="000000"/>
        <w:sz w:val="22"/>
        <w:szCs w:val="22"/>
        <w:rtl/>
      </w:rPr>
      <w:tab/>
      <w:t xml:space="preserve"> מדינת ישראל נ' מהדי בסל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456603630">
    <w:abstractNumId w:val="1"/>
  </w:num>
  <w:num w:numId="2" w16cid:durableId="1164051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31F8A"/>
    <w:rsid w:val="0003701D"/>
    <w:rsid w:val="00054FC4"/>
    <w:rsid w:val="0006726A"/>
    <w:rsid w:val="00076DE8"/>
    <w:rsid w:val="000B6DDB"/>
    <w:rsid w:val="000D005E"/>
    <w:rsid w:val="00100577"/>
    <w:rsid w:val="001434F7"/>
    <w:rsid w:val="001878F2"/>
    <w:rsid w:val="001B06FB"/>
    <w:rsid w:val="001B6032"/>
    <w:rsid w:val="001D4CE7"/>
    <w:rsid w:val="001E55E6"/>
    <w:rsid w:val="00205B11"/>
    <w:rsid w:val="00212125"/>
    <w:rsid w:val="00235A10"/>
    <w:rsid w:val="00244609"/>
    <w:rsid w:val="00273F34"/>
    <w:rsid w:val="002B44B6"/>
    <w:rsid w:val="002C5C13"/>
    <w:rsid w:val="002D23A8"/>
    <w:rsid w:val="002D6C61"/>
    <w:rsid w:val="002E514F"/>
    <w:rsid w:val="00301139"/>
    <w:rsid w:val="00314443"/>
    <w:rsid w:val="0031467F"/>
    <w:rsid w:val="003173A1"/>
    <w:rsid w:val="00352B4F"/>
    <w:rsid w:val="00367565"/>
    <w:rsid w:val="00377EE8"/>
    <w:rsid w:val="003B0031"/>
    <w:rsid w:val="003C552B"/>
    <w:rsid w:val="003C570A"/>
    <w:rsid w:val="003E0C9F"/>
    <w:rsid w:val="003F59B9"/>
    <w:rsid w:val="004215DC"/>
    <w:rsid w:val="00434717"/>
    <w:rsid w:val="004720E5"/>
    <w:rsid w:val="00481BC6"/>
    <w:rsid w:val="00484A6C"/>
    <w:rsid w:val="004B5B5F"/>
    <w:rsid w:val="004F55D9"/>
    <w:rsid w:val="00507694"/>
    <w:rsid w:val="00532295"/>
    <w:rsid w:val="00575839"/>
    <w:rsid w:val="0058434C"/>
    <w:rsid w:val="00586F33"/>
    <w:rsid w:val="00594C45"/>
    <w:rsid w:val="005B2E15"/>
    <w:rsid w:val="005C7B0B"/>
    <w:rsid w:val="00671EB1"/>
    <w:rsid w:val="00683ABD"/>
    <w:rsid w:val="00684E84"/>
    <w:rsid w:val="00716649"/>
    <w:rsid w:val="00734F72"/>
    <w:rsid w:val="00757983"/>
    <w:rsid w:val="007A1790"/>
    <w:rsid w:val="007B38B5"/>
    <w:rsid w:val="007C5220"/>
    <w:rsid w:val="007D3447"/>
    <w:rsid w:val="007D46DD"/>
    <w:rsid w:val="007E23B2"/>
    <w:rsid w:val="00811E73"/>
    <w:rsid w:val="00821F29"/>
    <w:rsid w:val="00832D73"/>
    <w:rsid w:val="008371D0"/>
    <w:rsid w:val="00842746"/>
    <w:rsid w:val="00863A82"/>
    <w:rsid w:val="00865A3E"/>
    <w:rsid w:val="008F609B"/>
    <w:rsid w:val="00935F3E"/>
    <w:rsid w:val="009A4351"/>
    <w:rsid w:val="009C6F2C"/>
    <w:rsid w:val="009D58E4"/>
    <w:rsid w:val="009E35A7"/>
    <w:rsid w:val="009E49A1"/>
    <w:rsid w:val="009F504D"/>
    <w:rsid w:val="00A02E3B"/>
    <w:rsid w:val="00A313B3"/>
    <w:rsid w:val="00A504C4"/>
    <w:rsid w:val="00AB53FC"/>
    <w:rsid w:val="00AF2438"/>
    <w:rsid w:val="00B05847"/>
    <w:rsid w:val="00B22E0A"/>
    <w:rsid w:val="00B35F55"/>
    <w:rsid w:val="00B6192D"/>
    <w:rsid w:val="00BA1CE7"/>
    <w:rsid w:val="00BA1FEE"/>
    <w:rsid w:val="00BB2C1B"/>
    <w:rsid w:val="00BC569E"/>
    <w:rsid w:val="00BD67E7"/>
    <w:rsid w:val="00BE0015"/>
    <w:rsid w:val="00C02463"/>
    <w:rsid w:val="00C172FB"/>
    <w:rsid w:val="00C55E62"/>
    <w:rsid w:val="00C572E8"/>
    <w:rsid w:val="00C6703F"/>
    <w:rsid w:val="00C8794C"/>
    <w:rsid w:val="00C948A7"/>
    <w:rsid w:val="00CA533B"/>
    <w:rsid w:val="00D202F4"/>
    <w:rsid w:val="00D3203D"/>
    <w:rsid w:val="00D73F92"/>
    <w:rsid w:val="00D94FC8"/>
    <w:rsid w:val="00DF010E"/>
    <w:rsid w:val="00E271A4"/>
    <w:rsid w:val="00E3643A"/>
    <w:rsid w:val="00E574A3"/>
    <w:rsid w:val="00E70F9C"/>
    <w:rsid w:val="00F577B8"/>
    <w:rsid w:val="00F75AFC"/>
    <w:rsid w:val="00FB5461"/>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352C7B6"/>
  <w15:chartTrackingRefBased/>
  <w15:docId w15:val="{0E735F8B-5035-416D-9828-5B275293E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pPr>
      <w:tabs>
        <w:tab w:val="center" w:pos="4153"/>
        <w:tab w:val="right" w:pos="8306"/>
      </w:tabs>
    </w:pPr>
  </w:style>
  <w:style w:type="paragraph" w:styleId="a5">
    <w:name w:val="footer"/>
    <w:basedOn w:val="a"/>
    <w:pPr>
      <w:tabs>
        <w:tab w:val="center" w:pos="4153"/>
        <w:tab w:val="right" w:pos="8306"/>
      </w:tabs>
    </w:pPr>
  </w:style>
  <w:style w:type="character" w:styleId="a6">
    <w:name w:val="annotation reference"/>
    <w:basedOn w:val="a0"/>
    <w:semiHidden/>
    <w:rPr>
      <w:rFonts w:cs="Times New Roman"/>
      <w:sz w:val="16"/>
      <w:szCs w:val="16"/>
    </w:rPr>
  </w:style>
  <w:style w:type="paragraph" w:styleId="a7">
    <w:name w:val="annotation text"/>
    <w:basedOn w:val="a"/>
    <w:semiHidden/>
    <w:rPr>
      <w:rFonts w:cs="Times New Roman"/>
      <w:lang w:eastAsia="he-IL"/>
    </w:rPr>
  </w:style>
  <w:style w:type="paragraph" w:styleId="a8">
    <w:name w:val="Balloon Text"/>
    <w:basedOn w:val="a"/>
    <w:semiHidden/>
    <w:rPr>
      <w:rFonts w:ascii="Tahoma" w:hAnsi="Tahoma" w:cs="Tahoma"/>
      <w:sz w:val="16"/>
      <w:szCs w:val="16"/>
    </w:rPr>
  </w:style>
  <w:style w:type="table" w:styleId="a9">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rsid w:val="00BD67E7"/>
    <w:rPr>
      <w:rFonts w:cs="Times New Roman"/>
    </w:rPr>
  </w:style>
  <w:style w:type="character" w:customStyle="1" w:styleId="a4">
    <w:name w:val="כותרת עליונה תו"/>
    <w:basedOn w:val="a0"/>
    <w:link w:val="a3"/>
    <w:locked/>
    <w:rsid w:val="00FB5461"/>
    <w:rPr>
      <w:rFonts w:cs="David"/>
      <w:sz w:val="24"/>
      <w:szCs w:val="24"/>
      <w:lang w:bidi="he-IL"/>
    </w:rPr>
  </w:style>
  <w:style w:type="character" w:styleId="Hyperlink">
    <w:name w:val="Hyperlink"/>
    <w:basedOn w:val="a0"/>
    <w:rsid w:val="00235A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7019395"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law/70301/144.a.;.b" TargetMode="External"/><Relationship Id="rId34" Type="http://schemas.openxmlformats.org/officeDocument/2006/relationships/hyperlink" Target="http://www.nevo.co.il/law/70301"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144.a.;144.b" TargetMode="External"/><Relationship Id="rId29" Type="http://schemas.openxmlformats.org/officeDocument/2006/relationships/hyperlink" Target="http://www.nevo.co.il/case/21472954"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58" TargetMode="External"/><Relationship Id="rId24" Type="http://schemas.openxmlformats.org/officeDocument/2006/relationships/hyperlink" Target="http://www.nevo.co.il/case/5821327" TargetMode="External"/><Relationship Id="rId32" Type="http://schemas.openxmlformats.org/officeDocument/2006/relationships/hyperlink" Target="http://www.nevo.co.il/case/6118595" TargetMode="External"/><Relationship Id="rId37" Type="http://schemas.openxmlformats.org/officeDocument/2006/relationships/hyperlink" Target="http://www.nevo.co.il/case/7019395"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evo.co.il/law/70301" TargetMode="External"/><Relationship Id="rId23" Type="http://schemas.openxmlformats.org/officeDocument/2006/relationships/hyperlink" Target="http://www.nevo.co.il/case/5764932" TargetMode="External"/><Relationship Id="rId28" Type="http://schemas.openxmlformats.org/officeDocument/2006/relationships/hyperlink" Target="http://www.nevo.co.il/case/5821327"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55" TargetMode="External"/><Relationship Id="rId19" Type="http://schemas.openxmlformats.org/officeDocument/2006/relationships/hyperlink" Target="http://www.nevo.co.il/law/70301/144.a" TargetMode="External"/><Relationship Id="rId31" Type="http://schemas.openxmlformats.org/officeDocument/2006/relationships/hyperlink" Target="http://www.nevo.co.il/case/5762686"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evo.co.il/law/70301/.b"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6034921" TargetMode="External"/><Relationship Id="rId27" Type="http://schemas.openxmlformats.org/officeDocument/2006/relationships/hyperlink" Target="http://www.nevo.co.il/case/13023134" TargetMode="External"/><Relationship Id="rId30" Type="http://schemas.openxmlformats.org/officeDocument/2006/relationships/hyperlink" Target="http://www.nevo.co.il/case/5958231" TargetMode="External"/><Relationship Id="rId35" Type="http://schemas.openxmlformats.org/officeDocument/2006/relationships/hyperlink" Target="http://www.nevo.co.il/law/70301/58" TargetMode="External"/><Relationship Id="rId43" Type="http://schemas.openxmlformats.org/officeDocument/2006/relationships/footer" Target="footer2.xml"/><Relationship Id="rId8" Type="http://schemas.openxmlformats.org/officeDocument/2006/relationships/hyperlink" Target="http://www.nevo.co.il/law/70301" TargetMode="External"/><Relationship Id="rId3" Type="http://schemas.openxmlformats.org/officeDocument/2006/relationships/styles" Target="styles.xml"/><Relationship Id="rId12" Type="http://schemas.openxmlformats.org/officeDocument/2006/relationships/hyperlink" Target="http://www.nevo.co.il/law/70301/144.a" TargetMode="External"/><Relationship Id="rId17" Type="http://schemas.openxmlformats.org/officeDocument/2006/relationships/hyperlink" Target="http://www.nevo.co.il/case/7019395" TargetMode="External"/><Relationship Id="rId25" Type="http://schemas.openxmlformats.org/officeDocument/2006/relationships/hyperlink" Target="http://www.nevo.co.il/case/13023134" TargetMode="External"/><Relationship Id="rId33" Type="http://schemas.openxmlformats.org/officeDocument/2006/relationships/hyperlink" Target="http://www.nevo.co.il/law/70301/55" TargetMode="External"/><Relationship Id="rId38" Type="http://schemas.openxmlformats.org/officeDocument/2006/relationships/hyperlink" Target="http://www.nevo.co.il/case/7019395" TargetMode="External"/><Relationship Id="rId20" Type="http://schemas.openxmlformats.org/officeDocument/2006/relationships/hyperlink" Target="http://www.nevo.co.il/law/70301"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2065</Words>
  <Characters>10330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12371</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3145844</vt:i4>
      </vt:variant>
      <vt:variant>
        <vt:i4>90</vt:i4>
      </vt:variant>
      <vt:variant>
        <vt:i4>0</vt:i4>
      </vt:variant>
      <vt:variant>
        <vt:i4>5</vt:i4>
      </vt:variant>
      <vt:variant>
        <vt:lpwstr>http://www.nevo.co.il/case/7019395</vt:lpwstr>
      </vt:variant>
      <vt:variant>
        <vt:lpwstr/>
      </vt:variant>
      <vt:variant>
        <vt:i4>3145844</vt:i4>
      </vt:variant>
      <vt:variant>
        <vt:i4>87</vt:i4>
      </vt:variant>
      <vt:variant>
        <vt:i4>0</vt:i4>
      </vt:variant>
      <vt:variant>
        <vt:i4>5</vt:i4>
      </vt:variant>
      <vt:variant>
        <vt:lpwstr>http://www.nevo.co.il/case/7019395</vt:lpwstr>
      </vt:variant>
      <vt:variant>
        <vt:lpwstr/>
      </vt:variant>
      <vt:variant>
        <vt:i4>7995492</vt:i4>
      </vt:variant>
      <vt:variant>
        <vt:i4>84</vt:i4>
      </vt:variant>
      <vt:variant>
        <vt:i4>0</vt:i4>
      </vt:variant>
      <vt:variant>
        <vt:i4>5</vt:i4>
      </vt:variant>
      <vt:variant>
        <vt:lpwstr>http://www.nevo.co.il/law/70301</vt:lpwstr>
      </vt:variant>
      <vt:variant>
        <vt:lpwstr/>
      </vt:variant>
      <vt:variant>
        <vt:i4>7143520</vt:i4>
      </vt:variant>
      <vt:variant>
        <vt:i4>81</vt:i4>
      </vt:variant>
      <vt:variant>
        <vt:i4>0</vt:i4>
      </vt:variant>
      <vt:variant>
        <vt:i4>5</vt:i4>
      </vt:variant>
      <vt:variant>
        <vt:lpwstr>http://www.nevo.co.il/law/70301/58</vt:lpwstr>
      </vt:variant>
      <vt:variant>
        <vt:lpwstr/>
      </vt:variant>
      <vt:variant>
        <vt:i4>7995492</vt:i4>
      </vt:variant>
      <vt:variant>
        <vt:i4>78</vt:i4>
      </vt:variant>
      <vt:variant>
        <vt:i4>0</vt:i4>
      </vt:variant>
      <vt:variant>
        <vt:i4>5</vt:i4>
      </vt:variant>
      <vt:variant>
        <vt:lpwstr>http://www.nevo.co.il/law/70301</vt:lpwstr>
      </vt:variant>
      <vt:variant>
        <vt:lpwstr/>
      </vt:variant>
      <vt:variant>
        <vt:i4>6291552</vt:i4>
      </vt:variant>
      <vt:variant>
        <vt:i4>75</vt:i4>
      </vt:variant>
      <vt:variant>
        <vt:i4>0</vt:i4>
      </vt:variant>
      <vt:variant>
        <vt:i4>5</vt:i4>
      </vt:variant>
      <vt:variant>
        <vt:lpwstr>http://www.nevo.co.il/law/70301/55</vt:lpwstr>
      </vt:variant>
      <vt:variant>
        <vt:lpwstr/>
      </vt:variant>
      <vt:variant>
        <vt:i4>3604596</vt:i4>
      </vt:variant>
      <vt:variant>
        <vt:i4>72</vt:i4>
      </vt:variant>
      <vt:variant>
        <vt:i4>0</vt:i4>
      </vt:variant>
      <vt:variant>
        <vt:i4>5</vt:i4>
      </vt:variant>
      <vt:variant>
        <vt:lpwstr>http://www.nevo.co.il/case/6118595</vt:lpwstr>
      </vt:variant>
      <vt:variant>
        <vt:lpwstr/>
      </vt:variant>
      <vt:variant>
        <vt:i4>3342457</vt:i4>
      </vt:variant>
      <vt:variant>
        <vt:i4>69</vt:i4>
      </vt:variant>
      <vt:variant>
        <vt:i4>0</vt:i4>
      </vt:variant>
      <vt:variant>
        <vt:i4>5</vt:i4>
      </vt:variant>
      <vt:variant>
        <vt:lpwstr>http://www.nevo.co.il/case/5762686</vt:lpwstr>
      </vt:variant>
      <vt:variant>
        <vt:lpwstr/>
      </vt:variant>
      <vt:variant>
        <vt:i4>3342454</vt:i4>
      </vt:variant>
      <vt:variant>
        <vt:i4>66</vt:i4>
      </vt:variant>
      <vt:variant>
        <vt:i4>0</vt:i4>
      </vt:variant>
      <vt:variant>
        <vt:i4>5</vt:i4>
      </vt:variant>
      <vt:variant>
        <vt:lpwstr>http://www.nevo.co.il/case/5958231</vt:lpwstr>
      </vt:variant>
      <vt:variant>
        <vt:lpwstr/>
      </vt:variant>
      <vt:variant>
        <vt:i4>3211387</vt:i4>
      </vt:variant>
      <vt:variant>
        <vt:i4>63</vt:i4>
      </vt:variant>
      <vt:variant>
        <vt:i4>0</vt:i4>
      </vt:variant>
      <vt:variant>
        <vt:i4>5</vt:i4>
      </vt:variant>
      <vt:variant>
        <vt:lpwstr>http://www.nevo.co.il/case/21472954</vt:lpwstr>
      </vt:variant>
      <vt:variant>
        <vt:lpwstr/>
      </vt:variant>
      <vt:variant>
        <vt:i4>3342463</vt:i4>
      </vt:variant>
      <vt:variant>
        <vt:i4>60</vt:i4>
      </vt:variant>
      <vt:variant>
        <vt:i4>0</vt:i4>
      </vt:variant>
      <vt:variant>
        <vt:i4>5</vt:i4>
      </vt:variant>
      <vt:variant>
        <vt:lpwstr>http://www.nevo.co.il/case/5821327</vt:lpwstr>
      </vt:variant>
      <vt:variant>
        <vt:lpwstr/>
      </vt:variant>
      <vt:variant>
        <vt:i4>3211380</vt:i4>
      </vt:variant>
      <vt:variant>
        <vt:i4>57</vt:i4>
      </vt:variant>
      <vt:variant>
        <vt:i4>0</vt:i4>
      </vt:variant>
      <vt:variant>
        <vt:i4>5</vt:i4>
      </vt:variant>
      <vt:variant>
        <vt:lpwstr>http://www.nevo.co.il/case/13023134</vt:lpwstr>
      </vt:variant>
      <vt:variant>
        <vt:lpwstr/>
      </vt:variant>
      <vt:variant>
        <vt:i4>3145844</vt:i4>
      </vt:variant>
      <vt:variant>
        <vt:i4>54</vt:i4>
      </vt:variant>
      <vt:variant>
        <vt:i4>0</vt:i4>
      </vt:variant>
      <vt:variant>
        <vt:i4>5</vt:i4>
      </vt:variant>
      <vt:variant>
        <vt:lpwstr>http://www.nevo.co.il/case/7019395</vt:lpwstr>
      </vt:variant>
      <vt:variant>
        <vt:lpwstr/>
      </vt:variant>
      <vt:variant>
        <vt:i4>3211380</vt:i4>
      </vt:variant>
      <vt:variant>
        <vt:i4>51</vt:i4>
      </vt:variant>
      <vt:variant>
        <vt:i4>0</vt:i4>
      </vt:variant>
      <vt:variant>
        <vt:i4>5</vt:i4>
      </vt:variant>
      <vt:variant>
        <vt:lpwstr>http://www.nevo.co.il/case/13023134</vt:lpwstr>
      </vt:variant>
      <vt:variant>
        <vt:lpwstr/>
      </vt:variant>
      <vt:variant>
        <vt:i4>3342463</vt:i4>
      </vt:variant>
      <vt:variant>
        <vt:i4>48</vt:i4>
      </vt:variant>
      <vt:variant>
        <vt:i4>0</vt:i4>
      </vt:variant>
      <vt:variant>
        <vt:i4>5</vt:i4>
      </vt:variant>
      <vt:variant>
        <vt:lpwstr>http://www.nevo.co.il/case/5821327</vt:lpwstr>
      </vt:variant>
      <vt:variant>
        <vt:lpwstr/>
      </vt:variant>
      <vt:variant>
        <vt:i4>3670132</vt:i4>
      </vt:variant>
      <vt:variant>
        <vt:i4>45</vt:i4>
      </vt:variant>
      <vt:variant>
        <vt:i4>0</vt:i4>
      </vt:variant>
      <vt:variant>
        <vt:i4>5</vt:i4>
      </vt:variant>
      <vt:variant>
        <vt:lpwstr>http://www.nevo.co.il/case/5764932</vt:lpwstr>
      </vt:variant>
      <vt:variant>
        <vt:lpwstr/>
      </vt:variant>
      <vt:variant>
        <vt:i4>3997810</vt:i4>
      </vt:variant>
      <vt:variant>
        <vt:i4>42</vt:i4>
      </vt:variant>
      <vt:variant>
        <vt:i4>0</vt:i4>
      </vt:variant>
      <vt:variant>
        <vt:i4>5</vt:i4>
      </vt:variant>
      <vt:variant>
        <vt:lpwstr>http://www.nevo.co.il/case/6034921</vt:lpwstr>
      </vt:variant>
      <vt:variant>
        <vt:lpwstr/>
      </vt:variant>
      <vt:variant>
        <vt:i4>5177354</vt:i4>
      </vt:variant>
      <vt:variant>
        <vt:i4>39</vt:i4>
      </vt:variant>
      <vt:variant>
        <vt:i4>0</vt:i4>
      </vt:variant>
      <vt:variant>
        <vt:i4>5</vt:i4>
      </vt:variant>
      <vt:variant>
        <vt:lpwstr>http://www.nevo.co.il/law/70301/144.a.;.b</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7995492</vt:i4>
      </vt:variant>
      <vt:variant>
        <vt:i4>30</vt:i4>
      </vt:variant>
      <vt:variant>
        <vt:i4>0</vt:i4>
      </vt:variant>
      <vt:variant>
        <vt:i4>5</vt:i4>
      </vt:variant>
      <vt:variant>
        <vt:lpwstr>http://www.nevo.co.il/law/70301</vt:lpwstr>
      </vt:variant>
      <vt:variant>
        <vt:lpwstr/>
      </vt:variant>
      <vt:variant>
        <vt:i4>3145844</vt:i4>
      </vt:variant>
      <vt:variant>
        <vt:i4>27</vt:i4>
      </vt:variant>
      <vt:variant>
        <vt:i4>0</vt:i4>
      </vt:variant>
      <vt:variant>
        <vt:i4>5</vt:i4>
      </vt:variant>
      <vt:variant>
        <vt:lpwstr>http://www.nevo.co.il/case/7019395</vt:lpwstr>
      </vt:variant>
      <vt:variant>
        <vt:lpwstr/>
      </vt:variant>
      <vt:variant>
        <vt:i4>393232</vt:i4>
      </vt:variant>
      <vt:variant>
        <vt:i4>24</vt:i4>
      </vt:variant>
      <vt:variant>
        <vt:i4>0</vt:i4>
      </vt:variant>
      <vt:variant>
        <vt:i4>5</vt:i4>
      </vt:variant>
      <vt:variant>
        <vt:lpwstr>http://www.nevo.co.il/law/70301/144.a.;144.b</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7143520</vt:i4>
      </vt:variant>
      <vt:variant>
        <vt:i4>9</vt:i4>
      </vt:variant>
      <vt:variant>
        <vt:i4>0</vt:i4>
      </vt:variant>
      <vt:variant>
        <vt:i4>5</vt:i4>
      </vt:variant>
      <vt:variant>
        <vt:lpwstr>http://www.nevo.co.il/law/70301/58</vt:lpwstr>
      </vt:variant>
      <vt:variant>
        <vt:lpwstr/>
      </vt:variant>
      <vt:variant>
        <vt:i4>6291552</vt:i4>
      </vt:variant>
      <vt:variant>
        <vt:i4>6</vt:i4>
      </vt:variant>
      <vt:variant>
        <vt:i4>0</vt:i4>
      </vt:variant>
      <vt:variant>
        <vt:i4>5</vt:i4>
      </vt:variant>
      <vt:variant>
        <vt:lpwstr>http://www.nevo.co.il/law/70301/55</vt:lpwstr>
      </vt:variant>
      <vt:variant>
        <vt:lpwstr/>
      </vt:variant>
      <vt:variant>
        <vt:i4>3604603</vt:i4>
      </vt:variant>
      <vt:variant>
        <vt:i4>3</vt:i4>
      </vt:variant>
      <vt:variant>
        <vt:i4>0</vt:i4>
      </vt:variant>
      <vt:variant>
        <vt:i4>5</vt:i4>
      </vt:variant>
      <vt:variant>
        <vt:lpwstr>http://www.nevo.co.il/law/70301/.b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2016-11-13T11:00:00Z</cp:lastPrinted>
  <dcterms:created xsi:type="dcterms:W3CDTF">2025-01-19T16:09:00Z</dcterms:created>
  <dcterms:modified xsi:type="dcterms:W3CDTF">2025-01-19T16:09:00Z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26087</vt:lpwstr>
  </property>
  <property fmtid="{D5CDD505-2E9C-101B-9397-08002B2CF9AE}" pid="6" name="NEWPARTB">
    <vt:lpwstr>05</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מהדי בסל</vt:lpwstr>
  </property>
  <property fmtid="{D5CDD505-2E9C-101B-9397-08002B2CF9AE}" pid="10" name="LAWYER">
    <vt:lpwstr>חנא בולוס</vt:lpwstr>
  </property>
  <property fmtid="{D5CDD505-2E9C-101B-9397-08002B2CF9AE}" pid="11" name="JUDGE">
    <vt:lpwstr>רון שפירא</vt:lpwstr>
  </property>
  <property fmtid="{D5CDD505-2E9C-101B-9397-08002B2CF9AE}" pid="12" name="CITY">
    <vt:lpwstr>חי'</vt:lpwstr>
  </property>
  <property fmtid="{D5CDD505-2E9C-101B-9397-08002B2CF9AE}" pid="13" name="DATE">
    <vt:lpwstr>20161116</vt:lpwstr>
  </property>
  <property fmtid="{D5CDD505-2E9C-101B-9397-08002B2CF9AE}" pid="14" name="TYPE_N_DATE">
    <vt:lpwstr>39020161116</vt:lpwstr>
  </property>
  <property fmtid="{D5CDD505-2E9C-101B-9397-08002B2CF9AE}" pid="15" name="WORDNUMPAGES">
    <vt:lpwstr>6</vt:lpwstr>
  </property>
  <property fmtid="{D5CDD505-2E9C-101B-9397-08002B2CF9AE}" pid="16" name="TYPE_ABS_DATE">
    <vt:lpwstr>390120161116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7019395:4;6034921;5764932;5821327:2;13023134:2;21472954;5958231;5762686;6118595</vt:lpwstr>
  </property>
  <property fmtid="{D5CDD505-2E9C-101B-9397-08002B2CF9AE}" pid="36" name="LAWLISTTMP1">
    <vt:lpwstr>70301/144.a:4;144.b;.b;055;058</vt:lpwstr>
  </property>
  <property fmtid="{D5CDD505-2E9C-101B-9397-08002B2CF9AE}" pid="37" name="METAKZER">
    <vt:lpwstr>מיכל</vt:lpwstr>
  </property>
  <property fmtid="{D5CDD505-2E9C-101B-9397-08002B2CF9AE}" pid="38" name="NOSE1ID">
    <vt:lpwstr>77</vt:lpwstr>
  </property>
  <property fmtid="{D5CDD505-2E9C-101B-9397-08002B2CF9AE}" pid="39" name="NOSE2ID">
    <vt:lpwstr>1446</vt:lpwstr>
  </property>
  <property fmtid="{D5CDD505-2E9C-101B-9397-08002B2CF9AE}" pid="40" name="NOSE3ID">
    <vt:lpwstr>13800</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נשק</vt:lpwstr>
  </property>
  <property fmtid="{D5CDD505-2E9C-101B-9397-08002B2CF9AE}" pid="44" name="NOSE12">
    <vt:lpwstr/>
  </property>
  <property fmtid="{D5CDD505-2E9C-101B-9397-08002B2CF9AE}" pid="45" name="NOSE22">
    <vt:lpwstr/>
  </property>
  <property fmtid="{D5CDD505-2E9C-101B-9397-08002B2CF9AE}" pid="46" name="NOSE3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20161123</vt:lpwstr>
  </property>
</Properties>
</file>