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F9275B" w:rsidRPr="001E1F8C" w14:paraId="5DB29FD1" w14:textId="77777777" w:rsidTr="00E53061">
        <w:trPr>
          <w:trHeight w:hRule="exact" w:val="418"/>
          <w:jc w:val="center"/>
        </w:trPr>
        <w:tc>
          <w:tcPr>
            <w:tcW w:w="8721" w:type="dxa"/>
            <w:gridSpan w:val="2"/>
          </w:tcPr>
          <w:p w14:paraId="0C6A1BA1" w14:textId="77777777" w:rsidR="00F9275B" w:rsidRPr="001E1F8C" w:rsidRDefault="001E1F8C">
            <w:pPr>
              <w:pStyle w:val="a3"/>
              <w:jc w:val="center"/>
              <w:rPr>
                <w:rFonts w:ascii="Tahoma" w:hAnsi="Tahoma" w:cs="Tahoma"/>
                <w:color w:val="000080"/>
                <w:rtl/>
              </w:rPr>
            </w:pPr>
            <w:bookmarkStart w:id="0" w:name="LastJudge"/>
            <w:r w:rsidRPr="001E1F8C">
              <w:rPr>
                <w:rFonts w:ascii="Tahoma" w:hAnsi="Tahoma" w:cs="Tahoma"/>
                <w:b/>
                <w:bCs/>
                <w:color w:val="000080"/>
                <w:rtl/>
              </w:rPr>
              <w:t>בית המשפט המחוזי בבאר שבע</w:t>
            </w:r>
          </w:p>
        </w:tc>
      </w:tr>
      <w:tr w:rsidR="00F9275B" w:rsidRPr="001E1F8C" w14:paraId="6AB965DA" w14:textId="77777777" w:rsidTr="00E53061">
        <w:trPr>
          <w:trHeight w:val="337"/>
          <w:jc w:val="center"/>
        </w:trPr>
        <w:tc>
          <w:tcPr>
            <w:tcW w:w="5059" w:type="dxa"/>
          </w:tcPr>
          <w:p w14:paraId="28A9F4D6" w14:textId="77777777" w:rsidR="00F9275B" w:rsidRPr="001E1F8C" w:rsidRDefault="001E1F8C">
            <w:pPr>
              <w:rPr>
                <w:rFonts w:cs="FrankRuehl"/>
                <w:sz w:val="28"/>
                <w:szCs w:val="28"/>
                <w:rtl/>
              </w:rPr>
            </w:pPr>
            <w:r w:rsidRPr="001E1F8C">
              <w:rPr>
                <w:rFonts w:cs="FrankRuehl"/>
                <w:sz w:val="28"/>
                <w:szCs w:val="28"/>
                <w:rtl/>
              </w:rPr>
              <w:t>ת"פ</w:t>
            </w:r>
            <w:r w:rsidRPr="001E1F8C">
              <w:rPr>
                <w:rFonts w:cs="FrankRuehl" w:hint="cs"/>
                <w:sz w:val="28"/>
                <w:szCs w:val="28"/>
                <w:rtl/>
              </w:rPr>
              <w:t xml:space="preserve"> </w:t>
            </w:r>
            <w:r w:rsidRPr="001E1F8C">
              <w:rPr>
                <w:rFonts w:cs="FrankRuehl"/>
                <w:sz w:val="28"/>
                <w:szCs w:val="28"/>
                <w:rtl/>
              </w:rPr>
              <w:t>4176-05-16</w:t>
            </w:r>
            <w:r w:rsidRPr="001E1F8C">
              <w:rPr>
                <w:rFonts w:cs="FrankRuehl" w:hint="cs"/>
                <w:sz w:val="28"/>
                <w:szCs w:val="28"/>
                <w:rtl/>
              </w:rPr>
              <w:t xml:space="preserve"> </w:t>
            </w:r>
            <w:r w:rsidRPr="001E1F8C">
              <w:rPr>
                <w:rFonts w:cs="FrankRuehl"/>
                <w:sz w:val="28"/>
                <w:szCs w:val="28"/>
                <w:rtl/>
              </w:rPr>
              <w:t>מדינת ישראל נ' חמודה(עציר)</w:t>
            </w:r>
          </w:p>
          <w:p w14:paraId="1B227C67" w14:textId="77777777" w:rsidR="00F9275B" w:rsidRPr="001E1F8C" w:rsidRDefault="00F9275B">
            <w:pPr>
              <w:pStyle w:val="a3"/>
              <w:rPr>
                <w:rFonts w:cs="FrankRuehl"/>
                <w:sz w:val="28"/>
                <w:szCs w:val="28"/>
                <w:rtl/>
              </w:rPr>
            </w:pPr>
          </w:p>
        </w:tc>
        <w:tc>
          <w:tcPr>
            <w:tcW w:w="3662" w:type="dxa"/>
          </w:tcPr>
          <w:p w14:paraId="150B39E9" w14:textId="77777777" w:rsidR="00F9275B" w:rsidRPr="001E1F8C" w:rsidRDefault="00F9275B">
            <w:pPr>
              <w:pStyle w:val="a3"/>
              <w:jc w:val="right"/>
              <w:rPr>
                <w:rFonts w:cs="FrankRuehl"/>
                <w:sz w:val="28"/>
                <w:szCs w:val="28"/>
                <w:rtl/>
              </w:rPr>
            </w:pPr>
          </w:p>
        </w:tc>
      </w:tr>
    </w:tbl>
    <w:p w14:paraId="65853D9A" w14:textId="77777777" w:rsidR="00F9275B" w:rsidRPr="001E1F8C" w:rsidRDefault="001E1F8C">
      <w:pPr>
        <w:pStyle w:val="a3"/>
        <w:rPr>
          <w:rtl/>
        </w:rPr>
      </w:pPr>
      <w:r w:rsidRPr="001E1F8C">
        <w:rPr>
          <w:rFonts w:hint="cs"/>
          <w:rtl/>
        </w:rPr>
        <w:t xml:space="preserve"> </w:t>
      </w:r>
    </w:p>
    <w:p w14:paraId="43991BE1" w14:textId="77777777" w:rsidR="00F9275B" w:rsidRPr="001E1F8C" w:rsidRDefault="00F9275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9275B" w:rsidRPr="001E1F8C" w14:paraId="1F996EBA" w14:textId="77777777">
        <w:trPr>
          <w:trHeight w:val="295"/>
          <w:jc w:val="center"/>
        </w:trPr>
        <w:tc>
          <w:tcPr>
            <w:tcW w:w="923" w:type="dxa"/>
            <w:tcBorders>
              <w:top w:val="nil"/>
              <w:left w:val="nil"/>
              <w:bottom w:val="nil"/>
              <w:right w:val="nil"/>
            </w:tcBorders>
            <w:shd w:val="clear" w:color="auto" w:fill="auto"/>
          </w:tcPr>
          <w:p w14:paraId="63CF65E5" w14:textId="77777777" w:rsidR="00F9275B" w:rsidRPr="001E1F8C" w:rsidRDefault="001E1F8C">
            <w:pPr>
              <w:jc w:val="both"/>
              <w:rPr>
                <w:rFonts w:ascii="Arial" w:hAnsi="Arial"/>
                <w:sz w:val="28"/>
                <w:szCs w:val="28"/>
              </w:rPr>
            </w:pPr>
            <w:r w:rsidRPr="001E1F8C">
              <w:rPr>
                <w:rFonts w:ascii="Arial" w:hAnsi="Arial" w:hint="cs"/>
                <w:sz w:val="28"/>
                <w:szCs w:val="28"/>
                <w:rtl/>
              </w:rPr>
              <w:t>ב</w:t>
            </w:r>
            <w:r w:rsidRPr="001E1F8C">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2684F642" w14:textId="77777777" w:rsidR="00F9275B" w:rsidRPr="001E1F8C" w:rsidRDefault="001E1F8C">
            <w:pPr>
              <w:rPr>
                <w:rFonts w:ascii="Arial" w:hAnsi="Arial"/>
                <w:b/>
                <w:bCs/>
                <w:rtl/>
              </w:rPr>
            </w:pPr>
            <w:r w:rsidRPr="001E1F8C">
              <w:rPr>
                <w:rFonts w:ascii="Arial" w:hAnsi="Arial" w:hint="cs"/>
                <w:b/>
                <w:bCs/>
                <w:rtl/>
              </w:rPr>
              <w:t>כבוד ה</w:t>
            </w:r>
            <w:r w:rsidRPr="001E1F8C">
              <w:rPr>
                <w:rFonts w:hint="cs"/>
                <w:rtl/>
              </w:rPr>
              <w:t>שופט</w:t>
            </w:r>
            <w:r w:rsidRPr="001E1F8C">
              <w:rPr>
                <w:rFonts w:ascii="Arial" w:hAnsi="Arial" w:hint="cs"/>
                <w:b/>
                <w:bCs/>
                <w:rtl/>
              </w:rPr>
              <w:t xml:space="preserve">  </w:t>
            </w:r>
            <w:r w:rsidRPr="001E1F8C">
              <w:rPr>
                <w:rFonts w:hint="cs"/>
                <w:rtl/>
              </w:rPr>
              <w:t>אליהו ביתן</w:t>
            </w:r>
          </w:p>
          <w:p w14:paraId="55E80350" w14:textId="77777777" w:rsidR="00F9275B" w:rsidRPr="001E1F8C" w:rsidRDefault="00F9275B">
            <w:pPr>
              <w:rPr>
                <w:rtl/>
              </w:rPr>
            </w:pPr>
          </w:p>
          <w:p w14:paraId="40D3FCE3" w14:textId="77777777" w:rsidR="00F9275B" w:rsidRPr="001E1F8C" w:rsidRDefault="00F9275B">
            <w:pPr>
              <w:jc w:val="both"/>
              <w:rPr>
                <w:rFonts w:ascii="Arial" w:hAnsi="Arial"/>
                <w:sz w:val="28"/>
                <w:szCs w:val="28"/>
              </w:rPr>
            </w:pPr>
          </w:p>
        </w:tc>
      </w:tr>
      <w:tr w:rsidR="00F9275B" w:rsidRPr="001E1F8C" w14:paraId="6E2B1D25" w14:textId="77777777">
        <w:trPr>
          <w:trHeight w:val="355"/>
          <w:jc w:val="center"/>
        </w:trPr>
        <w:tc>
          <w:tcPr>
            <w:tcW w:w="923" w:type="dxa"/>
            <w:tcBorders>
              <w:top w:val="nil"/>
              <w:left w:val="nil"/>
              <w:bottom w:val="nil"/>
              <w:right w:val="nil"/>
            </w:tcBorders>
            <w:shd w:val="clear" w:color="auto" w:fill="auto"/>
          </w:tcPr>
          <w:p w14:paraId="5C399C60" w14:textId="77777777" w:rsidR="00F9275B" w:rsidRPr="001E1F8C" w:rsidRDefault="001E1F8C">
            <w:pPr>
              <w:jc w:val="both"/>
              <w:rPr>
                <w:rFonts w:ascii="Arial" w:hAnsi="Arial"/>
              </w:rPr>
            </w:pPr>
            <w:bookmarkStart w:id="1" w:name="FirstAppellant"/>
            <w:r w:rsidRPr="001E1F8C">
              <w:rPr>
                <w:rFonts w:ascii="Arial" w:hAnsi="Arial" w:hint="cs"/>
                <w:rtl/>
              </w:rPr>
              <w:t>בעניין:</w:t>
            </w:r>
          </w:p>
        </w:tc>
        <w:tc>
          <w:tcPr>
            <w:tcW w:w="4126" w:type="dxa"/>
            <w:tcBorders>
              <w:top w:val="nil"/>
              <w:left w:val="nil"/>
              <w:bottom w:val="nil"/>
              <w:right w:val="nil"/>
            </w:tcBorders>
            <w:shd w:val="clear" w:color="auto" w:fill="auto"/>
          </w:tcPr>
          <w:p w14:paraId="293101AB" w14:textId="77777777" w:rsidR="00F9275B" w:rsidRPr="001E1F8C" w:rsidRDefault="001E1F8C">
            <w:r w:rsidRPr="001E1F8C">
              <w:rPr>
                <w:rFonts w:hint="cs"/>
                <w:rtl/>
              </w:rPr>
              <w:t>מדינת ישראל</w:t>
            </w:r>
          </w:p>
        </w:tc>
        <w:tc>
          <w:tcPr>
            <w:tcW w:w="3771" w:type="dxa"/>
            <w:tcBorders>
              <w:top w:val="nil"/>
              <w:left w:val="nil"/>
              <w:bottom w:val="nil"/>
              <w:right w:val="nil"/>
            </w:tcBorders>
            <w:shd w:val="clear" w:color="auto" w:fill="auto"/>
          </w:tcPr>
          <w:p w14:paraId="5819BB16" w14:textId="77777777" w:rsidR="00F9275B" w:rsidRPr="001E1F8C" w:rsidRDefault="00F9275B">
            <w:pPr>
              <w:jc w:val="both"/>
              <w:rPr>
                <w:rFonts w:ascii="Arial" w:hAnsi="Arial"/>
              </w:rPr>
            </w:pPr>
          </w:p>
        </w:tc>
      </w:tr>
      <w:bookmarkEnd w:id="1"/>
      <w:tr w:rsidR="00F9275B" w:rsidRPr="001E1F8C" w14:paraId="3205CF71" w14:textId="77777777">
        <w:trPr>
          <w:trHeight w:val="355"/>
          <w:jc w:val="center"/>
        </w:trPr>
        <w:tc>
          <w:tcPr>
            <w:tcW w:w="923" w:type="dxa"/>
            <w:tcBorders>
              <w:top w:val="nil"/>
              <w:left w:val="nil"/>
              <w:bottom w:val="nil"/>
              <w:right w:val="nil"/>
            </w:tcBorders>
            <w:shd w:val="clear" w:color="auto" w:fill="auto"/>
          </w:tcPr>
          <w:p w14:paraId="070A12B3" w14:textId="77777777" w:rsidR="00F9275B" w:rsidRPr="001E1F8C" w:rsidRDefault="00F9275B">
            <w:pPr>
              <w:jc w:val="both"/>
              <w:rPr>
                <w:rFonts w:ascii="Arial" w:hAnsi="Arial"/>
                <w:rtl/>
              </w:rPr>
            </w:pPr>
          </w:p>
        </w:tc>
        <w:tc>
          <w:tcPr>
            <w:tcW w:w="4126" w:type="dxa"/>
            <w:tcBorders>
              <w:top w:val="nil"/>
              <w:left w:val="nil"/>
              <w:bottom w:val="nil"/>
              <w:right w:val="nil"/>
            </w:tcBorders>
            <w:shd w:val="clear" w:color="auto" w:fill="auto"/>
          </w:tcPr>
          <w:p w14:paraId="287C130D" w14:textId="77777777" w:rsidR="00F9275B" w:rsidRPr="001E1F8C" w:rsidRDefault="00F9275B">
            <w:pPr>
              <w:jc w:val="both"/>
              <w:rPr>
                <w:rtl/>
              </w:rPr>
            </w:pPr>
          </w:p>
        </w:tc>
        <w:tc>
          <w:tcPr>
            <w:tcW w:w="3771" w:type="dxa"/>
            <w:tcBorders>
              <w:top w:val="nil"/>
              <w:left w:val="nil"/>
              <w:bottom w:val="nil"/>
              <w:right w:val="nil"/>
            </w:tcBorders>
            <w:shd w:val="clear" w:color="auto" w:fill="auto"/>
          </w:tcPr>
          <w:p w14:paraId="3AF3B224" w14:textId="77777777" w:rsidR="00F9275B" w:rsidRPr="001E1F8C" w:rsidRDefault="001E1F8C">
            <w:pPr>
              <w:jc w:val="right"/>
              <w:rPr>
                <w:rFonts w:ascii="Arial" w:hAnsi="Arial"/>
                <w:rtl/>
              </w:rPr>
            </w:pPr>
            <w:r w:rsidRPr="001E1F8C">
              <w:rPr>
                <w:rFonts w:ascii="Arial" w:hAnsi="Arial" w:hint="cs"/>
                <w:rtl/>
              </w:rPr>
              <w:t>ה</w:t>
            </w:r>
            <w:r w:rsidRPr="001E1F8C">
              <w:rPr>
                <w:rFonts w:hint="cs"/>
                <w:rtl/>
              </w:rPr>
              <w:t>מאשימה</w:t>
            </w:r>
          </w:p>
        </w:tc>
      </w:tr>
      <w:tr w:rsidR="00F9275B" w:rsidRPr="001E1F8C" w14:paraId="56CA4E5F" w14:textId="77777777">
        <w:trPr>
          <w:trHeight w:val="355"/>
          <w:jc w:val="center"/>
        </w:trPr>
        <w:tc>
          <w:tcPr>
            <w:tcW w:w="923" w:type="dxa"/>
            <w:tcBorders>
              <w:top w:val="nil"/>
              <w:left w:val="nil"/>
              <w:bottom w:val="nil"/>
              <w:right w:val="nil"/>
            </w:tcBorders>
            <w:shd w:val="clear" w:color="auto" w:fill="auto"/>
          </w:tcPr>
          <w:p w14:paraId="23F3FD04" w14:textId="77777777" w:rsidR="00F9275B" w:rsidRPr="001E1F8C" w:rsidRDefault="00F9275B">
            <w:pPr>
              <w:jc w:val="both"/>
              <w:rPr>
                <w:rFonts w:ascii="Arial" w:hAnsi="Arial"/>
                <w:rtl/>
              </w:rPr>
            </w:pPr>
          </w:p>
        </w:tc>
        <w:tc>
          <w:tcPr>
            <w:tcW w:w="7897" w:type="dxa"/>
            <w:gridSpan w:val="2"/>
            <w:tcBorders>
              <w:top w:val="nil"/>
              <w:left w:val="nil"/>
              <w:bottom w:val="nil"/>
              <w:right w:val="nil"/>
            </w:tcBorders>
            <w:shd w:val="clear" w:color="auto" w:fill="auto"/>
          </w:tcPr>
          <w:p w14:paraId="623E498F" w14:textId="77777777" w:rsidR="00F9275B" w:rsidRPr="001E1F8C" w:rsidRDefault="00F9275B">
            <w:pPr>
              <w:jc w:val="center"/>
              <w:rPr>
                <w:rFonts w:ascii="Arial" w:hAnsi="Arial"/>
                <w:b/>
                <w:bCs/>
                <w:rtl/>
              </w:rPr>
            </w:pPr>
          </w:p>
          <w:p w14:paraId="0A98DB41" w14:textId="77777777" w:rsidR="00F9275B" w:rsidRPr="001E1F8C" w:rsidRDefault="001E1F8C">
            <w:pPr>
              <w:jc w:val="center"/>
              <w:rPr>
                <w:rFonts w:ascii="Arial" w:hAnsi="Arial"/>
                <w:b/>
                <w:bCs/>
                <w:rtl/>
              </w:rPr>
            </w:pPr>
            <w:r w:rsidRPr="001E1F8C">
              <w:rPr>
                <w:rFonts w:ascii="Arial" w:hAnsi="Arial"/>
                <w:b/>
                <w:bCs/>
                <w:rtl/>
              </w:rPr>
              <w:t>נגד</w:t>
            </w:r>
          </w:p>
          <w:p w14:paraId="251FFA19" w14:textId="77777777" w:rsidR="00F9275B" w:rsidRPr="001E1F8C" w:rsidRDefault="00F9275B">
            <w:pPr>
              <w:jc w:val="both"/>
              <w:rPr>
                <w:rFonts w:ascii="Arial" w:hAnsi="Arial"/>
              </w:rPr>
            </w:pPr>
          </w:p>
        </w:tc>
      </w:tr>
      <w:tr w:rsidR="00F9275B" w:rsidRPr="001E1F8C" w14:paraId="02BA05C9" w14:textId="77777777">
        <w:trPr>
          <w:trHeight w:val="355"/>
          <w:jc w:val="center"/>
        </w:trPr>
        <w:tc>
          <w:tcPr>
            <w:tcW w:w="923" w:type="dxa"/>
            <w:tcBorders>
              <w:top w:val="nil"/>
              <w:left w:val="nil"/>
              <w:bottom w:val="nil"/>
              <w:right w:val="nil"/>
            </w:tcBorders>
            <w:shd w:val="clear" w:color="auto" w:fill="auto"/>
          </w:tcPr>
          <w:p w14:paraId="2A2D82AE" w14:textId="77777777" w:rsidR="00F9275B" w:rsidRPr="001E1F8C" w:rsidRDefault="00F9275B">
            <w:pPr>
              <w:rPr>
                <w:rFonts w:ascii="Arial" w:hAnsi="Arial"/>
                <w:rtl/>
              </w:rPr>
            </w:pPr>
          </w:p>
        </w:tc>
        <w:tc>
          <w:tcPr>
            <w:tcW w:w="4126" w:type="dxa"/>
            <w:tcBorders>
              <w:top w:val="nil"/>
              <w:left w:val="nil"/>
              <w:bottom w:val="nil"/>
              <w:right w:val="nil"/>
            </w:tcBorders>
            <w:shd w:val="clear" w:color="auto" w:fill="auto"/>
          </w:tcPr>
          <w:p w14:paraId="2EFB23D4" w14:textId="77777777" w:rsidR="00F9275B" w:rsidRPr="001E1F8C" w:rsidRDefault="001E1F8C">
            <w:pPr>
              <w:rPr>
                <w:rtl/>
              </w:rPr>
            </w:pPr>
            <w:r w:rsidRPr="001E1F8C">
              <w:rPr>
                <w:rFonts w:hint="cs"/>
                <w:rtl/>
              </w:rPr>
              <w:t>בלאל חמודה (עציר)</w:t>
            </w:r>
          </w:p>
        </w:tc>
        <w:tc>
          <w:tcPr>
            <w:tcW w:w="3771" w:type="dxa"/>
            <w:tcBorders>
              <w:top w:val="nil"/>
              <w:left w:val="nil"/>
              <w:bottom w:val="nil"/>
              <w:right w:val="nil"/>
            </w:tcBorders>
            <w:shd w:val="clear" w:color="auto" w:fill="auto"/>
          </w:tcPr>
          <w:p w14:paraId="739A54F4" w14:textId="77777777" w:rsidR="00F9275B" w:rsidRPr="001E1F8C" w:rsidRDefault="00F9275B">
            <w:pPr>
              <w:jc w:val="right"/>
              <w:rPr>
                <w:rFonts w:ascii="Arial" w:hAnsi="Arial"/>
              </w:rPr>
            </w:pPr>
          </w:p>
        </w:tc>
      </w:tr>
      <w:tr w:rsidR="00F9275B" w:rsidRPr="001E1F8C" w14:paraId="55643A93" w14:textId="77777777">
        <w:trPr>
          <w:trHeight w:val="355"/>
          <w:jc w:val="center"/>
        </w:trPr>
        <w:tc>
          <w:tcPr>
            <w:tcW w:w="923" w:type="dxa"/>
            <w:tcBorders>
              <w:top w:val="nil"/>
              <w:left w:val="nil"/>
              <w:bottom w:val="nil"/>
              <w:right w:val="nil"/>
            </w:tcBorders>
            <w:shd w:val="clear" w:color="auto" w:fill="auto"/>
          </w:tcPr>
          <w:p w14:paraId="357CAE49" w14:textId="77777777" w:rsidR="00F9275B" w:rsidRPr="001E1F8C" w:rsidRDefault="00F9275B">
            <w:pPr>
              <w:jc w:val="both"/>
              <w:rPr>
                <w:rFonts w:ascii="Arial" w:hAnsi="Arial"/>
                <w:rtl/>
              </w:rPr>
            </w:pPr>
          </w:p>
        </w:tc>
        <w:tc>
          <w:tcPr>
            <w:tcW w:w="4126" w:type="dxa"/>
            <w:tcBorders>
              <w:top w:val="nil"/>
              <w:left w:val="nil"/>
              <w:bottom w:val="nil"/>
              <w:right w:val="nil"/>
            </w:tcBorders>
            <w:shd w:val="clear" w:color="auto" w:fill="auto"/>
          </w:tcPr>
          <w:p w14:paraId="0B36FE31" w14:textId="77777777" w:rsidR="00F9275B" w:rsidRPr="001E1F8C" w:rsidRDefault="00F9275B">
            <w:pPr>
              <w:jc w:val="both"/>
              <w:rPr>
                <w:rtl/>
              </w:rPr>
            </w:pPr>
          </w:p>
        </w:tc>
        <w:tc>
          <w:tcPr>
            <w:tcW w:w="3771" w:type="dxa"/>
            <w:tcBorders>
              <w:top w:val="nil"/>
              <w:left w:val="nil"/>
              <w:bottom w:val="nil"/>
              <w:right w:val="nil"/>
            </w:tcBorders>
            <w:shd w:val="clear" w:color="auto" w:fill="auto"/>
          </w:tcPr>
          <w:p w14:paraId="57C255D9" w14:textId="77777777" w:rsidR="00F9275B" w:rsidRPr="001E1F8C" w:rsidRDefault="001E1F8C">
            <w:pPr>
              <w:jc w:val="right"/>
              <w:rPr>
                <w:rFonts w:ascii="Arial" w:hAnsi="Arial"/>
              </w:rPr>
            </w:pPr>
            <w:r w:rsidRPr="001E1F8C">
              <w:rPr>
                <w:rFonts w:ascii="Arial" w:hAnsi="Arial" w:hint="cs"/>
                <w:rtl/>
              </w:rPr>
              <w:t>ה</w:t>
            </w:r>
            <w:r w:rsidRPr="001E1F8C">
              <w:rPr>
                <w:rFonts w:hint="cs"/>
                <w:rtl/>
              </w:rPr>
              <w:t>נאשמים</w:t>
            </w:r>
          </w:p>
        </w:tc>
      </w:tr>
    </w:tbl>
    <w:p w14:paraId="012803F4" w14:textId="77777777" w:rsidR="00AB31E2" w:rsidRDefault="00AB31E2">
      <w:pPr>
        <w:rPr>
          <w:rtl/>
        </w:rPr>
      </w:pPr>
      <w:bookmarkStart w:id="2" w:name="LawTable"/>
      <w:bookmarkEnd w:id="2"/>
    </w:p>
    <w:p w14:paraId="772C665A" w14:textId="77777777" w:rsidR="00AB31E2" w:rsidRPr="00AB31E2" w:rsidRDefault="00AB31E2" w:rsidP="00AB31E2">
      <w:pPr>
        <w:spacing w:after="120" w:line="240" w:lineRule="exact"/>
        <w:ind w:left="283" w:hanging="283"/>
        <w:jc w:val="both"/>
        <w:rPr>
          <w:rFonts w:ascii="FrankRuehl" w:hAnsi="FrankRuehl" w:cs="FrankRuehl"/>
          <w:rtl/>
        </w:rPr>
      </w:pPr>
    </w:p>
    <w:p w14:paraId="7D5F8C2B" w14:textId="77777777" w:rsidR="00AB31E2" w:rsidRPr="00AB31E2" w:rsidRDefault="00AB31E2" w:rsidP="00AB31E2">
      <w:pPr>
        <w:spacing w:after="120" w:line="240" w:lineRule="exact"/>
        <w:ind w:left="283" w:hanging="283"/>
        <w:jc w:val="both"/>
        <w:rPr>
          <w:rFonts w:ascii="FrankRuehl" w:hAnsi="FrankRuehl" w:cs="FrankRuehl"/>
          <w:rtl/>
        </w:rPr>
      </w:pPr>
      <w:r w:rsidRPr="00AB31E2">
        <w:rPr>
          <w:rFonts w:ascii="FrankRuehl" w:hAnsi="FrankRuehl" w:cs="FrankRuehl"/>
          <w:rtl/>
        </w:rPr>
        <w:t xml:space="preserve">חקיקה שאוזכרה: </w:t>
      </w:r>
    </w:p>
    <w:p w14:paraId="55915491" w14:textId="77777777" w:rsidR="00AB31E2" w:rsidRPr="00AB31E2" w:rsidRDefault="00AB31E2" w:rsidP="00AB31E2">
      <w:pPr>
        <w:spacing w:after="120" w:line="240" w:lineRule="exact"/>
        <w:ind w:left="283" w:hanging="283"/>
        <w:jc w:val="both"/>
        <w:rPr>
          <w:rFonts w:ascii="FrankRuehl" w:hAnsi="FrankRuehl" w:cs="FrankRuehl"/>
          <w:rtl/>
        </w:rPr>
      </w:pPr>
      <w:hyperlink r:id="rId6" w:history="1">
        <w:r w:rsidRPr="00AB31E2">
          <w:rPr>
            <w:rFonts w:ascii="FrankRuehl" w:hAnsi="FrankRuehl" w:cs="FrankRuehl"/>
            <w:color w:val="0000FF"/>
            <w:u w:val="single"/>
            <w:rtl/>
          </w:rPr>
          <w:t>תקנות ההגנה (שעת-חירום), 1945</w:t>
        </w:r>
      </w:hyperlink>
      <w:r w:rsidRPr="00AB31E2">
        <w:rPr>
          <w:rFonts w:ascii="FrankRuehl" w:hAnsi="FrankRuehl" w:cs="FrankRuehl"/>
          <w:rtl/>
        </w:rPr>
        <w:t xml:space="preserve">: סע'  </w:t>
      </w:r>
      <w:hyperlink r:id="rId7" w:history="1">
        <w:r w:rsidRPr="00AB31E2">
          <w:rPr>
            <w:rFonts w:ascii="FrankRuehl" w:hAnsi="FrankRuehl" w:cs="FrankRuehl"/>
            <w:color w:val="0000FF"/>
            <w:u w:val="single"/>
            <w:rtl/>
          </w:rPr>
          <w:t>85(1)(א)</w:t>
        </w:r>
      </w:hyperlink>
    </w:p>
    <w:p w14:paraId="43661DC3" w14:textId="77777777" w:rsidR="00AB31E2" w:rsidRPr="00AB31E2" w:rsidRDefault="00AB31E2" w:rsidP="00AB31E2">
      <w:pPr>
        <w:spacing w:after="120" w:line="240" w:lineRule="exact"/>
        <w:ind w:left="283" w:hanging="283"/>
        <w:jc w:val="both"/>
        <w:rPr>
          <w:rFonts w:ascii="FrankRuehl" w:hAnsi="FrankRuehl" w:cs="FrankRuehl"/>
          <w:rtl/>
        </w:rPr>
      </w:pPr>
      <w:hyperlink r:id="rId8" w:history="1">
        <w:r w:rsidRPr="00AB31E2">
          <w:rPr>
            <w:rFonts w:ascii="FrankRuehl" w:hAnsi="FrankRuehl" w:cs="FrankRuehl"/>
            <w:color w:val="0000FF"/>
            <w:u w:val="single"/>
            <w:rtl/>
          </w:rPr>
          <w:t>חוק העונשין, תשל"ז-1977</w:t>
        </w:r>
      </w:hyperlink>
      <w:r w:rsidRPr="00AB31E2">
        <w:rPr>
          <w:rFonts w:ascii="FrankRuehl" w:hAnsi="FrankRuehl" w:cs="FrankRuehl"/>
          <w:rtl/>
        </w:rPr>
        <w:t xml:space="preserve">: סע'  </w:t>
      </w:r>
      <w:hyperlink r:id="rId9" w:history="1">
        <w:r w:rsidRPr="00AB31E2">
          <w:rPr>
            <w:rFonts w:ascii="FrankRuehl" w:hAnsi="FrankRuehl" w:cs="FrankRuehl"/>
            <w:color w:val="0000FF"/>
            <w:u w:val="single"/>
            <w:rtl/>
          </w:rPr>
          <w:t>144(א)</w:t>
        </w:r>
      </w:hyperlink>
    </w:p>
    <w:p w14:paraId="3F908893" w14:textId="77777777" w:rsidR="00AB31E2" w:rsidRPr="00AB31E2" w:rsidRDefault="00AB31E2" w:rsidP="00AB31E2">
      <w:pPr>
        <w:spacing w:after="120" w:line="240" w:lineRule="exact"/>
        <w:ind w:left="283" w:hanging="283"/>
        <w:jc w:val="both"/>
        <w:rPr>
          <w:rFonts w:ascii="FrankRuehl" w:hAnsi="FrankRuehl" w:cs="FrankRuehl"/>
          <w:rtl/>
        </w:rPr>
      </w:pPr>
    </w:p>
    <w:p w14:paraId="26D434DD" w14:textId="77777777" w:rsidR="00AB31E2" w:rsidRPr="00AB31E2" w:rsidRDefault="00AB31E2">
      <w:pPr>
        <w:rPr>
          <w:rtl/>
        </w:rPr>
      </w:pPr>
      <w:bookmarkStart w:id="3" w:name="LawTable_End"/>
      <w:bookmarkEnd w:id="3"/>
      <w:r>
        <w:rPr>
          <w:rFonts w:hint="cs"/>
          <w:rtl/>
        </w:rPr>
        <w:t xml:space="preserve">  </w:t>
      </w:r>
    </w:p>
    <w:p w14:paraId="35FCC45F" w14:textId="77777777" w:rsidR="00F9275B" w:rsidRPr="001E1F8C" w:rsidRDefault="00F9275B">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275B" w14:paraId="48F737F3" w14:textId="77777777">
        <w:trPr>
          <w:trHeight w:val="355"/>
          <w:jc w:val="center"/>
        </w:trPr>
        <w:tc>
          <w:tcPr>
            <w:tcW w:w="8820" w:type="dxa"/>
            <w:tcBorders>
              <w:top w:val="nil"/>
              <w:left w:val="nil"/>
              <w:bottom w:val="nil"/>
              <w:right w:val="nil"/>
            </w:tcBorders>
            <w:shd w:val="clear" w:color="auto" w:fill="auto"/>
          </w:tcPr>
          <w:p w14:paraId="3D06524B" w14:textId="77777777" w:rsidR="001E1F8C" w:rsidRPr="001E1F8C" w:rsidRDefault="001E1F8C" w:rsidP="001E1F8C">
            <w:pPr>
              <w:jc w:val="center"/>
              <w:rPr>
                <w:rFonts w:ascii="Arial" w:hAnsi="Arial"/>
                <w:b/>
                <w:bCs/>
                <w:sz w:val="32"/>
                <w:szCs w:val="32"/>
                <w:u w:val="single"/>
                <w:rtl/>
              </w:rPr>
            </w:pPr>
            <w:bookmarkStart w:id="4" w:name="PsakDin" w:colFirst="0" w:colLast="0"/>
            <w:bookmarkEnd w:id="0"/>
            <w:r w:rsidRPr="001E1F8C">
              <w:rPr>
                <w:rFonts w:ascii="Arial" w:hAnsi="Arial"/>
                <w:b/>
                <w:bCs/>
                <w:sz w:val="32"/>
                <w:szCs w:val="32"/>
                <w:u w:val="single"/>
                <w:rtl/>
              </w:rPr>
              <w:t>גזר דין</w:t>
            </w:r>
          </w:p>
          <w:p w14:paraId="368FE2A9" w14:textId="77777777" w:rsidR="00F9275B" w:rsidRPr="001E1F8C" w:rsidRDefault="00F9275B" w:rsidP="001E1F8C">
            <w:pPr>
              <w:jc w:val="center"/>
              <w:rPr>
                <w:rFonts w:ascii="Arial" w:hAnsi="Arial"/>
                <w:bCs/>
                <w:sz w:val="32"/>
                <w:szCs w:val="32"/>
                <w:u w:val="single"/>
                <w:rtl/>
              </w:rPr>
            </w:pPr>
          </w:p>
        </w:tc>
      </w:tr>
      <w:bookmarkEnd w:id="4"/>
    </w:tbl>
    <w:p w14:paraId="4F2A34DA" w14:textId="77777777" w:rsidR="00F9275B" w:rsidRDefault="00F9275B">
      <w:pPr>
        <w:rPr>
          <w:rFonts w:ascii="Arial" w:hAnsi="Arial"/>
          <w:rtl/>
        </w:rPr>
      </w:pPr>
    </w:p>
    <w:p w14:paraId="213A654A" w14:textId="77777777" w:rsidR="00F9275B" w:rsidRDefault="00F9275B">
      <w:pPr>
        <w:rPr>
          <w:rFonts w:ascii="Arial" w:hAnsi="Arial"/>
          <w:rtl/>
        </w:rPr>
      </w:pPr>
    </w:p>
    <w:p w14:paraId="584C9668" w14:textId="77777777" w:rsidR="00F9275B" w:rsidRDefault="00F9275B">
      <w:pPr>
        <w:rPr>
          <w:rtl/>
        </w:rPr>
      </w:pPr>
    </w:p>
    <w:p w14:paraId="0D32FB69" w14:textId="77777777" w:rsidR="00F9275B" w:rsidRDefault="001E1F8C">
      <w:pPr>
        <w:spacing w:line="360" w:lineRule="auto"/>
        <w:ind w:left="720" w:hanging="720"/>
        <w:rPr>
          <w:rtl/>
        </w:rPr>
      </w:pPr>
      <w:r>
        <w:rPr>
          <w:rFonts w:hint="cs"/>
          <w:rtl/>
        </w:rPr>
        <w:t>1.</w:t>
      </w:r>
      <w:r>
        <w:rPr>
          <w:rFonts w:hint="cs"/>
          <w:rtl/>
        </w:rPr>
        <w:tab/>
      </w:r>
      <w:bookmarkStart w:id="5" w:name="ABSTRACT_START"/>
      <w:bookmarkEnd w:id="5"/>
      <w:r>
        <w:rPr>
          <w:rFonts w:hint="cs"/>
          <w:rtl/>
        </w:rPr>
        <w:t>בטרם שמיעת הראיות, הגיעו הצדדים להסדר טיעון במסגרתו הודה הנאשם בעובדות כתב האישום המתוקן שהוגש נגדו, שאלה עיקריו-</w:t>
      </w:r>
    </w:p>
    <w:p w14:paraId="77E3A6A2" w14:textId="77777777" w:rsidR="00F9275B" w:rsidRDefault="00F9275B">
      <w:pPr>
        <w:spacing w:line="360" w:lineRule="auto"/>
        <w:ind w:left="720" w:hanging="720"/>
        <w:rPr>
          <w:rtl/>
        </w:rPr>
      </w:pPr>
    </w:p>
    <w:p w14:paraId="737C9D98" w14:textId="77777777" w:rsidR="00F9275B" w:rsidRDefault="001E1F8C">
      <w:pPr>
        <w:spacing w:line="360" w:lineRule="auto"/>
        <w:ind w:left="720" w:hanging="720"/>
        <w:rPr>
          <w:rtl/>
        </w:rPr>
      </w:pPr>
      <w:r>
        <w:rPr>
          <w:rFonts w:hint="cs"/>
          <w:rtl/>
        </w:rPr>
        <w:tab/>
        <w:t xml:space="preserve">ארגון החזית העממית הדמוקרטית (להלן: "חז"ע")  הוכרז כארגון טרוריסטי בתאריך 30.01.86 וכהתאחדות בלתי מותרת בתאריך 07.07.09. </w:t>
      </w:r>
    </w:p>
    <w:p w14:paraId="0EB6BD18" w14:textId="77777777" w:rsidR="00F9275B" w:rsidRDefault="00F9275B">
      <w:pPr>
        <w:spacing w:line="360" w:lineRule="auto"/>
        <w:ind w:left="720" w:hanging="720"/>
        <w:rPr>
          <w:rtl/>
        </w:rPr>
      </w:pPr>
    </w:p>
    <w:p w14:paraId="1380F25A" w14:textId="77777777" w:rsidR="00F9275B" w:rsidRDefault="001E1F8C">
      <w:pPr>
        <w:spacing w:line="360" w:lineRule="auto"/>
        <w:ind w:left="720"/>
        <w:rPr>
          <w:rtl/>
        </w:rPr>
      </w:pPr>
      <w:r>
        <w:rPr>
          <w:rFonts w:hint="cs"/>
          <w:rtl/>
        </w:rPr>
        <w:t xml:space="preserve">סמוך לחודש נובמבר 2015, גויס הנאשם כחבר בארגון חז"ע, ע"י אדם בשם דלול מזיתון, ברצועת עזה. במסגרת חברותו של הנאשם בארגון, בסוף חודש מרץ 2106, הוא פגש אחר שמסר לו תיק ובו נשק מסוג קלאצ'ניקוב, ארבע מחסניות ריקות תואמות ו- 25 כדורי רובה תואמים. הנאשם לקח את התיק והטמינו בארון הטלוויזיה שבביתו למשך 10 ימים. </w:t>
      </w:r>
    </w:p>
    <w:p w14:paraId="54DE15C0" w14:textId="77777777" w:rsidR="00F9275B" w:rsidRDefault="00F9275B">
      <w:pPr>
        <w:spacing w:line="360" w:lineRule="auto"/>
        <w:ind w:left="720" w:hanging="720"/>
        <w:rPr>
          <w:rtl/>
        </w:rPr>
      </w:pPr>
      <w:bookmarkStart w:id="6" w:name="ABSTRACT_END"/>
      <w:bookmarkEnd w:id="6"/>
    </w:p>
    <w:p w14:paraId="66F54349" w14:textId="77777777" w:rsidR="00F9275B" w:rsidRDefault="001E1F8C">
      <w:pPr>
        <w:spacing w:line="360" w:lineRule="auto"/>
        <w:ind w:left="720" w:hanging="720"/>
        <w:rPr>
          <w:rtl/>
        </w:rPr>
      </w:pPr>
      <w:r>
        <w:rPr>
          <w:rFonts w:hint="cs"/>
          <w:rtl/>
        </w:rPr>
        <w:lastRenderedPageBreak/>
        <w:t xml:space="preserve">2. </w:t>
      </w:r>
      <w:r>
        <w:rPr>
          <w:rFonts w:hint="cs"/>
          <w:rtl/>
        </w:rPr>
        <w:tab/>
        <w:t xml:space="preserve">על יסוד הודאת הנאשם בעובדות כתב האישום המתוקן, כאמור, הוא הורשע בעבירה של פעילות וחברות בהתאחדות בלתי מותרת, לפי </w:t>
      </w:r>
      <w:hyperlink r:id="rId10" w:history="1">
        <w:r w:rsidR="00E53061" w:rsidRPr="00E53061">
          <w:rPr>
            <w:color w:val="0000FF"/>
            <w:u w:val="single"/>
            <w:rtl/>
          </w:rPr>
          <w:t>סעיף 85(1)(א)</w:t>
        </w:r>
      </w:hyperlink>
      <w:r>
        <w:rPr>
          <w:rFonts w:hint="cs"/>
          <w:rtl/>
        </w:rPr>
        <w:t xml:space="preserve"> ל</w:t>
      </w:r>
      <w:hyperlink r:id="rId11" w:history="1">
        <w:r w:rsidRPr="001E1F8C">
          <w:rPr>
            <w:color w:val="0000FF"/>
            <w:u w:val="single"/>
            <w:rtl/>
          </w:rPr>
          <w:t>תקנות ההגנה (שעת חירום)</w:t>
        </w:r>
      </w:hyperlink>
      <w:r>
        <w:rPr>
          <w:rFonts w:hint="cs"/>
          <w:rtl/>
        </w:rPr>
        <w:t xml:space="preserve"> 1945, ובעבירה של החזקת נשק, לפי </w:t>
      </w:r>
      <w:hyperlink r:id="rId12" w:history="1">
        <w:r w:rsidR="00E53061" w:rsidRPr="00E53061">
          <w:rPr>
            <w:color w:val="0000FF"/>
            <w:u w:val="single"/>
            <w:rtl/>
          </w:rPr>
          <w:t>סעיף 144(א)</w:t>
        </w:r>
      </w:hyperlink>
      <w:r>
        <w:rPr>
          <w:rFonts w:hint="cs"/>
          <w:rtl/>
        </w:rPr>
        <w:t xml:space="preserve"> ל</w:t>
      </w:r>
      <w:hyperlink r:id="rId13" w:history="1">
        <w:r w:rsidRPr="001E1F8C">
          <w:rPr>
            <w:color w:val="0000FF"/>
            <w:u w:val="single"/>
            <w:rtl/>
          </w:rPr>
          <w:t>חוק העונשין</w:t>
        </w:r>
      </w:hyperlink>
      <w:r>
        <w:rPr>
          <w:rFonts w:hint="cs"/>
          <w:rtl/>
        </w:rPr>
        <w:t xml:space="preserve"> תשל"ז-1977. </w:t>
      </w:r>
    </w:p>
    <w:p w14:paraId="6A232DDF" w14:textId="77777777" w:rsidR="00F9275B" w:rsidRDefault="00F9275B">
      <w:pPr>
        <w:spacing w:line="360" w:lineRule="auto"/>
        <w:ind w:left="720" w:hanging="720"/>
        <w:rPr>
          <w:rtl/>
        </w:rPr>
      </w:pPr>
    </w:p>
    <w:p w14:paraId="62A3A27F" w14:textId="77777777" w:rsidR="00F9275B" w:rsidRDefault="001E1F8C">
      <w:pPr>
        <w:spacing w:line="360" w:lineRule="auto"/>
        <w:ind w:left="720" w:hanging="720"/>
        <w:rPr>
          <w:rtl/>
        </w:rPr>
      </w:pPr>
      <w:r>
        <w:rPr>
          <w:rFonts w:hint="cs"/>
          <w:rtl/>
        </w:rPr>
        <w:t>3.</w:t>
      </w:r>
      <w:r>
        <w:rPr>
          <w:rFonts w:hint="cs"/>
          <w:rtl/>
        </w:rPr>
        <w:tab/>
        <w:t>במסגרת הסדר הטיעון, המליצו הצדדים לבית המשפט להטיל על הנאשם 24 חודשי מאסר בפועל ומאסר על תנאי.</w:t>
      </w:r>
    </w:p>
    <w:p w14:paraId="3A9DBDD9" w14:textId="77777777" w:rsidR="00F9275B" w:rsidRDefault="00F9275B">
      <w:pPr>
        <w:spacing w:line="360" w:lineRule="auto"/>
        <w:ind w:left="720" w:hanging="720"/>
        <w:rPr>
          <w:rtl/>
        </w:rPr>
      </w:pPr>
    </w:p>
    <w:p w14:paraId="50891442" w14:textId="77777777" w:rsidR="00F9275B" w:rsidRDefault="001E1F8C">
      <w:pPr>
        <w:spacing w:line="360" w:lineRule="auto"/>
        <w:ind w:left="720" w:hanging="720"/>
        <w:rPr>
          <w:rtl/>
        </w:rPr>
      </w:pPr>
      <w:r>
        <w:rPr>
          <w:rFonts w:hint="cs"/>
          <w:rtl/>
        </w:rPr>
        <w:t>4.</w:t>
      </w:r>
      <w:r>
        <w:rPr>
          <w:rFonts w:hint="cs"/>
          <w:rtl/>
        </w:rPr>
        <w:tab/>
        <w:t xml:space="preserve">התביעה עתרה לאמץ את הסדר הטיעון. ציינה, כי הסדר הטיעון נבע מקושי הנוגע לכך שלא התקבל אישור היועמ"ש להעמיד לדין את הנאשם על עבירות שביצע בהיותו קטין. ומסרה כי לאור נכונות הנאשם לסיים את התיק, החליטה התביעה שלא לעמוד על הוכחת העבירות הנ"ל. טענה כי העונש המומלץ הוא בתחתית מתחם הענישה, והוא מתחשב בכך שהנאשם לקח אחריות על מעשיו, הודה בהזדמנות הראשונה וחסך זמן שיפוט. </w:t>
      </w:r>
    </w:p>
    <w:p w14:paraId="35DB0D6E" w14:textId="77777777" w:rsidR="00F9275B" w:rsidRDefault="00F9275B">
      <w:pPr>
        <w:spacing w:line="360" w:lineRule="auto"/>
        <w:ind w:left="720"/>
        <w:rPr>
          <w:rtl/>
        </w:rPr>
      </w:pPr>
    </w:p>
    <w:p w14:paraId="2F9F0C8E" w14:textId="77777777" w:rsidR="00F9275B" w:rsidRDefault="001E1F8C">
      <w:pPr>
        <w:spacing w:line="360" w:lineRule="auto"/>
        <w:ind w:left="720"/>
        <w:rPr>
          <w:rtl/>
        </w:rPr>
      </w:pPr>
      <w:r>
        <w:rPr>
          <w:rFonts w:hint="cs"/>
          <w:rtl/>
        </w:rPr>
        <w:t xml:space="preserve">ב"כ הנאשם הצטרף לדברי ב"כ התביעה והוסיף, כי הנאשם בן 24, נשוי ואב לשני ילדים קטנים. בעזה היה לו עסק למחשבים. הוא ניהל בעזה "קופי שופ" והדבר הכעיס את ארגון החמאס והביא לכך שהחמאס התנכל לו, והנאשם נדחק להזדהות עם החז"ע. עוד הוסיף, כי הנשק הוחזק על ידי הנאשם לתקופה קצרה בלבד, וציין כי הנאשם שוהה במעצר מסוף חודש מרץ 2016. </w:t>
      </w:r>
    </w:p>
    <w:p w14:paraId="03B16407" w14:textId="77777777" w:rsidR="00F9275B" w:rsidRDefault="00F9275B">
      <w:pPr>
        <w:spacing w:line="360" w:lineRule="auto"/>
        <w:ind w:left="720"/>
        <w:rPr>
          <w:rtl/>
        </w:rPr>
      </w:pPr>
    </w:p>
    <w:p w14:paraId="47571C1C" w14:textId="77777777" w:rsidR="00F9275B" w:rsidRDefault="001E1F8C">
      <w:pPr>
        <w:spacing w:line="360" w:lineRule="auto"/>
        <w:ind w:left="720" w:hanging="720"/>
        <w:rPr>
          <w:rFonts w:ascii="FrankRuehl" w:hAnsi="FrankRuehl"/>
          <w:color w:val="000000"/>
          <w:rtl/>
          <w:lang w:eastAsia="he-IL"/>
        </w:rPr>
      </w:pPr>
      <w:r>
        <w:rPr>
          <w:rFonts w:hint="cs"/>
          <w:rtl/>
        </w:rPr>
        <w:t>5.</w:t>
      </w:r>
      <w:r>
        <w:rPr>
          <w:rFonts w:hint="cs"/>
          <w:rtl/>
        </w:rPr>
        <w:tab/>
      </w:r>
      <w:r>
        <w:rPr>
          <w:rFonts w:ascii="FrankRuehl" w:hAnsi="FrankRuehl" w:hint="cs"/>
          <w:color w:val="000000"/>
          <w:rtl/>
        </w:rPr>
        <w:t xml:space="preserve">בהתחשב במעשי הנאשם, בעבירות בהן הורשע, בהודאתו - שבאה במסגרת הסדר טיעון בגדרו עתרו הצדדים יחד להטיל עליו 24 חודשי מאסר בפועל - בגילו, בעובדה כי הוא נעדר עבר פלילי ובקושי המיוחד של תושב עזה לשאת מאסר בישראל, הרי שהעונש המומלץ בהסדר הטיעון, מתאים. </w:t>
      </w:r>
    </w:p>
    <w:p w14:paraId="73DE4785" w14:textId="77777777" w:rsidR="00F9275B" w:rsidRDefault="00F9275B">
      <w:pPr>
        <w:spacing w:line="360" w:lineRule="auto"/>
        <w:ind w:left="720" w:hanging="720"/>
        <w:rPr>
          <w:rFonts w:ascii="FrankRuehl" w:hAnsi="FrankRuehl"/>
          <w:color w:val="000000"/>
          <w:rtl/>
        </w:rPr>
      </w:pPr>
    </w:p>
    <w:p w14:paraId="316AA1FE" w14:textId="77777777" w:rsidR="00F9275B" w:rsidRDefault="001E1F8C">
      <w:pPr>
        <w:spacing w:line="360" w:lineRule="auto"/>
        <w:ind w:left="720" w:hanging="720"/>
        <w:rPr>
          <w:rFonts w:ascii="FrankRuehl" w:hAnsi="FrankRuehl"/>
          <w:color w:val="000000"/>
          <w:rtl/>
        </w:rPr>
      </w:pPr>
      <w:r>
        <w:rPr>
          <w:rFonts w:ascii="FrankRuehl" w:hAnsi="FrankRuehl" w:hint="cs"/>
          <w:color w:val="000000"/>
          <w:rtl/>
        </w:rPr>
        <w:t>6.</w:t>
      </w:r>
      <w:r>
        <w:rPr>
          <w:rFonts w:ascii="FrankRuehl" w:hAnsi="FrankRuehl" w:hint="cs"/>
          <w:color w:val="000000"/>
          <w:rtl/>
        </w:rPr>
        <w:tab/>
        <w:t>נוכח האמור אני מקבל את הסדר הטיעון וגוזר על הנאשם את העונשים הבאים-</w:t>
      </w:r>
    </w:p>
    <w:p w14:paraId="62D55DAB" w14:textId="77777777" w:rsidR="00F9275B" w:rsidRDefault="00F9275B">
      <w:pPr>
        <w:spacing w:line="360" w:lineRule="auto"/>
        <w:ind w:left="720"/>
        <w:rPr>
          <w:rFonts w:ascii="FrankRuehl" w:hAnsi="FrankRuehl"/>
          <w:color w:val="000000"/>
          <w:rtl/>
        </w:rPr>
      </w:pPr>
    </w:p>
    <w:p w14:paraId="2E776581" w14:textId="77777777" w:rsidR="00F9275B" w:rsidRDefault="001E1F8C">
      <w:pPr>
        <w:spacing w:line="360" w:lineRule="auto"/>
        <w:ind w:left="720"/>
        <w:rPr>
          <w:rFonts w:ascii="FrankRuehl" w:hAnsi="FrankRuehl"/>
          <w:color w:val="000000"/>
          <w:rtl/>
        </w:rPr>
      </w:pPr>
      <w:r>
        <w:rPr>
          <w:rFonts w:ascii="FrankRuehl" w:hAnsi="FrankRuehl" w:hint="cs"/>
          <w:color w:val="000000"/>
          <w:rtl/>
        </w:rPr>
        <w:t>א.</w:t>
      </w:r>
      <w:r>
        <w:rPr>
          <w:rFonts w:ascii="FrankRuehl" w:hAnsi="FrankRuehl" w:hint="cs"/>
          <w:color w:val="000000"/>
          <w:rtl/>
        </w:rPr>
        <w:tab/>
        <w:t>24 חודשי מאסר בפועל, מיום מעצרו.</w:t>
      </w:r>
    </w:p>
    <w:p w14:paraId="357DCD6C" w14:textId="77777777" w:rsidR="00F9275B" w:rsidRDefault="001E1F8C">
      <w:pPr>
        <w:spacing w:line="360" w:lineRule="auto"/>
        <w:ind w:left="1440" w:hanging="720"/>
        <w:rPr>
          <w:rFonts w:ascii="FrankRuehl" w:hAnsi="FrankRuehl"/>
          <w:color w:val="000000"/>
          <w:rtl/>
        </w:rPr>
      </w:pPr>
      <w:r>
        <w:rPr>
          <w:rFonts w:ascii="FrankRuehl" w:hAnsi="FrankRuehl" w:hint="cs"/>
          <w:color w:val="000000"/>
          <w:rtl/>
        </w:rPr>
        <w:t>ב.</w:t>
      </w:r>
      <w:r>
        <w:rPr>
          <w:rFonts w:ascii="FrankRuehl" w:hAnsi="FrankRuehl" w:hint="cs"/>
          <w:color w:val="000000"/>
          <w:rtl/>
        </w:rPr>
        <w:tab/>
        <w:t xml:space="preserve">12 חודשי מאסר על תנאי למשך שלוש שנים מיום שחרורו מהמאסר, שלא יעבור עבירה של פעילות וחברות בהתאחדות בלתי מותרת או עבירה בנשק, המסווגת כפשע. </w:t>
      </w:r>
    </w:p>
    <w:p w14:paraId="363E6D9E" w14:textId="77777777" w:rsidR="00F9275B" w:rsidRDefault="00F9275B">
      <w:pPr>
        <w:spacing w:line="360" w:lineRule="auto"/>
        <w:ind w:left="720" w:hanging="720"/>
        <w:rPr>
          <w:rFonts w:ascii="FrankRuehl" w:hAnsi="FrankRuehl"/>
          <w:color w:val="000000"/>
          <w:rtl/>
        </w:rPr>
      </w:pPr>
    </w:p>
    <w:p w14:paraId="140027E2" w14:textId="77777777" w:rsidR="00F9275B" w:rsidRDefault="001E1F8C">
      <w:pPr>
        <w:spacing w:line="360" w:lineRule="auto"/>
        <w:ind w:left="720" w:hanging="720"/>
        <w:rPr>
          <w:rFonts w:ascii="FrankRuehl" w:hAnsi="FrankRuehl"/>
          <w:color w:val="000000"/>
          <w:rtl/>
        </w:rPr>
      </w:pPr>
      <w:r>
        <w:rPr>
          <w:rFonts w:ascii="FrankRuehl" w:hAnsi="FrankRuehl" w:hint="cs"/>
          <w:color w:val="000000"/>
          <w:rtl/>
        </w:rPr>
        <w:t>זכות ערעור בתוך 45 יום.</w:t>
      </w:r>
    </w:p>
    <w:p w14:paraId="6506C8A4" w14:textId="77777777" w:rsidR="00F9275B" w:rsidRDefault="00F9275B">
      <w:pPr>
        <w:rPr>
          <w:rtl/>
        </w:rPr>
      </w:pPr>
    </w:p>
    <w:p w14:paraId="504C169E" w14:textId="77777777" w:rsidR="00F9275B" w:rsidRDefault="00F9275B">
      <w:pPr>
        <w:spacing w:line="360" w:lineRule="auto"/>
        <w:jc w:val="both"/>
      </w:pPr>
    </w:p>
    <w:p w14:paraId="120C797A" w14:textId="77777777" w:rsidR="00F9275B" w:rsidRDefault="001E1F8C">
      <w:pPr>
        <w:spacing w:line="360" w:lineRule="auto"/>
        <w:jc w:val="both"/>
        <w:rPr>
          <w:sz w:val="6"/>
          <w:szCs w:val="6"/>
          <w:rtl/>
        </w:rPr>
      </w:pPr>
      <w:r>
        <w:rPr>
          <w:rFonts w:hint="cs"/>
          <w:sz w:val="6"/>
          <w:szCs w:val="6"/>
          <w:rtl/>
        </w:rPr>
        <w:t>&lt;#5#&gt;</w:t>
      </w:r>
    </w:p>
    <w:p w14:paraId="039CFB24" w14:textId="77777777" w:rsidR="00F9275B" w:rsidRDefault="001E1F8C">
      <w:pPr>
        <w:spacing w:line="360" w:lineRule="auto"/>
        <w:jc w:val="both"/>
        <w:rPr>
          <w:sz w:val="6"/>
          <w:szCs w:val="6"/>
          <w:rtl/>
        </w:rPr>
      </w:pPr>
      <w:r>
        <w:rPr>
          <w:b/>
          <w:bCs/>
          <w:rtl/>
        </w:rPr>
        <w:t xml:space="preserve">ניתנה והודעה היום כ"ב כסלו תשע"ז, 22/12/2016 במעמד הנוכחים. </w:t>
      </w:r>
      <w:r>
        <w:rPr>
          <w:rFonts w:hint="cs"/>
          <w:sz w:val="6"/>
          <w:szCs w:val="6"/>
          <w:rtl/>
        </w:rPr>
        <w:t>&lt;#5#&gt;</w:t>
      </w:r>
    </w:p>
    <w:p w14:paraId="385B41EF" w14:textId="77777777" w:rsidR="00F9275B" w:rsidRDefault="00F9275B">
      <w:pPr>
        <w:jc w:val="right"/>
        <w:rPr>
          <w:rtl/>
        </w:rPr>
      </w:pPr>
    </w:p>
    <w:p w14:paraId="1FFD4DF6" w14:textId="77777777" w:rsidR="00F9275B" w:rsidRPr="001E1F8C" w:rsidRDefault="001E1F8C">
      <w:pPr>
        <w:rPr>
          <w:color w:val="FFFFFF"/>
          <w:sz w:val="2"/>
          <w:szCs w:val="2"/>
          <w:rtl/>
        </w:rPr>
      </w:pPr>
      <w:r w:rsidRPr="001E1F8C">
        <w:rPr>
          <w:b/>
          <w:bCs/>
          <w:color w:val="FFFFFF"/>
          <w:sz w:val="2"/>
          <w:szCs w:val="2"/>
          <w:rtl/>
        </w:rPr>
        <w:t>5129371</w:t>
      </w:r>
      <w:r w:rsidRPr="001E1F8C">
        <w:rPr>
          <w:rFonts w:hint="cs"/>
          <w:b/>
          <w:bCs/>
          <w:color w:val="FFFFFF"/>
          <w:sz w:val="2"/>
          <w:szCs w:val="2"/>
          <w:rtl/>
        </w:rPr>
        <w:t xml:space="preserve"> </w:t>
      </w:r>
    </w:p>
    <w:tbl>
      <w:tblPr>
        <w:bidiVisual/>
        <w:tblW w:w="0" w:type="auto"/>
        <w:tblInd w:w="5830" w:type="dxa"/>
        <w:tblLook w:val="01E0" w:firstRow="1" w:lastRow="1" w:firstColumn="1" w:lastColumn="1" w:noHBand="0" w:noVBand="0"/>
      </w:tblPr>
      <w:tblGrid>
        <w:gridCol w:w="2496"/>
      </w:tblGrid>
      <w:tr w:rsidR="00F9275B" w14:paraId="6A8B122A" w14:textId="77777777">
        <w:trPr>
          <w:trHeight w:val="1352"/>
        </w:trPr>
        <w:tc>
          <w:tcPr>
            <w:tcW w:w="2496" w:type="dxa"/>
            <w:tcBorders>
              <w:top w:val="nil"/>
              <w:left w:val="nil"/>
              <w:bottom w:val="single" w:sz="4" w:space="0" w:color="auto"/>
              <w:right w:val="nil"/>
            </w:tcBorders>
            <w:shd w:val="clear" w:color="auto" w:fill="auto"/>
            <w:vAlign w:val="center"/>
          </w:tcPr>
          <w:p w14:paraId="53A48B91" w14:textId="77777777" w:rsidR="00F9275B" w:rsidRPr="001E1F8C" w:rsidRDefault="001E1F8C">
            <w:pPr>
              <w:jc w:val="center"/>
              <w:rPr>
                <w:rFonts w:ascii="Courier New" w:hAnsi="Courier New"/>
                <w:b/>
                <w:bCs/>
                <w:color w:val="FFFFFF"/>
                <w:sz w:val="2"/>
                <w:szCs w:val="2"/>
              </w:rPr>
            </w:pPr>
            <w:r w:rsidRPr="001E1F8C">
              <w:rPr>
                <w:rFonts w:ascii="Courier New" w:hAnsi="Courier New"/>
                <w:b/>
                <w:bCs/>
                <w:color w:val="FFFFFF"/>
                <w:sz w:val="2"/>
                <w:szCs w:val="2"/>
                <w:rtl/>
              </w:rPr>
              <w:t>54678313</w:t>
            </w:r>
          </w:p>
        </w:tc>
      </w:tr>
      <w:tr w:rsidR="00F9275B" w14:paraId="0CF7E17C" w14:textId="77777777">
        <w:trPr>
          <w:trHeight w:val="511"/>
        </w:trPr>
        <w:tc>
          <w:tcPr>
            <w:tcW w:w="2496" w:type="dxa"/>
            <w:tcBorders>
              <w:top w:val="single" w:sz="4" w:space="0" w:color="auto"/>
              <w:left w:val="nil"/>
              <w:bottom w:val="nil"/>
              <w:right w:val="nil"/>
            </w:tcBorders>
            <w:shd w:val="clear" w:color="auto" w:fill="auto"/>
          </w:tcPr>
          <w:p w14:paraId="7444C2F3" w14:textId="77777777" w:rsidR="00F9275B" w:rsidRDefault="001E1F8C">
            <w:pPr>
              <w:jc w:val="center"/>
              <w:rPr>
                <w:rFonts w:ascii="Courier New" w:hAnsi="Courier New"/>
                <w:b/>
                <w:bCs/>
              </w:rPr>
            </w:pPr>
            <w:r>
              <w:rPr>
                <w:rFonts w:ascii="Courier New" w:hAnsi="Courier New" w:hint="cs"/>
                <w:b/>
                <w:bCs/>
                <w:rtl/>
              </w:rPr>
              <w:t>אליהו ביתן, שופט</w:t>
            </w:r>
          </w:p>
        </w:tc>
      </w:tr>
    </w:tbl>
    <w:p w14:paraId="1C92199B" w14:textId="77777777" w:rsidR="00F9275B" w:rsidRPr="00E53061" w:rsidRDefault="00E53061">
      <w:pPr>
        <w:rPr>
          <w:color w:val="FFFFFF"/>
          <w:sz w:val="2"/>
          <w:szCs w:val="2"/>
        </w:rPr>
      </w:pPr>
      <w:r w:rsidRPr="00E53061">
        <w:rPr>
          <w:color w:val="FFFFFF"/>
          <w:sz w:val="2"/>
          <w:szCs w:val="2"/>
          <w:rtl/>
        </w:rPr>
        <w:t>5129371</w:t>
      </w:r>
    </w:p>
    <w:p w14:paraId="2BED14B2" w14:textId="77777777" w:rsidR="001E1F8C" w:rsidRPr="00E53061" w:rsidRDefault="00E53061" w:rsidP="001E1F8C">
      <w:pPr>
        <w:keepNext/>
        <w:rPr>
          <w:rFonts w:ascii="David" w:hAnsi="David"/>
          <w:color w:val="FFFFFF"/>
          <w:sz w:val="2"/>
          <w:szCs w:val="2"/>
          <w:rtl/>
        </w:rPr>
      </w:pPr>
      <w:r w:rsidRPr="00E53061">
        <w:rPr>
          <w:rFonts w:ascii="David" w:hAnsi="David"/>
          <w:color w:val="FFFFFF"/>
          <w:sz w:val="2"/>
          <w:szCs w:val="2"/>
          <w:rtl/>
        </w:rPr>
        <w:t>54678313</w:t>
      </w:r>
    </w:p>
    <w:p w14:paraId="413FABC8" w14:textId="77777777" w:rsidR="001E1F8C" w:rsidRPr="001E1F8C" w:rsidRDefault="001E1F8C" w:rsidP="001E1F8C">
      <w:pPr>
        <w:keepNext/>
        <w:rPr>
          <w:rFonts w:ascii="David" w:hAnsi="David"/>
          <w:color w:val="000000"/>
          <w:sz w:val="22"/>
          <w:szCs w:val="22"/>
          <w:rtl/>
        </w:rPr>
      </w:pPr>
      <w:r w:rsidRPr="001E1F8C">
        <w:rPr>
          <w:rFonts w:ascii="David" w:hAnsi="David"/>
          <w:color w:val="000000"/>
          <w:sz w:val="22"/>
          <w:szCs w:val="22"/>
          <w:rtl/>
        </w:rPr>
        <w:t>אליהו ביתן 54678313</w:t>
      </w:r>
    </w:p>
    <w:p w14:paraId="42ADFD8F" w14:textId="77777777" w:rsidR="001E1F8C" w:rsidRDefault="001E1F8C" w:rsidP="001E1F8C">
      <w:r w:rsidRPr="001E1F8C">
        <w:rPr>
          <w:color w:val="000000"/>
          <w:rtl/>
        </w:rPr>
        <w:t>נוסח מסמך זה כפוף לשינויי ניסוח ועריכה</w:t>
      </w:r>
    </w:p>
    <w:p w14:paraId="27E531FD" w14:textId="77777777" w:rsidR="001E1F8C" w:rsidRDefault="001E1F8C" w:rsidP="001E1F8C">
      <w:pPr>
        <w:rPr>
          <w:rtl/>
        </w:rPr>
      </w:pPr>
    </w:p>
    <w:p w14:paraId="1EBB84FD" w14:textId="77777777" w:rsidR="001E1F8C" w:rsidRDefault="001E1F8C" w:rsidP="001E1F8C">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1AE99BBB" w14:textId="77777777" w:rsidR="00E53061" w:rsidRPr="00E53061" w:rsidRDefault="00E53061" w:rsidP="00E53061">
      <w:pPr>
        <w:keepNext/>
        <w:rPr>
          <w:rFonts w:ascii="David" w:hAnsi="David"/>
          <w:color w:val="000000"/>
          <w:sz w:val="22"/>
          <w:szCs w:val="22"/>
          <w:rtl/>
        </w:rPr>
      </w:pPr>
    </w:p>
    <w:p w14:paraId="0F0802CB" w14:textId="77777777" w:rsidR="00F9275B" w:rsidRPr="001E1F8C" w:rsidRDefault="00F9275B" w:rsidP="00E53061">
      <w:pPr>
        <w:rPr>
          <w:color w:val="0000FF"/>
          <w:u w:val="single"/>
        </w:rPr>
      </w:pPr>
    </w:p>
    <w:sectPr w:rsidR="00F9275B" w:rsidRPr="001E1F8C" w:rsidSect="00E53061">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9DEEB" w14:textId="77777777" w:rsidR="0061511F" w:rsidRDefault="0061511F">
      <w:r>
        <w:separator/>
      </w:r>
    </w:p>
  </w:endnote>
  <w:endnote w:type="continuationSeparator" w:id="0">
    <w:p w14:paraId="297A53A0" w14:textId="77777777" w:rsidR="0061511F" w:rsidRDefault="00615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CA4FB" w14:textId="77777777" w:rsidR="00E53061" w:rsidRDefault="00E53061" w:rsidP="00E5306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C20362" w14:textId="77777777" w:rsidR="00F9275B" w:rsidRPr="00E53061" w:rsidRDefault="00E53061" w:rsidP="00E53061">
    <w:pPr>
      <w:pStyle w:val="a4"/>
      <w:pBdr>
        <w:top w:val="single" w:sz="4" w:space="1" w:color="auto"/>
        <w:between w:val="single" w:sz="4" w:space="0" w:color="auto"/>
      </w:pBdr>
      <w:spacing w:after="60"/>
      <w:jc w:val="center"/>
      <w:rPr>
        <w:rFonts w:ascii="FrankRuehl" w:hAnsi="FrankRuehl" w:cs="FrankRuehl"/>
        <w:color w:val="000000"/>
      </w:rPr>
    </w:pPr>
    <w:r w:rsidRPr="00E5306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E71BC" w14:textId="77777777" w:rsidR="00E53061" w:rsidRDefault="00E53061" w:rsidP="00E5306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0B1A">
      <w:rPr>
        <w:rFonts w:ascii="FrankRuehl" w:hAnsi="FrankRuehl" w:cs="FrankRuehl"/>
        <w:noProof/>
        <w:rtl/>
      </w:rPr>
      <w:t>1</w:t>
    </w:r>
    <w:r>
      <w:rPr>
        <w:rFonts w:ascii="FrankRuehl" w:hAnsi="FrankRuehl" w:cs="FrankRuehl"/>
        <w:rtl/>
      </w:rPr>
      <w:fldChar w:fldCharType="end"/>
    </w:r>
  </w:p>
  <w:p w14:paraId="6B1E2E08" w14:textId="77777777" w:rsidR="00F9275B" w:rsidRPr="00E53061" w:rsidRDefault="00E53061" w:rsidP="00E53061">
    <w:pPr>
      <w:pStyle w:val="a4"/>
      <w:pBdr>
        <w:top w:val="single" w:sz="4" w:space="1" w:color="auto"/>
        <w:between w:val="single" w:sz="4" w:space="0" w:color="auto"/>
      </w:pBdr>
      <w:spacing w:after="60"/>
      <w:jc w:val="center"/>
      <w:rPr>
        <w:rFonts w:ascii="FrankRuehl" w:hAnsi="FrankRuehl" w:cs="FrankRuehl"/>
        <w:color w:val="000000"/>
      </w:rPr>
    </w:pPr>
    <w:r w:rsidRPr="00E53061">
      <w:rPr>
        <w:rFonts w:ascii="FrankRuehl" w:hAnsi="FrankRuehl" w:cs="FrankRuehl"/>
        <w:color w:val="000000"/>
      </w:rPr>
      <w:pict w14:anchorId="53241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EA685" w14:textId="77777777" w:rsidR="0061511F" w:rsidRDefault="0061511F">
      <w:r>
        <w:separator/>
      </w:r>
    </w:p>
  </w:footnote>
  <w:footnote w:type="continuationSeparator" w:id="0">
    <w:p w14:paraId="49C652BF" w14:textId="77777777" w:rsidR="0061511F" w:rsidRDefault="00615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75571" w14:textId="77777777" w:rsidR="001E1F8C" w:rsidRPr="00E53061" w:rsidRDefault="00E53061" w:rsidP="00E530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4176-05-16</w:t>
    </w:r>
    <w:r>
      <w:rPr>
        <w:rFonts w:ascii="David" w:hAnsi="David"/>
        <w:color w:val="000000"/>
        <w:sz w:val="22"/>
        <w:szCs w:val="22"/>
        <w:rtl/>
      </w:rPr>
      <w:tab/>
      <w:t xml:space="preserve"> מדינת ישראל נ' בלאל חמודה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6923D" w14:textId="77777777" w:rsidR="001E1F8C" w:rsidRPr="00E53061" w:rsidRDefault="00E53061" w:rsidP="00E530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4176-05-16</w:t>
    </w:r>
    <w:r>
      <w:rPr>
        <w:rFonts w:ascii="David" w:hAnsi="David"/>
        <w:color w:val="000000"/>
        <w:sz w:val="22"/>
        <w:szCs w:val="22"/>
        <w:rtl/>
      </w:rPr>
      <w:tab/>
      <w:t xml:space="preserve"> מדינת ישראל נ' בלאל חמודה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275B"/>
    <w:rsid w:val="001E1F8C"/>
    <w:rsid w:val="0061511F"/>
    <w:rsid w:val="00826AE1"/>
    <w:rsid w:val="00882A8A"/>
    <w:rsid w:val="00972FBA"/>
    <w:rsid w:val="00AB31E2"/>
    <w:rsid w:val="00E30B1A"/>
    <w:rsid w:val="00E53061"/>
    <w:rsid w:val="00F0612B"/>
    <w:rsid w:val="00F9275B"/>
    <w:rsid w:val="00FD71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479CA7"/>
  <w15:chartTrackingRefBased/>
  <w15:docId w15:val="{705D7EE0-92CE-4218-BF92-D916A125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165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A1659"/>
    <w:pPr>
      <w:tabs>
        <w:tab w:val="center" w:pos="4153"/>
        <w:tab w:val="right" w:pos="8306"/>
      </w:tabs>
    </w:pPr>
  </w:style>
  <w:style w:type="paragraph" w:styleId="a4">
    <w:name w:val="footer"/>
    <w:basedOn w:val="a"/>
    <w:rsid w:val="005A1659"/>
    <w:pPr>
      <w:tabs>
        <w:tab w:val="center" w:pos="4153"/>
        <w:tab w:val="right" w:pos="8306"/>
      </w:tabs>
    </w:pPr>
  </w:style>
  <w:style w:type="character" w:styleId="a5">
    <w:name w:val="page number"/>
    <w:basedOn w:val="a0"/>
    <w:rsid w:val="005A1659"/>
  </w:style>
  <w:style w:type="character" w:styleId="Hyperlink">
    <w:name w:val="Hyperlink"/>
    <w:rsid w:val="001E1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3729/85.1.a" TargetMode="External"/><Relationship Id="rId12" Type="http://schemas.openxmlformats.org/officeDocument/2006/relationships/hyperlink" Target="http://www.nevo.co.il/law/70301/144.a"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3729" TargetMode="External"/><Relationship Id="rId11" Type="http://schemas.openxmlformats.org/officeDocument/2006/relationships/hyperlink" Target="http://www.nevo.co.il/law/73729"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3729/85.1.a"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2610</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3126</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8061024</vt:i4>
      </vt:variant>
      <vt:variant>
        <vt:i4>15</vt:i4>
      </vt:variant>
      <vt:variant>
        <vt:i4>0</vt:i4>
      </vt:variant>
      <vt:variant>
        <vt:i4>5</vt:i4>
      </vt:variant>
      <vt:variant>
        <vt:lpwstr>http://www.nevo.co.il/law/73729</vt:lpwstr>
      </vt:variant>
      <vt:variant>
        <vt:lpwstr/>
      </vt:variant>
      <vt:variant>
        <vt:i4>3211361</vt:i4>
      </vt:variant>
      <vt:variant>
        <vt:i4>12</vt:i4>
      </vt:variant>
      <vt:variant>
        <vt:i4>0</vt:i4>
      </vt:variant>
      <vt:variant>
        <vt:i4>5</vt:i4>
      </vt:variant>
      <vt:variant>
        <vt:lpwstr>http://www.nevo.co.il/law/73729/85.1.a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7995492</vt:i4>
      </vt:variant>
      <vt:variant>
        <vt:i4>6</vt:i4>
      </vt:variant>
      <vt:variant>
        <vt:i4>0</vt:i4>
      </vt:variant>
      <vt:variant>
        <vt:i4>5</vt:i4>
      </vt:variant>
      <vt:variant>
        <vt:lpwstr>http://www.nevo.co.il/law/70301</vt:lpwstr>
      </vt:variant>
      <vt:variant>
        <vt:lpwstr/>
      </vt:variant>
      <vt:variant>
        <vt:i4>3211361</vt:i4>
      </vt:variant>
      <vt:variant>
        <vt:i4>3</vt:i4>
      </vt:variant>
      <vt:variant>
        <vt:i4>0</vt:i4>
      </vt:variant>
      <vt:variant>
        <vt:i4>5</vt:i4>
      </vt:variant>
      <vt:variant>
        <vt:lpwstr>http://www.nevo.co.il/law/73729/85.1.a</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2025-01-19T16:09:00Z</dcterms:created>
  <dcterms:modified xsi:type="dcterms:W3CDTF">2025-01-19T16:09:00Z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4176</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בלאל חמודה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20161222</vt:lpwstr>
  </property>
  <property fmtid="{D5CDD505-2E9C-101B-9397-08002B2CF9AE}" pid="13" name="TYPE_N_DATE">
    <vt:lpwstr>39020161222</vt:lpwstr>
  </property>
  <property fmtid="{D5CDD505-2E9C-101B-9397-08002B2CF9AE}" pid="14" name="WORDNUMPAGES">
    <vt:lpwstr>3</vt:lpwstr>
  </property>
  <property fmtid="{D5CDD505-2E9C-101B-9397-08002B2CF9AE}" pid="15" name="TYPE_ABS_DATE">
    <vt:lpwstr>390020161222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73729/085.1.a</vt:lpwstr>
  </property>
  <property fmtid="{D5CDD505-2E9C-101B-9397-08002B2CF9AE}" pid="36" name="LAWLISTTMP2">
    <vt:lpwstr>70301/144.a</vt:lpwstr>
  </property>
</Properties>
</file>