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9C18A" w14:textId="77777777" w:rsidR="00966E09" w:rsidRDefault="00966E09" w:rsidP="00966E09">
      <w:pPr>
        <w:pStyle w:val="a4"/>
        <w:rPr>
          <w:rtl/>
        </w:rPr>
      </w:pPr>
      <w:bookmarkStart w:id="0" w:name="LawTable"/>
      <w:bookmarkEnd w:id="0"/>
    </w:p>
    <w:p w14:paraId="4BB28EA5" w14:textId="77777777" w:rsidR="00966E09" w:rsidRPr="00966E09" w:rsidRDefault="00966E09" w:rsidP="00966E09">
      <w:pPr>
        <w:pStyle w:val="a4"/>
        <w:spacing w:after="120" w:line="240" w:lineRule="exact"/>
        <w:ind w:left="283" w:hanging="283"/>
        <w:jc w:val="both"/>
        <w:rPr>
          <w:rFonts w:ascii="FrankRuehl" w:hAnsi="FrankRuehl" w:cs="FrankRuehl"/>
          <w:rtl/>
        </w:rPr>
      </w:pPr>
    </w:p>
    <w:p w14:paraId="1C171CAC" w14:textId="77777777" w:rsidR="00966E09" w:rsidRPr="00966E09" w:rsidRDefault="00966E09" w:rsidP="00966E09">
      <w:pPr>
        <w:pStyle w:val="a4"/>
        <w:spacing w:after="120" w:line="240" w:lineRule="exact"/>
        <w:ind w:left="283" w:hanging="283"/>
        <w:jc w:val="both"/>
        <w:rPr>
          <w:rFonts w:ascii="FrankRuehl" w:hAnsi="FrankRuehl" w:cs="FrankRuehl"/>
          <w:rtl/>
        </w:rPr>
      </w:pPr>
      <w:r w:rsidRPr="00966E09">
        <w:rPr>
          <w:rFonts w:ascii="FrankRuehl" w:hAnsi="FrankRuehl" w:cs="FrankRuehl"/>
          <w:rtl/>
        </w:rPr>
        <w:t xml:space="preserve">חקיקה שאוזכרה: </w:t>
      </w:r>
    </w:p>
    <w:p w14:paraId="3DB3A5F6" w14:textId="77777777" w:rsidR="00966E09" w:rsidRPr="00966E09" w:rsidRDefault="00966E09" w:rsidP="00966E09">
      <w:pPr>
        <w:pStyle w:val="a4"/>
        <w:spacing w:after="120" w:line="240" w:lineRule="exact"/>
        <w:ind w:left="283" w:hanging="283"/>
        <w:jc w:val="both"/>
        <w:rPr>
          <w:rFonts w:ascii="FrankRuehl" w:hAnsi="FrankRuehl" w:cs="FrankRuehl"/>
          <w:rtl/>
        </w:rPr>
      </w:pPr>
      <w:hyperlink r:id="rId6" w:history="1">
        <w:r w:rsidRPr="00966E09">
          <w:rPr>
            <w:rFonts w:ascii="FrankRuehl" w:hAnsi="FrankRuehl" w:cs="FrankRuehl"/>
            <w:color w:val="0000FF"/>
            <w:u w:val="single"/>
            <w:rtl/>
          </w:rPr>
          <w:t>חוק העונשין, תשל"ז-1977</w:t>
        </w:r>
      </w:hyperlink>
    </w:p>
    <w:p w14:paraId="2FF2A00A" w14:textId="77777777" w:rsidR="00966E09" w:rsidRPr="00966E09" w:rsidRDefault="00966E09" w:rsidP="00966E09">
      <w:pPr>
        <w:pStyle w:val="a4"/>
        <w:spacing w:after="120" w:line="240" w:lineRule="exact"/>
        <w:ind w:left="283" w:hanging="283"/>
        <w:jc w:val="both"/>
        <w:rPr>
          <w:rFonts w:ascii="FrankRuehl" w:hAnsi="FrankRuehl" w:cs="FrankRuehl"/>
          <w:rtl/>
        </w:rPr>
      </w:pPr>
      <w:hyperlink r:id="rId7" w:history="1">
        <w:r w:rsidRPr="00966E09">
          <w:rPr>
            <w:rFonts w:ascii="FrankRuehl" w:hAnsi="FrankRuehl" w:cs="FrankRuehl"/>
            <w:color w:val="0000FF"/>
            <w:u w:val="single"/>
            <w:rtl/>
          </w:rPr>
          <w:t>פקודת ביטוח רכב מנועי [נוסח חדש], תש"ל-1970</w:t>
        </w:r>
      </w:hyperlink>
    </w:p>
    <w:p w14:paraId="09F27907" w14:textId="77777777" w:rsidR="00966E09" w:rsidRPr="00966E09" w:rsidRDefault="00966E09" w:rsidP="00966E09">
      <w:pPr>
        <w:pStyle w:val="a4"/>
        <w:spacing w:after="120" w:line="240" w:lineRule="exact"/>
        <w:ind w:left="283" w:hanging="283"/>
        <w:jc w:val="both"/>
        <w:rPr>
          <w:rFonts w:ascii="FrankRuehl" w:hAnsi="FrankRuehl" w:cs="FrankRuehl"/>
          <w:rtl/>
        </w:rPr>
      </w:pPr>
    </w:p>
    <w:p w14:paraId="3619A968" w14:textId="77777777" w:rsidR="00966E09" w:rsidRPr="00966E09" w:rsidRDefault="00966E09" w:rsidP="00966E09">
      <w:pPr>
        <w:pStyle w:val="a4"/>
        <w:rPr>
          <w:rtl/>
        </w:rPr>
      </w:pPr>
      <w:bookmarkStart w:id="1" w:name="LawTable_End"/>
      <w:bookmarkEnd w:id="1"/>
    </w:p>
    <w:p w14:paraId="1184C689" w14:textId="77777777" w:rsidR="00966E09" w:rsidRPr="00966E09" w:rsidRDefault="00966E09" w:rsidP="00966E09">
      <w:pPr>
        <w:pStyle w:val="a4"/>
        <w:rPr>
          <w:rtl/>
        </w:rPr>
      </w:pPr>
    </w:p>
    <w:p w14:paraId="2DC141C0" w14:textId="77777777" w:rsidR="00966E09" w:rsidRPr="00966E09" w:rsidRDefault="00966E09" w:rsidP="00966E09">
      <w:pPr>
        <w:pStyle w:val="a4"/>
        <w:rPr>
          <w:rtl/>
        </w:rPr>
      </w:pPr>
    </w:p>
    <w:p w14:paraId="6A041D44" w14:textId="77777777" w:rsidR="00EF209C" w:rsidRPr="00966E09" w:rsidRDefault="00A965CE" w:rsidP="00EF209C">
      <w:pPr>
        <w:pStyle w:val="a4"/>
        <w:jc w:val="center"/>
        <w:rPr>
          <w:rFonts w:cs="FrankRuehl"/>
          <w:sz w:val="28"/>
          <w:szCs w:val="28"/>
          <w:rtl/>
        </w:rPr>
      </w:pPr>
      <w:r w:rsidRPr="00966E09">
        <w:rPr>
          <w:rFonts w:cs="FrankRuehl"/>
          <w:noProof/>
          <w:sz w:val="28"/>
          <w:szCs w:val="28"/>
        </w:rPr>
        <w:pict w14:anchorId="7FA83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ישראל - המנורה - 2" style="width:29.4pt;height:36.85pt;visibility:visible">
            <v:imagedata r:id="rId8" o:title="ישראל - המנורה - 2"/>
          </v:shape>
        </w:pict>
      </w:r>
    </w:p>
    <w:tbl>
      <w:tblPr>
        <w:bidiVisual/>
        <w:tblW w:w="0" w:type="auto"/>
        <w:jc w:val="center"/>
        <w:tblLook w:val="0000" w:firstRow="0" w:lastRow="0" w:firstColumn="0" w:lastColumn="0" w:noHBand="0" w:noVBand="0"/>
      </w:tblPr>
      <w:tblGrid>
        <w:gridCol w:w="5054"/>
        <w:gridCol w:w="3667"/>
      </w:tblGrid>
      <w:tr w:rsidR="00EF209C" w:rsidRPr="00966E09" w14:paraId="4C93B423" w14:textId="77777777" w:rsidTr="00966E09">
        <w:trPr>
          <w:trHeight w:hRule="exact" w:val="418"/>
          <w:jc w:val="center"/>
        </w:trPr>
        <w:tc>
          <w:tcPr>
            <w:tcW w:w="8861" w:type="dxa"/>
            <w:gridSpan w:val="2"/>
          </w:tcPr>
          <w:p w14:paraId="3AE3B496" w14:textId="77777777" w:rsidR="00EF209C" w:rsidRPr="00966E09" w:rsidRDefault="00EF209C" w:rsidP="00966E09">
            <w:pPr>
              <w:pStyle w:val="a4"/>
              <w:jc w:val="center"/>
              <w:rPr>
                <w:rFonts w:ascii="Tahoma" w:hAnsi="Tahoma"/>
                <w:color w:val="000080"/>
                <w:sz w:val="32"/>
                <w:szCs w:val="32"/>
                <w:rtl/>
              </w:rPr>
            </w:pPr>
            <w:r w:rsidRPr="00966E09">
              <w:rPr>
                <w:rFonts w:ascii="Tahoma" w:hAnsi="Tahoma"/>
                <w:b/>
                <w:bCs/>
                <w:color w:val="000080"/>
                <w:sz w:val="32"/>
                <w:szCs w:val="32"/>
                <w:rtl/>
              </w:rPr>
              <w:t>בית המשפט המחוזי בתל אביב - יפו</w:t>
            </w:r>
          </w:p>
        </w:tc>
      </w:tr>
      <w:tr w:rsidR="00EF209C" w:rsidRPr="00966E09" w14:paraId="4E08E26E" w14:textId="77777777" w:rsidTr="00966E09">
        <w:trPr>
          <w:trHeight w:val="337"/>
          <w:jc w:val="center"/>
        </w:trPr>
        <w:tc>
          <w:tcPr>
            <w:tcW w:w="5131" w:type="dxa"/>
          </w:tcPr>
          <w:p w14:paraId="59726DCB" w14:textId="77777777" w:rsidR="00EF209C" w:rsidRPr="00966E09" w:rsidRDefault="00EF209C" w:rsidP="00966E09">
            <w:pPr>
              <w:rPr>
                <w:sz w:val="26"/>
                <w:szCs w:val="26"/>
                <w:rtl/>
              </w:rPr>
            </w:pPr>
            <w:r w:rsidRPr="00966E09">
              <w:rPr>
                <w:sz w:val="26"/>
                <w:szCs w:val="26"/>
                <w:rtl/>
              </w:rPr>
              <w:t>ת"פ</w:t>
            </w:r>
            <w:r w:rsidRPr="00966E09">
              <w:rPr>
                <w:rFonts w:hint="cs"/>
                <w:sz w:val="26"/>
                <w:szCs w:val="26"/>
                <w:rtl/>
              </w:rPr>
              <w:t xml:space="preserve"> </w:t>
            </w:r>
            <w:r w:rsidRPr="00966E09">
              <w:rPr>
                <w:sz w:val="26"/>
                <w:szCs w:val="26"/>
                <w:rtl/>
              </w:rPr>
              <w:t>6785-05-16</w:t>
            </w:r>
            <w:r w:rsidRPr="00966E09">
              <w:rPr>
                <w:rFonts w:hint="cs"/>
                <w:sz w:val="26"/>
                <w:szCs w:val="26"/>
                <w:rtl/>
              </w:rPr>
              <w:t xml:space="preserve"> </w:t>
            </w:r>
            <w:r w:rsidRPr="00966E09">
              <w:rPr>
                <w:sz w:val="26"/>
                <w:szCs w:val="26"/>
                <w:rtl/>
              </w:rPr>
              <w:t>מדינת ישראל נ' נאמן</w:t>
            </w:r>
          </w:p>
          <w:p w14:paraId="15EADEBD" w14:textId="77777777" w:rsidR="00EF209C" w:rsidRPr="00966E09" w:rsidRDefault="00EF209C" w:rsidP="00966E09">
            <w:pPr>
              <w:pStyle w:val="a4"/>
              <w:rPr>
                <w:rFonts w:cs="FrankRuehl"/>
                <w:sz w:val="28"/>
                <w:szCs w:val="28"/>
                <w:rtl/>
              </w:rPr>
            </w:pPr>
          </w:p>
        </w:tc>
        <w:tc>
          <w:tcPr>
            <w:tcW w:w="3730" w:type="dxa"/>
          </w:tcPr>
          <w:p w14:paraId="6E6FB1E7" w14:textId="77777777" w:rsidR="00EF209C" w:rsidRPr="00966E09" w:rsidRDefault="00EF209C" w:rsidP="00966E09">
            <w:pPr>
              <w:pStyle w:val="a4"/>
              <w:jc w:val="right"/>
              <w:rPr>
                <w:rFonts w:cs="FrankRuehl"/>
                <w:sz w:val="28"/>
                <w:szCs w:val="28"/>
                <w:rtl/>
              </w:rPr>
            </w:pPr>
          </w:p>
        </w:tc>
      </w:tr>
    </w:tbl>
    <w:p w14:paraId="45E36503" w14:textId="77777777" w:rsidR="00EF209C" w:rsidRPr="00966E09" w:rsidRDefault="00EF209C" w:rsidP="00EF209C">
      <w:pPr>
        <w:pStyle w:val="a4"/>
        <w:rPr>
          <w:rtl/>
        </w:rPr>
      </w:pPr>
      <w:r w:rsidRPr="00966E09">
        <w:rPr>
          <w:rFonts w:hint="cs"/>
          <w:rtl/>
        </w:rPr>
        <w:t xml:space="preserve"> </w:t>
      </w:r>
    </w:p>
    <w:p w14:paraId="3FA6EFC5" w14:textId="77777777" w:rsidR="00EF209C" w:rsidRPr="00966E09" w:rsidRDefault="00EF209C" w:rsidP="00EF209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54"/>
        <w:gridCol w:w="3371"/>
      </w:tblGrid>
      <w:tr w:rsidR="00EF209C" w:rsidRPr="00966E09" w14:paraId="0326E553" w14:textId="77777777" w:rsidTr="00966E09">
        <w:trPr>
          <w:trHeight w:val="295"/>
          <w:jc w:val="center"/>
        </w:trPr>
        <w:tc>
          <w:tcPr>
            <w:tcW w:w="1195" w:type="dxa"/>
            <w:tcBorders>
              <w:top w:val="nil"/>
              <w:left w:val="nil"/>
              <w:bottom w:val="nil"/>
              <w:right w:val="nil"/>
            </w:tcBorders>
            <w:shd w:val="clear" w:color="auto" w:fill="auto"/>
          </w:tcPr>
          <w:p w14:paraId="02491D94" w14:textId="77777777" w:rsidR="00EF209C" w:rsidRPr="00966E09" w:rsidRDefault="00EF209C" w:rsidP="00966E09">
            <w:pPr>
              <w:jc w:val="both"/>
              <w:rPr>
                <w:rFonts w:ascii="Arial" w:hAnsi="Arial"/>
                <w:b/>
                <w:bCs/>
                <w:sz w:val="26"/>
                <w:szCs w:val="26"/>
              </w:rPr>
            </w:pPr>
            <w:r w:rsidRPr="00966E09">
              <w:rPr>
                <w:rFonts w:ascii="Arial" w:hAnsi="Arial" w:hint="cs"/>
                <w:b/>
                <w:bCs/>
                <w:sz w:val="26"/>
                <w:szCs w:val="26"/>
                <w:rtl/>
              </w:rPr>
              <w:t>ל</w:t>
            </w:r>
            <w:r w:rsidRPr="00966E09">
              <w:rPr>
                <w:rFonts w:ascii="Arial" w:hAnsi="Arial"/>
                <w:b/>
                <w:bCs/>
                <w:sz w:val="26"/>
                <w:szCs w:val="26"/>
                <w:rtl/>
              </w:rPr>
              <w:t xml:space="preserve">פני </w:t>
            </w:r>
          </w:p>
        </w:tc>
        <w:tc>
          <w:tcPr>
            <w:tcW w:w="7625" w:type="dxa"/>
            <w:gridSpan w:val="2"/>
            <w:tcBorders>
              <w:top w:val="nil"/>
              <w:left w:val="nil"/>
              <w:bottom w:val="nil"/>
              <w:right w:val="nil"/>
            </w:tcBorders>
            <w:shd w:val="clear" w:color="auto" w:fill="auto"/>
          </w:tcPr>
          <w:p w14:paraId="4A007568" w14:textId="77777777" w:rsidR="00EF209C" w:rsidRPr="00966E09" w:rsidRDefault="00EF209C" w:rsidP="00966E09">
            <w:pPr>
              <w:rPr>
                <w:rFonts w:ascii="Arial" w:hAnsi="Arial"/>
                <w:b/>
                <w:bCs/>
                <w:sz w:val="26"/>
                <w:szCs w:val="26"/>
                <w:rtl/>
              </w:rPr>
            </w:pPr>
            <w:r w:rsidRPr="00966E09">
              <w:rPr>
                <w:rFonts w:ascii="Arial" w:hAnsi="Arial" w:hint="cs"/>
                <w:b/>
                <w:bCs/>
                <w:sz w:val="26"/>
                <w:szCs w:val="26"/>
                <w:rtl/>
              </w:rPr>
              <w:t>כבוד ה</w:t>
            </w:r>
            <w:r w:rsidRPr="00966E09">
              <w:rPr>
                <w:rFonts w:hint="cs"/>
                <w:sz w:val="26"/>
                <w:szCs w:val="26"/>
                <w:rtl/>
              </w:rPr>
              <w:t>שופט, סגן נשיא</w:t>
            </w:r>
            <w:r w:rsidRPr="00966E09">
              <w:rPr>
                <w:rFonts w:ascii="Arial" w:hAnsi="Arial" w:hint="cs"/>
                <w:b/>
                <w:bCs/>
                <w:sz w:val="26"/>
                <w:szCs w:val="26"/>
                <w:rtl/>
              </w:rPr>
              <w:t xml:space="preserve">  </w:t>
            </w:r>
            <w:r w:rsidRPr="00966E09">
              <w:rPr>
                <w:rFonts w:hint="cs"/>
                <w:sz w:val="26"/>
                <w:szCs w:val="26"/>
                <w:rtl/>
              </w:rPr>
              <w:t>ג'ורג' קרא</w:t>
            </w:r>
          </w:p>
          <w:p w14:paraId="0EA4EAEE" w14:textId="77777777" w:rsidR="00EF209C" w:rsidRPr="00966E09" w:rsidRDefault="00EF209C" w:rsidP="00966E09">
            <w:pPr>
              <w:rPr>
                <w:sz w:val="26"/>
                <w:szCs w:val="26"/>
                <w:rtl/>
              </w:rPr>
            </w:pPr>
          </w:p>
          <w:p w14:paraId="67D57643" w14:textId="77777777" w:rsidR="00EF209C" w:rsidRPr="00966E09" w:rsidRDefault="00EF209C" w:rsidP="00966E09">
            <w:pPr>
              <w:jc w:val="both"/>
              <w:rPr>
                <w:rFonts w:ascii="Arial" w:hAnsi="Arial"/>
                <w:sz w:val="26"/>
                <w:szCs w:val="26"/>
              </w:rPr>
            </w:pPr>
          </w:p>
        </w:tc>
      </w:tr>
      <w:tr w:rsidR="00EF209C" w:rsidRPr="00966E09" w14:paraId="3C1B3008" w14:textId="77777777" w:rsidTr="00966E09">
        <w:trPr>
          <w:trHeight w:val="355"/>
          <w:jc w:val="center"/>
        </w:trPr>
        <w:tc>
          <w:tcPr>
            <w:tcW w:w="1195" w:type="dxa"/>
            <w:tcBorders>
              <w:top w:val="nil"/>
              <w:left w:val="nil"/>
              <w:bottom w:val="nil"/>
              <w:right w:val="nil"/>
            </w:tcBorders>
            <w:shd w:val="clear" w:color="auto" w:fill="auto"/>
          </w:tcPr>
          <w:p w14:paraId="063853BC" w14:textId="77777777" w:rsidR="00EF209C" w:rsidRPr="00966E09" w:rsidRDefault="00EF209C" w:rsidP="00966E09">
            <w:pPr>
              <w:jc w:val="both"/>
              <w:rPr>
                <w:rFonts w:ascii="Arial" w:hAnsi="Arial"/>
                <w:b/>
                <w:bCs/>
                <w:sz w:val="26"/>
                <w:szCs w:val="26"/>
              </w:rPr>
            </w:pPr>
            <w:bookmarkStart w:id="2" w:name="FirstAppellant"/>
            <w:bookmarkStart w:id="3" w:name="FirstLawyer"/>
            <w:bookmarkStart w:id="4" w:name="LastJudge"/>
            <w:bookmarkEnd w:id="4"/>
            <w:r w:rsidRPr="00966E09">
              <w:rPr>
                <w:rFonts w:ascii="Arial" w:hAnsi="Arial" w:hint="cs"/>
                <w:sz w:val="26"/>
                <w:szCs w:val="26"/>
                <w:rtl/>
              </w:rPr>
              <w:t>ה</w:t>
            </w:r>
            <w:r w:rsidRPr="00966E09">
              <w:rPr>
                <w:rFonts w:hint="cs"/>
                <w:sz w:val="26"/>
                <w:szCs w:val="26"/>
                <w:rtl/>
              </w:rPr>
              <w:t>מאשימה</w:t>
            </w:r>
          </w:p>
        </w:tc>
        <w:tc>
          <w:tcPr>
            <w:tcW w:w="4254" w:type="dxa"/>
            <w:tcBorders>
              <w:top w:val="nil"/>
              <w:left w:val="nil"/>
              <w:bottom w:val="nil"/>
              <w:right w:val="nil"/>
            </w:tcBorders>
            <w:shd w:val="clear" w:color="auto" w:fill="auto"/>
          </w:tcPr>
          <w:p w14:paraId="39F0F7B7" w14:textId="77777777" w:rsidR="00EF209C" w:rsidRPr="00966E09" w:rsidRDefault="00EF209C" w:rsidP="00966E09">
            <w:pPr>
              <w:rPr>
                <w:sz w:val="26"/>
                <w:szCs w:val="26"/>
                <w:rtl/>
              </w:rPr>
            </w:pPr>
            <w:r w:rsidRPr="00966E09">
              <w:rPr>
                <w:rFonts w:hint="cs"/>
                <w:sz w:val="26"/>
                <w:szCs w:val="26"/>
                <w:rtl/>
              </w:rPr>
              <w:t>מדינת ישראל</w:t>
            </w:r>
          </w:p>
          <w:p w14:paraId="6C5BFC96" w14:textId="77777777" w:rsidR="00EF209C" w:rsidRPr="00966E09" w:rsidRDefault="00EF209C" w:rsidP="00966E09">
            <w:pPr>
              <w:rPr>
                <w:sz w:val="26"/>
                <w:szCs w:val="26"/>
              </w:rPr>
            </w:pPr>
            <w:r w:rsidRPr="00966E09">
              <w:rPr>
                <w:rFonts w:hint="cs"/>
                <w:sz w:val="26"/>
                <w:szCs w:val="26"/>
                <w:rtl/>
              </w:rPr>
              <w:t>ע"י ב"כ עו"ד מוריה גרין</w:t>
            </w:r>
          </w:p>
        </w:tc>
        <w:tc>
          <w:tcPr>
            <w:tcW w:w="3371" w:type="dxa"/>
            <w:tcBorders>
              <w:top w:val="nil"/>
              <w:left w:val="nil"/>
              <w:bottom w:val="nil"/>
              <w:right w:val="nil"/>
            </w:tcBorders>
            <w:shd w:val="clear" w:color="auto" w:fill="auto"/>
          </w:tcPr>
          <w:p w14:paraId="1FF60499" w14:textId="77777777" w:rsidR="00EF209C" w:rsidRPr="00966E09" w:rsidRDefault="00EF209C" w:rsidP="00966E09">
            <w:pPr>
              <w:jc w:val="both"/>
              <w:rPr>
                <w:rFonts w:ascii="Arial" w:hAnsi="Arial"/>
                <w:sz w:val="26"/>
                <w:szCs w:val="26"/>
              </w:rPr>
            </w:pPr>
          </w:p>
        </w:tc>
      </w:tr>
      <w:bookmarkEnd w:id="2"/>
      <w:bookmarkEnd w:id="3"/>
      <w:tr w:rsidR="00EF209C" w:rsidRPr="00966E09" w14:paraId="7B7B45A6" w14:textId="77777777" w:rsidTr="00966E09">
        <w:trPr>
          <w:trHeight w:val="355"/>
          <w:jc w:val="center"/>
        </w:trPr>
        <w:tc>
          <w:tcPr>
            <w:tcW w:w="1195" w:type="dxa"/>
            <w:tcBorders>
              <w:top w:val="nil"/>
              <w:left w:val="nil"/>
              <w:bottom w:val="nil"/>
              <w:right w:val="nil"/>
            </w:tcBorders>
            <w:shd w:val="clear" w:color="auto" w:fill="auto"/>
          </w:tcPr>
          <w:p w14:paraId="7A0E838F" w14:textId="77777777" w:rsidR="00EF209C" w:rsidRPr="00966E09" w:rsidRDefault="00EF209C" w:rsidP="00966E09">
            <w:pPr>
              <w:jc w:val="both"/>
              <w:rPr>
                <w:rFonts w:ascii="Arial" w:hAnsi="Arial"/>
                <w:sz w:val="26"/>
                <w:szCs w:val="26"/>
                <w:rtl/>
              </w:rPr>
            </w:pPr>
          </w:p>
        </w:tc>
        <w:tc>
          <w:tcPr>
            <w:tcW w:w="4254" w:type="dxa"/>
            <w:tcBorders>
              <w:top w:val="nil"/>
              <w:left w:val="nil"/>
              <w:bottom w:val="nil"/>
              <w:right w:val="nil"/>
            </w:tcBorders>
            <w:shd w:val="clear" w:color="auto" w:fill="auto"/>
          </w:tcPr>
          <w:p w14:paraId="19DA114B" w14:textId="77777777" w:rsidR="00EF209C" w:rsidRPr="00966E09" w:rsidRDefault="00EF209C" w:rsidP="00966E09">
            <w:pPr>
              <w:rPr>
                <w:rFonts w:ascii="Arial" w:hAnsi="Arial"/>
                <w:sz w:val="26"/>
                <w:szCs w:val="26"/>
                <w:rtl/>
              </w:rPr>
            </w:pPr>
          </w:p>
        </w:tc>
        <w:tc>
          <w:tcPr>
            <w:tcW w:w="3371" w:type="dxa"/>
            <w:tcBorders>
              <w:top w:val="nil"/>
              <w:left w:val="nil"/>
              <w:bottom w:val="nil"/>
              <w:right w:val="nil"/>
            </w:tcBorders>
            <w:shd w:val="clear" w:color="auto" w:fill="auto"/>
          </w:tcPr>
          <w:p w14:paraId="5DD625F6" w14:textId="77777777" w:rsidR="00EF209C" w:rsidRPr="00966E09" w:rsidRDefault="00EF209C" w:rsidP="00966E09">
            <w:pPr>
              <w:jc w:val="right"/>
              <w:rPr>
                <w:rFonts w:ascii="Arial" w:hAnsi="Arial"/>
                <w:sz w:val="26"/>
                <w:szCs w:val="26"/>
                <w:rtl/>
              </w:rPr>
            </w:pPr>
          </w:p>
        </w:tc>
      </w:tr>
      <w:tr w:rsidR="00EF209C" w:rsidRPr="00966E09" w14:paraId="315E7EE0" w14:textId="77777777" w:rsidTr="00966E09">
        <w:trPr>
          <w:trHeight w:val="355"/>
          <w:jc w:val="center"/>
        </w:trPr>
        <w:tc>
          <w:tcPr>
            <w:tcW w:w="1195" w:type="dxa"/>
            <w:tcBorders>
              <w:top w:val="nil"/>
              <w:left w:val="nil"/>
              <w:bottom w:val="nil"/>
              <w:right w:val="nil"/>
            </w:tcBorders>
            <w:shd w:val="clear" w:color="auto" w:fill="auto"/>
          </w:tcPr>
          <w:p w14:paraId="432BF81A" w14:textId="77777777" w:rsidR="00EF209C" w:rsidRPr="00966E09" w:rsidRDefault="00EF209C" w:rsidP="00966E09">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08D9CE99" w14:textId="77777777" w:rsidR="00EF209C" w:rsidRPr="00966E09" w:rsidRDefault="00EF209C" w:rsidP="00966E09">
            <w:pPr>
              <w:jc w:val="center"/>
              <w:rPr>
                <w:rFonts w:ascii="Arial" w:hAnsi="Arial"/>
                <w:b/>
                <w:bCs/>
                <w:sz w:val="26"/>
                <w:szCs w:val="26"/>
                <w:rtl/>
              </w:rPr>
            </w:pPr>
            <w:r w:rsidRPr="00966E09">
              <w:rPr>
                <w:rFonts w:ascii="Arial" w:hAnsi="Arial"/>
                <w:b/>
                <w:bCs/>
                <w:sz w:val="26"/>
                <w:szCs w:val="26"/>
                <w:rtl/>
              </w:rPr>
              <w:t>נ</w:t>
            </w:r>
            <w:r w:rsidRPr="00966E09">
              <w:rPr>
                <w:rFonts w:ascii="Arial" w:hAnsi="Arial" w:hint="cs"/>
                <w:b/>
                <w:bCs/>
                <w:sz w:val="26"/>
                <w:szCs w:val="26"/>
                <w:rtl/>
              </w:rPr>
              <w:t xml:space="preserve"> </w:t>
            </w:r>
            <w:r w:rsidRPr="00966E09">
              <w:rPr>
                <w:rFonts w:ascii="Arial" w:hAnsi="Arial"/>
                <w:b/>
                <w:bCs/>
                <w:sz w:val="26"/>
                <w:szCs w:val="26"/>
                <w:rtl/>
              </w:rPr>
              <w:t>ג</w:t>
            </w:r>
            <w:r w:rsidRPr="00966E09">
              <w:rPr>
                <w:rFonts w:ascii="Arial" w:hAnsi="Arial" w:hint="cs"/>
                <w:b/>
                <w:bCs/>
                <w:sz w:val="26"/>
                <w:szCs w:val="26"/>
                <w:rtl/>
              </w:rPr>
              <w:t xml:space="preserve"> </w:t>
            </w:r>
            <w:r w:rsidRPr="00966E09">
              <w:rPr>
                <w:rFonts w:ascii="Arial" w:hAnsi="Arial"/>
                <w:b/>
                <w:bCs/>
                <w:sz w:val="26"/>
                <w:szCs w:val="26"/>
                <w:rtl/>
              </w:rPr>
              <w:t>ד</w:t>
            </w:r>
          </w:p>
          <w:p w14:paraId="26D76C32" w14:textId="77777777" w:rsidR="00EF209C" w:rsidRPr="00966E09" w:rsidRDefault="00EF209C" w:rsidP="00966E09">
            <w:pPr>
              <w:jc w:val="both"/>
              <w:rPr>
                <w:rFonts w:ascii="Arial" w:hAnsi="Arial"/>
                <w:sz w:val="26"/>
                <w:szCs w:val="26"/>
              </w:rPr>
            </w:pPr>
          </w:p>
        </w:tc>
      </w:tr>
      <w:tr w:rsidR="00EF209C" w:rsidRPr="00966E09" w14:paraId="1FA40251" w14:textId="77777777" w:rsidTr="00966E09">
        <w:trPr>
          <w:trHeight w:val="355"/>
          <w:jc w:val="center"/>
        </w:trPr>
        <w:tc>
          <w:tcPr>
            <w:tcW w:w="1195" w:type="dxa"/>
            <w:tcBorders>
              <w:top w:val="nil"/>
              <w:left w:val="nil"/>
              <w:bottom w:val="nil"/>
              <w:right w:val="nil"/>
            </w:tcBorders>
            <w:shd w:val="clear" w:color="auto" w:fill="auto"/>
          </w:tcPr>
          <w:p w14:paraId="11362082" w14:textId="77777777" w:rsidR="00EF209C" w:rsidRPr="00966E09" w:rsidRDefault="00EF209C" w:rsidP="00966E09">
            <w:pPr>
              <w:rPr>
                <w:rFonts w:ascii="Arial" w:hAnsi="Arial"/>
                <w:sz w:val="26"/>
                <w:szCs w:val="26"/>
                <w:rtl/>
              </w:rPr>
            </w:pPr>
            <w:r w:rsidRPr="00966E09">
              <w:rPr>
                <w:rFonts w:ascii="Arial" w:hAnsi="Arial" w:hint="cs"/>
                <w:sz w:val="26"/>
                <w:szCs w:val="26"/>
                <w:rtl/>
              </w:rPr>
              <w:t>ה</w:t>
            </w:r>
            <w:r w:rsidRPr="00966E09">
              <w:rPr>
                <w:rFonts w:hint="cs"/>
                <w:sz w:val="26"/>
                <w:szCs w:val="26"/>
                <w:rtl/>
              </w:rPr>
              <w:t>נאשם</w:t>
            </w:r>
          </w:p>
        </w:tc>
        <w:tc>
          <w:tcPr>
            <w:tcW w:w="4254" w:type="dxa"/>
            <w:tcBorders>
              <w:top w:val="nil"/>
              <w:left w:val="nil"/>
              <w:bottom w:val="nil"/>
              <w:right w:val="nil"/>
            </w:tcBorders>
            <w:shd w:val="clear" w:color="auto" w:fill="auto"/>
          </w:tcPr>
          <w:p w14:paraId="6489D97D" w14:textId="77777777" w:rsidR="00EF209C" w:rsidRPr="00966E09" w:rsidRDefault="00EF209C" w:rsidP="00966E09">
            <w:pPr>
              <w:rPr>
                <w:sz w:val="26"/>
                <w:szCs w:val="26"/>
                <w:rtl/>
              </w:rPr>
            </w:pPr>
            <w:r w:rsidRPr="00966E09">
              <w:rPr>
                <w:rFonts w:hint="cs"/>
                <w:sz w:val="26"/>
                <w:szCs w:val="26"/>
                <w:rtl/>
              </w:rPr>
              <w:t>משה נאמן</w:t>
            </w:r>
          </w:p>
          <w:p w14:paraId="17698E71" w14:textId="77777777" w:rsidR="00EF209C" w:rsidRPr="00966E09" w:rsidRDefault="00EF209C" w:rsidP="00966E09">
            <w:pPr>
              <w:rPr>
                <w:sz w:val="26"/>
                <w:szCs w:val="26"/>
                <w:rtl/>
              </w:rPr>
            </w:pPr>
            <w:r w:rsidRPr="00966E09">
              <w:rPr>
                <w:rFonts w:hint="cs"/>
                <w:sz w:val="26"/>
                <w:szCs w:val="26"/>
                <w:rtl/>
              </w:rPr>
              <w:t>ע"י ב"כ עו"ד אלעד רט</w:t>
            </w:r>
          </w:p>
        </w:tc>
        <w:tc>
          <w:tcPr>
            <w:tcW w:w="3371" w:type="dxa"/>
            <w:tcBorders>
              <w:top w:val="nil"/>
              <w:left w:val="nil"/>
              <w:bottom w:val="nil"/>
              <w:right w:val="nil"/>
            </w:tcBorders>
            <w:shd w:val="clear" w:color="auto" w:fill="auto"/>
          </w:tcPr>
          <w:p w14:paraId="478A4C75" w14:textId="77777777" w:rsidR="00EF209C" w:rsidRPr="00966E09" w:rsidRDefault="00EF209C" w:rsidP="00966E09">
            <w:pPr>
              <w:jc w:val="right"/>
              <w:rPr>
                <w:rFonts w:ascii="Arial" w:hAnsi="Arial"/>
                <w:sz w:val="26"/>
                <w:szCs w:val="26"/>
              </w:rPr>
            </w:pPr>
          </w:p>
        </w:tc>
      </w:tr>
      <w:tr w:rsidR="00EF209C" w:rsidRPr="00966E09" w14:paraId="06DEB2D8" w14:textId="77777777" w:rsidTr="00966E09">
        <w:trPr>
          <w:trHeight w:val="355"/>
          <w:jc w:val="center"/>
        </w:trPr>
        <w:tc>
          <w:tcPr>
            <w:tcW w:w="1195" w:type="dxa"/>
            <w:tcBorders>
              <w:top w:val="nil"/>
              <w:left w:val="nil"/>
              <w:bottom w:val="nil"/>
              <w:right w:val="nil"/>
            </w:tcBorders>
            <w:shd w:val="clear" w:color="auto" w:fill="auto"/>
          </w:tcPr>
          <w:p w14:paraId="71F9A0C9" w14:textId="77777777" w:rsidR="00EF209C" w:rsidRPr="00966E09" w:rsidRDefault="00EF209C" w:rsidP="00966E09">
            <w:pPr>
              <w:jc w:val="both"/>
              <w:rPr>
                <w:rFonts w:ascii="Arial" w:hAnsi="Arial"/>
                <w:sz w:val="26"/>
                <w:szCs w:val="26"/>
                <w:rtl/>
              </w:rPr>
            </w:pPr>
          </w:p>
        </w:tc>
        <w:tc>
          <w:tcPr>
            <w:tcW w:w="4254" w:type="dxa"/>
            <w:tcBorders>
              <w:top w:val="nil"/>
              <w:left w:val="nil"/>
              <w:bottom w:val="nil"/>
              <w:right w:val="nil"/>
            </w:tcBorders>
            <w:shd w:val="clear" w:color="auto" w:fill="auto"/>
          </w:tcPr>
          <w:p w14:paraId="109A242D" w14:textId="77777777" w:rsidR="00EF209C" w:rsidRPr="00966E09" w:rsidRDefault="00EF209C" w:rsidP="00966E09">
            <w:pPr>
              <w:rPr>
                <w:rFonts w:ascii="Arial" w:hAnsi="Arial"/>
                <w:sz w:val="26"/>
                <w:szCs w:val="26"/>
              </w:rPr>
            </w:pPr>
          </w:p>
        </w:tc>
        <w:tc>
          <w:tcPr>
            <w:tcW w:w="3371" w:type="dxa"/>
            <w:tcBorders>
              <w:top w:val="nil"/>
              <w:left w:val="nil"/>
              <w:bottom w:val="nil"/>
              <w:right w:val="nil"/>
            </w:tcBorders>
            <w:shd w:val="clear" w:color="auto" w:fill="auto"/>
          </w:tcPr>
          <w:p w14:paraId="046A8E38" w14:textId="77777777" w:rsidR="00EF209C" w:rsidRPr="00966E09" w:rsidRDefault="00EF209C" w:rsidP="00966E09">
            <w:pPr>
              <w:jc w:val="right"/>
              <w:rPr>
                <w:rFonts w:ascii="Arial" w:hAnsi="Arial"/>
                <w:sz w:val="26"/>
                <w:szCs w:val="26"/>
              </w:rPr>
            </w:pPr>
          </w:p>
        </w:tc>
      </w:tr>
      <w:tr w:rsidR="00EF209C" w:rsidRPr="00966E09" w14:paraId="471AC76E" w14:textId="77777777" w:rsidTr="00966E09">
        <w:trPr>
          <w:trHeight w:val="355"/>
          <w:jc w:val="center"/>
        </w:trPr>
        <w:tc>
          <w:tcPr>
            <w:tcW w:w="8820" w:type="dxa"/>
            <w:gridSpan w:val="3"/>
            <w:tcBorders>
              <w:top w:val="nil"/>
              <w:left w:val="nil"/>
              <w:bottom w:val="nil"/>
              <w:right w:val="nil"/>
            </w:tcBorders>
            <w:shd w:val="clear" w:color="auto" w:fill="auto"/>
          </w:tcPr>
          <w:p w14:paraId="287FBA4C" w14:textId="77777777" w:rsidR="00EF209C" w:rsidRPr="00966E09" w:rsidRDefault="00EF209C" w:rsidP="00966E09">
            <w:pPr>
              <w:jc w:val="center"/>
              <w:rPr>
                <w:rFonts w:ascii="Arial" w:hAnsi="Arial"/>
                <w:sz w:val="28"/>
                <w:szCs w:val="28"/>
                <w:rtl/>
              </w:rPr>
            </w:pPr>
            <w:bookmarkStart w:id="5" w:name="PsakDin"/>
            <w:r w:rsidRPr="00966E09">
              <w:rPr>
                <w:rFonts w:ascii="Arial" w:hAnsi="Arial" w:hint="cs"/>
                <w:b/>
                <w:bCs/>
                <w:sz w:val="28"/>
                <w:szCs w:val="28"/>
                <w:rtl/>
              </w:rPr>
              <w:t xml:space="preserve">ג ז ר </w:t>
            </w:r>
            <w:r w:rsidRPr="00966E09">
              <w:rPr>
                <w:rFonts w:ascii="Arial" w:hAnsi="Arial"/>
                <w:b/>
                <w:bCs/>
                <w:sz w:val="28"/>
                <w:szCs w:val="28"/>
                <w:rtl/>
              </w:rPr>
              <w:t>–</w:t>
            </w:r>
            <w:r w:rsidRPr="00966E09">
              <w:rPr>
                <w:rFonts w:ascii="Arial" w:hAnsi="Arial" w:hint="cs"/>
                <w:b/>
                <w:bCs/>
                <w:sz w:val="28"/>
                <w:szCs w:val="28"/>
                <w:rtl/>
              </w:rPr>
              <w:t xml:space="preserve"> ד י ן</w:t>
            </w:r>
            <w:bookmarkEnd w:id="5"/>
            <w:r w:rsidR="00F860FB">
              <w:rPr>
                <w:rFonts w:ascii="Arial" w:hAnsi="Arial" w:hint="cs"/>
                <w:sz w:val="28"/>
                <w:szCs w:val="28"/>
                <w:rtl/>
              </w:rPr>
              <w:t xml:space="preserve"> </w:t>
            </w:r>
          </w:p>
        </w:tc>
      </w:tr>
    </w:tbl>
    <w:p w14:paraId="6961AE49" w14:textId="77777777" w:rsidR="00EF209C" w:rsidRPr="00966E09" w:rsidRDefault="00EF209C" w:rsidP="00EF209C">
      <w:pPr>
        <w:rPr>
          <w:rFonts w:ascii="Arial" w:hAnsi="Arial"/>
          <w:rtl/>
        </w:rPr>
      </w:pPr>
    </w:p>
    <w:p w14:paraId="636812DD" w14:textId="77777777" w:rsidR="00EF209C" w:rsidRPr="00966E09" w:rsidRDefault="00EF209C" w:rsidP="00EF209C">
      <w:pPr>
        <w:spacing w:line="360" w:lineRule="auto"/>
        <w:ind w:left="720" w:hanging="720"/>
        <w:rPr>
          <w:rtl/>
        </w:rPr>
      </w:pPr>
      <w:r w:rsidRPr="00966E09">
        <w:rPr>
          <w:rFonts w:hint="cs"/>
          <w:rtl/>
        </w:rPr>
        <w:t>1.</w:t>
      </w:r>
      <w:r w:rsidRPr="00966E09">
        <w:rPr>
          <w:rFonts w:hint="cs"/>
          <w:rtl/>
        </w:rPr>
        <w:tab/>
        <w:t>הנאשם הורשע על פי הודייתו בעבירות שיוחסו לו בכתב האישום המתוקן (במסגרת הסדר טיעון) בעבירות של סיוע לנשיאה או הובלה של נשק לפי סעיף 144(ב) רישא יחד עם סעיף 31 ל</w:t>
      </w:r>
      <w:hyperlink r:id="rId9" w:history="1">
        <w:r w:rsidR="00966E09" w:rsidRPr="00966E09">
          <w:rPr>
            <w:color w:val="0000FF"/>
            <w:u w:val="single"/>
            <w:rtl/>
          </w:rPr>
          <w:t>חוק העונשין</w:t>
        </w:r>
      </w:hyperlink>
      <w:r w:rsidRPr="00966E09">
        <w:rPr>
          <w:rFonts w:hint="cs"/>
          <w:rtl/>
        </w:rPr>
        <w:t>, תשל"ז-1977 (להלן: "החוק"), וכן בסיוע לנשיאת או הובלת תחמושת לפי סעיף 144(ב) סיפא יחד עם סעיף 31 לחוק וכן בעבירה של נהיגה ללא פוליסת ביטוח לפי סעיף 2(א) ל</w:t>
      </w:r>
      <w:hyperlink r:id="rId10" w:history="1">
        <w:r w:rsidR="00966E09" w:rsidRPr="00966E09">
          <w:rPr>
            <w:color w:val="0000FF"/>
            <w:u w:val="single"/>
            <w:rtl/>
          </w:rPr>
          <w:t>פקודת ביטוח רכב מנועי</w:t>
        </w:r>
      </w:hyperlink>
      <w:r w:rsidRPr="00966E09">
        <w:rPr>
          <w:rFonts w:hint="cs"/>
          <w:rtl/>
        </w:rPr>
        <w:t xml:space="preserve"> (נוסח חדש) תש"מ-1970.</w:t>
      </w:r>
    </w:p>
    <w:p w14:paraId="2AA89B27" w14:textId="77777777" w:rsidR="00EF209C" w:rsidRPr="00966E09" w:rsidRDefault="00EF209C" w:rsidP="00EF209C">
      <w:pPr>
        <w:spacing w:line="360" w:lineRule="auto"/>
        <w:ind w:left="720" w:hanging="720"/>
        <w:rPr>
          <w:rtl/>
        </w:rPr>
      </w:pPr>
      <w:r w:rsidRPr="00966E09">
        <w:rPr>
          <w:rtl/>
        </w:rPr>
        <w:tab/>
      </w:r>
      <w:r w:rsidRPr="00966E09">
        <w:rPr>
          <w:rFonts w:hint="cs"/>
          <w:rtl/>
        </w:rPr>
        <w:t xml:space="preserve">עובדות כתב האישום המתוקן הן אלו: </w:t>
      </w:r>
    </w:p>
    <w:p w14:paraId="2154EC1B" w14:textId="77777777" w:rsidR="00EF209C" w:rsidRPr="00966E09" w:rsidRDefault="00EF209C" w:rsidP="00EF209C">
      <w:pPr>
        <w:spacing w:line="360" w:lineRule="auto"/>
        <w:ind w:left="720"/>
        <w:rPr>
          <w:rtl/>
        </w:rPr>
      </w:pPr>
      <w:r w:rsidRPr="00966E09">
        <w:rPr>
          <w:rFonts w:hint="cs"/>
          <w:rtl/>
        </w:rPr>
        <w:t>בעת שהנאשם נהג ברכב יחד עם אחר, רועי יהונתן, נמצא ברכב תיק שבו נשק מסוג תת מקלע "עוזי" ומחסנית טעונה ובה 26 כדורים 9 מ"מ.</w:t>
      </w:r>
    </w:p>
    <w:p w14:paraId="51F27F7B" w14:textId="77777777" w:rsidR="00EF209C" w:rsidRPr="00966E09" w:rsidRDefault="00EF209C" w:rsidP="00EF209C">
      <w:pPr>
        <w:spacing w:line="360" w:lineRule="auto"/>
        <w:ind w:left="720" w:hanging="720"/>
        <w:rPr>
          <w:rtl/>
        </w:rPr>
      </w:pPr>
      <w:r w:rsidRPr="00966E09">
        <w:rPr>
          <w:rFonts w:hint="cs"/>
          <w:rtl/>
        </w:rPr>
        <w:t>2.</w:t>
      </w:r>
      <w:r w:rsidRPr="00966E09">
        <w:rPr>
          <w:rFonts w:hint="cs"/>
          <w:rtl/>
        </w:rPr>
        <w:tab/>
        <w:t xml:space="preserve">הודייתו של הנאשם הושגה כאמור לאחר מו"מ בין הצדדים במסגרת הסדר טיעון שבו תוקן כתב האישום במתכונתו הנוכחית שצוינה לעיל, כאשר הסדר הטיעון כלל גם הסכמה לענין </w:t>
      </w:r>
      <w:r w:rsidRPr="00966E09">
        <w:rPr>
          <w:rFonts w:hint="cs"/>
          <w:rtl/>
        </w:rPr>
        <w:lastRenderedPageBreak/>
        <w:t xml:space="preserve">הענישה שתוטל על הנאשם. הצדדים הסכימו ביניהם כי יעתרו במשותף להטיל על הנאשם עונש של 6 חודשים שיכול וירוצה בעבודות שירות, מאסר על תנאי ופסילה על תנאי. </w:t>
      </w:r>
    </w:p>
    <w:p w14:paraId="5F1169F3" w14:textId="77777777" w:rsidR="00EF209C" w:rsidRPr="00966E09" w:rsidRDefault="00EF209C" w:rsidP="00EF209C">
      <w:pPr>
        <w:spacing w:line="360" w:lineRule="auto"/>
        <w:ind w:left="720" w:hanging="720"/>
        <w:rPr>
          <w:rtl/>
        </w:rPr>
      </w:pPr>
      <w:r w:rsidRPr="00966E09">
        <w:rPr>
          <w:rFonts w:hint="cs"/>
          <w:rtl/>
        </w:rPr>
        <w:t>3.</w:t>
      </w:r>
      <w:r w:rsidRPr="00966E09">
        <w:rPr>
          <w:rFonts w:hint="cs"/>
          <w:rtl/>
        </w:rPr>
        <w:tab/>
        <w:t xml:space="preserve">לאחר הודיית הנאשם והרשעתו בעובדות כתב האישום המתוקן, נשלח הנאשם לממונה על עבודות שירות על מנת לבדוק את כשירותו לביצוע עבודות שירות. </w:t>
      </w:r>
    </w:p>
    <w:p w14:paraId="3A1A6811" w14:textId="77777777" w:rsidR="00EF209C" w:rsidRPr="00966E09" w:rsidRDefault="00EF209C" w:rsidP="00EF209C">
      <w:pPr>
        <w:spacing w:line="360" w:lineRule="auto"/>
        <w:ind w:left="720" w:hanging="720"/>
        <w:rPr>
          <w:rtl/>
        </w:rPr>
      </w:pPr>
      <w:r w:rsidRPr="00966E09">
        <w:rPr>
          <w:rFonts w:hint="cs"/>
          <w:rtl/>
        </w:rPr>
        <w:t>4.</w:t>
      </w:r>
      <w:r w:rsidRPr="00966E09">
        <w:rPr>
          <w:rFonts w:hint="cs"/>
          <w:rtl/>
        </w:rPr>
        <w:tab/>
        <w:t>בתאריך 5.12.16 נערכה חוו"ד ממונה לפיה הנאשם אינו יכול לבצע עבודות שירות, שכן "</w:t>
      </w:r>
      <w:r w:rsidRPr="00966E09">
        <w:rPr>
          <w:rFonts w:hint="cs"/>
          <w:b/>
          <w:bCs/>
          <w:rtl/>
        </w:rPr>
        <w:t>משטרת ישראל מתנגדת להעסקתו כעובד שירות, לאור מידע על כוונות פגיעה ולאור המסוכנות הקיימת לנידון ומהנידון כלפי אחרים.</w:t>
      </w:r>
      <w:r w:rsidRPr="00966E09">
        <w:rPr>
          <w:rFonts w:hint="cs"/>
          <w:rtl/>
        </w:rPr>
        <w:t xml:space="preserve">" </w:t>
      </w:r>
    </w:p>
    <w:p w14:paraId="22173762" w14:textId="77777777" w:rsidR="00EF209C" w:rsidRPr="00966E09" w:rsidRDefault="00EF209C" w:rsidP="00EF209C">
      <w:pPr>
        <w:spacing w:line="360" w:lineRule="auto"/>
        <w:ind w:left="720" w:hanging="720"/>
        <w:rPr>
          <w:rtl/>
        </w:rPr>
      </w:pPr>
      <w:r w:rsidRPr="00966E09">
        <w:rPr>
          <w:rFonts w:hint="cs"/>
          <w:rtl/>
        </w:rPr>
        <w:t>5.</w:t>
      </w:r>
      <w:r w:rsidRPr="00966E09">
        <w:rPr>
          <w:rtl/>
        </w:rPr>
        <w:tab/>
      </w:r>
      <w:r w:rsidRPr="00966E09">
        <w:rPr>
          <w:rFonts w:hint="cs"/>
          <w:rtl/>
        </w:rPr>
        <w:t>לאחר שהתקיימו בפני שני דיונים בעניין התאמתו או אי התאמתו של הנאשם לביצוע עבודות שירות, כאשר לדיונים זומנו הן נציג הממונה על עבודות השירות והן נציג משטרת ישראל, ולאחר עיון בתיק המידעים המודיעיניים עליהם התבססה התנגדות המשטרה, המלצתי לצדדים לשוב ולהידבר ביניהם באשר לתוצאה עונשית אחרת מזו שהוסכמה מלכתחילה בהסדר הטיעון לאור הקושי בקיום הסדר הטיעון כלשונו.</w:t>
      </w:r>
    </w:p>
    <w:p w14:paraId="6FB470F5" w14:textId="77777777" w:rsidR="00EF209C" w:rsidRPr="00966E09" w:rsidRDefault="00EF209C" w:rsidP="00EF209C">
      <w:pPr>
        <w:spacing w:line="360" w:lineRule="auto"/>
        <w:ind w:left="720" w:hanging="720"/>
        <w:rPr>
          <w:rtl/>
        </w:rPr>
      </w:pPr>
      <w:r w:rsidRPr="00966E09">
        <w:rPr>
          <w:rFonts w:hint="cs"/>
          <w:rtl/>
        </w:rPr>
        <w:t>6.</w:t>
      </w:r>
      <w:r w:rsidRPr="00966E09">
        <w:rPr>
          <w:rFonts w:hint="cs"/>
          <w:rtl/>
        </w:rPr>
        <w:tab/>
        <w:t>ביום 26.1.17 הודיעו ב"כ הצדדים כי לנוכח הנסיבות החדשות שנוצרו, הגיעו להסדר טיעון   מתוקן לפיו: "</w:t>
      </w:r>
      <w:r w:rsidRPr="00966E09">
        <w:rPr>
          <w:rFonts w:hint="cs"/>
          <w:b/>
          <w:bCs/>
          <w:rtl/>
        </w:rPr>
        <w:t>הצדדים יעתרו במשותף להטיל על הנאשם עונש מאסר לריצוי בפועל, בבית כלא, לתקופה של 3.5 חודשים בניכוי ימי מעצרו. ביתר רכיבי הענישה עליהם הוסכם מלכתחילה, בהסדר הטיעון המקורי (מאסר מותנה, קנס ופסילה על תנאי) לא חל כל שינוי.</w:t>
      </w:r>
      <w:r w:rsidRPr="00966E09">
        <w:rPr>
          <w:rFonts w:hint="cs"/>
          <w:rtl/>
        </w:rPr>
        <w:t>"</w:t>
      </w:r>
    </w:p>
    <w:p w14:paraId="785E5658" w14:textId="77777777" w:rsidR="00EF209C" w:rsidRPr="00966E09" w:rsidRDefault="00EF209C" w:rsidP="00EF209C">
      <w:pPr>
        <w:spacing w:line="360" w:lineRule="auto"/>
        <w:ind w:left="720" w:hanging="720"/>
        <w:rPr>
          <w:rtl/>
        </w:rPr>
      </w:pPr>
      <w:r w:rsidRPr="00966E09">
        <w:rPr>
          <w:rFonts w:hint="cs"/>
          <w:rtl/>
        </w:rPr>
        <w:t>7.</w:t>
      </w:r>
      <w:r w:rsidRPr="00966E09">
        <w:rPr>
          <w:rFonts w:hint="cs"/>
          <w:rtl/>
        </w:rPr>
        <w:tab/>
        <w:t xml:space="preserve">ב"כ המדינה ביקשה לכבד את הסדר הטיעון בנמקה זאת באלו: </w:t>
      </w:r>
    </w:p>
    <w:p w14:paraId="56236B2C" w14:textId="77777777" w:rsidR="00EF209C" w:rsidRPr="00966E09" w:rsidRDefault="00EF209C" w:rsidP="00EF209C">
      <w:pPr>
        <w:spacing w:line="360" w:lineRule="auto"/>
        <w:ind w:left="720" w:hanging="720"/>
        <w:rPr>
          <w:rtl/>
        </w:rPr>
      </w:pPr>
      <w:r w:rsidRPr="00966E09">
        <w:rPr>
          <w:rtl/>
        </w:rPr>
        <w:tab/>
      </w:r>
      <w:r w:rsidRPr="00966E09">
        <w:rPr>
          <w:rFonts w:hint="cs"/>
          <w:rtl/>
        </w:rPr>
        <w:t>הודיית הנאשם על כל המשתמע מכך בחסכון בזמן שיפוטי.</w:t>
      </w:r>
    </w:p>
    <w:p w14:paraId="27D364E8" w14:textId="77777777" w:rsidR="00EF209C" w:rsidRDefault="00EF209C" w:rsidP="00EF209C">
      <w:pPr>
        <w:spacing w:line="360" w:lineRule="auto"/>
        <w:ind w:left="720" w:hanging="720"/>
        <w:rPr>
          <w:rtl/>
        </w:rPr>
      </w:pPr>
      <w:r>
        <w:rPr>
          <w:rtl/>
        </w:rPr>
        <w:tab/>
      </w:r>
      <w:r>
        <w:rPr>
          <w:rFonts w:hint="cs"/>
          <w:rtl/>
        </w:rPr>
        <w:t>היעדר הרשעות קודמות והעובדה שמדובר במאסר ראשון.</w:t>
      </w:r>
    </w:p>
    <w:p w14:paraId="73D2DDA9" w14:textId="77777777" w:rsidR="00EF209C" w:rsidRDefault="00EF209C" w:rsidP="00EF209C">
      <w:pPr>
        <w:spacing w:line="360" w:lineRule="auto"/>
        <w:ind w:left="720" w:hanging="720"/>
        <w:rPr>
          <w:rtl/>
        </w:rPr>
      </w:pPr>
      <w:r>
        <w:rPr>
          <w:rtl/>
        </w:rPr>
        <w:tab/>
      </w:r>
      <w:r>
        <w:rPr>
          <w:rFonts w:hint="cs"/>
          <w:rtl/>
        </w:rPr>
        <w:t xml:space="preserve">במערך הראיות שעליהן התבסס  האישום, היה קיים קושי ראייתי לא מבוטל. </w:t>
      </w:r>
    </w:p>
    <w:p w14:paraId="7B8EA43C" w14:textId="77777777" w:rsidR="00EF209C" w:rsidRDefault="00EF209C" w:rsidP="00EF209C">
      <w:pPr>
        <w:spacing w:line="360" w:lineRule="auto"/>
        <w:ind w:left="720"/>
        <w:rPr>
          <w:rtl/>
        </w:rPr>
      </w:pPr>
      <w:r>
        <w:rPr>
          <w:rFonts w:hint="cs"/>
          <w:rtl/>
        </w:rPr>
        <w:t xml:space="preserve">עדותו של רועי יהונתן, מי שנעצר יחד עם הנאשם ברכב, היוותה נדבך מרכזי במערך זה. </w:t>
      </w:r>
    </w:p>
    <w:p w14:paraId="2A3F9E24" w14:textId="77777777" w:rsidR="00EF209C" w:rsidRDefault="00EF209C" w:rsidP="00EF209C">
      <w:pPr>
        <w:spacing w:line="360" w:lineRule="auto"/>
        <w:ind w:left="720"/>
        <w:rPr>
          <w:rtl/>
        </w:rPr>
      </w:pPr>
      <w:r>
        <w:rPr>
          <w:rFonts w:hint="cs"/>
          <w:rtl/>
        </w:rPr>
        <w:t>לימים, התברר כי בעניינו של רועי יהונתן ניתנה חוו"ד פסיכיאטרית שהעלתה ספק באשר לכשירותו המשפטית. בשל הקושי להעיד את רועי יהונתן נגד הנאשם וקיומן של ראיות שקשרו את רועי יהונתן להחזקת הנשק ולנשיאתו יותר משקשרו את הנאשם כאן, בחרה המדינה להגיע בסופו של יום להסדר מקל עם הנאשם ובלבד שלא תעמוד בפני אפשרות של זיכוי הנאשם.</w:t>
      </w:r>
    </w:p>
    <w:p w14:paraId="65A286CB" w14:textId="77777777" w:rsidR="00EF209C" w:rsidRPr="007B6D35" w:rsidRDefault="00EF209C" w:rsidP="00EF209C">
      <w:pPr>
        <w:spacing w:line="360" w:lineRule="auto"/>
        <w:ind w:left="720" w:hanging="720"/>
        <w:rPr>
          <w:u w:val="single"/>
          <w:rtl/>
        </w:rPr>
      </w:pPr>
      <w:r>
        <w:rPr>
          <w:rFonts w:hint="cs"/>
          <w:rtl/>
        </w:rPr>
        <w:t>8.</w:t>
      </w:r>
      <w:r>
        <w:rPr>
          <w:rFonts w:hint="cs"/>
          <w:rtl/>
        </w:rPr>
        <w:tab/>
      </w:r>
      <w:r w:rsidRPr="007B6D35">
        <w:rPr>
          <w:rFonts w:hint="cs"/>
          <w:u w:val="single"/>
          <w:rtl/>
        </w:rPr>
        <w:t>ב"כ הנאשם הוסיף על נימוקים אלו את הנסיבות הבאות:</w:t>
      </w:r>
    </w:p>
    <w:p w14:paraId="271A1109" w14:textId="77777777" w:rsidR="00EF209C" w:rsidRDefault="00EF209C" w:rsidP="00EF209C">
      <w:pPr>
        <w:spacing w:line="360" w:lineRule="auto"/>
        <w:ind w:left="720" w:hanging="720"/>
        <w:rPr>
          <w:rtl/>
        </w:rPr>
      </w:pPr>
      <w:r>
        <w:rPr>
          <w:rtl/>
        </w:rPr>
        <w:tab/>
      </w:r>
      <w:r>
        <w:rPr>
          <w:rFonts w:hint="cs"/>
          <w:rtl/>
        </w:rPr>
        <w:t xml:space="preserve">מדובר בעונש המצוי בתוך המתחם. במיוחד כך כאשר מדובר בעבירה  של סיוע לנשיאה או הובלה של נשק, כאשר ברקע כל אותם קשיים ראייתיים עליהם הצביעה ב"כ המדינה בהגינותה. </w:t>
      </w:r>
    </w:p>
    <w:p w14:paraId="2E0C4057" w14:textId="77777777" w:rsidR="00EF209C" w:rsidRDefault="00EF209C" w:rsidP="00EF209C">
      <w:pPr>
        <w:spacing w:line="360" w:lineRule="auto"/>
        <w:ind w:left="720"/>
        <w:rPr>
          <w:rtl/>
        </w:rPr>
      </w:pPr>
      <w:r>
        <w:rPr>
          <w:rFonts w:hint="cs"/>
          <w:rtl/>
        </w:rPr>
        <w:t xml:space="preserve">עוד ציין ב"כ הנאשם כי בנוסף לקשיים הראייתיים עליהם הצביעה המאשימה, היה קושי משפטי שנבע מעצם ביצוע החיפוש ברכב שהניב את התוצאה של תפיסת הנשק משלטענתו, לא היה כל בסיס לחשד סביר לביצוע החיפוש ברכב. על כל הטענות והקשיים הראייתיים ויתר הנאשם בעצם הודייתו שייתרה את ההליך המשפטי, תוך שהוא מתפרק מכל טענת </w:t>
      </w:r>
      <w:r>
        <w:rPr>
          <w:rFonts w:hint="cs"/>
          <w:rtl/>
        </w:rPr>
        <w:lastRenderedPageBreak/>
        <w:t>הגנה הן בהליך בפני בית משפט זה והן בפני ערכאת ערעור אם חס וחלילה לא יכובד הסדר הטיעון עמו.</w:t>
      </w:r>
    </w:p>
    <w:p w14:paraId="270D1AAE" w14:textId="77777777" w:rsidR="00EF209C" w:rsidRDefault="00EF209C" w:rsidP="00EF209C">
      <w:pPr>
        <w:spacing w:line="360" w:lineRule="auto"/>
        <w:ind w:left="720" w:hanging="720"/>
        <w:rPr>
          <w:rtl/>
        </w:rPr>
      </w:pPr>
      <w:r>
        <w:rPr>
          <w:rFonts w:hint="cs"/>
          <w:rtl/>
        </w:rPr>
        <w:t>9.</w:t>
      </w:r>
      <w:r>
        <w:rPr>
          <w:rFonts w:hint="cs"/>
          <w:rtl/>
        </w:rPr>
        <w:tab/>
        <w:t>בבחינתו של ההסדר לגופו, ועל פי אמות המידה שנקבעו ב</w:t>
      </w:r>
      <w:hyperlink r:id="rId11" w:history="1">
        <w:r w:rsidR="00966E09" w:rsidRPr="00966E09">
          <w:rPr>
            <w:color w:val="0000FF"/>
            <w:u w:val="single"/>
            <w:rtl/>
          </w:rPr>
          <w:t>ע"פ 1958/98</w:t>
        </w:r>
      </w:hyperlink>
      <w:r>
        <w:rPr>
          <w:rFonts w:hint="cs"/>
          <w:rtl/>
        </w:rPr>
        <w:t xml:space="preserve"> פלוני נ' מ"י,  וחרף היותו של העונש נוטה לצד הקולא, מצאתי לכבדו.</w:t>
      </w:r>
    </w:p>
    <w:p w14:paraId="3CC54D38" w14:textId="77777777" w:rsidR="00EF209C" w:rsidRDefault="00EF209C" w:rsidP="00EF209C">
      <w:pPr>
        <w:spacing w:line="360" w:lineRule="auto"/>
        <w:ind w:left="720" w:hanging="720"/>
        <w:rPr>
          <w:rtl/>
        </w:rPr>
      </w:pPr>
      <w:r>
        <w:rPr>
          <w:rtl/>
        </w:rPr>
        <w:tab/>
      </w:r>
      <w:r>
        <w:rPr>
          <w:rFonts w:hint="cs"/>
          <w:rtl/>
        </w:rPr>
        <w:t>כעולה מטיעוני ב"כ הצדדים בפני, מדובר בתיק שאינו חף מקשיים ראייתיים בהוכחת אשמתו של הנאשם והדברים אינם בגדר מליצה בלבד. כך שהודייתו של הנאשם והתפרקותו מכל טענת הגנה שיכול היה לטעון אותה במהלך המשפט, הינה גורם שיש ליתן לו משקל נכבד בעת שקילת ההסדר. חזקה על המדינה האמוּנה על האינטרס הציבורי ששקלה את השיקולים הנכוחים שהביאוה בסופו של יום לאותו הסדר שהינו מעין "פשרה כואבת", עימה היא מוכנה להסכין.</w:t>
      </w:r>
    </w:p>
    <w:p w14:paraId="7830262C" w14:textId="77777777" w:rsidR="00EF209C" w:rsidRDefault="00EF209C" w:rsidP="00EF209C">
      <w:pPr>
        <w:spacing w:line="360" w:lineRule="auto"/>
        <w:ind w:left="720" w:hanging="720"/>
        <w:rPr>
          <w:rtl/>
        </w:rPr>
      </w:pPr>
      <w:r>
        <w:rPr>
          <w:rFonts w:hint="cs"/>
          <w:rtl/>
        </w:rPr>
        <w:tab/>
        <w:t>מדובר אפוא בנסיבות חריגות ויוצאות דופן שהכתיבו בסופו של דבר את הענישה המקלה עליה הסכימו ב"כ הצדדים.</w:t>
      </w:r>
    </w:p>
    <w:p w14:paraId="6A35551A" w14:textId="77777777" w:rsidR="00EF209C" w:rsidRDefault="00EF209C" w:rsidP="00EF209C">
      <w:pPr>
        <w:spacing w:line="360" w:lineRule="auto"/>
        <w:ind w:left="720" w:hanging="720"/>
        <w:rPr>
          <w:rtl/>
        </w:rPr>
      </w:pPr>
    </w:p>
    <w:p w14:paraId="1B0EAEAC" w14:textId="77777777" w:rsidR="00EF209C" w:rsidRPr="001C46C2" w:rsidRDefault="00EF209C" w:rsidP="00EF209C">
      <w:pPr>
        <w:spacing w:line="360" w:lineRule="auto"/>
        <w:ind w:left="720" w:hanging="720"/>
        <w:rPr>
          <w:u w:val="single"/>
          <w:rtl/>
        </w:rPr>
      </w:pPr>
      <w:r w:rsidRPr="001C46C2">
        <w:rPr>
          <w:rFonts w:hint="cs"/>
          <w:u w:val="single"/>
          <w:rtl/>
        </w:rPr>
        <w:t>אני מכבד את הסדר הטיעון ודן את הנאשם לעונשים הבאים:</w:t>
      </w:r>
    </w:p>
    <w:p w14:paraId="1D4FC95D" w14:textId="77777777" w:rsidR="00EF209C" w:rsidRDefault="00EF209C" w:rsidP="00EF209C">
      <w:pPr>
        <w:spacing w:line="360" w:lineRule="auto"/>
        <w:ind w:left="720" w:hanging="720"/>
        <w:rPr>
          <w:rtl/>
        </w:rPr>
      </w:pPr>
      <w:r>
        <w:rPr>
          <w:rFonts w:hint="cs"/>
          <w:rtl/>
        </w:rPr>
        <w:t xml:space="preserve">15 חודשי מאסר. מתוך תקופה זו 3.5 חודשים לריצוי בפועל, היתרה על תנאי והתנאי שבמשך </w:t>
      </w:r>
    </w:p>
    <w:p w14:paraId="18ECB633" w14:textId="77777777" w:rsidR="00EF209C" w:rsidRDefault="00EF209C" w:rsidP="00EF209C">
      <w:pPr>
        <w:spacing w:line="360" w:lineRule="auto"/>
        <w:ind w:left="720" w:hanging="720"/>
        <w:rPr>
          <w:rtl/>
        </w:rPr>
      </w:pPr>
      <w:r>
        <w:rPr>
          <w:rFonts w:hint="cs"/>
          <w:rtl/>
        </w:rPr>
        <w:t>תקופה של 3 שנים מיום שחרורו ממאסר, לא יעבור הנאשם עבירה בנשק.</w:t>
      </w:r>
    </w:p>
    <w:p w14:paraId="4C168BF5" w14:textId="77777777" w:rsidR="00EF209C" w:rsidRDefault="00EF209C" w:rsidP="00EF209C">
      <w:pPr>
        <w:spacing w:line="360" w:lineRule="auto"/>
        <w:ind w:left="720" w:hanging="720"/>
        <w:rPr>
          <w:rtl/>
        </w:rPr>
      </w:pPr>
      <w:r>
        <w:rPr>
          <w:rFonts w:hint="cs"/>
          <w:rtl/>
        </w:rPr>
        <w:t>מתוך תקופת המאסר תנוכה לנאשם תקופת המעצר בין התאריכים 22.4.16 עד 27.6.16.</w:t>
      </w:r>
    </w:p>
    <w:p w14:paraId="18041025" w14:textId="77777777" w:rsidR="00EF209C" w:rsidRDefault="00EF209C" w:rsidP="00EF209C">
      <w:pPr>
        <w:spacing w:line="360" w:lineRule="auto"/>
        <w:ind w:left="720" w:hanging="720"/>
        <w:rPr>
          <w:rtl/>
        </w:rPr>
      </w:pPr>
      <w:r>
        <w:rPr>
          <w:rFonts w:hint="cs"/>
          <w:rtl/>
        </w:rPr>
        <w:t xml:space="preserve">אני דן את הנאשם לתשלום קנס בסך של 5,000 ₪ או 45 ימי מאסר תמורתם. הקנס ישולם עד ולא </w:t>
      </w:r>
    </w:p>
    <w:p w14:paraId="6EEC229F" w14:textId="77777777" w:rsidR="00EF209C" w:rsidRDefault="00EF209C" w:rsidP="00EF209C">
      <w:pPr>
        <w:spacing w:line="360" w:lineRule="auto"/>
        <w:ind w:left="720" w:hanging="720"/>
        <w:rPr>
          <w:rtl/>
        </w:rPr>
      </w:pPr>
      <w:r>
        <w:rPr>
          <w:rFonts w:hint="cs"/>
          <w:rtl/>
        </w:rPr>
        <w:t xml:space="preserve">יאוחר מיום 1.6.17. </w:t>
      </w:r>
    </w:p>
    <w:p w14:paraId="73F91D07" w14:textId="77777777" w:rsidR="00EF209C" w:rsidRDefault="00EF209C" w:rsidP="00EF209C">
      <w:pPr>
        <w:spacing w:line="360" w:lineRule="auto"/>
        <w:ind w:left="720" w:hanging="720"/>
        <w:rPr>
          <w:rtl/>
        </w:rPr>
      </w:pPr>
      <w:r>
        <w:rPr>
          <w:rFonts w:hint="cs"/>
          <w:rtl/>
        </w:rPr>
        <w:t xml:space="preserve">אני פוסל את הנאשם מקבל או מהחזיק רישיון נהיגה לתקופה של 6 חודשים. הפסילה תהיה על </w:t>
      </w:r>
    </w:p>
    <w:p w14:paraId="36DB8BB5" w14:textId="77777777" w:rsidR="00EF209C" w:rsidRDefault="00EF209C" w:rsidP="00EF209C">
      <w:pPr>
        <w:spacing w:line="360" w:lineRule="auto"/>
        <w:ind w:left="720" w:hanging="720"/>
        <w:rPr>
          <w:rtl/>
        </w:rPr>
      </w:pPr>
      <w:r>
        <w:rPr>
          <w:rFonts w:hint="cs"/>
          <w:rtl/>
        </w:rPr>
        <w:t xml:space="preserve">תנאי והתנאי הוא שבמשך תקופה של שנתיים מיום שחרורו ממאסר, לא יעבור הנאשם עבירה של </w:t>
      </w:r>
    </w:p>
    <w:p w14:paraId="1F8B6377" w14:textId="77777777" w:rsidR="00EF209C" w:rsidRDefault="00EF209C" w:rsidP="00EF209C">
      <w:pPr>
        <w:spacing w:line="360" w:lineRule="auto"/>
        <w:ind w:left="720" w:hanging="720"/>
        <w:rPr>
          <w:rtl/>
        </w:rPr>
      </w:pPr>
      <w:r>
        <w:rPr>
          <w:rFonts w:hint="cs"/>
          <w:rtl/>
        </w:rPr>
        <w:t>נהיגה ללא פוליסת ביטוח בתוקף.</w:t>
      </w:r>
    </w:p>
    <w:p w14:paraId="4173955C" w14:textId="77777777" w:rsidR="00EF209C" w:rsidRDefault="00EF209C" w:rsidP="00EF209C">
      <w:pPr>
        <w:spacing w:line="360" w:lineRule="auto"/>
        <w:ind w:left="720" w:hanging="720"/>
        <w:rPr>
          <w:rtl/>
        </w:rPr>
      </w:pPr>
      <w:r>
        <w:rPr>
          <w:rFonts w:hint="cs"/>
          <w:rtl/>
        </w:rPr>
        <w:t xml:space="preserve">הנאשם יתייצב לריצוי עונש המאסר ביום 26.2.2017 בכלא "ניצן" יחד עם תעודה מזהה ועותק מגזר </w:t>
      </w:r>
    </w:p>
    <w:p w14:paraId="0A35CF0E" w14:textId="77777777" w:rsidR="00EF209C" w:rsidRDefault="00EF209C" w:rsidP="00EF209C">
      <w:pPr>
        <w:spacing w:line="360" w:lineRule="auto"/>
        <w:ind w:left="720" w:hanging="720"/>
        <w:rPr>
          <w:rtl/>
        </w:rPr>
      </w:pPr>
      <w:r>
        <w:rPr>
          <w:rFonts w:hint="cs"/>
          <w:rtl/>
        </w:rPr>
        <w:t xml:space="preserve">הדין. </w:t>
      </w:r>
    </w:p>
    <w:p w14:paraId="4D54FD63" w14:textId="77777777" w:rsidR="00EF209C" w:rsidRDefault="00EF209C" w:rsidP="00EF209C">
      <w:pPr>
        <w:spacing w:line="360" w:lineRule="auto"/>
        <w:ind w:left="720" w:hanging="720"/>
        <w:rPr>
          <w:b/>
          <w:bCs/>
          <w:rtl/>
        </w:rPr>
      </w:pPr>
      <w:r w:rsidRPr="001C46C2">
        <w:rPr>
          <w:rFonts w:hint="cs"/>
          <w:b/>
          <w:bCs/>
          <w:rtl/>
        </w:rPr>
        <w:t>זכות ערעור תוך 45 יום לבית המשפט העליון</w:t>
      </w:r>
    </w:p>
    <w:p w14:paraId="5089ACBC" w14:textId="77777777" w:rsidR="00EF209C" w:rsidRDefault="00EF209C" w:rsidP="00EF209C">
      <w:pPr>
        <w:jc w:val="right"/>
      </w:pPr>
    </w:p>
    <w:p w14:paraId="4CB4861B" w14:textId="77777777" w:rsidR="00EF209C" w:rsidRDefault="00966E09" w:rsidP="00EF209C">
      <w:pPr>
        <w:ind w:left="3600"/>
        <w:jc w:val="center"/>
        <w:rPr>
          <w:rtl/>
        </w:rPr>
      </w:pPr>
      <w:r w:rsidRPr="00966E09">
        <w:rPr>
          <w:b/>
          <w:bCs/>
          <w:color w:val="FFFFFF"/>
          <w:sz w:val="2"/>
          <w:szCs w:val="2"/>
          <w:rtl/>
        </w:rPr>
        <w:t>5129371</w:t>
      </w:r>
      <w:r>
        <w:rPr>
          <w:b/>
          <w:bCs/>
          <w:rtl/>
        </w:rPr>
        <w:t xml:space="preserve">ניתנה והודעה היום כ"ה שבט תשע"ז, 21/02/2017 במעמד הנוכחים. </w:t>
      </w:r>
    </w:p>
    <w:tbl>
      <w:tblPr>
        <w:bidiVisual/>
        <w:tblW w:w="0" w:type="auto"/>
        <w:tblInd w:w="3600" w:type="dxa"/>
        <w:tblBorders>
          <w:insideH w:val="single" w:sz="4" w:space="0" w:color="auto"/>
          <w:insideV w:val="single" w:sz="4" w:space="0" w:color="auto"/>
        </w:tblBorders>
        <w:tblLook w:val="01E0" w:firstRow="1" w:lastRow="1" w:firstColumn="1" w:lastColumn="1" w:noHBand="0" w:noVBand="0"/>
      </w:tblPr>
      <w:tblGrid>
        <w:gridCol w:w="3936"/>
      </w:tblGrid>
      <w:tr w:rsidR="00EF209C" w14:paraId="7104B907" w14:textId="77777777" w:rsidTr="00966E09">
        <w:trPr>
          <w:trHeight w:val="316"/>
        </w:trPr>
        <w:tc>
          <w:tcPr>
            <w:tcW w:w="3936" w:type="dxa"/>
            <w:tcBorders>
              <w:top w:val="nil"/>
              <w:left w:val="nil"/>
              <w:bottom w:val="single" w:sz="4" w:space="0" w:color="auto"/>
              <w:right w:val="nil"/>
            </w:tcBorders>
            <w:shd w:val="clear" w:color="auto" w:fill="auto"/>
          </w:tcPr>
          <w:p w14:paraId="4489A388" w14:textId="77777777" w:rsidR="00EF209C" w:rsidRPr="00966E09" w:rsidRDefault="00966E09" w:rsidP="00966E09">
            <w:pPr>
              <w:jc w:val="center"/>
              <w:rPr>
                <w:color w:val="FFFFFF"/>
                <w:sz w:val="2"/>
                <w:szCs w:val="2"/>
                <w:rtl/>
              </w:rPr>
            </w:pPr>
            <w:r w:rsidRPr="00966E09">
              <w:rPr>
                <w:color w:val="FFFFFF"/>
                <w:sz w:val="2"/>
                <w:szCs w:val="2"/>
                <w:rtl/>
              </w:rPr>
              <w:t>54678313</w:t>
            </w:r>
          </w:p>
          <w:p w14:paraId="6F537D8F" w14:textId="77777777" w:rsidR="00EF209C" w:rsidRDefault="00EF209C" w:rsidP="00966E09">
            <w:pPr>
              <w:jc w:val="center"/>
            </w:pPr>
          </w:p>
        </w:tc>
      </w:tr>
      <w:tr w:rsidR="00EF209C" w14:paraId="4402DD65" w14:textId="77777777" w:rsidTr="00966E09">
        <w:trPr>
          <w:trHeight w:val="361"/>
        </w:trPr>
        <w:tc>
          <w:tcPr>
            <w:tcW w:w="3936" w:type="dxa"/>
            <w:tcBorders>
              <w:top w:val="single" w:sz="4" w:space="0" w:color="auto"/>
              <w:left w:val="nil"/>
              <w:bottom w:val="nil"/>
              <w:right w:val="nil"/>
            </w:tcBorders>
            <w:shd w:val="clear" w:color="auto" w:fill="auto"/>
          </w:tcPr>
          <w:p w14:paraId="5D3B38E7" w14:textId="77777777" w:rsidR="00EF209C" w:rsidRPr="00F17E06" w:rsidRDefault="00EF209C" w:rsidP="00966E09">
            <w:pPr>
              <w:jc w:val="center"/>
              <w:rPr>
                <w:b/>
                <w:bCs/>
                <w:rtl/>
              </w:rPr>
            </w:pPr>
            <w:r w:rsidRPr="00F17E06">
              <w:rPr>
                <w:rFonts w:hint="cs"/>
                <w:b/>
                <w:bCs/>
                <w:rtl/>
              </w:rPr>
              <w:t xml:space="preserve">ג'ורג' קרא , שופט, סגן נשיא </w:t>
            </w:r>
          </w:p>
        </w:tc>
      </w:tr>
    </w:tbl>
    <w:p w14:paraId="3CF43F9D" w14:textId="77777777" w:rsidR="00EF209C" w:rsidRDefault="00EF209C" w:rsidP="00EF209C">
      <w:pPr>
        <w:spacing w:line="360" w:lineRule="auto"/>
        <w:ind w:left="720" w:hanging="720"/>
        <w:rPr>
          <w:rtl/>
        </w:rPr>
      </w:pPr>
    </w:p>
    <w:p w14:paraId="01392E4D" w14:textId="77777777" w:rsidR="00EF209C" w:rsidRDefault="00EF209C" w:rsidP="00EF209C">
      <w:pPr>
        <w:spacing w:line="360" w:lineRule="auto"/>
        <w:ind w:left="720" w:hanging="720"/>
        <w:rPr>
          <w:rtl/>
        </w:rPr>
      </w:pPr>
    </w:p>
    <w:p w14:paraId="09B1DF4C" w14:textId="77777777" w:rsidR="00EF209C" w:rsidRPr="001C46C2" w:rsidRDefault="00EF209C" w:rsidP="00EF209C">
      <w:pPr>
        <w:spacing w:line="360" w:lineRule="auto"/>
        <w:ind w:left="720" w:hanging="720"/>
        <w:rPr>
          <w:rtl/>
        </w:rPr>
      </w:pPr>
    </w:p>
    <w:p w14:paraId="07D0173E" w14:textId="77777777" w:rsidR="00966E09" w:rsidRPr="00966E09" w:rsidRDefault="00966E09" w:rsidP="00966E09">
      <w:pPr>
        <w:keepNext/>
        <w:rPr>
          <w:rFonts w:ascii="David" w:hAnsi="David"/>
          <w:color w:val="000000"/>
          <w:sz w:val="22"/>
          <w:szCs w:val="22"/>
          <w:rtl/>
        </w:rPr>
      </w:pPr>
    </w:p>
    <w:p w14:paraId="55186014" w14:textId="77777777" w:rsidR="00966E09" w:rsidRPr="00966E09" w:rsidRDefault="00966E09" w:rsidP="00966E09">
      <w:pPr>
        <w:keepNext/>
        <w:rPr>
          <w:rFonts w:ascii="David" w:hAnsi="David"/>
          <w:color w:val="000000"/>
          <w:sz w:val="22"/>
          <w:szCs w:val="22"/>
          <w:rtl/>
        </w:rPr>
      </w:pPr>
      <w:r w:rsidRPr="00966E09">
        <w:rPr>
          <w:rFonts w:ascii="David" w:hAnsi="David"/>
          <w:color w:val="000000"/>
          <w:sz w:val="22"/>
          <w:szCs w:val="22"/>
          <w:rtl/>
        </w:rPr>
        <w:t>ג'ורג' קרא 54678313</w:t>
      </w:r>
    </w:p>
    <w:p w14:paraId="232ACA74" w14:textId="77777777" w:rsidR="00966E09" w:rsidRDefault="00966E09" w:rsidP="00966E09">
      <w:r w:rsidRPr="00966E09">
        <w:rPr>
          <w:color w:val="000000"/>
          <w:rtl/>
        </w:rPr>
        <w:t>נוסח מסמך זה כפוף לשינויי ניסוח ועריכה</w:t>
      </w:r>
    </w:p>
    <w:p w14:paraId="3BA58494" w14:textId="77777777" w:rsidR="00966E09" w:rsidRDefault="00966E09" w:rsidP="00966E09">
      <w:pPr>
        <w:rPr>
          <w:rtl/>
        </w:rPr>
      </w:pPr>
    </w:p>
    <w:p w14:paraId="57DC03B2" w14:textId="77777777" w:rsidR="00966E09" w:rsidRDefault="00966E09" w:rsidP="00966E09">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r w:rsidR="00E23DF9">
        <w:rPr>
          <w:rFonts w:hint="cs"/>
          <w:color w:val="0000FF"/>
          <w:u w:val="single"/>
          <w:rtl/>
        </w:rPr>
        <w:t xml:space="preserve"> </w:t>
      </w:r>
    </w:p>
    <w:p w14:paraId="2E86AD04" w14:textId="77777777" w:rsidR="00B35717" w:rsidRPr="00966E09" w:rsidRDefault="00B35717" w:rsidP="00966E09">
      <w:pPr>
        <w:jc w:val="center"/>
        <w:rPr>
          <w:color w:val="0000FF"/>
          <w:u w:val="single"/>
        </w:rPr>
      </w:pPr>
    </w:p>
    <w:sectPr w:rsidR="00B35717" w:rsidRPr="00966E09" w:rsidSect="00966E09">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5752A" w14:textId="77777777" w:rsidR="00813511" w:rsidRDefault="00813511">
      <w:r>
        <w:separator/>
      </w:r>
    </w:p>
  </w:endnote>
  <w:endnote w:type="continuationSeparator" w:id="0">
    <w:p w14:paraId="3F6A455A" w14:textId="77777777" w:rsidR="00813511" w:rsidRDefault="0081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86195" w14:textId="77777777" w:rsidR="00966E09" w:rsidRDefault="00966E09" w:rsidP="00966E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6461D4" w14:textId="77777777" w:rsidR="00966E09" w:rsidRPr="00966E09" w:rsidRDefault="00966E09" w:rsidP="00966E09">
    <w:pPr>
      <w:pStyle w:val="a5"/>
      <w:pBdr>
        <w:top w:val="single" w:sz="4" w:space="1" w:color="auto"/>
        <w:between w:val="single" w:sz="4" w:space="0" w:color="auto"/>
      </w:pBdr>
      <w:spacing w:after="60"/>
      <w:jc w:val="center"/>
      <w:rPr>
        <w:rFonts w:ascii="FrankRuehl" w:hAnsi="FrankRuehl" w:cs="FrankRuehl"/>
        <w:color w:val="000000"/>
      </w:rPr>
    </w:pPr>
    <w:r w:rsidRPr="00966E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F2AEF" w14:textId="77777777" w:rsidR="00966E09" w:rsidRDefault="00966E09" w:rsidP="00966E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703E">
      <w:rPr>
        <w:rFonts w:ascii="FrankRuehl" w:hAnsi="FrankRuehl" w:cs="FrankRuehl"/>
        <w:noProof/>
        <w:rtl/>
      </w:rPr>
      <w:t>1</w:t>
    </w:r>
    <w:r>
      <w:rPr>
        <w:rFonts w:ascii="FrankRuehl" w:hAnsi="FrankRuehl" w:cs="FrankRuehl"/>
        <w:rtl/>
      </w:rPr>
      <w:fldChar w:fldCharType="end"/>
    </w:r>
  </w:p>
  <w:p w14:paraId="14BED9B6" w14:textId="77777777" w:rsidR="00966E09" w:rsidRPr="00966E09" w:rsidRDefault="00966E09" w:rsidP="00966E09">
    <w:pPr>
      <w:pStyle w:val="a5"/>
      <w:pBdr>
        <w:top w:val="single" w:sz="4" w:space="1" w:color="auto"/>
        <w:between w:val="single" w:sz="4" w:space="0" w:color="auto"/>
      </w:pBdr>
      <w:spacing w:after="60"/>
      <w:jc w:val="center"/>
      <w:rPr>
        <w:rFonts w:ascii="FrankRuehl" w:hAnsi="FrankRuehl" w:cs="FrankRuehl"/>
        <w:color w:val="000000"/>
      </w:rPr>
    </w:pPr>
    <w:r w:rsidRPr="00966E09">
      <w:rPr>
        <w:rFonts w:ascii="FrankRuehl" w:hAnsi="FrankRuehl" w:cs="FrankRuehl"/>
        <w:color w:val="000000"/>
      </w:rPr>
      <w:pict w14:anchorId="2C7F6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2F117" w14:textId="77777777" w:rsidR="00813511" w:rsidRDefault="00813511">
      <w:r>
        <w:separator/>
      </w:r>
    </w:p>
  </w:footnote>
  <w:footnote w:type="continuationSeparator" w:id="0">
    <w:p w14:paraId="25077B03" w14:textId="77777777" w:rsidR="00813511" w:rsidRDefault="0081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707C0" w14:textId="77777777" w:rsidR="00966E09" w:rsidRPr="00966E09" w:rsidRDefault="00966E09" w:rsidP="00966E0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6785-05-16</w:t>
    </w:r>
    <w:r>
      <w:rPr>
        <w:rFonts w:ascii="David" w:hAnsi="David"/>
        <w:color w:val="000000"/>
        <w:sz w:val="22"/>
        <w:szCs w:val="22"/>
        <w:rtl/>
      </w:rPr>
      <w:tab/>
      <w:t xml:space="preserve"> מדינת ישראל נ' משה נאמן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DA1CA" w14:textId="77777777" w:rsidR="00966E09" w:rsidRPr="00966E09" w:rsidRDefault="00966E09" w:rsidP="00966E0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6785-05-16</w:t>
    </w:r>
    <w:r>
      <w:rPr>
        <w:rFonts w:ascii="David" w:hAnsi="David"/>
        <w:color w:val="000000"/>
        <w:sz w:val="22"/>
        <w:szCs w:val="22"/>
        <w:rtl/>
      </w:rPr>
      <w:tab/>
      <w:t xml:space="preserve"> מדינת ישראל נ' משה נאמן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209C"/>
    <w:rsid w:val="00004B4A"/>
    <w:rsid w:val="000258C6"/>
    <w:rsid w:val="00092DB2"/>
    <w:rsid w:val="000B222D"/>
    <w:rsid w:val="000B5D1B"/>
    <w:rsid w:val="000F3716"/>
    <w:rsid w:val="000F776E"/>
    <w:rsid w:val="001163D9"/>
    <w:rsid w:val="00123268"/>
    <w:rsid w:val="0013605C"/>
    <w:rsid w:val="0015154B"/>
    <w:rsid w:val="0017711A"/>
    <w:rsid w:val="00201E3A"/>
    <w:rsid w:val="00203146"/>
    <w:rsid w:val="002474C9"/>
    <w:rsid w:val="002B1389"/>
    <w:rsid w:val="002D2C1C"/>
    <w:rsid w:val="002E4BA2"/>
    <w:rsid w:val="002E703E"/>
    <w:rsid w:val="00327617"/>
    <w:rsid w:val="00371D27"/>
    <w:rsid w:val="00374124"/>
    <w:rsid w:val="003C709F"/>
    <w:rsid w:val="003D65D3"/>
    <w:rsid w:val="003E51B4"/>
    <w:rsid w:val="003F02C5"/>
    <w:rsid w:val="004D1A95"/>
    <w:rsid w:val="004D5997"/>
    <w:rsid w:val="00533D5C"/>
    <w:rsid w:val="00551C5E"/>
    <w:rsid w:val="00562061"/>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13511"/>
    <w:rsid w:val="00860D56"/>
    <w:rsid w:val="00866CE3"/>
    <w:rsid w:val="00875CAA"/>
    <w:rsid w:val="008760F0"/>
    <w:rsid w:val="008B2C82"/>
    <w:rsid w:val="008D4AF6"/>
    <w:rsid w:val="00901DEA"/>
    <w:rsid w:val="00913EC5"/>
    <w:rsid w:val="00946CA3"/>
    <w:rsid w:val="00966E09"/>
    <w:rsid w:val="009A4E50"/>
    <w:rsid w:val="009A720E"/>
    <w:rsid w:val="009B4682"/>
    <w:rsid w:val="00A03304"/>
    <w:rsid w:val="00A24369"/>
    <w:rsid w:val="00A472AB"/>
    <w:rsid w:val="00A52B25"/>
    <w:rsid w:val="00A965CE"/>
    <w:rsid w:val="00A96648"/>
    <w:rsid w:val="00AA17BA"/>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23DF9"/>
    <w:rsid w:val="00E45CCB"/>
    <w:rsid w:val="00E55FAF"/>
    <w:rsid w:val="00E61C95"/>
    <w:rsid w:val="00EA60CD"/>
    <w:rsid w:val="00EE2A1B"/>
    <w:rsid w:val="00EF209C"/>
    <w:rsid w:val="00F274FE"/>
    <w:rsid w:val="00F860FB"/>
    <w:rsid w:val="00FA04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68A6EE"/>
  <w15:chartTrackingRefBased/>
  <w15:docId w15:val="{5507F7A3-0563-4869-B42E-8B8ABF43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209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F209C"/>
  </w:style>
  <w:style w:type="paragraph" w:styleId="a4">
    <w:name w:val="header"/>
    <w:basedOn w:val="a"/>
    <w:rsid w:val="00EF209C"/>
    <w:pPr>
      <w:tabs>
        <w:tab w:val="center" w:pos="4153"/>
        <w:tab w:val="right" w:pos="8306"/>
      </w:tabs>
    </w:pPr>
  </w:style>
  <w:style w:type="paragraph" w:styleId="a5">
    <w:name w:val="footer"/>
    <w:basedOn w:val="a"/>
    <w:rsid w:val="00EF209C"/>
    <w:pPr>
      <w:tabs>
        <w:tab w:val="center" w:pos="4153"/>
        <w:tab w:val="right" w:pos="8306"/>
      </w:tabs>
    </w:pPr>
  </w:style>
  <w:style w:type="character" w:styleId="a6">
    <w:name w:val="page number"/>
    <w:basedOn w:val="a0"/>
    <w:rsid w:val="00EF209C"/>
  </w:style>
  <w:style w:type="character" w:styleId="Hyperlink">
    <w:name w:val="Hyperlink"/>
    <w:rsid w:val="00966E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450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61892"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45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4397</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5266</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589898</vt:i4>
      </vt:variant>
      <vt:variant>
        <vt:i4>12</vt:i4>
      </vt:variant>
      <vt:variant>
        <vt:i4>0</vt:i4>
      </vt:variant>
      <vt:variant>
        <vt:i4>5</vt:i4>
      </vt:variant>
      <vt:variant>
        <vt:lpwstr>http://www.nevo.co.il/case/161892</vt:lpwstr>
      </vt:variant>
      <vt:variant>
        <vt:lpwstr/>
      </vt:variant>
      <vt:variant>
        <vt:i4>8257634</vt:i4>
      </vt:variant>
      <vt:variant>
        <vt:i4>9</vt:i4>
      </vt:variant>
      <vt:variant>
        <vt:i4>0</vt:i4>
      </vt:variant>
      <vt:variant>
        <vt:i4>5</vt:i4>
      </vt:variant>
      <vt:variant>
        <vt:lpwstr>http://www.nevo.co.il/law/74501</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8257634</vt:i4>
      </vt:variant>
      <vt:variant>
        <vt:i4>3</vt:i4>
      </vt:variant>
      <vt:variant>
        <vt:i4>0</vt:i4>
      </vt:variant>
      <vt:variant>
        <vt:i4>5</vt:i4>
      </vt:variant>
      <vt:variant>
        <vt:lpwstr>http://www.nevo.co.il/law/74501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2025-01-19T16:10:00Z</dcterms:created>
  <dcterms:modified xsi:type="dcterms:W3CDTF">2025-01-19T16:10:00Z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6785</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משה נאמן</vt:lpwstr>
  </property>
  <property fmtid="{D5CDD505-2E9C-101B-9397-08002B2CF9AE}" pid="10" name="LAWYER">
    <vt:lpwstr>מוריה גרין;אלעד רט;הודיעו</vt:lpwstr>
  </property>
  <property fmtid="{D5CDD505-2E9C-101B-9397-08002B2CF9AE}" pid="11" name="JUDGE">
    <vt:lpwstr>ג'ורג' קרא</vt:lpwstr>
  </property>
  <property fmtid="{D5CDD505-2E9C-101B-9397-08002B2CF9AE}" pid="12" name="CITY">
    <vt:lpwstr>ת"א</vt:lpwstr>
  </property>
  <property fmtid="{D5CDD505-2E9C-101B-9397-08002B2CF9AE}" pid="13" name="DATE">
    <vt:lpwstr>20170221</vt:lpwstr>
  </property>
  <property fmtid="{D5CDD505-2E9C-101B-9397-08002B2CF9AE}" pid="14" name="TYPE_N_DATE">
    <vt:lpwstr>39020170221</vt:lpwstr>
  </property>
  <property fmtid="{D5CDD505-2E9C-101B-9397-08002B2CF9AE}" pid="15" name="CASESLISTTMP1">
    <vt:lpwstr>161892</vt:lpwstr>
  </property>
  <property fmtid="{D5CDD505-2E9C-101B-9397-08002B2CF9AE}" pid="16" name="LAWLISTTMP1">
    <vt:lpwstr>70301:2</vt:lpwstr>
  </property>
  <property fmtid="{D5CDD505-2E9C-101B-9397-08002B2CF9AE}" pid="17" name="LAWLISTTMP2">
    <vt:lpwstr>74501:2</vt:lpwstr>
  </property>
  <property fmtid="{D5CDD505-2E9C-101B-9397-08002B2CF9AE}" pid="18" name="WORDNUMPAGES">
    <vt:lpwstr>4</vt:lpwstr>
  </property>
  <property fmtid="{D5CDD505-2E9C-101B-9397-08002B2CF9AE}" pid="19" name="TYPE_ABS_DATE">
    <vt:lpwstr>390020170221</vt:lpwstr>
  </property>
</Properties>
</file>