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547EE" w:rsidRPr="00D200F0" w14:paraId="2B90B6AF" w14:textId="77777777" w:rsidTr="003E6847">
        <w:trPr>
          <w:trHeight w:hRule="exact" w:val="418"/>
          <w:jc w:val="center"/>
        </w:trPr>
        <w:tc>
          <w:tcPr>
            <w:tcW w:w="8721" w:type="dxa"/>
            <w:gridSpan w:val="2"/>
          </w:tcPr>
          <w:p w14:paraId="03B400D6" w14:textId="77777777" w:rsidR="00A547EE" w:rsidRPr="00D200F0" w:rsidRDefault="00A547EE" w:rsidP="00D200F0">
            <w:pPr>
              <w:pStyle w:val="a3"/>
              <w:jc w:val="center"/>
              <w:rPr>
                <w:rFonts w:ascii="Tahoma" w:hAnsi="Tahoma" w:cs="Tahoma"/>
                <w:color w:val="000080"/>
                <w:rtl/>
              </w:rPr>
            </w:pPr>
            <w:bookmarkStart w:id="0" w:name="LastJudge"/>
            <w:r w:rsidRPr="00D200F0">
              <w:rPr>
                <w:rFonts w:ascii="Tahoma" w:hAnsi="Tahoma" w:cs="Tahoma"/>
                <w:b/>
                <w:bCs/>
                <w:color w:val="000080"/>
                <w:rtl/>
              </w:rPr>
              <w:t>בית המשפט המחוזי בחיפה</w:t>
            </w:r>
          </w:p>
        </w:tc>
      </w:tr>
      <w:tr w:rsidR="00A547EE" w:rsidRPr="00D200F0" w14:paraId="6DFBA3D4" w14:textId="77777777" w:rsidTr="003E6847">
        <w:trPr>
          <w:trHeight w:val="337"/>
          <w:jc w:val="center"/>
        </w:trPr>
        <w:tc>
          <w:tcPr>
            <w:tcW w:w="5054" w:type="dxa"/>
          </w:tcPr>
          <w:p w14:paraId="69BD201A" w14:textId="77777777" w:rsidR="00A547EE" w:rsidRPr="00D200F0" w:rsidRDefault="00A547EE" w:rsidP="00D200F0">
            <w:pPr>
              <w:rPr>
                <w:rFonts w:cs="FrankRuehl"/>
                <w:sz w:val="28"/>
                <w:szCs w:val="28"/>
                <w:rtl/>
              </w:rPr>
            </w:pPr>
            <w:r w:rsidRPr="00D200F0">
              <w:rPr>
                <w:rFonts w:cs="FrankRuehl"/>
                <w:sz w:val="28"/>
                <w:szCs w:val="28"/>
                <w:rtl/>
              </w:rPr>
              <w:t>ת"פ</w:t>
            </w:r>
            <w:r w:rsidRPr="00D200F0">
              <w:rPr>
                <w:rFonts w:cs="FrankRuehl" w:hint="cs"/>
                <w:sz w:val="28"/>
                <w:szCs w:val="28"/>
                <w:rtl/>
              </w:rPr>
              <w:t xml:space="preserve"> </w:t>
            </w:r>
            <w:r w:rsidRPr="00D200F0">
              <w:rPr>
                <w:rFonts w:cs="FrankRuehl"/>
                <w:sz w:val="28"/>
                <w:szCs w:val="28"/>
                <w:rtl/>
              </w:rPr>
              <w:t>9968-05-16</w:t>
            </w:r>
            <w:r w:rsidRPr="00D200F0">
              <w:rPr>
                <w:rFonts w:cs="FrankRuehl" w:hint="cs"/>
                <w:sz w:val="28"/>
                <w:szCs w:val="28"/>
                <w:rtl/>
              </w:rPr>
              <w:t xml:space="preserve"> </w:t>
            </w:r>
            <w:r w:rsidRPr="00D200F0">
              <w:rPr>
                <w:rFonts w:cs="FrankRuehl"/>
                <w:sz w:val="28"/>
                <w:szCs w:val="28"/>
                <w:rtl/>
              </w:rPr>
              <w:t>מדינת ישראל נ' סמרי</w:t>
            </w:r>
          </w:p>
          <w:p w14:paraId="17857F0F" w14:textId="77777777" w:rsidR="00A547EE" w:rsidRPr="00D200F0" w:rsidRDefault="00A547EE" w:rsidP="00D200F0">
            <w:pPr>
              <w:pStyle w:val="a3"/>
              <w:rPr>
                <w:rFonts w:cs="FrankRuehl"/>
                <w:sz w:val="28"/>
                <w:szCs w:val="28"/>
                <w:rtl/>
              </w:rPr>
            </w:pPr>
          </w:p>
        </w:tc>
        <w:tc>
          <w:tcPr>
            <w:tcW w:w="3667" w:type="dxa"/>
          </w:tcPr>
          <w:p w14:paraId="77680E5B" w14:textId="77777777" w:rsidR="00A547EE" w:rsidRPr="00D200F0" w:rsidRDefault="00A547EE" w:rsidP="00D200F0">
            <w:pPr>
              <w:pStyle w:val="a3"/>
              <w:jc w:val="right"/>
              <w:rPr>
                <w:rFonts w:cs="FrankRuehl"/>
                <w:sz w:val="28"/>
                <w:szCs w:val="28"/>
                <w:rtl/>
              </w:rPr>
            </w:pPr>
          </w:p>
        </w:tc>
      </w:tr>
    </w:tbl>
    <w:p w14:paraId="69C8F612" w14:textId="77777777" w:rsidR="00A547EE" w:rsidRPr="00D200F0" w:rsidRDefault="00A547EE" w:rsidP="00A547EE">
      <w:pPr>
        <w:pStyle w:val="a3"/>
        <w:rPr>
          <w:rtl/>
        </w:rPr>
      </w:pPr>
      <w:r w:rsidRPr="00D200F0">
        <w:rPr>
          <w:rFonts w:hint="cs"/>
          <w:rtl/>
        </w:rPr>
        <w:t xml:space="preserve"> </w:t>
      </w:r>
    </w:p>
    <w:p w14:paraId="5D950CB2" w14:textId="77777777" w:rsidR="00A547EE" w:rsidRPr="00D200F0" w:rsidRDefault="00A547EE" w:rsidP="00A547EE">
      <w:pPr>
        <w:rPr>
          <w:rFonts w:ascii="Arial" w:hAnsi="Arial"/>
          <w:rtl/>
        </w:rPr>
      </w:pPr>
    </w:p>
    <w:p w14:paraId="3A14E1AE" w14:textId="77777777" w:rsidR="00A547EE" w:rsidRPr="00D200F0" w:rsidRDefault="00A547EE" w:rsidP="00A547EE">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A547EE" w:rsidRPr="00D200F0" w14:paraId="6195FDE3" w14:textId="77777777" w:rsidTr="00D200F0">
        <w:trPr>
          <w:gridAfter w:val="1"/>
          <w:wAfter w:w="56" w:type="dxa"/>
        </w:trPr>
        <w:tc>
          <w:tcPr>
            <w:tcW w:w="8718" w:type="dxa"/>
            <w:gridSpan w:val="2"/>
            <w:shd w:val="clear" w:color="auto" w:fill="auto"/>
          </w:tcPr>
          <w:p w14:paraId="4E22A1F5" w14:textId="77777777" w:rsidR="00A547EE" w:rsidRPr="00D200F0" w:rsidRDefault="00A547EE" w:rsidP="00D200F0">
            <w:pPr>
              <w:rPr>
                <w:b/>
                <w:bCs/>
                <w:sz w:val="26"/>
                <w:szCs w:val="26"/>
                <w:rtl/>
              </w:rPr>
            </w:pPr>
            <w:r w:rsidRPr="00D200F0">
              <w:rPr>
                <w:rFonts w:hint="cs"/>
                <w:b/>
                <w:bCs/>
                <w:sz w:val="26"/>
                <w:szCs w:val="26"/>
                <w:rtl/>
              </w:rPr>
              <w:t>לפני כבוד ה</w:t>
            </w:r>
            <w:r w:rsidRPr="00D200F0">
              <w:rPr>
                <w:rFonts w:hint="cs"/>
                <w:rtl/>
              </w:rPr>
              <w:t>שופטת רונית בש</w:t>
            </w:r>
            <w:r w:rsidRPr="00D200F0">
              <w:rPr>
                <w:rStyle w:val="TimesNewRomanTimesNewRoman"/>
                <w:rFonts w:hint="cs"/>
                <w:rtl/>
              </w:rPr>
              <w:t xml:space="preserve"> </w:t>
            </w:r>
          </w:p>
          <w:p w14:paraId="21AC145D" w14:textId="77777777" w:rsidR="00A547EE" w:rsidRPr="00D200F0" w:rsidRDefault="00A547EE" w:rsidP="00D200F0">
            <w:pPr>
              <w:rPr>
                <w:b/>
                <w:bCs/>
                <w:sz w:val="26"/>
                <w:szCs w:val="26"/>
                <w:rtl/>
              </w:rPr>
            </w:pPr>
          </w:p>
        </w:tc>
      </w:tr>
      <w:tr w:rsidR="00A547EE" w:rsidRPr="00D200F0" w14:paraId="3F6022D6" w14:textId="77777777" w:rsidTr="00D200F0">
        <w:trPr>
          <w:cantSplit/>
          <w:trHeight w:val="317"/>
        </w:trPr>
        <w:tc>
          <w:tcPr>
            <w:tcW w:w="2880" w:type="dxa"/>
            <w:shd w:val="clear" w:color="auto" w:fill="auto"/>
          </w:tcPr>
          <w:p w14:paraId="5239DFF4" w14:textId="77777777" w:rsidR="00A547EE" w:rsidRPr="00D200F0" w:rsidRDefault="00A547EE" w:rsidP="00D200F0">
            <w:pPr>
              <w:ind w:left="26"/>
              <w:rPr>
                <w:b/>
                <w:bCs/>
                <w:sz w:val="26"/>
                <w:szCs w:val="26"/>
                <w:rtl/>
              </w:rPr>
            </w:pPr>
            <w:bookmarkStart w:id="1" w:name="FirstAppellant"/>
            <w:r w:rsidRPr="00D200F0">
              <w:rPr>
                <w:rFonts w:hint="cs"/>
                <w:b/>
                <w:bCs/>
                <w:sz w:val="26"/>
                <w:szCs w:val="26"/>
                <w:rtl/>
              </w:rPr>
              <w:t xml:space="preserve">המאשימה: </w:t>
            </w:r>
          </w:p>
        </w:tc>
        <w:tc>
          <w:tcPr>
            <w:tcW w:w="5922" w:type="dxa"/>
            <w:gridSpan w:val="2"/>
            <w:shd w:val="clear" w:color="auto" w:fill="auto"/>
          </w:tcPr>
          <w:p w14:paraId="11518276" w14:textId="77777777" w:rsidR="00A547EE" w:rsidRPr="00D200F0" w:rsidRDefault="00A547EE" w:rsidP="00D200F0">
            <w:pPr>
              <w:rPr>
                <w:b/>
                <w:bCs/>
                <w:sz w:val="26"/>
                <w:szCs w:val="26"/>
                <w:rtl/>
              </w:rPr>
            </w:pPr>
            <w:r w:rsidRPr="00D200F0">
              <w:rPr>
                <w:rFonts w:hint="cs"/>
                <w:rtl/>
              </w:rPr>
              <w:t>מדינת ישראל</w:t>
            </w:r>
          </w:p>
          <w:p w14:paraId="7F06B524" w14:textId="77777777" w:rsidR="00A547EE" w:rsidRPr="00D200F0" w:rsidRDefault="00A547EE" w:rsidP="00D200F0">
            <w:pPr>
              <w:rPr>
                <w:b/>
                <w:bCs/>
                <w:sz w:val="26"/>
                <w:szCs w:val="26"/>
                <w:rtl/>
              </w:rPr>
            </w:pPr>
          </w:p>
        </w:tc>
      </w:tr>
      <w:bookmarkEnd w:id="1"/>
      <w:tr w:rsidR="00A547EE" w:rsidRPr="00D200F0" w14:paraId="0CA024B6" w14:textId="77777777" w:rsidTr="00D200F0">
        <w:tc>
          <w:tcPr>
            <w:tcW w:w="8802" w:type="dxa"/>
            <w:gridSpan w:val="3"/>
            <w:shd w:val="clear" w:color="auto" w:fill="auto"/>
            <w:vAlign w:val="center"/>
          </w:tcPr>
          <w:p w14:paraId="66252FDA" w14:textId="77777777" w:rsidR="00A547EE" w:rsidRPr="00D200F0" w:rsidRDefault="00A547EE" w:rsidP="00D200F0">
            <w:pPr>
              <w:jc w:val="center"/>
              <w:rPr>
                <w:rFonts w:ascii="Arial" w:hAnsi="Arial"/>
                <w:b/>
                <w:bCs/>
                <w:sz w:val="26"/>
                <w:szCs w:val="26"/>
                <w:rtl/>
              </w:rPr>
            </w:pPr>
          </w:p>
          <w:p w14:paraId="3BA99C4E" w14:textId="77777777" w:rsidR="00A547EE" w:rsidRPr="00D200F0" w:rsidRDefault="00A547EE" w:rsidP="00D200F0">
            <w:pPr>
              <w:jc w:val="center"/>
              <w:rPr>
                <w:rFonts w:ascii="Arial" w:hAnsi="Arial"/>
                <w:b/>
                <w:bCs/>
                <w:sz w:val="26"/>
                <w:szCs w:val="26"/>
                <w:rtl/>
              </w:rPr>
            </w:pPr>
            <w:r w:rsidRPr="00D200F0">
              <w:rPr>
                <w:rFonts w:ascii="Arial" w:hAnsi="Arial" w:hint="cs"/>
                <w:b/>
                <w:bCs/>
                <w:sz w:val="26"/>
                <w:szCs w:val="26"/>
                <w:rtl/>
              </w:rPr>
              <w:t>נגד</w:t>
            </w:r>
          </w:p>
          <w:p w14:paraId="74DE3B91" w14:textId="77777777" w:rsidR="00A547EE" w:rsidRPr="00D200F0" w:rsidRDefault="00A547EE" w:rsidP="00D200F0">
            <w:pPr>
              <w:rPr>
                <w:rFonts w:ascii="Arial" w:hAnsi="Arial"/>
                <w:b/>
                <w:bCs/>
                <w:sz w:val="26"/>
                <w:szCs w:val="26"/>
                <w:rtl/>
              </w:rPr>
            </w:pPr>
          </w:p>
        </w:tc>
      </w:tr>
      <w:tr w:rsidR="00A547EE" w:rsidRPr="00D200F0" w14:paraId="61D45A13" w14:textId="77777777" w:rsidTr="00D200F0">
        <w:tc>
          <w:tcPr>
            <w:tcW w:w="2880" w:type="dxa"/>
            <w:shd w:val="clear" w:color="auto" w:fill="auto"/>
          </w:tcPr>
          <w:p w14:paraId="76AD177B" w14:textId="77777777" w:rsidR="00A547EE" w:rsidRPr="00D200F0" w:rsidRDefault="00A547EE" w:rsidP="00D200F0">
            <w:pPr>
              <w:ind w:left="26"/>
              <w:rPr>
                <w:b/>
                <w:bCs/>
                <w:sz w:val="26"/>
                <w:szCs w:val="26"/>
              </w:rPr>
            </w:pPr>
            <w:r w:rsidRPr="00D200F0">
              <w:rPr>
                <w:rFonts w:hint="cs"/>
                <w:b/>
                <w:bCs/>
                <w:sz w:val="26"/>
                <w:szCs w:val="26"/>
                <w:rtl/>
              </w:rPr>
              <w:t>הנאשם:</w:t>
            </w:r>
          </w:p>
        </w:tc>
        <w:tc>
          <w:tcPr>
            <w:tcW w:w="5922" w:type="dxa"/>
            <w:gridSpan w:val="2"/>
            <w:shd w:val="clear" w:color="auto" w:fill="auto"/>
          </w:tcPr>
          <w:p w14:paraId="696AC0D1" w14:textId="77777777" w:rsidR="00A547EE" w:rsidRPr="00D200F0" w:rsidRDefault="00A547EE" w:rsidP="00D200F0">
            <w:pPr>
              <w:rPr>
                <w:b/>
                <w:bCs/>
                <w:sz w:val="26"/>
                <w:szCs w:val="26"/>
              </w:rPr>
            </w:pPr>
            <w:r w:rsidRPr="00D200F0">
              <w:rPr>
                <w:rFonts w:hint="cs"/>
                <w:rtl/>
              </w:rPr>
              <w:t xml:space="preserve">אחמד סמרי ת.ז. </w:t>
            </w:r>
            <w:r w:rsidR="00D200F0">
              <w:t>xxxxxxxxx</w:t>
            </w:r>
          </w:p>
          <w:p w14:paraId="3F740AEF" w14:textId="77777777" w:rsidR="00A547EE" w:rsidRPr="00D200F0" w:rsidRDefault="00A547EE" w:rsidP="00D200F0">
            <w:pPr>
              <w:rPr>
                <w:b/>
                <w:bCs/>
                <w:sz w:val="26"/>
                <w:szCs w:val="26"/>
                <w:rtl/>
              </w:rPr>
            </w:pPr>
          </w:p>
        </w:tc>
      </w:tr>
    </w:tbl>
    <w:p w14:paraId="2A907048" w14:textId="77777777" w:rsidR="0061736F" w:rsidRDefault="0061736F" w:rsidP="00A547EE">
      <w:pPr>
        <w:spacing w:line="360" w:lineRule="auto"/>
        <w:jc w:val="both"/>
        <w:rPr>
          <w:rFonts w:ascii="David" w:hAnsi="David"/>
          <w:sz w:val="6"/>
          <w:szCs w:val="6"/>
          <w:rtl/>
        </w:rPr>
      </w:pPr>
      <w:bookmarkStart w:id="2" w:name="LawTable"/>
      <w:bookmarkEnd w:id="2"/>
    </w:p>
    <w:p w14:paraId="02304AC8" w14:textId="77777777" w:rsidR="0061736F" w:rsidRPr="0061736F" w:rsidRDefault="0061736F" w:rsidP="0061736F">
      <w:pPr>
        <w:spacing w:after="120" w:line="240" w:lineRule="exact"/>
        <w:ind w:left="283" w:hanging="283"/>
        <w:jc w:val="both"/>
        <w:rPr>
          <w:rFonts w:ascii="FrankRuehl" w:hAnsi="FrankRuehl" w:cs="FrankRuehl"/>
          <w:rtl/>
        </w:rPr>
      </w:pPr>
    </w:p>
    <w:p w14:paraId="11B19F38" w14:textId="77777777" w:rsidR="0061736F" w:rsidRPr="0061736F" w:rsidRDefault="0061736F" w:rsidP="0061736F">
      <w:pPr>
        <w:spacing w:after="120" w:line="240" w:lineRule="exact"/>
        <w:ind w:left="283" w:hanging="283"/>
        <w:jc w:val="both"/>
        <w:rPr>
          <w:rFonts w:ascii="FrankRuehl" w:hAnsi="FrankRuehl" w:cs="FrankRuehl"/>
          <w:rtl/>
        </w:rPr>
      </w:pPr>
      <w:r w:rsidRPr="0061736F">
        <w:rPr>
          <w:rFonts w:ascii="FrankRuehl" w:hAnsi="FrankRuehl" w:cs="FrankRuehl"/>
          <w:rtl/>
        </w:rPr>
        <w:t xml:space="preserve">חקיקה שאוזכרה: </w:t>
      </w:r>
    </w:p>
    <w:p w14:paraId="6635E28A" w14:textId="77777777" w:rsidR="0061736F" w:rsidRPr="0061736F" w:rsidRDefault="0061736F" w:rsidP="0061736F">
      <w:pPr>
        <w:spacing w:after="120" w:line="240" w:lineRule="exact"/>
        <w:ind w:left="283" w:hanging="283"/>
        <w:jc w:val="both"/>
        <w:rPr>
          <w:rFonts w:ascii="FrankRuehl" w:hAnsi="FrankRuehl" w:cs="FrankRuehl"/>
          <w:rtl/>
        </w:rPr>
      </w:pPr>
      <w:hyperlink r:id="rId7" w:history="1">
        <w:r w:rsidRPr="0061736F">
          <w:rPr>
            <w:rFonts w:ascii="FrankRuehl" w:hAnsi="FrankRuehl" w:cs="FrankRuehl"/>
            <w:color w:val="0000FF"/>
            <w:u w:val="single"/>
            <w:rtl/>
          </w:rPr>
          <w:t>חוק העונשין, תשל"ז-1977</w:t>
        </w:r>
      </w:hyperlink>
      <w:r w:rsidRPr="0061736F">
        <w:rPr>
          <w:rFonts w:ascii="FrankRuehl" w:hAnsi="FrankRuehl" w:cs="FrankRuehl"/>
          <w:rtl/>
        </w:rPr>
        <w:t xml:space="preserve">: סע'  </w:t>
      </w:r>
      <w:hyperlink r:id="rId8" w:history="1">
        <w:r w:rsidRPr="0061736F">
          <w:rPr>
            <w:rFonts w:ascii="FrankRuehl" w:hAnsi="FrankRuehl" w:cs="FrankRuehl"/>
            <w:color w:val="0000FF"/>
            <w:u w:val="single"/>
            <w:rtl/>
          </w:rPr>
          <w:t>40 ב</w:t>
        </w:r>
      </w:hyperlink>
      <w:r w:rsidRPr="0061736F">
        <w:rPr>
          <w:rFonts w:ascii="FrankRuehl" w:hAnsi="FrankRuehl" w:cs="FrankRuehl"/>
          <w:rtl/>
        </w:rPr>
        <w:t xml:space="preserve">, </w:t>
      </w:r>
      <w:hyperlink r:id="rId9" w:history="1">
        <w:r w:rsidRPr="0061736F">
          <w:rPr>
            <w:rFonts w:ascii="FrankRuehl" w:hAnsi="FrankRuehl" w:cs="FrankRuehl"/>
            <w:color w:val="0000FF"/>
            <w:u w:val="single"/>
            <w:rtl/>
          </w:rPr>
          <w:t>40 ג</w:t>
        </w:r>
      </w:hyperlink>
      <w:r w:rsidRPr="0061736F">
        <w:rPr>
          <w:rFonts w:ascii="FrankRuehl" w:hAnsi="FrankRuehl" w:cs="FrankRuehl"/>
          <w:rtl/>
        </w:rPr>
        <w:t xml:space="preserve">, </w:t>
      </w:r>
      <w:hyperlink r:id="rId10" w:history="1">
        <w:r w:rsidRPr="0061736F">
          <w:rPr>
            <w:rFonts w:ascii="FrankRuehl" w:hAnsi="FrankRuehl" w:cs="FrankRuehl"/>
            <w:color w:val="0000FF"/>
            <w:u w:val="single"/>
            <w:rtl/>
          </w:rPr>
          <w:t>40 ט</w:t>
        </w:r>
      </w:hyperlink>
      <w:r w:rsidRPr="0061736F">
        <w:rPr>
          <w:rFonts w:ascii="FrankRuehl" w:hAnsi="FrankRuehl" w:cs="FrankRuehl"/>
          <w:rtl/>
        </w:rPr>
        <w:t xml:space="preserve">, </w:t>
      </w:r>
      <w:hyperlink r:id="rId11" w:history="1">
        <w:r w:rsidRPr="0061736F">
          <w:rPr>
            <w:rFonts w:ascii="FrankRuehl" w:hAnsi="FrankRuehl" w:cs="FrankRuehl"/>
            <w:color w:val="0000FF"/>
            <w:u w:val="single"/>
            <w:rtl/>
          </w:rPr>
          <w:t>144</w:t>
        </w:r>
      </w:hyperlink>
      <w:r w:rsidRPr="0061736F">
        <w:rPr>
          <w:rFonts w:ascii="FrankRuehl" w:hAnsi="FrankRuehl" w:cs="FrankRuehl"/>
          <w:rtl/>
        </w:rPr>
        <w:t xml:space="preserve">, </w:t>
      </w:r>
      <w:hyperlink r:id="rId12" w:history="1">
        <w:r w:rsidRPr="0061736F">
          <w:rPr>
            <w:rFonts w:ascii="FrankRuehl" w:hAnsi="FrankRuehl" w:cs="FrankRuehl"/>
            <w:color w:val="0000FF"/>
            <w:u w:val="single"/>
            <w:rtl/>
          </w:rPr>
          <w:t>144(א)</w:t>
        </w:r>
      </w:hyperlink>
      <w:r w:rsidRPr="0061736F">
        <w:rPr>
          <w:rFonts w:ascii="FrankRuehl" w:hAnsi="FrankRuehl" w:cs="FrankRuehl"/>
          <w:rtl/>
        </w:rPr>
        <w:t xml:space="preserve">, </w:t>
      </w:r>
      <w:hyperlink r:id="rId13" w:history="1">
        <w:r w:rsidRPr="0061736F">
          <w:rPr>
            <w:rFonts w:ascii="FrankRuehl" w:hAnsi="FrankRuehl" w:cs="FrankRuehl"/>
            <w:color w:val="0000FF"/>
            <w:u w:val="single"/>
            <w:rtl/>
          </w:rPr>
          <w:t>(ב)</w:t>
        </w:r>
      </w:hyperlink>
      <w:r w:rsidRPr="0061736F">
        <w:rPr>
          <w:rFonts w:ascii="FrankRuehl" w:hAnsi="FrankRuehl" w:cs="FrankRuehl"/>
          <w:rtl/>
        </w:rPr>
        <w:t xml:space="preserve">, </w:t>
      </w:r>
      <w:hyperlink r:id="rId14" w:history="1">
        <w:r w:rsidRPr="0061736F">
          <w:rPr>
            <w:rFonts w:ascii="FrankRuehl" w:hAnsi="FrankRuehl" w:cs="FrankRuehl"/>
            <w:color w:val="0000FF"/>
            <w:u w:val="single"/>
            <w:rtl/>
          </w:rPr>
          <w:t>40 יא</w:t>
        </w:r>
      </w:hyperlink>
    </w:p>
    <w:p w14:paraId="3C40A5A5" w14:textId="77777777" w:rsidR="0061736F" w:rsidRPr="0061736F" w:rsidRDefault="0061736F" w:rsidP="0061736F">
      <w:pPr>
        <w:spacing w:after="120" w:line="240" w:lineRule="exact"/>
        <w:ind w:left="283" w:hanging="283"/>
        <w:jc w:val="both"/>
        <w:rPr>
          <w:rFonts w:ascii="FrankRuehl" w:hAnsi="FrankRuehl" w:cs="FrankRuehl"/>
          <w:rtl/>
        </w:rPr>
      </w:pPr>
    </w:p>
    <w:p w14:paraId="171F78CB" w14:textId="77777777" w:rsidR="0061736F" w:rsidRPr="0061736F" w:rsidRDefault="0061736F" w:rsidP="00A547EE">
      <w:pPr>
        <w:spacing w:line="360" w:lineRule="auto"/>
        <w:jc w:val="both"/>
        <w:rPr>
          <w:rFonts w:ascii="David" w:hAnsi="David"/>
          <w:sz w:val="6"/>
          <w:szCs w:val="6"/>
          <w:rtl/>
        </w:rPr>
      </w:pPr>
      <w:bookmarkStart w:id="3" w:name="LawTable_End"/>
      <w:bookmarkEnd w:id="3"/>
    </w:p>
    <w:p w14:paraId="2D69D306" w14:textId="77777777" w:rsidR="0061736F" w:rsidRPr="0061736F" w:rsidRDefault="0061736F" w:rsidP="00A547EE">
      <w:pPr>
        <w:spacing w:line="360" w:lineRule="auto"/>
        <w:jc w:val="both"/>
        <w:rPr>
          <w:rFonts w:ascii="David" w:hAnsi="David"/>
          <w:sz w:val="6"/>
          <w:szCs w:val="6"/>
          <w:rtl/>
        </w:rPr>
      </w:pPr>
    </w:p>
    <w:p w14:paraId="4FD14766" w14:textId="77777777" w:rsidR="00A547EE" w:rsidRPr="0061736F" w:rsidRDefault="00A547EE" w:rsidP="00A547EE">
      <w:pPr>
        <w:spacing w:line="360" w:lineRule="auto"/>
        <w:jc w:val="both"/>
        <w:rPr>
          <w:rFonts w:ascii="David" w:hAnsi="David"/>
          <w:sz w:val="6"/>
          <w:szCs w:val="6"/>
          <w:rtl/>
        </w:rPr>
      </w:pPr>
    </w:p>
    <w:p w14:paraId="2AACF311" w14:textId="77777777" w:rsidR="00A547EE" w:rsidRPr="00D200F0" w:rsidRDefault="00A547EE" w:rsidP="00A547E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47EE" w14:paraId="78B9670F" w14:textId="77777777" w:rsidTr="00D200F0">
        <w:trPr>
          <w:trHeight w:val="355"/>
          <w:jc w:val="center"/>
        </w:trPr>
        <w:tc>
          <w:tcPr>
            <w:tcW w:w="8820" w:type="dxa"/>
            <w:tcBorders>
              <w:top w:val="nil"/>
              <w:left w:val="nil"/>
              <w:bottom w:val="nil"/>
              <w:right w:val="nil"/>
            </w:tcBorders>
            <w:shd w:val="clear" w:color="auto" w:fill="auto"/>
          </w:tcPr>
          <w:p w14:paraId="47F592F1" w14:textId="77777777" w:rsidR="00D200F0" w:rsidRPr="00D200F0" w:rsidRDefault="00D200F0" w:rsidP="00D200F0">
            <w:pPr>
              <w:jc w:val="center"/>
              <w:rPr>
                <w:rFonts w:ascii="Arial" w:hAnsi="Arial" w:cs="FrankRuehl"/>
                <w:b/>
                <w:bCs/>
                <w:sz w:val="32"/>
                <w:szCs w:val="32"/>
                <w:u w:val="single"/>
                <w:rtl/>
              </w:rPr>
            </w:pPr>
            <w:bookmarkStart w:id="4" w:name="PsakDin" w:colFirst="0" w:colLast="0"/>
            <w:bookmarkEnd w:id="0"/>
            <w:r w:rsidRPr="00D200F0">
              <w:rPr>
                <w:rFonts w:ascii="Arial" w:hAnsi="Arial" w:cs="FrankRuehl"/>
                <w:b/>
                <w:bCs/>
                <w:sz w:val="32"/>
                <w:szCs w:val="32"/>
                <w:u w:val="single"/>
                <w:rtl/>
              </w:rPr>
              <w:t>גזר דין</w:t>
            </w:r>
          </w:p>
          <w:p w14:paraId="3312F122" w14:textId="77777777" w:rsidR="00A547EE" w:rsidRPr="00D200F0" w:rsidRDefault="00A547EE" w:rsidP="00D200F0">
            <w:pPr>
              <w:jc w:val="center"/>
              <w:rPr>
                <w:rFonts w:ascii="Arial" w:hAnsi="Arial" w:cs="FrankRuehl"/>
                <w:bCs/>
                <w:sz w:val="32"/>
                <w:szCs w:val="32"/>
                <w:u w:val="single"/>
                <w:rtl/>
              </w:rPr>
            </w:pPr>
          </w:p>
        </w:tc>
      </w:tr>
      <w:bookmarkEnd w:id="4"/>
    </w:tbl>
    <w:p w14:paraId="7BB3B61D" w14:textId="77777777" w:rsidR="00A547EE" w:rsidRDefault="00A547EE" w:rsidP="00A547EE">
      <w:pPr>
        <w:spacing w:line="360" w:lineRule="auto"/>
        <w:rPr>
          <w:rFonts w:ascii="Arial" w:hAnsi="Arial"/>
          <w:rtl/>
        </w:rPr>
      </w:pPr>
    </w:p>
    <w:p w14:paraId="385E668E" w14:textId="77777777" w:rsidR="00A547EE" w:rsidRPr="00500E69" w:rsidRDefault="00A547EE" w:rsidP="00A547EE">
      <w:pPr>
        <w:spacing w:line="360" w:lineRule="auto"/>
        <w:jc w:val="both"/>
        <w:rPr>
          <w:rFonts w:ascii="Arial" w:hAnsi="Arial" w:cs="Miriam"/>
          <w:rtl/>
        </w:rPr>
      </w:pPr>
      <w:r>
        <w:rPr>
          <w:rFonts w:ascii="Arial" w:hAnsi="Arial" w:hint="cs"/>
          <w:rtl/>
        </w:rPr>
        <w:t>1.</w:t>
      </w:r>
      <w:r>
        <w:rPr>
          <w:rFonts w:ascii="Arial" w:hAnsi="Arial"/>
          <w:rtl/>
        </w:rPr>
        <w:tab/>
      </w:r>
      <w:r w:rsidRPr="00C11BC6">
        <w:rPr>
          <w:rFonts w:ascii="Arial" w:hAnsi="Arial"/>
          <w:rtl/>
        </w:rPr>
        <w:t xml:space="preserve">בדיון בפניי ביום 9/6/16 </w:t>
      </w:r>
      <w:r>
        <w:rPr>
          <w:rFonts w:ascii="Arial" w:hAnsi="Arial" w:hint="cs"/>
          <w:rtl/>
        </w:rPr>
        <w:t xml:space="preserve">הודה הנאשם בעובדות כתב האישום בתיק זה ובד בבד הורשע בעבירה של החזקת ונשיאת נשק, עבירה לפי </w:t>
      </w:r>
      <w:hyperlink r:id="rId15" w:history="1">
        <w:r w:rsidR="003E6847" w:rsidRPr="003E6847">
          <w:rPr>
            <w:rFonts w:ascii="Arial" w:hAnsi="Arial"/>
            <w:color w:val="0000FF"/>
            <w:u w:val="single"/>
            <w:rtl/>
          </w:rPr>
          <w:t>סעיף 144(א)</w:t>
        </w:r>
      </w:hyperlink>
      <w:r>
        <w:rPr>
          <w:rFonts w:ascii="Arial" w:hAnsi="Arial" w:hint="cs"/>
          <w:rtl/>
        </w:rPr>
        <w:t xml:space="preserve"> ו</w:t>
      </w:r>
      <w:hyperlink r:id="rId16" w:history="1">
        <w:r w:rsidR="003E6847" w:rsidRPr="003E6847">
          <w:rPr>
            <w:rStyle w:val="Hyperlink"/>
            <w:rFonts w:ascii="Arial" w:hAnsi="Arial"/>
            <w:rtl/>
          </w:rPr>
          <w:t>(ב)</w:t>
        </w:r>
      </w:hyperlink>
      <w:r>
        <w:rPr>
          <w:rFonts w:ascii="Arial" w:hAnsi="Arial" w:hint="cs"/>
          <w:rtl/>
        </w:rPr>
        <w:t xml:space="preserve"> ל</w:t>
      </w:r>
      <w:hyperlink r:id="rId17" w:history="1">
        <w:r w:rsidR="00D200F0" w:rsidRPr="00D200F0">
          <w:rPr>
            <w:rFonts w:ascii="Arial" w:hAnsi="Arial"/>
            <w:color w:val="0000FF"/>
            <w:u w:val="single"/>
            <w:rtl/>
          </w:rPr>
          <w:t>חוק העונשין</w:t>
        </w:r>
      </w:hyperlink>
      <w:r>
        <w:rPr>
          <w:rFonts w:ascii="Arial" w:hAnsi="Arial" w:hint="cs"/>
          <w:rtl/>
        </w:rPr>
        <w:t xml:space="preserve">, התשל"ז-1977 (להלן: </w:t>
      </w:r>
      <w:r w:rsidRPr="00500E69">
        <w:rPr>
          <w:rFonts w:ascii="Arial" w:hAnsi="Arial" w:cs="Miriam" w:hint="cs"/>
          <w:rtl/>
        </w:rPr>
        <w:t>חוק העונש</w:t>
      </w:r>
      <w:r>
        <w:rPr>
          <w:rFonts w:ascii="Arial" w:hAnsi="Arial" w:cs="Miriam" w:hint="cs"/>
          <w:rtl/>
        </w:rPr>
        <w:t>י</w:t>
      </w:r>
      <w:r w:rsidRPr="00500E69">
        <w:rPr>
          <w:rFonts w:ascii="Arial" w:hAnsi="Arial" w:cs="Miriam" w:hint="cs"/>
          <w:rtl/>
        </w:rPr>
        <w:t>ן</w:t>
      </w:r>
      <w:r>
        <w:rPr>
          <w:rFonts w:ascii="Arial" w:hAnsi="Arial" w:hint="cs"/>
          <w:rtl/>
        </w:rPr>
        <w:t>). כאן יצוין, כי הנאשם, במסגרת תשובתו לכתב האישום,  הוסיף וטען, באמצעות בא כוחו, בדיון הנ"ל,  כי נשא את הנשק לפרק זמן קצר, וכן כי מטרת ביצוע העבירה הייתה לצורך ירי מספר ימים לאחר מכן בחתונת חברו הטוב. עוד נטען ע"י ההגנה, כי הנאשם הסגיר את הנשק, כעולה מכתב האישום, וכן כי הנאשם לא פתח את התיק ובו הנשק ולא נגע בנשק, מה גם שאין ראיות המוכיחות מגע של הנאשם בנשק. ב"כ המאשימה, בתגובה לטענות הנ"ל,  אישרה כי הנאשם אכן טען בחקירתו במשטרה כי הנשק הוחזק לצורך ירי בחתונה, אולם הבהירה כי אינה מקבלת את הטענה הנ"ל. עוד ציינה ב"כ המאשימה כי אין לה אינדיקציה בדבר המרחק בין הבית ממנו נשא הנאשם את הנשק לבית אליו הגיע עם הנשק, אף כי מדובר בבתים המצויים באותו כפר. באשר לאי פתיחת התיק ע"י הנאשם, טענה ב"כ המאשימה כי הראיות בעניין זה אינן חד-משמעיות. לבקשת הנאשם, הוריתי, במסגרת הדיון במועד הנ"ל, בדבר קבלת תסקיר שרות המבחן בעניינו. כעת לאחר קבלת התסקיר והשלמת הליך הטיעונים לעונש, כל שנותר הוא לגזור את דינו של הנאשם.</w:t>
      </w:r>
      <w:r w:rsidRPr="00EB7551">
        <w:rPr>
          <w:rFonts w:ascii="Arial" w:hAnsi="Arial" w:hint="cs"/>
          <w:rtl/>
        </w:rPr>
        <w:t xml:space="preserve"> </w:t>
      </w:r>
    </w:p>
    <w:p w14:paraId="18911E58" w14:textId="77777777" w:rsidR="00A547EE" w:rsidRPr="00500E69" w:rsidRDefault="00A547EE" w:rsidP="00A547EE">
      <w:pPr>
        <w:rPr>
          <w:rFonts w:ascii="Arial" w:hAnsi="Arial"/>
          <w:rtl/>
        </w:rPr>
      </w:pPr>
    </w:p>
    <w:p w14:paraId="1245D7C2" w14:textId="77777777" w:rsidR="00A547EE" w:rsidRDefault="00A547EE" w:rsidP="00A547EE">
      <w:pPr>
        <w:rPr>
          <w:rFonts w:cs="Miriam"/>
          <w:rtl/>
        </w:rPr>
      </w:pPr>
      <w:r w:rsidRPr="007D1740">
        <w:rPr>
          <w:rFonts w:cs="Miriam" w:hint="cs"/>
          <w:rtl/>
        </w:rPr>
        <w:t>האישום</w:t>
      </w:r>
    </w:p>
    <w:p w14:paraId="1C72F363" w14:textId="77777777" w:rsidR="00A547EE" w:rsidRPr="007D1740" w:rsidRDefault="00A547EE" w:rsidP="00A547EE">
      <w:pPr>
        <w:rPr>
          <w:rFonts w:cs="Miriam"/>
          <w:rtl/>
        </w:rPr>
      </w:pPr>
    </w:p>
    <w:p w14:paraId="00EFE281" w14:textId="77777777" w:rsidR="00A547EE" w:rsidRDefault="00A547EE" w:rsidP="00A547EE">
      <w:pPr>
        <w:rPr>
          <w:rtl/>
        </w:rPr>
      </w:pPr>
    </w:p>
    <w:p w14:paraId="0DD1118F" w14:textId="77777777" w:rsidR="00A547EE" w:rsidRDefault="00A547EE" w:rsidP="00A547EE">
      <w:pPr>
        <w:spacing w:line="360" w:lineRule="auto"/>
        <w:jc w:val="both"/>
        <w:rPr>
          <w:rtl/>
        </w:rPr>
      </w:pPr>
      <w:r>
        <w:rPr>
          <w:rFonts w:hint="cs"/>
          <w:rtl/>
        </w:rPr>
        <w:lastRenderedPageBreak/>
        <w:t>2.</w:t>
      </w:r>
      <w:r>
        <w:rPr>
          <w:rFonts w:hint="cs"/>
          <w:rtl/>
        </w:rPr>
        <w:tab/>
        <w:t xml:space="preserve">בעובדות כתב האישום נטען כי מהדי בסל (להלן: </w:t>
      </w:r>
      <w:r w:rsidRPr="00FE3CBA">
        <w:rPr>
          <w:rFonts w:cs="Miriam" w:hint="cs"/>
          <w:rtl/>
        </w:rPr>
        <w:t>מהדי</w:t>
      </w:r>
      <w:r>
        <w:rPr>
          <w:rFonts w:hint="cs"/>
          <w:rtl/>
        </w:rPr>
        <w:t xml:space="preserve">), תושב ג'דיידה, הוא קרוב משפחתם של הנאשם ושל סמיר בסל (להלן: </w:t>
      </w:r>
      <w:r w:rsidRPr="007B23D9">
        <w:rPr>
          <w:rFonts w:cs="Miriam" w:hint="cs"/>
          <w:rtl/>
        </w:rPr>
        <w:t>סמיר</w:t>
      </w:r>
      <w:r>
        <w:rPr>
          <w:rFonts w:hint="cs"/>
          <w:rtl/>
        </w:rPr>
        <w:t xml:space="preserve">), המתגוררים אף הם בג'דיידה. </w:t>
      </w:r>
      <w:bookmarkStart w:id="5" w:name="ABSTRACT_START"/>
      <w:bookmarkEnd w:id="5"/>
      <w:r>
        <w:rPr>
          <w:rFonts w:hint="cs"/>
          <w:rtl/>
        </w:rPr>
        <w:t xml:space="preserve">במועד מדויק שאינו ידוע למאשימה, במחצית הראשונה של חודש אפריל 2016, רכש מהדי, בלא רשות על פי דין, בברטעה, תת מקלע מאולתר עליו מוטבע המספר 41814  ומחסנית לתת המקלע, בסכום של 7,300 ₪. תת המקלע הוא כלי שסוגל לירות כדור שבכוחו להמית אדם, והמחסנית היא אביזר של כלי זה. </w:t>
      </w:r>
      <w:bookmarkStart w:id="6" w:name="ABSTRACT_END"/>
      <w:bookmarkEnd w:id="6"/>
      <w:r>
        <w:rPr>
          <w:rFonts w:hint="cs"/>
          <w:rtl/>
        </w:rPr>
        <w:t xml:space="preserve">לאחר רכישת תת המקלע, הגיע מהדי לשכונת מגוריו בג'דיידה כשברשותו  תת המקלע והמחסנית. בשלב זה, יצר מהדי קשר עם סמיר, וביקש ממנו כי יקח את תת המקלע לחזקתו ויחביא אותו. בהמשך, הגיע סמיר לשכונה, לקח ממהדי את תת המקלע והמחסנית , והובילם למקום מסתור, שם החזיק בהם כשבוע, כל זאת בלא רשות על פי דין. ביום 19.4.16, או קודם לכן, פנה הנאשם למהדי, ביודעו כי רכש את תת המקלע, וביקש ממנו לקבל את תת המקלע לחזקתו. מהדי הסכים, והודיע לנאשם שעליו לקחת  את תת המקלע מסמיר. ביום 19.4.16 פנה מהדי לסמיר וביקש ממנו להעביר את תת המקלע לנאשם. בהמשך לכך, הגיע הנאשם סמוך לביתו של סמיר, שם העביר לו האחרון, בתיאום עם מהדי, את תת המקלע והמחסנית, בלא רשות על פי דין. לאחר שהנאשם קבל לידיו את תת המקלע והמחסנית, הוא הובילם לגג בית חברו אחסאן דיב (להלן: </w:t>
      </w:r>
      <w:r w:rsidRPr="007B23D9">
        <w:rPr>
          <w:rFonts w:cs="Miriam" w:hint="cs"/>
          <w:rtl/>
        </w:rPr>
        <w:t>מקום המסתור</w:t>
      </w:r>
      <w:r>
        <w:rPr>
          <w:rFonts w:hint="cs"/>
          <w:rtl/>
        </w:rPr>
        <w:t>), שם החזיק בהם, בהיחבא, בתוך תיק, כל זאת בלא רשות על פי דין. בתאריך 22.4.16 הוביל הנאשם את כוחות הביטחון למקום המסתור, שם נמצא תת המקלע, כשהמחסנית בתוכו.</w:t>
      </w:r>
    </w:p>
    <w:p w14:paraId="289B5240" w14:textId="77777777" w:rsidR="00A547EE" w:rsidRDefault="00A547EE" w:rsidP="00A547EE">
      <w:pPr>
        <w:spacing w:line="360" w:lineRule="auto"/>
        <w:rPr>
          <w:rtl/>
        </w:rPr>
      </w:pPr>
    </w:p>
    <w:p w14:paraId="69AF222C" w14:textId="77777777" w:rsidR="00A547EE" w:rsidRDefault="00A547EE" w:rsidP="00A547EE">
      <w:pPr>
        <w:spacing w:line="360" w:lineRule="auto"/>
        <w:rPr>
          <w:rtl/>
        </w:rPr>
      </w:pPr>
    </w:p>
    <w:p w14:paraId="7EBEEE06" w14:textId="77777777" w:rsidR="00A547EE" w:rsidRDefault="00A547EE" w:rsidP="00A547EE">
      <w:pPr>
        <w:spacing w:line="360" w:lineRule="auto"/>
        <w:rPr>
          <w:rFonts w:cs="Miriam"/>
          <w:rtl/>
        </w:rPr>
      </w:pPr>
      <w:r w:rsidRPr="00051E92">
        <w:rPr>
          <w:rFonts w:cs="Miriam" w:hint="cs"/>
          <w:rtl/>
        </w:rPr>
        <w:t>תסקיר שירות המבחן</w:t>
      </w:r>
    </w:p>
    <w:p w14:paraId="7DBE643F" w14:textId="77777777" w:rsidR="00A547EE" w:rsidRPr="00051E92" w:rsidRDefault="00A547EE" w:rsidP="00A547EE">
      <w:pPr>
        <w:spacing w:line="360" w:lineRule="auto"/>
        <w:rPr>
          <w:rFonts w:cs="Miriam"/>
          <w:rtl/>
        </w:rPr>
      </w:pPr>
    </w:p>
    <w:p w14:paraId="0C18BFB3" w14:textId="77777777" w:rsidR="00A547EE" w:rsidRDefault="00A547EE" w:rsidP="00A547EE">
      <w:pPr>
        <w:spacing w:line="360" w:lineRule="auto"/>
        <w:jc w:val="both"/>
        <w:rPr>
          <w:rtl/>
        </w:rPr>
      </w:pPr>
      <w:r>
        <w:rPr>
          <w:rFonts w:hint="cs"/>
          <w:rtl/>
        </w:rPr>
        <w:t>3.</w:t>
      </w:r>
      <w:r>
        <w:rPr>
          <w:rFonts w:hint="cs"/>
          <w:rtl/>
        </w:rPr>
        <w:tab/>
        <w:t>מתסקיר שירות המבחן, שהוגש אודות הנאשם, עולה כי הלה בן 27, רווק, תושב ג'דיידה. משפחת מוצאו של הנאשם מונה אם חד-הורית ו- 10 אחים ואחיות. מדברי הנאשם עולה, כי הוא סובל מנכות מולדת בידו, אך לא הוצגו אישורים על כך בפני שירות המבחן.</w:t>
      </w:r>
    </w:p>
    <w:p w14:paraId="2C7EDE6A" w14:textId="77777777" w:rsidR="00A547EE" w:rsidRDefault="00A547EE" w:rsidP="00A547EE">
      <w:pPr>
        <w:spacing w:line="360" w:lineRule="auto"/>
        <w:rPr>
          <w:rtl/>
        </w:rPr>
      </w:pPr>
    </w:p>
    <w:p w14:paraId="1A275EAE" w14:textId="77777777" w:rsidR="00A547EE" w:rsidRDefault="00A547EE" w:rsidP="00A547EE">
      <w:pPr>
        <w:spacing w:line="360" w:lineRule="auto"/>
        <w:jc w:val="both"/>
        <w:rPr>
          <w:rtl/>
        </w:rPr>
      </w:pPr>
      <w:r>
        <w:rPr>
          <w:rFonts w:hint="cs"/>
          <w:rtl/>
        </w:rPr>
        <w:t>4.</w:t>
      </w:r>
      <w:r>
        <w:rPr>
          <w:rFonts w:hint="cs"/>
          <w:rtl/>
        </w:rPr>
        <w:tab/>
        <w:t>הנאשם שיתף את שירות  בכך שבהיותו נער בן 15 נפל קרבן, יחד עם כמה חברים נוספים, לאלימות מצד צעירים אחרים שנדונו בגין כך, לדבריו,  לעונשי מאסר. האירוע הנ"ל נחווה אצל הנאשם כמשברי וטראומטי, וככזה שהשפיע עליו  במהלך השנים. עוד סיפר הנאשם לשירות המבחן, כי לאחר האירוע האלים שחווה, החל להשתמש בסמים לעיתים קרובות, זאת כדי לברוח מהתמודדות עם תחושותיו הקשות. הנאשם טען בפני שירות המבחן כי לאחרונה הפסיק את השימוש בסמים. יוער בנקודה זו, כי מבדיקה לאיתור שרידי סם שערך שירות המבחן לנאשם ביום 13.12.16, התגלו שרידי סם וכשעומת הנאשם עם תוצאות הבדיקות, אישר כי אכן השתמש לאחרונה בסמים. לפיכך, הפנה שירות המבחן את הנאשם ליחידה לנפגעי סמים במקום מגוריו. תחילה הביע את הנאשם את נכונות</w:t>
      </w:r>
      <w:r>
        <w:rPr>
          <w:rFonts w:hint="eastAsia"/>
          <w:rtl/>
        </w:rPr>
        <w:t>ו</w:t>
      </w:r>
      <w:r>
        <w:rPr>
          <w:rFonts w:hint="cs"/>
          <w:rtl/>
        </w:rPr>
        <w:t xml:space="preserve"> להשתלב בטיפול, אך בהמשך חזר בו מהסכמתו והביע התנגדות להשתלב בטיפול ביחידה, בנימוק כי אינו זקוק לטיפול. עם זאת, שתי בדיקות שתן נוספות שמסר הנאשם ביום 20.12.16 וביום 27.12.16, נמצאו נקיות משרידי סם.</w:t>
      </w:r>
    </w:p>
    <w:p w14:paraId="7367E857" w14:textId="77777777" w:rsidR="00A547EE" w:rsidRDefault="00A547EE" w:rsidP="00A547EE">
      <w:pPr>
        <w:spacing w:line="360" w:lineRule="auto"/>
        <w:rPr>
          <w:rtl/>
        </w:rPr>
      </w:pPr>
    </w:p>
    <w:p w14:paraId="7449351B" w14:textId="77777777" w:rsidR="00A547EE" w:rsidRDefault="00A547EE" w:rsidP="00A547EE">
      <w:pPr>
        <w:spacing w:line="360" w:lineRule="auto"/>
        <w:jc w:val="both"/>
        <w:rPr>
          <w:rtl/>
        </w:rPr>
      </w:pPr>
      <w:r>
        <w:rPr>
          <w:rFonts w:hint="cs"/>
          <w:rtl/>
        </w:rPr>
        <w:t>5.</w:t>
      </w:r>
      <w:r>
        <w:rPr>
          <w:rtl/>
        </w:rPr>
        <w:tab/>
      </w:r>
      <w:r>
        <w:rPr>
          <w:rFonts w:hint="cs"/>
          <w:rtl/>
        </w:rPr>
        <w:t>הנאשם טען בפני שירות המבחן, כי לקח את תת המקלע מסמיר לצורך ביצוע ירי בחתונת חברו וכי התכוון להשיב את הנשק לסמיר. הנאשם אישר בפני שירות המבחן כי הוא מבין שטעה וכי לא שקל את השלכות וחומרת מעשיו.</w:t>
      </w:r>
    </w:p>
    <w:p w14:paraId="37875567" w14:textId="77777777" w:rsidR="00A547EE" w:rsidRDefault="00A547EE" w:rsidP="00A547EE">
      <w:pPr>
        <w:spacing w:line="360" w:lineRule="auto"/>
        <w:rPr>
          <w:rtl/>
        </w:rPr>
      </w:pPr>
    </w:p>
    <w:p w14:paraId="5DE42F5A" w14:textId="77777777" w:rsidR="00A547EE" w:rsidRDefault="00A547EE" w:rsidP="00A547EE">
      <w:pPr>
        <w:spacing w:line="360" w:lineRule="auto"/>
        <w:jc w:val="both"/>
        <w:rPr>
          <w:rtl/>
        </w:rPr>
      </w:pPr>
      <w:r>
        <w:rPr>
          <w:rFonts w:hint="cs"/>
          <w:rtl/>
        </w:rPr>
        <w:t xml:space="preserve">6. </w:t>
      </w:r>
      <w:r>
        <w:rPr>
          <w:rtl/>
        </w:rPr>
        <w:tab/>
      </w:r>
      <w:r>
        <w:rPr>
          <w:rFonts w:hint="cs"/>
          <w:rtl/>
        </w:rPr>
        <w:t>שירות המבחן התרשם, כי הנאשם בעל דימוי עצמי נמוך, כי יכולתו הרגשית מצומצמת וכן כי הנאשם מתקשה להבין לעומק את מניעיו לביצוע העבירה.  שירות המבחן העריך בתסקיר כי רמת הסיכון, במצבו של הנאשם, לביצוע עבירות בתחום האלימות, הינה בינונית, זאת בגין עבירות המצויות, מבחינת חומרתן, ברמת סיכון בינונית. נוכח עמדתו של הנאשם, לפיה הוא אינו זקוק לטיפול, סבור שירות המבחן כי טרם בשלה העת לכך שהנאשם יוכל להפיק תועלת מהתערבות טיפולית. לפיכך, בסיכומו של דבר, נמנע שירות המבחן מלבוא בהמלצה טיפולית אודות הנאשם.</w:t>
      </w:r>
    </w:p>
    <w:p w14:paraId="15F96EDB" w14:textId="77777777" w:rsidR="00A547EE" w:rsidRDefault="00A547EE" w:rsidP="00A547EE">
      <w:pPr>
        <w:spacing w:line="360" w:lineRule="auto"/>
        <w:rPr>
          <w:rtl/>
        </w:rPr>
      </w:pPr>
    </w:p>
    <w:p w14:paraId="1D1E9543" w14:textId="77777777" w:rsidR="00A547EE" w:rsidRPr="005F2DB3" w:rsidRDefault="00A547EE" w:rsidP="00A547EE">
      <w:pPr>
        <w:spacing w:line="360" w:lineRule="auto"/>
        <w:rPr>
          <w:rFonts w:cs="Miriam"/>
          <w:rtl/>
        </w:rPr>
      </w:pPr>
      <w:r w:rsidRPr="005F2DB3">
        <w:rPr>
          <w:rFonts w:cs="Miriam" w:hint="cs"/>
          <w:rtl/>
        </w:rPr>
        <w:t xml:space="preserve">טיעוני המאשימה לעונש </w:t>
      </w:r>
    </w:p>
    <w:p w14:paraId="3950ECAE" w14:textId="77777777" w:rsidR="00A547EE" w:rsidRPr="00B05847" w:rsidRDefault="00A547EE" w:rsidP="00A547EE">
      <w:pPr>
        <w:rPr>
          <w:rtl/>
        </w:rPr>
      </w:pPr>
    </w:p>
    <w:p w14:paraId="709491AB" w14:textId="77777777" w:rsidR="00A547EE" w:rsidRPr="00B05847" w:rsidRDefault="00A547EE" w:rsidP="00A547EE">
      <w:pPr>
        <w:rPr>
          <w:rtl/>
        </w:rPr>
      </w:pPr>
    </w:p>
    <w:p w14:paraId="0EA551BF" w14:textId="77777777" w:rsidR="00A547EE" w:rsidRDefault="00A547EE" w:rsidP="00A547EE">
      <w:pPr>
        <w:spacing w:line="360" w:lineRule="auto"/>
        <w:jc w:val="both"/>
        <w:rPr>
          <w:rtl/>
        </w:rPr>
      </w:pPr>
      <w:r>
        <w:rPr>
          <w:rFonts w:hint="cs"/>
          <w:rtl/>
        </w:rPr>
        <w:t xml:space="preserve">7. </w:t>
      </w:r>
      <w:r>
        <w:rPr>
          <w:rtl/>
        </w:rPr>
        <w:tab/>
      </w:r>
      <w:r>
        <w:rPr>
          <w:rFonts w:hint="cs"/>
          <w:rtl/>
        </w:rPr>
        <w:t xml:space="preserve">בדיון בפניי ביום 16.1.17 הגישה ב"כ המאשימה את טיעוניה לעונש בכתב- </w:t>
      </w:r>
      <w:r w:rsidRPr="00F41B79">
        <w:rPr>
          <w:rFonts w:cs="Miriam" w:hint="cs"/>
          <w:rtl/>
        </w:rPr>
        <w:t>ת/1</w:t>
      </w:r>
      <w:r>
        <w:rPr>
          <w:rFonts w:hint="cs"/>
          <w:rtl/>
        </w:rPr>
        <w:t>, וכן אסופת פסיקה להמחשת עמדתה העונשית של המאשימה בתיק זה-</w:t>
      </w:r>
      <w:r w:rsidRPr="00F41B79">
        <w:rPr>
          <w:rFonts w:cs="Miriam" w:hint="cs"/>
          <w:rtl/>
        </w:rPr>
        <w:t>ת/2</w:t>
      </w:r>
      <w:r>
        <w:rPr>
          <w:rFonts w:hint="cs"/>
          <w:rtl/>
        </w:rPr>
        <w:t xml:space="preserve">. כמו כן, הגישה ב"כ המאשימה את גזרי הדין שניתנו בעניינם של שני המעורבים האחרים, הנזכרים בכתב האישום שבפנינו (סמיר בסל ומהדי בסל)- </w:t>
      </w:r>
      <w:r w:rsidRPr="00F41B79">
        <w:rPr>
          <w:rFonts w:cs="Miriam" w:hint="cs"/>
          <w:rtl/>
        </w:rPr>
        <w:t>ת/3</w:t>
      </w:r>
      <w:r>
        <w:rPr>
          <w:rFonts w:hint="cs"/>
          <w:rtl/>
        </w:rPr>
        <w:t>. ב"כ המאשימה טענה כי ניתן להקיש מעניינו של סמיר לענייננו, שכן האחרון הורשע  בעבירה דומה שעניינה  החזקה ונשיאת הנשק מושא כתב האישום,  והושת עליו, בין היתר, עונש מאסר בפועל לתקופה של 12 חודשים בניכוי ימי מעצרו. עוד הבהירה המאשימה כי הוגש מטעמה ערעור על קולת העונש הנ"ל שהושת על סמיר.</w:t>
      </w:r>
    </w:p>
    <w:p w14:paraId="773DD357" w14:textId="77777777" w:rsidR="00A547EE" w:rsidRDefault="00A547EE" w:rsidP="00A547EE">
      <w:pPr>
        <w:spacing w:line="360" w:lineRule="auto"/>
        <w:rPr>
          <w:rtl/>
        </w:rPr>
      </w:pPr>
    </w:p>
    <w:p w14:paraId="19E1B156" w14:textId="77777777" w:rsidR="00A547EE" w:rsidRDefault="00A547EE" w:rsidP="00A547EE">
      <w:pPr>
        <w:spacing w:line="360" w:lineRule="auto"/>
        <w:jc w:val="both"/>
        <w:rPr>
          <w:rtl/>
        </w:rPr>
      </w:pPr>
      <w:r>
        <w:rPr>
          <w:rFonts w:hint="cs"/>
          <w:rtl/>
        </w:rPr>
        <w:t>8.</w:t>
      </w:r>
      <w:r>
        <w:rPr>
          <w:rFonts w:hint="cs"/>
          <w:rtl/>
        </w:rPr>
        <w:tab/>
        <w:t xml:space="preserve">ב"כ המאשימה ציינה בטיעוניה, כי אין ראיה המחזקת את טענת הנאשם בדבר מטרת החזקת הנשק, וכן הוסיפה כי  גם בהנחה שטענת הנאשם כי ביצע את העבירה לצורך ירי בחתונה, נכונה היא, עדיין אין להקל ראש ולהתעלם מהסכנה הגלומה בביצוע פוטנציאלי של ירי בטבורה של עיר, במקום הומה אדם, כדוגמת מקום בו מתקיים אירוע של חתונה. </w:t>
      </w:r>
      <w:r w:rsidRPr="00380E80">
        <w:rPr>
          <w:rtl/>
        </w:rPr>
        <w:t>ב"כ המאשימה טענה</w:t>
      </w:r>
      <w:r>
        <w:rPr>
          <w:rFonts w:hint="cs"/>
          <w:rtl/>
        </w:rPr>
        <w:t xml:space="preserve"> בנקודה זו </w:t>
      </w:r>
      <w:r w:rsidRPr="00380E80">
        <w:rPr>
          <w:rtl/>
        </w:rPr>
        <w:t xml:space="preserve"> כי מקום בו נמצא אדם מחזיק בנשק ללא רישיון, בטבורה של עיר, יש להניח לחובתו, כי הוא עושה זאת למטרות לא כשרות.</w:t>
      </w:r>
      <w:r>
        <w:rPr>
          <w:rFonts w:hint="cs"/>
          <w:rtl/>
        </w:rPr>
        <w:t xml:space="preserve"> בד בבד  הבהירה ב"כ המאשימה, כי לא בוצע שימוש בנשק במהלך החתונה של חברו של הנאשם שנמשכה מספר ימים עד ליום מעצרו של הנאשם.</w:t>
      </w:r>
    </w:p>
    <w:p w14:paraId="025CE61F" w14:textId="77777777" w:rsidR="00A547EE" w:rsidRDefault="00A547EE" w:rsidP="00A547EE">
      <w:pPr>
        <w:spacing w:line="360" w:lineRule="auto"/>
        <w:rPr>
          <w:rtl/>
        </w:rPr>
      </w:pPr>
    </w:p>
    <w:p w14:paraId="40F4D761" w14:textId="77777777" w:rsidR="00A547EE" w:rsidRDefault="00A547EE" w:rsidP="00A547EE">
      <w:pPr>
        <w:spacing w:line="360" w:lineRule="auto"/>
        <w:jc w:val="both"/>
        <w:rPr>
          <w:rtl/>
        </w:rPr>
      </w:pPr>
      <w:r>
        <w:rPr>
          <w:rFonts w:hint="cs"/>
          <w:rtl/>
        </w:rPr>
        <w:t>9.</w:t>
      </w:r>
      <w:r>
        <w:rPr>
          <w:rFonts w:hint="cs"/>
          <w:rtl/>
        </w:rPr>
        <w:tab/>
        <w:t xml:space="preserve">לאחר סקירת מדיניות הענישה הנוהגת בגין העבירה בה הורשע הנאשם (ראו </w:t>
      </w:r>
      <w:r w:rsidRPr="00380E80">
        <w:rPr>
          <w:rFonts w:cs="Miriam" w:hint="cs"/>
          <w:rtl/>
        </w:rPr>
        <w:t>ת/2</w:t>
      </w:r>
      <w:r>
        <w:rPr>
          <w:rFonts w:hint="cs"/>
          <w:rtl/>
        </w:rPr>
        <w:t>), טענה ב"כ המאשימה כי מדיניות הענישה הנוהגת הינה שיקול אחד מיני רבים אותו יש להביא בחשבון בעת קביעת מתחם העונש ההולם, וכי על בית המשפט לקבוע את מתחם העונש ההולם גם על רקע נסיבות ביצוע העבירה והפגיעה בערך המוגן. המאשימה סבירה כי מתחם העונש ההולם בתיק זה נע בין שנתיים לארבע שנות מאסר בפועל.</w:t>
      </w:r>
    </w:p>
    <w:p w14:paraId="0BF76CDA" w14:textId="77777777" w:rsidR="00A547EE" w:rsidRDefault="00A547EE" w:rsidP="00A547EE">
      <w:pPr>
        <w:spacing w:line="360" w:lineRule="auto"/>
        <w:ind w:left="720" w:hanging="720"/>
        <w:jc w:val="both"/>
        <w:rPr>
          <w:rtl/>
        </w:rPr>
      </w:pPr>
    </w:p>
    <w:p w14:paraId="2E178BB0" w14:textId="77777777" w:rsidR="00A547EE" w:rsidRDefault="00A547EE" w:rsidP="00A547EE">
      <w:pPr>
        <w:spacing w:line="360" w:lineRule="auto"/>
        <w:jc w:val="both"/>
        <w:rPr>
          <w:rtl/>
        </w:rPr>
      </w:pPr>
      <w:r>
        <w:rPr>
          <w:rFonts w:hint="cs"/>
          <w:rtl/>
        </w:rPr>
        <w:t>10.</w:t>
      </w:r>
      <w:r>
        <w:rPr>
          <w:rFonts w:hint="cs"/>
          <w:rtl/>
        </w:rPr>
        <w:tab/>
        <w:t>באשר לנסיבות שעניינן קשורות בביצוע העבירה, הפנתה ב"כ המאשימה להתרשמות שירות המבחן מהנאשם ולהיעדר המלצה טיפולית בתסקיר, כמו גם לממצאי בדיקת השתן שנערכה ביום 13.12.16, ואשר הצביעה על הימצאותם של שרידי סם בגופו של הנאשם. ב"כ המאשימה ציינה כי בנסיבות אלו  אין מקום לסטות לקולה, בעניינו של הנאשם, ממתחם העונש ההולם.</w:t>
      </w:r>
    </w:p>
    <w:p w14:paraId="5856A405" w14:textId="77777777" w:rsidR="00A547EE" w:rsidRDefault="00A547EE" w:rsidP="00A547EE">
      <w:pPr>
        <w:spacing w:line="360" w:lineRule="auto"/>
        <w:ind w:left="720" w:hanging="720"/>
        <w:jc w:val="both"/>
        <w:rPr>
          <w:rtl/>
        </w:rPr>
      </w:pPr>
    </w:p>
    <w:p w14:paraId="0EDF3FCB" w14:textId="77777777" w:rsidR="00A547EE" w:rsidRPr="00F00A51" w:rsidRDefault="00A547EE" w:rsidP="00A547EE">
      <w:pPr>
        <w:spacing w:line="360" w:lineRule="auto"/>
        <w:jc w:val="both"/>
        <w:rPr>
          <w:rtl/>
        </w:rPr>
      </w:pPr>
      <w:r>
        <w:rPr>
          <w:rFonts w:hint="cs"/>
          <w:rtl/>
        </w:rPr>
        <w:t>11.</w:t>
      </w:r>
      <w:r>
        <w:rPr>
          <w:rFonts w:hint="cs"/>
          <w:rtl/>
        </w:rPr>
        <w:tab/>
        <w:t>לסיכום, עתרה המאשימה, בטיעוניה לעונש, כי בית המשפט ישית על הנאשם עונש ממשי וארוך של מספר שנות מאסר מאחורי סורג ובריח, במסגרת המתחם לו עתרה, כאמור, זאת לצד עונש של מאסר על תנאי משמעותי ומרתיע וקנס כספי.</w:t>
      </w:r>
    </w:p>
    <w:p w14:paraId="259EF868" w14:textId="77777777" w:rsidR="00A547EE" w:rsidRDefault="00A547EE" w:rsidP="00A547EE">
      <w:pPr>
        <w:spacing w:line="360" w:lineRule="auto"/>
        <w:rPr>
          <w:rtl/>
        </w:rPr>
      </w:pPr>
    </w:p>
    <w:p w14:paraId="5EAC8752" w14:textId="77777777" w:rsidR="00A547EE" w:rsidRPr="00022164" w:rsidRDefault="00A547EE" w:rsidP="00A547EE">
      <w:pPr>
        <w:spacing w:line="360" w:lineRule="auto"/>
        <w:rPr>
          <w:rFonts w:cs="Miriam"/>
          <w:rtl/>
        </w:rPr>
      </w:pPr>
      <w:r w:rsidRPr="00022164">
        <w:rPr>
          <w:rFonts w:cs="Miriam" w:hint="cs"/>
          <w:rtl/>
        </w:rPr>
        <w:t>ראיות ההגנה לעונש</w:t>
      </w:r>
      <w:r>
        <w:rPr>
          <w:rFonts w:cs="Miriam" w:hint="cs"/>
          <w:rtl/>
        </w:rPr>
        <w:t xml:space="preserve"> וטיעוניה לעונש</w:t>
      </w:r>
    </w:p>
    <w:p w14:paraId="1BD030F4" w14:textId="77777777" w:rsidR="00A547EE" w:rsidRPr="00B05847" w:rsidRDefault="00A547EE" w:rsidP="00A547EE">
      <w:pPr>
        <w:spacing w:line="360" w:lineRule="auto"/>
        <w:rPr>
          <w:rtl/>
        </w:rPr>
      </w:pPr>
    </w:p>
    <w:p w14:paraId="1CF2C427" w14:textId="77777777" w:rsidR="00A547EE" w:rsidRDefault="00A547EE" w:rsidP="00A547EE">
      <w:pPr>
        <w:spacing w:line="360" w:lineRule="auto"/>
        <w:jc w:val="both"/>
        <w:rPr>
          <w:rtl/>
        </w:rPr>
      </w:pPr>
      <w:r>
        <w:rPr>
          <w:rFonts w:hint="cs"/>
          <w:rtl/>
        </w:rPr>
        <w:t>12.</w:t>
      </w:r>
      <w:r>
        <w:rPr>
          <w:rFonts w:hint="cs"/>
          <w:rtl/>
        </w:rPr>
        <w:tab/>
        <w:t xml:space="preserve">במסגרת ראיות ההגנה לעונש העיד בדיון בפניי אחיו של הנאשם, רשיד סמרי (להלן: </w:t>
      </w:r>
      <w:r w:rsidRPr="009710DF">
        <w:rPr>
          <w:rFonts w:cs="Miriam" w:hint="cs"/>
          <w:rtl/>
        </w:rPr>
        <w:t>רשיד</w:t>
      </w:r>
      <w:r>
        <w:rPr>
          <w:rFonts w:hint="cs"/>
          <w:rtl/>
        </w:rPr>
        <w:t>). רשיד סיפר כי הוא אחיו הבכור של הנאשם והבהיר כי הוא מגנה את מעשיו של הנאשם שטעה, תוך שהדגיש כי משפחת הנאשם היא משפחה שומרת חוק. רשיד הוסיף וציין בעדותו כי הנאשם עובד בעסק המשפחתי, עתיד להתארס  וכן עוזר לאמו הקשישה. עוד הדגיש רשיד כי בסופו של דבר לא עשה הנאשם שימוש בנשק במהלך החתונה.</w:t>
      </w:r>
    </w:p>
    <w:p w14:paraId="285BD8E5" w14:textId="77777777" w:rsidR="00A547EE" w:rsidRDefault="00A547EE" w:rsidP="00A547EE">
      <w:pPr>
        <w:spacing w:line="360" w:lineRule="auto"/>
        <w:rPr>
          <w:rtl/>
        </w:rPr>
      </w:pPr>
    </w:p>
    <w:p w14:paraId="669CA307" w14:textId="77777777" w:rsidR="00A547EE" w:rsidRDefault="00A547EE" w:rsidP="00A547EE">
      <w:pPr>
        <w:spacing w:line="360" w:lineRule="auto"/>
        <w:jc w:val="both"/>
        <w:rPr>
          <w:rtl/>
        </w:rPr>
      </w:pPr>
      <w:r>
        <w:rPr>
          <w:rFonts w:hint="cs"/>
          <w:rtl/>
        </w:rPr>
        <w:t>13.</w:t>
      </w:r>
      <w:r>
        <w:rPr>
          <w:rFonts w:hint="cs"/>
          <w:rtl/>
        </w:rPr>
        <w:tab/>
        <w:t xml:space="preserve">במסגרת טיעוניו לעונש ציין הסנגור את הודאתו של הנאשם בהזדמנות הראשונה, דבר שחסך זמן שיפוטי יקר, כמו גם את עברו הנקי של הנאשם ואת העובדה שהוא מנהל אורח חיים נורמטיבי ועובד לפרנסתו. עוד טען הסנגור כי אין ללמוד </w:t>
      </w:r>
      <w:r w:rsidRPr="002045DF">
        <w:rPr>
          <w:rtl/>
        </w:rPr>
        <w:t xml:space="preserve">גזרה שווה </w:t>
      </w:r>
      <w:r>
        <w:rPr>
          <w:rFonts w:hint="cs"/>
          <w:rtl/>
        </w:rPr>
        <w:t xml:space="preserve">בעניינו של הנאשם מעניינו של סמיר. הסנגור הטעים בנקודה זו, כי על אף שהנאשם מבוגר יותר מסמיר, הרי שהוא נעדר עבר פלילי, זאת בניגוד לסמיר שלחובתו הרשעה קודמת בגינה ריצה עונש מאסר בעבודות שירות. הסנגור הוסיף וציין, כדי לאבחן בין השניים, כי מיד עם הגיעם של השוטרים לביתו של הנאשם, נוכח מידע מודיעיני, לפיו ברשותו נשק, הוביל הנאשם את השוטרים למקום הימצאותו של הנשק, כפי שעולה ממקרא כתב האישום, וכן הפליל הנאשם את שני המעורבים האחרים בפרשה הנסקרים בכתב האישום. </w:t>
      </w:r>
    </w:p>
    <w:p w14:paraId="22273B95" w14:textId="77777777" w:rsidR="00A547EE" w:rsidRDefault="00A547EE" w:rsidP="00A547EE">
      <w:pPr>
        <w:spacing w:line="360" w:lineRule="auto"/>
        <w:jc w:val="both"/>
        <w:rPr>
          <w:rtl/>
        </w:rPr>
      </w:pPr>
    </w:p>
    <w:p w14:paraId="56257627" w14:textId="77777777" w:rsidR="00A547EE" w:rsidRDefault="00A547EE" w:rsidP="00A547EE">
      <w:pPr>
        <w:spacing w:line="360" w:lineRule="auto"/>
        <w:jc w:val="both"/>
        <w:rPr>
          <w:rtl/>
        </w:rPr>
      </w:pPr>
      <w:r>
        <w:rPr>
          <w:rFonts w:hint="cs"/>
          <w:rtl/>
        </w:rPr>
        <w:t xml:space="preserve">14. </w:t>
      </w:r>
      <w:r>
        <w:rPr>
          <w:rtl/>
        </w:rPr>
        <w:tab/>
      </w:r>
      <w:r>
        <w:rPr>
          <w:rFonts w:hint="cs"/>
          <w:rtl/>
        </w:rPr>
        <w:t xml:space="preserve">הסנגור הוסיף וציין, כי הנאשם החזיק בנשק שלושה ימים בלבד, לצורך ביצוע ירי בחתונה ולא מתוך כוונה פלילית. הודגש בנקודה זו, כי טענת הנאשם לפיה החזיק בנשק לצורך ביצוע הירי בחתונה לא נסתרה ראייתית, וכן צוין על ידי הסנגור, כי לא נמצאו טביעות אצבע של הנאשם על גבי הנשק, דבר התומך בטענת הנאשם, לפיה  מעת שקיבל את התיק עם התחמושת והנשק לידיו, הוא כלל לא פתח אותו. עוד נטען על ידי הסנגור כי הנאשם נשא את הנשק מרחק קצר של מטרים ספורים בלבד, דבר המלמד, כי העבירה של נשיאת הנשק נושאת גוון טכני ולא מעבר לכך, מה גם שהנאשם, לטענת הסנגור, לא נגע בנשק, לאחר שהניחו בסמוך לביתו. בנקודה זו הדגיש הסנגור כי הנאשם שוחרר ממעצרו ביום בו הוגש נגדו כתב האישום בתיק זה, זאת בהינתן הנסיבות לקולה הנ"ל.  </w:t>
      </w:r>
    </w:p>
    <w:p w14:paraId="7632AAC1" w14:textId="77777777" w:rsidR="00A547EE" w:rsidRDefault="00A547EE" w:rsidP="00A547EE">
      <w:pPr>
        <w:spacing w:line="360" w:lineRule="auto"/>
        <w:rPr>
          <w:rtl/>
        </w:rPr>
      </w:pPr>
    </w:p>
    <w:p w14:paraId="10CDA03B" w14:textId="77777777" w:rsidR="00A547EE" w:rsidRDefault="00A547EE" w:rsidP="00A547EE">
      <w:pPr>
        <w:spacing w:line="360" w:lineRule="auto"/>
        <w:rPr>
          <w:rtl/>
        </w:rPr>
      </w:pPr>
    </w:p>
    <w:p w14:paraId="3B88C37D" w14:textId="77777777" w:rsidR="00A547EE" w:rsidRDefault="00A547EE" w:rsidP="00A547EE">
      <w:pPr>
        <w:spacing w:line="360" w:lineRule="auto"/>
        <w:jc w:val="both"/>
        <w:rPr>
          <w:rtl/>
        </w:rPr>
      </w:pPr>
      <w:r>
        <w:rPr>
          <w:rFonts w:hint="cs"/>
          <w:rtl/>
        </w:rPr>
        <w:t>15.</w:t>
      </w:r>
      <w:r>
        <w:rPr>
          <w:rFonts w:hint="cs"/>
          <w:rtl/>
        </w:rPr>
        <w:tab/>
        <w:t>הסנגור הוסיף וציין, כי הנאשם חווה, בהיותו בן 15, אירוע טראומתי בחייו, במהלכו נחטף על ידי עבריינים, שניסו לבצע כלפיו עבירות חמורות, ובנוסף שדדו אותו. להמחשת הטענה הנ"ל הגיש הסנגור את כתב האישום שהוגש בפרשה הנ"ל נגד שני נאשמים, כמו גם את פרוטוקול הדיון בבית המשפט בעניינם, הכולל את הודאתם בעובדות כתב האישום, וכן הוגש פסק דין של בית המשפט העליון בערעור שהוגש על ידי המדינה בעניינו של אחד מהם (</w:t>
      </w:r>
      <w:r w:rsidRPr="009401AE">
        <w:rPr>
          <w:rFonts w:hint="cs"/>
          <w:rtl/>
        </w:rPr>
        <w:t>ראו</w:t>
      </w:r>
      <w:r w:rsidRPr="00FE1181">
        <w:rPr>
          <w:rFonts w:cs="Miriam" w:hint="cs"/>
          <w:rtl/>
        </w:rPr>
        <w:t xml:space="preserve"> נ/1</w:t>
      </w:r>
      <w:r>
        <w:rPr>
          <w:rFonts w:hint="cs"/>
          <w:rtl/>
        </w:rPr>
        <w:t xml:space="preserve">). </w:t>
      </w:r>
    </w:p>
    <w:p w14:paraId="08C053E7" w14:textId="77777777" w:rsidR="00A547EE" w:rsidRDefault="00A547EE" w:rsidP="00A547EE">
      <w:pPr>
        <w:spacing w:line="360" w:lineRule="auto"/>
        <w:rPr>
          <w:rtl/>
        </w:rPr>
      </w:pPr>
    </w:p>
    <w:p w14:paraId="555F6EF4" w14:textId="77777777" w:rsidR="00A547EE" w:rsidRDefault="00A547EE" w:rsidP="00A547EE">
      <w:pPr>
        <w:spacing w:line="360" w:lineRule="auto"/>
        <w:jc w:val="both"/>
        <w:rPr>
          <w:rtl/>
        </w:rPr>
      </w:pPr>
      <w:r>
        <w:rPr>
          <w:rFonts w:hint="cs"/>
          <w:rtl/>
        </w:rPr>
        <w:t>16.</w:t>
      </w:r>
      <w:r>
        <w:rPr>
          <w:rFonts w:hint="cs"/>
          <w:rtl/>
        </w:rPr>
        <w:tab/>
      </w:r>
      <w:r>
        <w:rPr>
          <w:rtl/>
        </w:rPr>
        <w:t xml:space="preserve">ב"כ הנאשם </w:t>
      </w:r>
      <w:r>
        <w:rPr>
          <w:rFonts w:hint="cs"/>
          <w:rtl/>
        </w:rPr>
        <w:t xml:space="preserve">טען, בסיכומו של דבר, </w:t>
      </w:r>
      <w:r>
        <w:rPr>
          <w:rtl/>
        </w:rPr>
        <w:t>כי מתחם העונש</w:t>
      </w:r>
      <w:r>
        <w:rPr>
          <w:rFonts w:hint="cs"/>
          <w:rtl/>
        </w:rPr>
        <w:t xml:space="preserve"> </w:t>
      </w:r>
      <w:r>
        <w:rPr>
          <w:rtl/>
        </w:rPr>
        <w:t xml:space="preserve">ההולם נע </w:t>
      </w:r>
      <w:r>
        <w:rPr>
          <w:rFonts w:hint="cs"/>
          <w:rtl/>
        </w:rPr>
        <w:t xml:space="preserve">בתיק זה </w:t>
      </w:r>
      <w:r>
        <w:rPr>
          <w:rtl/>
        </w:rPr>
        <w:t xml:space="preserve">בין מאסר בפועל </w:t>
      </w:r>
      <w:r>
        <w:rPr>
          <w:rFonts w:hint="cs"/>
          <w:rtl/>
        </w:rPr>
        <w:t>בדרך של עבודות שירות לבין מאסר בפועל של ממש לתקופה קצרה. הסנגור הגיש אסופת פסיקה להמחשת עמדתו העונשית (</w:t>
      </w:r>
      <w:r w:rsidRPr="000F3BC6">
        <w:rPr>
          <w:rFonts w:cs="Miriam" w:hint="cs"/>
          <w:rtl/>
        </w:rPr>
        <w:t>נ/2</w:t>
      </w:r>
      <w:r>
        <w:rPr>
          <w:rFonts w:hint="cs"/>
          <w:rtl/>
        </w:rPr>
        <w:t xml:space="preserve">). יוער בנקודה זו כי עיון בפסיקה הנ"ל מלמד כי חלקה מתייחס אך לעבירה של החזקת נשק שלא כדין ולא לעבירה של נשיאת נשק שלא כדין, שהינה העבירה החמורה בין השתיים. </w:t>
      </w:r>
    </w:p>
    <w:p w14:paraId="49305CA8" w14:textId="77777777" w:rsidR="00A547EE" w:rsidRDefault="00A547EE" w:rsidP="00A547EE">
      <w:pPr>
        <w:spacing w:line="360" w:lineRule="auto"/>
        <w:rPr>
          <w:rtl/>
        </w:rPr>
      </w:pPr>
    </w:p>
    <w:p w14:paraId="5F5F86F3" w14:textId="77777777" w:rsidR="00A547EE" w:rsidRDefault="00A547EE" w:rsidP="00A547EE">
      <w:pPr>
        <w:spacing w:line="360" w:lineRule="auto"/>
        <w:jc w:val="both"/>
        <w:rPr>
          <w:rFonts w:cs="Miriam"/>
          <w:rtl/>
        </w:rPr>
      </w:pPr>
      <w:r>
        <w:rPr>
          <w:rFonts w:hint="cs"/>
          <w:rtl/>
        </w:rPr>
        <w:t>17.</w:t>
      </w:r>
      <w:r>
        <w:rPr>
          <w:rFonts w:hint="cs"/>
          <w:rtl/>
        </w:rPr>
        <w:tab/>
      </w:r>
      <w:r w:rsidRPr="002045DF">
        <w:rPr>
          <w:rFonts w:hint="cs"/>
          <w:rtl/>
        </w:rPr>
        <w:t>להלן דברי הנאשם בדיון בפניי</w:t>
      </w:r>
      <w:r>
        <w:rPr>
          <w:rFonts w:hint="cs"/>
          <w:rtl/>
        </w:rPr>
        <w:t>, כלשונם</w:t>
      </w:r>
      <w:r w:rsidRPr="00196903">
        <w:rPr>
          <w:rFonts w:cs="Miriam" w:hint="cs"/>
          <w:rtl/>
        </w:rPr>
        <w:t>:</w:t>
      </w:r>
      <w:r>
        <w:rPr>
          <w:rFonts w:hint="cs"/>
          <w:rtl/>
        </w:rPr>
        <w:t xml:space="preserve"> </w:t>
      </w:r>
    </w:p>
    <w:p w14:paraId="6EC90406" w14:textId="77777777" w:rsidR="00A547EE" w:rsidRDefault="00A547EE" w:rsidP="00A547EE">
      <w:pPr>
        <w:spacing w:line="360" w:lineRule="auto"/>
        <w:jc w:val="both"/>
        <w:rPr>
          <w:rFonts w:cs="Miriam"/>
          <w:rtl/>
        </w:rPr>
      </w:pPr>
    </w:p>
    <w:p w14:paraId="30AC3BAA" w14:textId="77777777" w:rsidR="00A547EE" w:rsidRDefault="00A547EE" w:rsidP="00A547EE">
      <w:pPr>
        <w:spacing w:line="360" w:lineRule="auto"/>
        <w:ind w:left="1134" w:right="1701"/>
        <w:jc w:val="both"/>
        <w:rPr>
          <w:rtl/>
        </w:rPr>
      </w:pPr>
      <w:r>
        <w:rPr>
          <w:rFonts w:cs="Miriam" w:hint="cs"/>
          <w:rtl/>
        </w:rPr>
        <w:t>"א</w:t>
      </w:r>
      <w:r w:rsidRPr="002045DF">
        <w:rPr>
          <w:rFonts w:cs="Miriam" w:hint="cs"/>
          <w:rtl/>
        </w:rPr>
        <w:t>ני מתנצל. זאת הטעות האחרונה שלי. אני רוצה לטפל באמא שלי שהיא לבד בבית והיא חולה ותלויה באחים שלי ובאחיות שלי בבית. בית הסוהר לא מתאים לי. אני לא יכול לחיות עם העבריינים, אני לא כזה. את הנשק שלקחתי זה היה בשביל החתונה של החבר שלי, זאת הפעם הראשונה בחיים שלי שאני נכנס לחתונה של חבר שלי. אבא שלי נפטר. לא השתמשתי בנשק. כשהמשטרה אמרה לי שכך וכך הסיפור הלכתי ומיד הבאתי להם את הנשק. לא הזזתי את הנשק מפה לשם ואיפה שהנחתי שם הוא נשאר</w:t>
      </w:r>
      <w:r>
        <w:rPr>
          <w:rFonts w:hint="cs"/>
          <w:rtl/>
        </w:rPr>
        <w:t xml:space="preserve">". </w:t>
      </w:r>
    </w:p>
    <w:p w14:paraId="5A79A85F" w14:textId="77777777" w:rsidR="00A547EE" w:rsidRDefault="00A547EE" w:rsidP="00A547EE">
      <w:pPr>
        <w:spacing w:line="360" w:lineRule="auto"/>
        <w:jc w:val="both"/>
        <w:rPr>
          <w:rtl/>
        </w:rPr>
      </w:pPr>
    </w:p>
    <w:p w14:paraId="083D2686" w14:textId="77777777" w:rsidR="00A547EE" w:rsidRPr="000E3199" w:rsidRDefault="00A547EE" w:rsidP="00A547EE">
      <w:pPr>
        <w:spacing w:line="360" w:lineRule="auto"/>
        <w:jc w:val="both"/>
        <w:rPr>
          <w:rFonts w:cs="Miriam"/>
        </w:rPr>
      </w:pPr>
      <w:r w:rsidRPr="000E3199">
        <w:rPr>
          <w:rFonts w:cs="Miriam" w:hint="cs"/>
          <w:rtl/>
        </w:rPr>
        <w:t>דיון והכרעה</w:t>
      </w:r>
    </w:p>
    <w:p w14:paraId="2CFB8646" w14:textId="77777777" w:rsidR="00A547EE" w:rsidRDefault="00A547EE" w:rsidP="00A547EE">
      <w:pPr>
        <w:spacing w:line="360" w:lineRule="auto"/>
        <w:jc w:val="both"/>
        <w:rPr>
          <w:rtl/>
        </w:rPr>
      </w:pPr>
    </w:p>
    <w:p w14:paraId="485AE99F" w14:textId="77777777" w:rsidR="00A547EE" w:rsidRDefault="00A547EE" w:rsidP="00A547EE">
      <w:pPr>
        <w:spacing w:line="360" w:lineRule="auto"/>
        <w:jc w:val="both"/>
        <w:rPr>
          <w:rtl/>
        </w:rPr>
      </w:pPr>
      <w:r>
        <w:rPr>
          <w:rFonts w:hint="cs"/>
          <w:rtl/>
        </w:rPr>
        <w:t>18.</w:t>
      </w:r>
      <w:r>
        <w:rPr>
          <w:rFonts w:hint="cs"/>
          <w:rtl/>
        </w:rPr>
        <w:tab/>
      </w:r>
      <w:r w:rsidRPr="00196903">
        <w:rPr>
          <w:rtl/>
        </w:rPr>
        <w:t>תיקון מס' 113 ל</w:t>
      </w:r>
      <w:hyperlink r:id="rId18" w:history="1">
        <w:r w:rsidR="00D200F0" w:rsidRPr="00D200F0">
          <w:rPr>
            <w:color w:val="0000FF"/>
            <w:u w:val="single"/>
            <w:rtl/>
          </w:rPr>
          <w:t>חוק העונשין</w:t>
        </w:r>
      </w:hyperlink>
      <w:r w:rsidRPr="00196903">
        <w:rPr>
          <w:rtl/>
        </w:rPr>
        <w:t xml:space="preserve"> מתווה את העיקרון המנחה כיום את ביהמ"ש בבואו לגזור דינו של נאשם, שהינו, לפי </w:t>
      </w:r>
      <w:hyperlink r:id="rId19" w:history="1">
        <w:r w:rsidR="003E6847" w:rsidRPr="003E6847">
          <w:rPr>
            <w:rStyle w:val="Hyperlink"/>
            <w:rtl/>
          </w:rPr>
          <w:t>סעיף 40 ב</w:t>
        </w:r>
      </w:hyperlink>
      <w:r w:rsidRPr="00196903">
        <w:rPr>
          <w:rtl/>
        </w:rPr>
        <w:t xml:space="preserve"> לחוק העונשין, עיקרון ההלימה, לפיו צריך להתקיים יחס הולם בין חומרת מעש</w:t>
      </w:r>
      <w:r>
        <w:rPr>
          <w:rFonts w:hint="cs"/>
          <w:rtl/>
        </w:rPr>
        <w:t>ה</w:t>
      </w:r>
      <w:r w:rsidRPr="00196903">
        <w:rPr>
          <w:rtl/>
        </w:rPr>
        <w:t xml:space="preserve"> העבירה בנסיבותיו ומידת אשמו של הנאשם לבין סוג העונש המוטל עליו. יחס זה מבטא, למעשה, את עיקרון הגמול (ראו: </w:t>
      </w:r>
      <w:hyperlink r:id="rId20" w:history="1">
        <w:r w:rsidR="00D200F0" w:rsidRPr="00D200F0">
          <w:rPr>
            <w:color w:val="0000FF"/>
            <w:u w:val="single"/>
            <w:rtl/>
          </w:rPr>
          <w:t>ע.פ. 1523/10</w:t>
        </w:r>
      </w:hyperlink>
      <w:r w:rsidRPr="00196903">
        <w:rPr>
          <w:rtl/>
        </w:rPr>
        <w:t xml:space="preserve">  </w:t>
      </w:r>
      <w:r w:rsidRPr="00244E26">
        <w:rPr>
          <w:rFonts w:cs="Miriam"/>
          <w:rtl/>
        </w:rPr>
        <w:t>פלוני נ' מדינת ישראל</w:t>
      </w:r>
      <w:r>
        <w:rPr>
          <w:rtl/>
        </w:rPr>
        <w:t>, 18/4/12</w:t>
      </w:r>
      <w:r w:rsidRPr="00196903">
        <w:rPr>
          <w:rtl/>
        </w:rPr>
        <w:t xml:space="preserve">). </w:t>
      </w:r>
      <w:hyperlink r:id="rId21" w:history="1">
        <w:r w:rsidR="003E6847" w:rsidRPr="003E6847">
          <w:rPr>
            <w:color w:val="0000FF"/>
            <w:u w:val="single"/>
            <w:rtl/>
          </w:rPr>
          <w:t>סעיף 40 ג</w:t>
        </w:r>
      </w:hyperlink>
      <w:r w:rsidRPr="00196903">
        <w:rPr>
          <w:rtl/>
        </w:rPr>
        <w:t>' ל</w:t>
      </w:r>
      <w:hyperlink r:id="rId22" w:history="1">
        <w:r w:rsidR="00D200F0" w:rsidRPr="00D200F0">
          <w:rPr>
            <w:color w:val="0000FF"/>
            <w:u w:val="single"/>
            <w:rtl/>
          </w:rPr>
          <w:t>חוק העונשין</w:t>
        </w:r>
      </w:hyperlink>
      <w:r w:rsidRPr="00196903">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3" w:history="1">
        <w:r w:rsidR="003E6847" w:rsidRPr="003E6847">
          <w:rPr>
            <w:rStyle w:val="Hyperlink"/>
            <w:rtl/>
          </w:rPr>
          <w:t>בסעיף 40 ט</w:t>
        </w:r>
      </w:hyperlink>
      <w:r w:rsidRPr="00196903">
        <w:rPr>
          <w:rtl/>
        </w:rPr>
        <w:t>' ל</w:t>
      </w:r>
      <w:hyperlink r:id="rId24" w:history="1">
        <w:r w:rsidR="00D200F0" w:rsidRPr="00D200F0">
          <w:rPr>
            <w:color w:val="0000FF"/>
            <w:u w:val="single"/>
            <w:rtl/>
          </w:rPr>
          <w:t>חוק העונשין</w:t>
        </w:r>
      </w:hyperlink>
      <w:r w:rsidRPr="00196903">
        <w:rPr>
          <w:rtl/>
        </w:rPr>
        <w:t xml:space="preserve">.    </w:t>
      </w:r>
    </w:p>
    <w:p w14:paraId="62C14975" w14:textId="77777777" w:rsidR="00A547EE" w:rsidRDefault="00A547EE" w:rsidP="00A547EE">
      <w:pPr>
        <w:spacing w:line="360" w:lineRule="auto"/>
        <w:ind w:left="720" w:hanging="720"/>
        <w:rPr>
          <w:rtl/>
        </w:rPr>
      </w:pPr>
    </w:p>
    <w:p w14:paraId="2C2BFF65" w14:textId="77777777" w:rsidR="00A547EE" w:rsidRDefault="00A547EE" w:rsidP="00A547EE">
      <w:pPr>
        <w:spacing w:line="360" w:lineRule="auto"/>
        <w:ind w:left="720" w:hanging="720"/>
        <w:rPr>
          <w:rtl/>
        </w:rPr>
      </w:pPr>
    </w:p>
    <w:p w14:paraId="2EF1A321" w14:textId="77777777" w:rsidR="00A547EE" w:rsidRDefault="00A547EE" w:rsidP="00A547EE">
      <w:pPr>
        <w:spacing w:line="360" w:lineRule="auto"/>
        <w:jc w:val="both"/>
        <w:rPr>
          <w:rFonts w:cs="Miriam"/>
          <w:rtl/>
        </w:rPr>
      </w:pPr>
      <w:r>
        <w:rPr>
          <w:rFonts w:hint="cs"/>
          <w:rtl/>
        </w:rPr>
        <w:t>19.</w:t>
      </w:r>
      <w:r>
        <w:rPr>
          <w:rtl/>
        </w:rPr>
        <w:tab/>
      </w:r>
      <w:r w:rsidRPr="00196903">
        <w:rPr>
          <w:rtl/>
        </w:rPr>
        <w:t xml:space="preserve">הערך המוגן הנפגע כתוצאה מביצוע </w:t>
      </w:r>
      <w:r>
        <w:rPr>
          <w:rFonts w:hint="cs"/>
          <w:rtl/>
        </w:rPr>
        <w:t>העבירה של החזקה ונשיאת נשק בה הורשע הנאשם</w:t>
      </w:r>
      <w:r w:rsidRPr="00196903">
        <w:rPr>
          <w:rtl/>
        </w:rPr>
        <w:t xml:space="preserve">, הינו </w:t>
      </w:r>
      <w:r>
        <w:rPr>
          <w:rFonts w:hint="cs"/>
          <w:rtl/>
        </w:rPr>
        <w:t xml:space="preserve">- </w:t>
      </w:r>
      <w:r w:rsidRPr="00196903">
        <w:rPr>
          <w:rtl/>
        </w:rPr>
        <w:t xml:space="preserve">שלום הציבור ובטחונו. </w:t>
      </w:r>
    </w:p>
    <w:p w14:paraId="070BEFE0" w14:textId="77777777" w:rsidR="00A547EE" w:rsidRDefault="00A547EE" w:rsidP="00A547EE">
      <w:pPr>
        <w:spacing w:line="360" w:lineRule="auto"/>
        <w:ind w:left="720" w:hanging="720"/>
        <w:jc w:val="both"/>
        <w:rPr>
          <w:rFonts w:cs="Miriam"/>
          <w:rtl/>
        </w:rPr>
      </w:pPr>
    </w:p>
    <w:p w14:paraId="6FFE1168" w14:textId="77777777" w:rsidR="00A547EE" w:rsidRDefault="00A547EE" w:rsidP="00A547EE">
      <w:pPr>
        <w:spacing w:line="360" w:lineRule="auto"/>
        <w:ind w:left="1134" w:right="1418"/>
        <w:jc w:val="both"/>
        <w:rPr>
          <w:rtl/>
        </w:rPr>
      </w:pPr>
      <w:r w:rsidRPr="00244E26">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sidRPr="00196903">
        <w:rPr>
          <w:rtl/>
        </w:rPr>
        <w:t xml:space="preserve"> </w:t>
      </w:r>
    </w:p>
    <w:p w14:paraId="00EEA2FE" w14:textId="77777777" w:rsidR="00A547EE" w:rsidRDefault="00A547EE" w:rsidP="00A547EE">
      <w:pPr>
        <w:spacing w:line="360" w:lineRule="auto"/>
        <w:ind w:left="1134" w:right="1418"/>
        <w:jc w:val="both"/>
        <w:rPr>
          <w:rtl/>
        </w:rPr>
      </w:pPr>
      <w:r w:rsidRPr="00196903">
        <w:rPr>
          <w:rtl/>
        </w:rPr>
        <w:t>(</w:t>
      </w:r>
      <w:hyperlink r:id="rId25" w:history="1">
        <w:r w:rsidR="00D200F0" w:rsidRPr="00D200F0">
          <w:rPr>
            <w:color w:val="0000FF"/>
            <w:u w:val="single"/>
            <w:rtl/>
          </w:rPr>
          <w:t>ע"פ 7502/12</w:t>
        </w:r>
      </w:hyperlink>
      <w:r w:rsidRPr="00196903">
        <w:rPr>
          <w:rtl/>
        </w:rPr>
        <w:t xml:space="preserve">  ‏</w:t>
      </w:r>
      <w:r w:rsidRPr="00244E26">
        <w:rPr>
          <w:rFonts w:cs="Miriam"/>
          <w:rtl/>
        </w:rPr>
        <w:t>כוויס נ' מדינת ישראל</w:t>
      </w:r>
      <w:r w:rsidRPr="00196903">
        <w:rPr>
          <w:rtl/>
        </w:rPr>
        <w:t xml:space="preserve"> (25.6.2013)). </w:t>
      </w:r>
    </w:p>
    <w:p w14:paraId="5DEFA670" w14:textId="77777777" w:rsidR="00A547EE" w:rsidRDefault="00A547EE" w:rsidP="00A547EE">
      <w:pPr>
        <w:spacing w:line="360" w:lineRule="auto"/>
        <w:ind w:left="1134" w:right="1418"/>
        <w:rPr>
          <w:rtl/>
        </w:rPr>
      </w:pPr>
    </w:p>
    <w:p w14:paraId="4DD1116C" w14:textId="77777777" w:rsidR="00A547EE" w:rsidRDefault="00A547EE" w:rsidP="00A547EE">
      <w:pPr>
        <w:spacing w:line="360" w:lineRule="auto"/>
        <w:jc w:val="both"/>
        <w:rPr>
          <w:rtl/>
        </w:rPr>
      </w:pPr>
      <w:r w:rsidRPr="00196903">
        <w:rPr>
          <w:rtl/>
        </w:rPr>
        <w:t>בתי המשפט עמדו לא אחת על חומרתן הרבה של עבירות הנשק למיניהן, על פוטנציאל הסיכון הרב הטמון בשימוש בנשק ללא היתר והעברתו מיד ליד ללא פיקוח, וכן על התוצאות הקשות והרות-הגורל שעלולות להיגרם מביצוע עבירות אלו.  לעניין זה יפים דבריו של כב' השופט לוי ב</w:t>
      </w:r>
      <w:hyperlink r:id="rId26" w:history="1">
        <w:r w:rsidR="00D200F0" w:rsidRPr="00D200F0">
          <w:rPr>
            <w:color w:val="0000FF"/>
            <w:u w:val="single"/>
            <w:rtl/>
          </w:rPr>
          <w:t>ע"פ 5833/07</w:t>
        </w:r>
      </w:hyperlink>
      <w:r w:rsidRPr="00196903">
        <w:rPr>
          <w:rtl/>
        </w:rPr>
        <w:t xml:space="preserve">  </w:t>
      </w:r>
      <w:r w:rsidRPr="00244E26">
        <w:rPr>
          <w:rFonts w:cs="Miriam"/>
          <w:rtl/>
        </w:rPr>
        <w:t>ח'ורי נ' מדינת ישראל</w:t>
      </w:r>
      <w:r w:rsidRPr="00196903">
        <w:rPr>
          <w:rtl/>
        </w:rPr>
        <w:t xml:space="preserve"> (פורסם בנבו, 18.11.2007):  </w:t>
      </w:r>
    </w:p>
    <w:p w14:paraId="68962F67" w14:textId="77777777" w:rsidR="00A547EE" w:rsidRDefault="00A547EE" w:rsidP="00A547EE">
      <w:pPr>
        <w:spacing w:line="360" w:lineRule="auto"/>
        <w:ind w:left="720"/>
        <w:rPr>
          <w:rFonts w:cs="Miriam"/>
          <w:rtl/>
        </w:rPr>
      </w:pPr>
    </w:p>
    <w:p w14:paraId="64A57415" w14:textId="77777777" w:rsidR="00A547EE" w:rsidRDefault="00A547EE" w:rsidP="00A547EE">
      <w:pPr>
        <w:spacing w:line="360" w:lineRule="auto"/>
        <w:ind w:left="1134" w:right="1701"/>
        <w:jc w:val="both"/>
        <w:rPr>
          <w:rtl/>
        </w:rPr>
      </w:pPr>
      <w:r w:rsidRPr="00244E26">
        <w:rPr>
          <w:rFonts w:cs="Miriam"/>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r w:rsidRPr="00244E26">
        <w:rPr>
          <w:rFonts w:cs="Miriam" w:hint="cs"/>
          <w:rtl/>
        </w:rPr>
        <w:t>"</w:t>
      </w:r>
    </w:p>
    <w:p w14:paraId="3A633886" w14:textId="77777777" w:rsidR="00A547EE" w:rsidRDefault="00A547EE" w:rsidP="00A547EE">
      <w:pPr>
        <w:spacing w:line="360" w:lineRule="auto"/>
        <w:rPr>
          <w:rtl/>
        </w:rPr>
      </w:pPr>
    </w:p>
    <w:p w14:paraId="0B7C3FEE" w14:textId="77777777" w:rsidR="00A547EE" w:rsidRDefault="00A547EE" w:rsidP="00A547EE">
      <w:pPr>
        <w:spacing w:line="360" w:lineRule="auto"/>
        <w:jc w:val="both"/>
        <w:rPr>
          <w:rtl/>
        </w:rPr>
      </w:pPr>
      <w:r>
        <w:rPr>
          <w:rFonts w:hint="cs"/>
          <w:rtl/>
        </w:rPr>
        <w:t>20.</w:t>
      </w:r>
      <w:r>
        <w:rPr>
          <w:rFonts w:hint="cs"/>
          <w:rtl/>
        </w:rPr>
        <w:tab/>
      </w:r>
      <w:r>
        <w:rPr>
          <w:rtl/>
        </w:rPr>
        <w:t xml:space="preserve">ומהתם להכא: </w:t>
      </w:r>
      <w:r>
        <w:rPr>
          <w:rFonts w:hint="cs"/>
          <w:rtl/>
        </w:rPr>
        <w:t xml:space="preserve"> </w:t>
      </w:r>
      <w:r w:rsidRPr="004D76D6">
        <w:rPr>
          <w:rtl/>
        </w:rPr>
        <w:t xml:space="preserve">במקרה דנן עסקינן בנשק </w:t>
      </w:r>
      <w:r>
        <w:rPr>
          <w:rFonts w:hint="cs"/>
          <w:rtl/>
        </w:rPr>
        <w:t>מסוג תת מקלע ובמחסנית לתת המקלע</w:t>
      </w:r>
      <w:r w:rsidRPr="004D76D6">
        <w:rPr>
          <w:rtl/>
        </w:rPr>
        <w:t xml:space="preserve">, </w:t>
      </w:r>
      <w:r>
        <w:rPr>
          <w:rFonts w:hint="cs"/>
          <w:rtl/>
        </w:rPr>
        <w:t xml:space="preserve">אותם נשא הנאשם שלא כדין ובהם, כאמור, החזיק. אין צורך להכביר במילים באשר לסיכון הפוטנציאלי הגלום בנשיאת והחזקת תת מקלע ומחסנית לתת המקלע. טענתו של הנאשם, לפיה התכוון לעשות שימוש בנשק במסגרת חתונת חברו, ולא מעבר לכך, אמנם לא נסתרה על ידי המאשימה. אולם, מנגד, אין אף כל ראיה של ממש המחזקת טענה זו. אף אם נצא מנקודת הנחה, כי הנאשם אכן התכוון לעשות שימוש בנשק בחתונת חברו, הרי שגם בכך טמונה סכנה פוטנציאלית לביטחון הציבור, כפי שטענה בנקודה זו באת כוח המאשימה, ובצדק. ודוק, שימוש בנשק מהסוג שבפנינו (תת מקלע מאולתר) במסגרת חתונה רבת משתתפים עלול חלילה להביא לפגיעה בנפש, גם אם לא במתכוון. </w:t>
      </w:r>
    </w:p>
    <w:p w14:paraId="38AD395F" w14:textId="77777777" w:rsidR="00A547EE" w:rsidRDefault="00A547EE" w:rsidP="00A547EE">
      <w:pPr>
        <w:spacing w:line="360" w:lineRule="auto"/>
        <w:rPr>
          <w:rtl/>
        </w:rPr>
      </w:pPr>
    </w:p>
    <w:p w14:paraId="687EB5EB" w14:textId="77777777" w:rsidR="00A547EE" w:rsidRDefault="00A547EE" w:rsidP="00A547EE">
      <w:pPr>
        <w:spacing w:line="360" w:lineRule="auto"/>
        <w:rPr>
          <w:rtl/>
        </w:rPr>
      </w:pPr>
    </w:p>
    <w:p w14:paraId="6015F25A" w14:textId="77777777" w:rsidR="00A547EE" w:rsidRDefault="00A547EE" w:rsidP="00A547EE">
      <w:pPr>
        <w:spacing w:line="360" w:lineRule="auto"/>
        <w:jc w:val="both"/>
        <w:rPr>
          <w:rtl/>
        </w:rPr>
      </w:pPr>
      <w:r>
        <w:rPr>
          <w:rFonts w:hint="cs"/>
          <w:rtl/>
        </w:rPr>
        <w:t>21.</w:t>
      </w:r>
      <w:r>
        <w:rPr>
          <w:rFonts w:hint="cs"/>
          <w:rtl/>
        </w:rPr>
        <w:tab/>
        <w:t xml:space="preserve">עם זאת ובמסגרת סקירת הנסיבות הקשורות בביצוע העבירה, יש לזקוף, לטובת הנאשם, את העובדה שהנאשם החזיק ברשותו את הנשק לתקופה קצרה של שלושה ימים בלבד, כמו גם את העובדה שהנאשם הוביל בעצמו את כוחות הביטחון למקום בו החביא את הנשק, כפי שעולה ממקרא כתב האישום. עוד אציין לקולה, כי הנאשם נשא את הנשק מבית אחד בכפר לבית אחר בו, ולא מעבר לכך, דבר המלמד, כטענת הסנגור, כי נסיבות ביצוע העבירה של נשיאת נשק שלא כדין אינן חמורות, שכן עסקינן, כאמור, בנשיאת הנשק על ידי הנאשם במשך פרק זמן קצר ובתוך כפרו בלבד.  </w:t>
      </w:r>
    </w:p>
    <w:p w14:paraId="44FF5BCF" w14:textId="77777777" w:rsidR="00A547EE" w:rsidRDefault="00A547EE" w:rsidP="00A547EE">
      <w:pPr>
        <w:spacing w:line="360" w:lineRule="auto"/>
        <w:rPr>
          <w:rtl/>
        </w:rPr>
      </w:pPr>
    </w:p>
    <w:p w14:paraId="1371EA5F" w14:textId="77777777" w:rsidR="00A547EE" w:rsidRDefault="00A547EE" w:rsidP="00A547EE">
      <w:pPr>
        <w:spacing w:line="360" w:lineRule="auto"/>
        <w:rPr>
          <w:rtl/>
        </w:rPr>
      </w:pPr>
    </w:p>
    <w:p w14:paraId="1438EDA5" w14:textId="77777777" w:rsidR="00A547EE" w:rsidRDefault="00A547EE" w:rsidP="00A547EE">
      <w:pPr>
        <w:spacing w:line="360" w:lineRule="auto"/>
        <w:jc w:val="both"/>
        <w:rPr>
          <w:rtl/>
        </w:rPr>
      </w:pPr>
      <w:r w:rsidRPr="004D76D6">
        <w:rPr>
          <w:rtl/>
        </w:rPr>
        <w:t xml:space="preserve"> </w:t>
      </w:r>
      <w:r>
        <w:rPr>
          <w:rFonts w:hint="cs"/>
          <w:rtl/>
        </w:rPr>
        <w:t>22</w:t>
      </w:r>
      <w:r w:rsidRPr="004D76D6">
        <w:rPr>
          <w:rtl/>
        </w:rPr>
        <w:t>.</w:t>
      </w:r>
      <w:r>
        <w:rPr>
          <w:rtl/>
        </w:rPr>
        <w:tab/>
      </w:r>
      <w:r w:rsidRPr="004D76D6">
        <w:rPr>
          <w:rtl/>
        </w:rPr>
        <w:t xml:space="preserve">במסגרת בחינת מדיניות הענישה </w:t>
      </w:r>
      <w:r>
        <w:rPr>
          <w:rFonts w:hint="cs"/>
          <w:rtl/>
        </w:rPr>
        <w:t xml:space="preserve">הנהוגה </w:t>
      </w:r>
      <w:r w:rsidRPr="004D76D6">
        <w:rPr>
          <w:rtl/>
        </w:rPr>
        <w:t xml:space="preserve">בגין </w:t>
      </w:r>
      <w:r>
        <w:rPr>
          <w:rFonts w:hint="cs"/>
          <w:rtl/>
        </w:rPr>
        <w:t>העבירה</w:t>
      </w:r>
      <w:r w:rsidRPr="004D76D6">
        <w:rPr>
          <w:rtl/>
        </w:rPr>
        <w:t xml:space="preserve"> </w:t>
      </w:r>
      <w:r>
        <w:rPr>
          <w:rFonts w:hint="cs"/>
          <w:rtl/>
        </w:rPr>
        <w:t>שבפנינו</w:t>
      </w:r>
      <w:r w:rsidRPr="004D76D6">
        <w:rPr>
          <w:rtl/>
        </w:rPr>
        <w:t>,</w:t>
      </w:r>
      <w:r>
        <w:rPr>
          <w:rFonts w:hint="cs"/>
          <w:rtl/>
        </w:rPr>
        <w:t xml:space="preserve"> שעניינה, כאמור, החזקת ונשיאת נשק, תובא הפסיקה הבאה:   </w:t>
      </w:r>
    </w:p>
    <w:p w14:paraId="67019015" w14:textId="77777777" w:rsidR="00A547EE" w:rsidRDefault="00A547EE" w:rsidP="00A547EE">
      <w:pPr>
        <w:spacing w:line="360" w:lineRule="auto"/>
      </w:pPr>
    </w:p>
    <w:p w14:paraId="420157DC" w14:textId="77777777" w:rsidR="00A547EE" w:rsidRDefault="00A547EE" w:rsidP="00A547EE">
      <w:pPr>
        <w:pStyle w:val="ListParagraph"/>
        <w:numPr>
          <w:ilvl w:val="0"/>
          <w:numId w:val="1"/>
        </w:numPr>
        <w:spacing w:line="360" w:lineRule="auto"/>
        <w:jc w:val="both"/>
        <w:rPr>
          <w:rtl/>
        </w:rPr>
      </w:pPr>
      <w:r>
        <w:rPr>
          <w:rtl/>
        </w:rPr>
        <w:t>ב</w:t>
      </w:r>
      <w:hyperlink r:id="rId27" w:history="1">
        <w:r w:rsidR="00D200F0" w:rsidRPr="00D200F0">
          <w:rPr>
            <w:color w:val="0000FF"/>
            <w:u w:val="single"/>
            <w:rtl/>
          </w:rPr>
          <w:t>ת"פ (מחוזי נצרת) 35007-04-13</w:t>
        </w:r>
      </w:hyperlink>
      <w:r>
        <w:rPr>
          <w:rtl/>
        </w:rPr>
        <w:t xml:space="preserve"> </w:t>
      </w:r>
      <w:r w:rsidRPr="00540EDD">
        <w:rPr>
          <w:rtl/>
        </w:rPr>
        <w:t xml:space="preserve"> </w:t>
      </w:r>
      <w:r w:rsidRPr="00FF1C89">
        <w:rPr>
          <w:rFonts w:cs="Miriam"/>
          <w:rtl/>
        </w:rPr>
        <w:t>מדינת ישראל נ' איסלאם עזאיזה</w:t>
      </w:r>
      <w:r>
        <w:rPr>
          <w:rtl/>
        </w:rPr>
        <w:t xml:space="preserve"> </w:t>
      </w:r>
      <w:r>
        <w:rPr>
          <w:rFonts w:hint="cs"/>
          <w:rtl/>
        </w:rPr>
        <w:t xml:space="preserve">(08.01.15) הושת על </w:t>
      </w:r>
      <w:r>
        <w:rPr>
          <w:rtl/>
        </w:rPr>
        <w:t xml:space="preserve">נאשם </w:t>
      </w:r>
      <w:r>
        <w:rPr>
          <w:rFonts w:hint="cs"/>
          <w:rtl/>
        </w:rPr>
        <w:t xml:space="preserve">("בגיר צעיר") </w:t>
      </w:r>
      <w:r>
        <w:rPr>
          <w:rtl/>
        </w:rPr>
        <w:t>שהורשע</w:t>
      </w:r>
      <w:r>
        <w:rPr>
          <w:rFonts w:hint="cs"/>
          <w:rtl/>
        </w:rPr>
        <w:t xml:space="preserve">, מכוח הודאתו בעובדות כתב אישום שתוקן במסגרת הסדר טיעון, בביצוע </w:t>
      </w:r>
      <w:r>
        <w:rPr>
          <w:rtl/>
        </w:rPr>
        <w:t>עבירות של נשיאת נשק שלא</w:t>
      </w:r>
      <w:r>
        <w:rPr>
          <w:rFonts w:hint="cs"/>
          <w:rtl/>
        </w:rPr>
        <w:t xml:space="preserve"> </w:t>
      </w:r>
      <w:r>
        <w:rPr>
          <w:rtl/>
        </w:rPr>
        <w:t>כדין והחזקת נשק שלא כדין, לאחר שנשא נשק טעון על רקע סכסוך,</w:t>
      </w:r>
      <w:r>
        <w:rPr>
          <w:rFonts w:hint="cs"/>
          <w:rtl/>
        </w:rPr>
        <w:t xml:space="preserve"> </w:t>
      </w:r>
      <w:r>
        <w:rPr>
          <w:rtl/>
        </w:rPr>
        <w:t>עונש של מאסר בפועל למשך 9 חודשים</w:t>
      </w:r>
      <w:r>
        <w:rPr>
          <w:rFonts w:hint="cs"/>
          <w:rtl/>
        </w:rPr>
        <w:t>, בצירוף ענישה נלווית</w:t>
      </w:r>
      <w:r>
        <w:rPr>
          <w:rtl/>
        </w:rPr>
        <w:t>. נקבע</w:t>
      </w:r>
      <w:r>
        <w:rPr>
          <w:rFonts w:hint="cs"/>
          <w:rtl/>
        </w:rPr>
        <w:t xml:space="preserve"> בגזר הדין</w:t>
      </w:r>
      <w:r>
        <w:rPr>
          <w:rtl/>
        </w:rPr>
        <w:t>, כי מתחם העונש ההולם נע בין 7 חודשי</w:t>
      </w:r>
      <w:r>
        <w:rPr>
          <w:rFonts w:hint="cs"/>
          <w:rtl/>
        </w:rPr>
        <w:t xml:space="preserve"> </w:t>
      </w:r>
      <w:r>
        <w:rPr>
          <w:rtl/>
        </w:rPr>
        <w:t>מאסר בפועל לבין 30 חודשי מאסר בפועל</w:t>
      </w:r>
      <w:r>
        <w:rPr>
          <w:rFonts w:hint="cs"/>
          <w:rtl/>
        </w:rPr>
        <w:t>.</w:t>
      </w:r>
      <w:r>
        <w:rPr>
          <w:rtl/>
        </w:rPr>
        <w:t xml:space="preserve"> </w:t>
      </w:r>
    </w:p>
    <w:p w14:paraId="489471C8" w14:textId="77777777" w:rsidR="00A547EE" w:rsidRDefault="00A547EE" w:rsidP="00A547EE">
      <w:pPr>
        <w:pStyle w:val="ListParagraph"/>
        <w:spacing w:line="360" w:lineRule="auto"/>
      </w:pPr>
    </w:p>
    <w:p w14:paraId="01DDDDDA" w14:textId="77777777" w:rsidR="00A547EE" w:rsidRDefault="00A547EE" w:rsidP="00A547EE">
      <w:pPr>
        <w:pStyle w:val="ListParagraph"/>
        <w:numPr>
          <w:ilvl w:val="0"/>
          <w:numId w:val="1"/>
        </w:numPr>
        <w:spacing w:line="360" w:lineRule="auto"/>
        <w:jc w:val="both"/>
      </w:pPr>
      <w:r>
        <w:rPr>
          <w:rFonts w:hint="cs"/>
          <w:rtl/>
        </w:rPr>
        <w:t>ב</w:t>
      </w:r>
      <w:hyperlink r:id="rId28" w:history="1">
        <w:r w:rsidR="00D200F0" w:rsidRPr="00D200F0">
          <w:rPr>
            <w:color w:val="0000FF"/>
            <w:u w:val="single"/>
            <w:rtl/>
          </w:rPr>
          <w:t>ת"פ (מחוזי באר שבע) 4338-04-13</w:t>
        </w:r>
      </w:hyperlink>
      <w:r>
        <w:rPr>
          <w:rFonts w:hint="cs"/>
          <w:rtl/>
        </w:rPr>
        <w:t xml:space="preserve">  </w:t>
      </w:r>
      <w:r w:rsidRPr="00FF1C89">
        <w:rPr>
          <w:rFonts w:cs="Miriam" w:hint="cs"/>
          <w:rtl/>
        </w:rPr>
        <w:t>מדינת ישראל נ' אביעוז</w:t>
      </w:r>
      <w:r>
        <w:rPr>
          <w:rFonts w:hint="cs"/>
          <w:rtl/>
        </w:rPr>
        <w:t xml:space="preserve"> ( 11.12.16)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w:t>
      </w:r>
    </w:p>
    <w:p w14:paraId="37949FA8" w14:textId="77777777" w:rsidR="00A547EE" w:rsidRPr="00FF1C89" w:rsidRDefault="00A547EE" w:rsidP="00A547EE">
      <w:pPr>
        <w:pStyle w:val="ListParagraph"/>
        <w:jc w:val="both"/>
        <w:rPr>
          <w:rtl/>
        </w:rPr>
      </w:pPr>
    </w:p>
    <w:p w14:paraId="5BBDB0FF" w14:textId="77777777" w:rsidR="00A547EE" w:rsidRDefault="00A547EE" w:rsidP="00A547EE">
      <w:pPr>
        <w:pStyle w:val="ListParagraph"/>
        <w:numPr>
          <w:ilvl w:val="0"/>
          <w:numId w:val="1"/>
        </w:numPr>
        <w:spacing w:line="360" w:lineRule="auto"/>
        <w:jc w:val="both"/>
      </w:pPr>
      <w:r>
        <w:rPr>
          <w:rtl/>
        </w:rPr>
        <w:t xml:space="preserve"> </w:t>
      </w:r>
      <w:r w:rsidRPr="004D76D6">
        <w:rPr>
          <w:rtl/>
        </w:rPr>
        <w:t>ב</w:t>
      </w:r>
      <w:hyperlink r:id="rId29" w:history="1">
        <w:r w:rsidR="00D200F0" w:rsidRPr="00D200F0">
          <w:rPr>
            <w:color w:val="0000FF"/>
            <w:u w:val="single"/>
            <w:rtl/>
          </w:rPr>
          <w:t>ת"פ (מחוזי חיפה) 31862-05-13</w:t>
        </w:r>
      </w:hyperlink>
      <w:r w:rsidRPr="004D76D6">
        <w:rPr>
          <w:rtl/>
        </w:rPr>
        <w:t xml:space="preserve">  </w:t>
      </w:r>
      <w:r w:rsidRPr="00D47C2D">
        <w:rPr>
          <w:rFonts w:cs="Miriam"/>
          <w:rtl/>
        </w:rPr>
        <w:t>מ"י נ' מוחמד מחאמיד</w:t>
      </w:r>
      <w:r w:rsidRPr="004D76D6">
        <w:rPr>
          <w:rtl/>
        </w:rPr>
        <w:t xml:space="preserve"> (1.10.13) הוטל על נאשם צעיר</w:t>
      </w:r>
      <w:r>
        <w:rPr>
          <w:rFonts w:hint="cs"/>
          <w:rtl/>
        </w:rPr>
        <w:t>,</w:t>
      </w:r>
      <w:r w:rsidRPr="004D76D6">
        <w:rPr>
          <w:rtl/>
        </w:rPr>
        <w:t xml:space="preserve"> בן פחות מ- 21</w:t>
      </w:r>
      <w:r>
        <w:rPr>
          <w:rFonts w:hint="cs"/>
          <w:rtl/>
        </w:rPr>
        <w:t>,</w:t>
      </w:r>
      <w:r w:rsidRPr="004D76D6">
        <w:rPr>
          <w:rtl/>
        </w:rPr>
        <w:t xml:space="preserve"> עונש של 21 חודשי מאסר בפועל בגין עבירה של נשיאת נשק (אקדח) שלא כדין בצד עבירה של הפרעה לשוטר בשעת מילוי תפקידו כדין.   </w:t>
      </w:r>
    </w:p>
    <w:p w14:paraId="173C03A0" w14:textId="77777777" w:rsidR="00A547EE" w:rsidRDefault="00A547EE" w:rsidP="00A547EE">
      <w:pPr>
        <w:pStyle w:val="ListParagraph"/>
        <w:spacing w:line="360" w:lineRule="auto"/>
        <w:jc w:val="both"/>
      </w:pPr>
      <w:r w:rsidRPr="004D76D6">
        <w:rPr>
          <w:rtl/>
        </w:rPr>
        <w:t xml:space="preserve"> </w:t>
      </w:r>
    </w:p>
    <w:p w14:paraId="7463D48F" w14:textId="77777777" w:rsidR="00A547EE" w:rsidRDefault="00A547EE" w:rsidP="00A547EE">
      <w:pPr>
        <w:pStyle w:val="ListParagraph"/>
        <w:numPr>
          <w:ilvl w:val="0"/>
          <w:numId w:val="1"/>
        </w:numPr>
        <w:spacing w:line="360" w:lineRule="auto"/>
        <w:jc w:val="both"/>
      </w:pPr>
      <w:r w:rsidRPr="004D76D6">
        <w:rPr>
          <w:rtl/>
        </w:rPr>
        <w:t xml:space="preserve"> ב</w:t>
      </w:r>
      <w:hyperlink r:id="rId30" w:history="1">
        <w:r w:rsidR="0061736F" w:rsidRPr="0061736F">
          <w:rPr>
            <w:color w:val="0000FF"/>
            <w:u w:val="single"/>
            <w:rtl/>
          </w:rPr>
          <w:t xml:space="preserve">ת"פ (מחוזי חיפה) 2011/06 </w:t>
        </w:r>
      </w:hyperlink>
      <w:r w:rsidRPr="004D76D6">
        <w:rPr>
          <w:rtl/>
        </w:rPr>
        <w:t xml:space="preserve"> </w:t>
      </w:r>
      <w:r w:rsidRPr="00D47C2D">
        <w:rPr>
          <w:rFonts w:cs="Miriam"/>
          <w:rtl/>
        </w:rPr>
        <w:t>מ"י נ' אבו סנינה</w:t>
      </w:r>
      <w:r w:rsidRPr="004D76D6">
        <w:rPr>
          <w:rtl/>
        </w:rPr>
        <w:t xml:space="preserve"> (07.03.06), הושת על נאשם שהורשע, עפ"י הודאתו, בגין ביצוע עבירה של נשיאת נשק שלא כדין עונש של 18 חודשי מאסר בפועל, שם דובר  באקדח שהוחזק בנסיבות מיוחדות ע"י הנאשם</w:t>
      </w:r>
      <w:r>
        <w:rPr>
          <w:rFonts w:hint="cs"/>
          <w:rtl/>
        </w:rPr>
        <w:t xml:space="preserve">, </w:t>
      </w:r>
      <w:r w:rsidRPr="004D76D6">
        <w:rPr>
          <w:rtl/>
        </w:rPr>
        <w:t xml:space="preserve"> ואשר לא נעשה בו שימוש כלשהו לאורך שנים.  </w:t>
      </w:r>
    </w:p>
    <w:p w14:paraId="34DE5E12" w14:textId="77777777" w:rsidR="00A547EE" w:rsidRDefault="00A547EE" w:rsidP="00A547EE">
      <w:pPr>
        <w:pStyle w:val="ListParagraph"/>
        <w:rPr>
          <w:rtl/>
        </w:rPr>
      </w:pPr>
    </w:p>
    <w:p w14:paraId="51CBB693" w14:textId="77777777" w:rsidR="00A547EE" w:rsidRDefault="00A547EE" w:rsidP="00A547EE">
      <w:pPr>
        <w:spacing w:line="360" w:lineRule="auto"/>
        <w:jc w:val="both"/>
      </w:pPr>
      <w:r>
        <w:rPr>
          <w:rFonts w:hint="cs"/>
          <w:rtl/>
        </w:rPr>
        <w:t>23.</w:t>
      </w:r>
      <w:r>
        <w:rPr>
          <w:rFonts w:hint="cs"/>
          <w:rtl/>
        </w:rPr>
        <w:tab/>
        <w:t>כמו כן, נתתי דעתי לפסיקה המתייחסת לעבירות של החזקת ונשיאת נשק והעולה מאסופת הפסיקה שהגישה המאשימה (</w:t>
      </w:r>
      <w:r w:rsidRPr="005B00FF">
        <w:rPr>
          <w:rFonts w:cs="Miriam" w:hint="cs"/>
          <w:rtl/>
        </w:rPr>
        <w:t>ת/2</w:t>
      </w:r>
      <w:r>
        <w:rPr>
          <w:rFonts w:hint="cs"/>
          <w:rtl/>
        </w:rPr>
        <w:t>) ומאסופת הפסיקה שהגישה ההגנה (</w:t>
      </w:r>
      <w:r w:rsidRPr="005B00FF">
        <w:rPr>
          <w:rFonts w:cs="Miriam" w:hint="cs"/>
          <w:rtl/>
        </w:rPr>
        <w:t>נ/2</w:t>
      </w:r>
      <w:r>
        <w:rPr>
          <w:rFonts w:hint="cs"/>
          <w:rtl/>
        </w:rPr>
        <w:t xml:space="preserve">). יודגש בנקודה זו, כי ברי שאין אחידות במדיניות הענישה הנהוגה בגין העבירה של החזקת ונשיאת נשק שלא כדין, זאת בהינתן העובדה שגזירת הדין נעשית בהתאם לנסיבותיו של כל מקרה ומקרה ובהתאם לסוג הנשק בו עסקינן. כאן אתן דעתי לגזר הדין שהושת על סמיר באסל, המעורב, כאמור, בפרשה שבפנינו, שכן גם סמיר הורשע בביצוע העבירה שעניינה החזקת ונשיאת הנשק מושא כתב האישום. ודוק, על סמיר שהורשע, על פי הודאתו, בעובדות כתב אישום מתוקן, בביצוע העבירה הנ"ל, הושת, כאמור, עונש של 12 חודשי מאסר בפועל, בצד רכיבי ענישה נלווים של מאסר על תנאי וקנס כספי (ראו </w:t>
      </w:r>
      <w:r w:rsidRPr="005B00FF">
        <w:rPr>
          <w:rFonts w:cs="Miriam" w:hint="cs"/>
          <w:rtl/>
        </w:rPr>
        <w:t>ת/3</w:t>
      </w:r>
      <w:r>
        <w:rPr>
          <w:rFonts w:hint="cs"/>
          <w:rtl/>
        </w:rPr>
        <w:t>). סמיר, אמנם צעיר יותר מהנאשם ( סמיר היה אך בן 21 בעת מתן גזר הדין נגדו ביום 16.11.16 ב</w:t>
      </w:r>
      <w:hyperlink r:id="rId31" w:history="1">
        <w:r w:rsidR="00D200F0" w:rsidRPr="00D200F0">
          <w:rPr>
            <w:color w:val="0000FF"/>
            <w:u w:val="single"/>
            <w:rtl/>
          </w:rPr>
          <w:t>ת"פ (מחוזי חיפה) 9983-05-16</w:t>
        </w:r>
      </w:hyperlink>
      <w:r>
        <w:rPr>
          <w:rFonts w:hint="cs"/>
          <w:rtl/>
        </w:rPr>
        <w:t xml:space="preserve">). ברם, לחובתו של סמיר הרשעה קודמת משנת 2015 בגין עבירות של שימוש ברכב ללא רשות ואיומים, שבוצעו על ידו בשנת 2014, ואילו עברו של הנאשם שבפנינו נקי ללא רבב. עוד יצוין בנקודה זו כי בית המשפט (כבוד השופט דניאל פיש), קבע בגזר הדין נגד סמיר מתחם עונש הולם הנע בין 9 חודשי מאסר בפועל לבין 3 שנות מאסר בפועל. </w:t>
      </w:r>
    </w:p>
    <w:p w14:paraId="0F27FDAC" w14:textId="77777777" w:rsidR="00A547EE" w:rsidRPr="00C90805" w:rsidRDefault="00A547EE" w:rsidP="00A547EE">
      <w:pPr>
        <w:pStyle w:val="ListParagraph"/>
        <w:jc w:val="both"/>
        <w:rPr>
          <w:rtl/>
        </w:rPr>
      </w:pPr>
    </w:p>
    <w:p w14:paraId="0C3B61EA" w14:textId="77777777" w:rsidR="00A547EE" w:rsidRDefault="00A547EE" w:rsidP="00A547EE">
      <w:pPr>
        <w:spacing w:line="360" w:lineRule="auto"/>
        <w:rPr>
          <w:rtl/>
        </w:rPr>
      </w:pPr>
    </w:p>
    <w:p w14:paraId="5D280AD9" w14:textId="77777777" w:rsidR="00A547EE" w:rsidRDefault="00A547EE" w:rsidP="00A547EE">
      <w:pPr>
        <w:spacing w:line="360" w:lineRule="auto"/>
        <w:jc w:val="both"/>
        <w:rPr>
          <w:rtl/>
        </w:rPr>
      </w:pPr>
      <w:r>
        <w:rPr>
          <w:rFonts w:hint="cs"/>
          <w:rtl/>
        </w:rPr>
        <w:t>24.</w:t>
      </w:r>
      <w:r>
        <w:rPr>
          <w:rFonts w:hint="cs"/>
          <w:rtl/>
        </w:rPr>
        <w:tab/>
      </w:r>
      <w:r w:rsidRPr="00BD7FE6">
        <w:rPr>
          <w:rtl/>
        </w:rPr>
        <w:t>לאחר שסקרתי, כאמור לעיל</w:t>
      </w:r>
      <w:r>
        <w:rPr>
          <w:rFonts w:hint="cs"/>
          <w:rtl/>
        </w:rPr>
        <w:t>,</w:t>
      </w:r>
      <w:r w:rsidRPr="00BD7FE6">
        <w:rPr>
          <w:rtl/>
        </w:rPr>
        <w:t xml:space="preserve"> את </w:t>
      </w:r>
      <w:r>
        <w:rPr>
          <w:rFonts w:hint="cs"/>
          <w:rtl/>
        </w:rPr>
        <w:t xml:space="preserve">הערך </w:t>
      </w:r>
      <w:r>
        <w:rPr>
          <w:rtl/>
        </w:rPr>
        <w:t>החברתי שנפגע</w:t>
      </w:r>
      <w:r w:rsidRPr="00BD7FE6">
        <w:rPr>
          <w:rtl/>
        </w:rPr>
        <w:t xml:space="preserve"> כתוצאה מביצוע </w:t>
      </w:r>
      <w:r>
        <w:rPr>
          <w:rFonts w:hint="cs"/>
          <w:rtl/>
        </w:rPr>
        <w:t xml:space="preserve">העבירה שבפנינו, </w:t>
      </w:r>
      <w:r w:rsidRPr="00BD7FE6">
        <w:rPr>
          <w:rtl/>
        </w:rPr>
        <w:t xml:space="preserve"> </w:t>
      </w:r>
      <w:r>
        <w:rPr>
          <w:rFonts w:hint="cs"/>
          <w:rtl/>
        </w:rPr>
        <w:t xml:space="preserve"> </w:t>
      </w:r>
      <w:r w:rsidRPr="00BD7FE6">
        <w:rPr>
          <w:rtl/>
        </w:rPr>
        <w:t xml:space="preserve"> את נסיבות ביצוע ה</w:t>
      </w:r>
      <w:r>
        <w:rPr>
          <w:rFonts w:hint="cs"/>
          <w:rtl/>
        </w:rPr>
        <w:t xml:space="preserve">עבירה, כמו גם </w:t>
      </w:r>
      <w:r w:rsidRPr="00BD7FE6">
        <w:rPr>
          <w:rtl/>
        </w:rPr>
        <w:t>את מדיניות הענישה הנהוגה</w:t>
      </w:r>
      <w:r>
        <w:rPr>
          <w:rFonts w:hint="cs"/>
          <w:rtl/>
        </w:rPr>
        <w:t xml:space="preserve"> ואת העונש שהושת, כאמור, בגזר הדין נגד סמיר</w:t>
      </w:r>
      <w:r w:rsidRPr="00BD7FE6">
        <w:rPr>
          <w:rtl/>
        </w:rPr>
        <w:t xml:space="preserve">, הגעתי לכלל מסקנה כי מתחם העונש ההולם </w:t>
      </w:r>
      <w:r>
        <w:rPr>
          <w:rFonts w:hint="cs"/>
          <w:rtl/>
        </w:rPr>
        <w:t>בתיק זה</w:t>
      </w:r>
      <w:r>
        <w:rPr>
          <w:rtl/>
        </w:rPr>
        <w:t xml:space="preserve"> נע בין עונש</w:t>
      </w:r>
      <w:r>
        <w:rPr>
          <w:rFonts w:hint="cs"/>
          <w:rtl/>
        </w:rPr>
        <w:t xml:space="preserve"> של</w:t>
      </w:r>
      <w:r>
        <w:rPr>
          <w:rtl/>
        </w:rPr>
        <w:t xml:space="preserve"> </w:t>
      </w:r>
      <w:r>
        <w:rPr>
          <w:rFonts w:hint="cs"/>
          <w:rtl/>
        </w:rPr>
        <w:t xml:space="preserve">10 </w:t>
      </w:r>
      <w:r w:rsidRPr="00BD7FE6">
        <w:rPr>
          <w:rtl/>
        </w:rPr>
        <w:t>חודשי מאסר בפועל לבין עונש של</w:t>
      </w:r>
      <w:r>
        <w:rPr>
          <w:rFonts w:hint="cs"/>
          <w:rtl/>
        </w:rPr>
        <w:t xml:space="preserve"> 24 </w:t>
      </w:r>
      <w:r w:rsidRPr="00BD7FE6">
        <w:rPr>
          <w:rtl/>
        </w:rPr>
        <w:t xml:space="preserve">חודשי מאסר בפועל, זאת בצד רכיב ענישה של מאסר על תנאי </w:t>
      </w:r>
      <w:r>
        <w:rPr>
          <w:rFonts w:hint="cs"/>
          <w:rtl/>
        </w:rPr>
        <w:t xml:space="preserve"> משמעותי ומרתיע.</w:t>
      </w:r>
      <w:r w:rsidRPr="00BD7FE6">
        <w:rPr>
          <w:rtl/>
        </w:rPr>
        <w:t xml:space="preserve"> </w:t>
      </w:r>
    </w:p>
    <w:p w14:paraId="6435138D" w14:textId="77777777" w:rsidR="00A547EE" w:rsidRDefault="00A547EE" w:rsidP="00A547EE">
      <w:pPr>
        <w:spacing w:line="360" w:lineRule="auto"/>
        <w:rPr>
          <w:rtl/>
        </w:rPr>
      </w:pPr>
    </w:p>
    <w:p w14:paraId="633BF790" w14:textId="77777777" w:rsidR="00A547EE" w:rsidRDefault="00A547EE" w:rsidP="00A547EE">
      <w:pPr>
        <w:spacing w:line="360" w:lineRule="auto"/>
        <w:jc w:val="both"/>
        <w:rPr>
          <w:rtl/>
        </w:rPr>
      </w:pPr>
      <w:r>
        <w:rPr>
          <w:rFonts w:hint="cs"/>
          <w:rtl/>
        </w:rPr>
        <w:t>25.</w:t>
      </w:r>
      <w:r>
        <w:rPr>
          <w:rtl/>
        </w:rPr>
        <w:tab/>
      </w:r>
      <w:r w:rsidRPr="00BD7FE6">
        <w:rPr>
          <w:rtl/>
        </w:rPr>
        <w:t xml:space="preserve">במסגרת בחינת הנסיבות, אשר אינן קשורות בביצוע העבירות, </w:t>
      </w:r>
      <w:r>
        <w:rPr>
          <w:rFonts w:hint="cs"/>
          <w:rtl/>
        </w:rPr>
        <w:t xml:space="preserve">כאמור </w:t>
      </w:r>
      <w:hyperlink r:id="rId32" w:history="1">
        <w:r w:rsidR="003E6847" w:rsidRPr="003E6847">
          <w:rPr>
            <w:color w:val="0000FF"/>
            <w:u w:val="single"/>
            <w:rtl/>
          </w:rPr>
          <w:t>בסעיף 40 י"א</w:t>
        </w:r>
      </w:hyperlink>
      <w:r>
        <w:rPr>
          <w:rFonts w:hint="cs"/>
          <w:rtl/>
        </w:rPr>
        <w:t xml:space="preserve"> ל</w:t>
      </w:r>
      <w:hyperlink r:id="rId33" w:history="1">
        <w:r w:rsidR="00D200F0" w:rsidRPr="00D200F0">
          <w:rPr>
            <w:color w:val="0000FF"/>
            <w:u w:val="single"/>
            <w:rtl/>
          </w:rPr>
          <w:t>חוק העונשין</w:t>
        </w:r>
      </w:hyperlink>
      <w:r>
        <w:rPr>
          <w:rFonts w:hint="cs"/>
          <w:rtl/>
        </w:rPr>
        <w:t xml:space="preserve">, </w:t>
      </w:r>
      <w:r w:rsidRPr="00BD7FE6">
        <w:rPr>
          <w:rtl/>
        </w:rPr>
        <w:t>אצי</w:t>
      </w:r>
      <w:r>
        <w:rPr>
          <w:rtl/>
        </w:rPr>
        <w:t>ין את עברו הנקי ללא רבב של הנאש</w:t>
      </w:r>
      <w:r>
        <w:rPr>
          <w:rFonts w:hint="cs"/>
          <w:rtl/>
        </w:rPr>
        <w:t>ם, שהינו בחור צעיר בן 27, העובד לפרנסתו בעסק המשפחתי ומתפקד בדרך כלל באורח נורמטיבי, אם כי אין להתעלם מכך שמתסקיר שירות המבחן עולה כי בבדיקת שתן אחת שנערכה לנאשם נתגלו שרידי סם. עוד אוסיף, לטובת הנאשם, את</w:t>
      </w:r>
      <w:r w:rsidRPr="00BD7FE6">
        <w:rPr>
          <w:rtl/>
        </w:rPr>
        <w:t xml:space="preserve"> הודאת</w:t>
      </w:r>
      <w:r>
        <w:rPr>
          <w:rFonts w:hint="cs"/>
          <w:rtl/>
        </w:rPr>
        <w:t>ו</w:t>
      </w:r>
      <w:r w:rsidRPr="00BD7FE6">
        <w:rPr>
          <w:rtl/>
        </w:rPr>
        <w:t xml:space="preserve"> בהזדמנות הראשונה בעובדות כתב האישום, אשר חסכה הן את העדת העדים</w:t>
      </w:r>
      <w:r>
        <w:rPr>
          <w:rFonts w:hint="cs"/>
          <w:rtl/>
        </w:rPr>
        <w:t xml:space="preserve"> בתיק זה</w:t>
      </w:r>
      <w:r w:rsidRPr="00BD7FE6">
        <w:rPr>
          <w:rtl/>
        </w:rPr>
        <w:t xml:space="preserve">, והן </w:t>
      </w:r>
      <w:r>
        <w:rPr>
          <w:rFonts w:hint="cs"/>
          <w:rtl/>
        </w:rPr>
        <w:t>חסכה מ</w:t>
      </w:r>
      <w:r w:rsidRPr="00BD7FE6">
        <w:rPr>
          <w:rtl/>
        </w:rPr>
        <w:t xml:space="preserve">זמנו היקר של בית המשפט. </w:t>
      </w:r>
      <w:r>
        <w:rPr>
          <w:rFonts w:hint="cs"/>
          <w:rtl/>
        </w:rPr>
        <w:t>בנקודה זו יצוין, כי מדברי הסנגור בפניי עולה, כאמור, כי הנאשם הודה בביצוע העבירה כבר בחקירתו במשטרה ואף הפליל את שני המעורבים האחרים בפרשה. זאת ועוד, הנאשם הביע בפני בית המשפט חרטה על ביצוע העבירה ואף בפני שירות המבחן ציין כי הוא מבין את טעותו וכי לא שקל בעת הרלוונטית את חומרת מעשיו והשלכותיהם. לכל האמור לעיל יש להוסיף, לקולה, את נסיבותיו האישיות של הנאשם, המתוארות, כאמור,  הן בטיעוני ההגנה לעונש והן בתסקיר שירות המבחן.</w:t>
      </w:r>
    </w:p>
    <w:p w14:paraId="0E954C5F" w14:textId="77777777" w:rsidR="00A547EE" w:rsidRDefault="00A547EE" w:rsidP="00A547EE">
      <w:pPr>
        <w:spacing w:line="360" w:lineRule="auto"/>
        <w:rPr>
          <w:rtl/>
        </w:rPr>
      </w:pPr>
    </w:p>
    <w:p w14:paraId="109F920F" w14:textId="77777777" w:rsidR="00A547EE" w:rsidRDefault="00A547EE" w:rsidP="00A547EE">
      <w:pPr>
        <w:spacing w:line="360" w:lineRule="auto"/>
        <w:jc w:val="both"/>
        <w:rPr>
          <w:rtl/>
        </w:rPr>
      </w:pPr>
      <w:r>
        <w:rPr>
          <w:rFonts w:hint="cs"/>
          <w:rtl/>
        </w:rPr>
        <w:t>26.</w:t>
      </w:r>
      <w:r>
        <w:rPr>
          <w:rtl/>
        </w:rPr>
        <w:tab/>
      </w:r>
      <w:r>
        <w:rPr>
          <w:rFonts w:hint="cs"/>
          <w:rtl/>
        </w:rPr>
        <w:t>עם זאת, אין להתעלם מהערכת שירות המבחן בדבר קיומה של רמת סיכון בינונית לביצוע עבירות בתחום האלימות על ידי הנאשם,</w:t>
      </w:r>
      <w:r w:rsidRPr="00BD7FE6">
        <w:rPr>
          <w:rtl/>
        </w:rPr>
        <w:t xml:space="preserve"> </w:t>
      </w:r>
      <w:r>
        <w:rPr>
          <w:rFonts w:hint="cs"/>
          <w:rtl/>
        </w:rPr>
        <w:t>כמו גם מהעובדה שהנאשם לא הביע רצון לשיתוף פעולה עם שירות המבחן לצורך עריכת שינוי בחייו. בנסיבות אלו, ובהינתן האמור בתסקיר שירות המבחן, הרי שאין מקום לסטות לקולה ממתחם העונש ההולם</w:t>
      </w:r>
      <w:r w:rsidRPr="00BD7FE6">
        <w:rPr>
          <w:rtl/>
        </w:rPr>
        <w:t xml:space="preserve"> </w:t>
      </w:r>
      <w:r>
        <w:rPr>
          <w:rFonts w:hint="cs"/>
          <w:rtl/>
        </w:rPr>
        <w:t xml:space="preserve">בתיק זה, מטעמים של שיקום הנאשם. עם זאת, ונוכח מכלול הטעמים לקולה שהובאו לעיל, הנני בדעה כי יש מקום להשית על הנאשם בתיק זה עונש של מאסר בפועל, המצוי ברף התחתון של מתחם העונש ההולם, שנקבע על ידי לעיל. </w:t>
      </w:r>
    </w:p>
    <w:p w14:paraId="54B3101B" w14:textId="77777777" w:rsidR="00A547EE" w:rsidRDefault="00A547EE" w:rsidP="00A547EE">
      <w:pPr>
        <w:spacing w:line="360" w:lineRule="auto"/>
        <w:rPr>
          <w:rtl/>
        </w:rPr>
      </w:pPr>
    </w:p>
    <w:p w14:paraId="747DC0A9" w14:textId="77777777" w:rsidR="00A547EE" w:rsidRDefault="00A547EE" w:rsidP="00A547EE">
      <w:pPr>
        <w:spacing w:line="360" w:lineRule="auto"/>
        <w:jc w:val="both"/>
        <w:rPr>
          <w:rtl/>
        </w:rPr>
      </w:pPr>
      <w:r>
        <w:rPr>
          <w:rFonts w:hint="cs"/>
          <w:rtl/>
        </w:rPr>
        <w:t>27.</w:t>
      </w:r>
      <w:r w:rsidRPr="00BD7FE6">
        <w:rPr>
          <w:rtl/>
        </w:rPr>
        <w:t xml:space="preserve">   </w:t>
      </w:r>
      <w:r>
        <w:rPr>
          <w:rtl/>
        </w:rPr>
        <w:t xml:space="preserve">     סיכומו של דבר </w:t>
      </w:r>
      <w:r w:rsidRPr="00BD7FE6">
        <w:rPr>
          <w:rtl/>
        </w:rPr>
        <w:t xml:space="preserve"> אני דנה את הנאשם</w:t>
      </w:r>
      <w:r>
        <w:rPr>
          <w:rFonts w:hint="cs"/>
          <w:rtl/>
        </w:rPr>
        <w:t>, כדלקמן:</w:t>
      </w:r>
    </w:p>
    <w:p w14:paraId="1754FFF8" w14:textId="77777777" w:rsidR="00A547EE" w:rsidRDefault="00A547EE" w:rsidP="00A547EE">
      <w:pPr>
        <w:pStyle w:val="ListParagraph"/>
        <w:numPr>
          <w:ilvl w:val="0"/>
          <w:numId w:val="2"/>
        </w:numPr>
        <w:spacing w:line="360" w:lineRule="auto"/>
        <w:jc w:val="both"/>
      </w:pPr>
      <w:r>
        <w:rPr>
          <w:rtl/>
        </w:rPr>
        <w:t>למאסר בפועל לתקופ</w:t>
      </w:r>
      <w:r>
        <w:rPr>
          <w:rFonts w:hint="cs"/>
          <w:rtl/>
        </w:rPr>
        <w:t xml:space="preserve">ה של 10 </w:t>
      </w:r>
      <w:r w:rsidRPr="00BD7FE6">
        <w:rPr>
          <w:rtl/>
        </w:rPr>
        <w:t xml:space="preserve">חודשים בניכוי ימי מעצרו (מיום </w:t>
      </w:r>
      <w:r>
        <w:rPr>
          <w:rFonts w:hint="cs"/>
          <w:rtl/>
        </w:rPr>
        <w:t>22.4.16.-4.5.16</w:t>
      </w:r>
      <w:r w:rsidRPr="00BD7FE6">
        <w:rPr>
          <w:rtl/>
        </w:rPr>
        <w:t xml:space="preserve">).  </w:t>
      </w:r>
    </w:p>
    <w:p w14:paraId="32EC8837" w14:textId="77777777" w:rsidR="00A547EE" w:rsidRDefault="00A547EE" w:rsidP="00A547EE">
      <w:pPr>
        <w:pStyle w:val="ListParagraph"/>
        <w:spacing w:line="360" w:lineRule="auto"/>
        <w:ind w:left="778"/>
        <w:jc w:val="both"/>
      </w:pPr>
      <w:r w:rsidRPr="00BD7FE6">
        <w:rPr>
          <w:rtl/>
        </w:rPr>
        <w:t xml:space="preserve">    </w:t>
      </w:r>
    </w:p>
    <w:p w14:paraId="37326585" w14:textId="77777777" w:rsidR="00A547EE" w:rsidRDefault="00A547EE" w:rsidP="00A547EE">
      <w:pPr>
        <w:pStyle w:val="ListParagraph"/>
        <w:numPr>
          <w:ilvl w:val="0"/>
          <w:numId w:val="2"/>
        </w:numPr>
        <w:spacing w:line="360" w:lineRule="auto"/>
        <w:jc w:val="both"/>
      </w:pPr>
      <w:r>
        <w:rPr>
          <w:rFonts w:hint="cs"/>
          <w:rtl/>
        </w:rPr>
        <w:t xml:space="preserve">למאסר על תנאי לתקופה של 15 חודשים למשך 3 שנים, והתנאי הוא לבל יעבור הנאשם עבירה מסוג פשע לפי </w:t>
      </w:r>
      <w:hyperlink r:id="rId34" w:history="1">
        <w:r w:rsidR="003E6847" w:rsidRPr="003E6847">
          <w:rPr>
            <w:color w:val="0000FF"/>
            <w:u w:val="single"/>
            <w:rtl/>
          </w:rPr>
          <w:t>סעיף 144</w:t>
        </w:r>
      </w:hyperlink>
      <w:r>
        <w:rPr>
          <w:rFonts w:hint="cs"/>
          <w:rtl/>
        </w:rPr>
        <w:t xml:space="preserve"> ל</w:t>
      </w:r>
      <w:hyperlink r:id="rId35" w:history="1">
        <w:r w:rsidR="00D200F0" w:rsidRPr="00D200F0">
          <w:rPr>
            <w:color w:val="0000FF"/>
            <w:u w:val="single"/>
            <w:rtl/>
          </w:rPr>
          <w:t>חוק העונשין</w:t>
        </w:r>
      </w:hyperlink>
      <w:r>
        <w:rPr>
          <w:rFonts w:hint="cs"/>
          <w:rtl/>
        </w:rPr>
        <w:t xml:space="preserve">, התשל"ז </w:t>
      </w:r>
      <w:r>
        <w:rPr>
          <w:rtl/>
        </w:rPr>
        <w:t>–</w:t>
      </w:r>
      <w:r>
        <w:rPr>
          <w:rFonts w:hint="cs"/>
          <w:rtl/>
        </w:rPr>
        <w:t xml:space="preserve"> 1977 ויורשע בגינה. </w:t>
      </w:r>
      <w:r w:rsidRPr="00BD7FE6">
        <w:rPr>
          <w:rtl/>
        </w:rPr>
        <w:t xml:space="preserve">     </w:t>
      </w:r>
    </w:p>
    <w:p w14:paraId="236D7A5B" w14:textId="77777777" w:rsidR="00A547EE" w:rsidRDefault="00A547EE" w:rsidP="00A547EE">
      <w:pPr>
        <w:pStyle w:val="ListParagraph"/>
        <w:rPr>
          <w:rtl/>
        </w:rPr>
      </w:pPr>
    </w:p>
    <w:p w14:paraId="39FBC322" w14:textId="77777777" w:rsidR="00A547EE" w:rsidRDefault="00A547EE" w:rsidP="00A547EE">
      <w:pPr>
        <w:pStyle w:val="ListParagraph"/>
        <w:numPr>
          <w:ilvl w:val="0"/>
          <w:numId w:val="2"/>
        </w:numPr>
        <w:spacing w:line="360" w:lineRule="auto"/>
        <w:jc w:val="both"/>
      </w:pPr>
      <w:r>
        <w:rPr>
          <w:rFonts w:hint="cs"/>
          <w:rtl/>
        </w:rPr>
        <w:t xml:space="preserve">למאסר על תנאי לתקופה של 6 חודשים למשך 3 שנים, והתנאי הוא לבל יעבור הנאשם עבירה מסוג עוון לפי </w:t>
      </w:r>
      <w:hyperlink r:id="rId36" w:history="1">
        <w:r w:rsidR="003E6847" w:rsidRPr="003E6847">
          <w:rPr>
            <w:color w:val="0000FF"/>
            <w:u w:val="single"/>
            <w:rtl/>
          </w:rPr>
          <w:t>סעיף 144</w:t>
        </w:r>
      </w:hyperlink>
      <w:r>
        <w:rPr>
          <w:rFonts w:hint="cs"/>
          <w:rtl/>
        </w:rPr>
        <w:t xml:space="preserve"> ל</w:t>
      </w:r>
      <w:hyperlink r:id="rId37" w:history="1">
        <w:r w:rsidR="00D200F0" w:rsidRPr="00D200F0">
          <w:rPr>
            <w:color w:val="0000FF"/>
            <w:u w:val="single"/>
            <w:rtl/>
          </w:rPr>
          <w:t>חוק העונשין</w:t>
        </w:r>
      </w:hyperlink>
      <w:r>
        <w:rPr>
          <w:rFonts w:hint="cs"/>
          <w:rtl/>
        </w:rPr>
        <w:t xml:space="preserve">, התשל"ז </w:t>
      </w:r>
      <w:r>
        <w:rPr>
          <w:rtl/>
        </w:rPr>
        <w:t>–</w:t>
      </w:r>
      <w:r>
        <w:rPr>
          <w:rFonts w:hint="cs"/>
          <w:rtl/>
        </w:rPr>
        <w:t xml:space="preserve"> 1977 ויורשע בגינה.</w:t>
      </w:r>
    </w:p>
    <w:p w14:paraId="0A79D389" w14:textId="77777777" w:rsidR="00A547EE" w:rsidRDefault="00A547EE" w:rsidP="00A547EE">
      <w:pPr>
        <w:spacing w:line="360" w:lineRule="auto"/>
        <w:rPr>
          <w:rtl/>
        </w:rPr>
      </w:pPr>
    </w:p>
    <w:p w14:paraId="7EB4DC9F" w14:textId="77777777" w:rsidR="00A547EE" w:rsidRDefault="00A547EE" w:rsidP="00A547EE">
      <w:pPr>
        <w:spacing w:line="360" w:lineRule="auto"/>
        <w:rPr>
          <w:rtl/>
        </w:rPr>
      </w:pPr>
      <w:r w:rsidRPr="00BD7FE6">
        <w:rPr>
          <w:rtl/>
        </w:rPr>
        <w:t xml:space="preserve"> זכות ערעור לבי</w:t>
      </w:r>
      <w:r>
        <w:rPr>
          <w:rtl/>
        </w:rPr>
        <w:t>ת המשפט העליון תוך 45 יום מהיום</w:t>
      </w:r>
      <w:r>
        <w:rPr>
          <w:rFonts w:hint="cs"/>
          <w:rtl/>
        </w:rPr>
        <w:t>.</w:t>
      </w:r>
    </w:p>
    <w:p w14:paraId="7B80C641" w14:textId="77777777" w:rsidR="00A547EE" w:rsidRDefault="00A547EE" w:rsidP="00A547EE">
      <w:pPr>
        <w:spacing w:line="360" w:lineRule="auto"/>
        <w:rPr>
          <w:rtl/>
        </w:rPr>
      </w:pPr>
    </w:p>
    <w:p w14:paraId="1642AD9E" w14:textId="77777777" w:rsidR="00A547EE" w:rsidRPr="00BD7FE6" w:rsidRDefault="00A547EE" w:rsidP="00A547EE">
      <w:pPr>
        <w:spacing w:line="360" w:lineRule="auto"/>
        <w:rPr>
          <w:rtl/>
        </w:rPr>
      </w:pPr>
      <w:r>
        <w:rPr>
          <w:rFonts w:hint="cs"/>
          <w:rtl/>
        </w:rPr>
        <w:t xml:space="preserve">המזכירות תמציא העתק מגזר הדין לשירות המבחן. </w:t>
      </w:r>
    </w:p>
    <w:p w14:paraId="170B3F92" w14:textId="77777777" w:rsidR="00A547EE" w:rsidRDefault="00A547EE" w:rsidP="00A547EE">
      <w:pPr>
        <w:spacing w:line="360" w:lineRule="auto"/>
        <w:rPr>
          <w:rtl/>
        </w:rPr>
      </w:pPr>
    </w:p>
    <w:p w14:paraId="25928E38" w14:textId="77777777" w:rsidR="00A547EE" w:rsidRDefault="00D200F0" w:rsidP="00A547EE">
      <w:pPr>
        <w:spacing w:line="360" w:lineRule="auto"/>
        <w:jc w:val="both"/>
        <w:rPr>
          <w:rFonts w:ascii="Arial" w:hAnsi="Arial"/>
        </w:rPr>
      </w:pPr>
      <w:r w:rsidRPr="00D200F0">
        <w:rPr>
          <w:rFonts w:ascii="Arial" w:hAnsi="Arial"/>
          <w:color w:val="FFFFFF"/>
          <w:sz w:val="2"/>
          <w:szCs w:val="2"/>
          <w:rtl/>
        </w:rPr>
        <w:t>5129371</w:t>
      </w:r>
      <w:r>
        <w:rPr>
          <w:rFonts w:ascii="Arial" w:hAnsi="Arial"/>
          <w:rtl/>
        </w:rPr>
        <w:t xml:space="preserve">ניתן היום,  ג' שבט תשע"ז, 30 ינואר 2017, במעמד ב"כ המאשימה -עו"ד הגב' מירב בר, ב"כ הנאשם </w:t>
      </w:r>
      <w:r w:rsidR="00A547EE">
        <w:rPr>
          <w:rFonts w:ascii="Arial" w:hAnsi="Arial" w:hint="cs"/>
          <w:rtl/>
        </w:rPr>
        <w:t>-עו"ד בר עוז ועו"ד חאג' והנאשם בעצמו.</w:t>
      </w:r>
    </w:p>
    <w:p w14:paraId="0266CD71" w14:textId="77777777" w:rsidR="00A547EE" w:rsidRPr="00D200F0" w:rsidRDefault="00D200F0" w:rsidP="00A547EE">
      <w:pPr>
        <w:rPr>
          <w:rFonts w:cs="FrankRuehl"/>
          <w:color w:val="FFFFFF"/>
          <w:sz w:val="2"/>
          <w:szCs w:val="2"/>
          <w:rtl/>
        </w:rPr>
      </w:pPr>
      <w:r w:rsidRPr="00D200F0">
        <w:rPr>
          <w:rFonts w:cs="FrankRuehl"/>
          <w:color w:val="FFFFFF"/>
          <w:sz w:val="2"/>
          <w:szCs w:val="2"/>
          <w:rtl/>
        </w:rPr>
        <w:t>54678313</w:t>
      </w:r>
    </w:p>
    <w:p w14:paraId="3CE42C63" w14:textId="77777777" w:rsidR="00A547EE" w:rsidRDefault="00A547EE" w:rsidP="00A547E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8879E9F" w14:textId="77777777" w:rsidR="00A547EE" w:rsidRDefault="00A547EE" w:rsidP="00A547EE">
      <w:pPr>
        <w:jc w:val="center"/>
        <w:rPr>
          <w:rFonts w:ascii="Arial" w:hAnsi="Arial" w:cs="FrankRuehl"/>
          <w:sz w:val="28"/>
          <w:szCs w:val="28"/>
          <w:rtl/>
        </w:rPr>
      </w:pPr>
    </w:p>
    <w:p w14:paraId="25DCFD46" w14:textId="77777777" w:rsidR="00A547EE" w:rsidRDefault="00A547EE" w:rsidP="00A547EE">
      <w:pPr>
        <w:rPr>
          <w:rFonts w:cs="FrankRuehl"/>
          <w:sz w:val="28"/>
          <w:szCs w:val="28"/>
          <w:rtl/>
        </w:rPr>
      </w:pPr>
    </w:p>
    <w:p w14:paraId="29ED3328" w14:textId="77777777" w:rsidR="00A547EE" w:rsidRDefault="00A547EE" w:rsidP="00A547EE">
      <w:pPr>
        <w:pStyle w:val="a3"/>
        <w:jc w:val="center"/>
        <w:rPr>
          <w:rtl/>
        </w:rPr>
      </w:pPr>
    </w:p>
    <w:p w14:paraId="0BD05F60" w14:textId="77777777" w:rsidR="00D200F0" w:rsidRPr="00D200F0" w:rsidRDefault="00D200F0" w:rsidP="00D200F0">
      <w:pPr>
        <w:keepNext/>
        <w:rPr>
          <w:rFonts w:ascii="David" w:hAnsi="David"/>
          <w:color w:val="000000"/>
          <w:sz w:val="22"/>
          <w:szCs w:val="22"/>
          <w:rtl/>
        </w:rPr>
      </w:pPr>
    </w:p>
    <w:p w14:paraId="53E7912F" w14:textId="77777777" w:rsidR="00D200F0" w:rsidRPr="00D200F0" w:rsidRDefault="00D200F0" w:rsidP="00D200F0">
      <w:pPr>
        <w:keepNext/>
        <w:rPr>
          <w:rFonts w:ascii="David" w:hAnsi="David"/>
          <w:color w:val="000000"/>
          <w:sz w:val="22"/>
          <w:szCs w:val="22"/>
          <w:rtl/>
        </w:rPr>
      </w:pPr>
      <w:r w:rsidRPr="00D200F0">
        <w:rPr>
          <w:rFonts w:ascii="David" w:hAnsi="David"/>
          <w:color w:val="000000"/>
          <w:sz w:val="22"/>
          <w:szCs w:val="22"/>
          <w:rtl/>
        </w:rPr>
        <w:t>רונית בש 54678313</w:t>
      </w:r>
    </w:p>
    <w:p w14:paraId="75B99176" w14:textId="77777777" w:rsidR="00D200F0" w:rsidRDefault="00D200F0" w:rsidP="00D200F0">
      <w:r w:rsidRPr="00D200F0">
        <w:rPr>
          <w:color w:val="000000"/>
          <w:rtl/>
        </w:rPr>
        <w:t>נוסח מסמך זה כפוף לשינויי ניסוח ועריכה</w:t>
      </w:r>
    </w:p>
    <w:p w14:paraId="6B0E5074" w14:textId="77777777" w:rsidR="00D200F0" w:rsidRDefault="00D200F0" w:rsidP="00D200F0">
      <w:pPr>
        <w:rPr>
          <w:rtl/>
        </w:rPr>
      </w:pPr>
    </w:p>
    <w:p w14:paraId="1F316442" w14:textId="77777777" w:rsidR="00D200F0" w:rsidRDefault="00D200F0" w:rsidP="00D200F0">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r w:rsidR="0061736F">
        <w:rPr>
          <w:rFonts w:hint="cs"/>
          <w:color w:val="0000FF"/>
          <w:u w:val="single"/>
          <w:rtl/>
        </w:rPr>
        <w:t xml:space="preserve"> </w:t>
      </w:r>
    </w:p>
    <w:p w14:paraId="44E00407" w14:textId="77777777" w:rsidR="00B35717" w:rsidRPr="00D200F0" w:rsidRDefault="00B35717" w:rsidP="00D200F0">
      <w:pPr>
        <w:jc w:val="center"/>
        <w:rPr>
          <w:color w:val="0000FF"/>
          <w:u w:val="single"/>
        </w:rPr>
      </w:pPr>
    </w:p>
    <w:sectPr w:rsidR="00B35717" w:rsidRPr="00D200F0" w:rsidSect="00D200F0">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97963" w14:textId="77777777" w:rsidR="001D79AB" w:rsidRDefault="001D79AB">
      <w:r>
        <w:separator/>
      </w:r>
    </w:p>
  </w:endnote>
  <w:endnote w:type="continuationSeparator" w:id="0">
    <w:p w14:paraId="286EF9D9" w14:textId="77777777" w:rsidR="001D79AB" w:rsidRDefault="001D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8CFFE" w14:textId="77777777" w:rsidR="001C05CC" w:rsidRDefault="001C05CC" w:rsidP="00D200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2901D56" w14:textId="77777777" w:rsidR="001C05CC" w:rsidRPr="00D200F0" w:rsidRDefault="001C05CC" w:rsidP="00D200F0">
    <w:pPr>
      <w:pStyle w:val="a5"/>
      <w:pBdr>
        <w:top w:val="single" w:sz="4" w:space="1" w:color="auto"/>
        <w:between w:val="single" w:sz="4" w:space="0" w:color="auto"/>
      </w:pBdr>
      <w:spacing w:after="60"/>
      <w:jc w:val="center"/>
      <w:rPr>
        <w:rFonts w:ascii="FrankRuehl" w:hAnsi="FrankRuehl" w:cs="FrankRuehl"/>
        <w:color w:val="000000"/>
      </w:rPr>
    </w:pPr>
    <w:r w:rsidRPr="00D200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00F51" w14:textId="77777777" w:rsidR="001C05CC" w:rsidRDefault="001C05CC" w:rsidP="00D200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44D7">
      <w:rPr>
        <w:rFonts w:ascii="FrankRuehl" w:hAnsi="FrankRuehl" w:cs="FrankRuehl"/>
        <w:noProof/>
        <w:rtl/>
      </w:rPr>
      <w:t>1</w:t>
    </w:r>
    <w:r>
      <w:rPr>
        <w:rFonts w:ascii="FrankRuehl" w:hAnsi="FrankRuehl" w:cs="FrankRuehl"/>
        <w:rtl/>
      </w:rPr>
      <w:fldChar w:fldCharType="end"/>
    </w:r>
  </w:p>
  <w:p w14:paraId="6E8865C6" w14:textId="77777777" w:rsidR="001C05CC" w:rsidRPr="00D200F0" w:rsidRDefault="001C05CC" w:rsidP="00D200F0">
    <w:pPr>
      <w:pStyle w:val="a5"/>
      <w:pBdr>
        <w:top w:val="single" w:sz="4" w:space="1" w:color="auto"/>
        <w:between w:val="single" w:sz="4" w:space="0" w:color="auto"/>
      </w:pBdr>
      <w:spacing w:after="60"/>
      <w:jc w:val="center"/>
      <w:rPr>
        <w:rFonts w:ascii="FrankRuehl" w:hAnsi="FrankRuehl" w:cs="FrankRuehl"/>
        <w:color w:val="000000"/>
      </w:rPr>
    </w:pPr>
    <w:r w:rsidRPr="00D200F0">
      <w:rPr>
        <w:rFonts w:ascii="FrankRuehl" w:hAnsi="FrankRuehl" w:cs="FrankRuehl"/>
        <w:color w:val="000000"/>
      </w:rPr>
      <w:pict w14:anchorId="00E27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CBB16" w14:textId="77777777" w:rsidR="001D79AB" w:rsidRDefault="001D79AB">
      <w:r>
        <w:separator/>
      </w:r>
    </w:p>
  </w:footnote>
  <w:footnote w:type="continuationSeparator" w:id="0">
    <w:p w14:paraId="7973256E" w14:textId="77777777" w:rsidR="001D79AB" w:rsidRDefault="001D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5B22B" w14:textId="77777777" w:rsidR="001C05CC" w:rsidRPr="00D200F0" w:rsidRDefault="001C05CC" w:rsidP="00D200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9968-05-16</w:t>
    </w:r>
    <w:r>
      <w:rPr>
        <w:rFonts w:ascii="David" w:hAnsi="David"/>
        <w:color w:val="000000"/>
        <w:sz w:val="22"/>
        <w:szCs w:val="22"/>
        <w:rtl/>
      </w:rPr>
      <w:tab/>
      <w:t xml:space="preserve"> מדינת ישראל נ' אחמד סמרי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0B027" w14:textId="77777777" w:rsidR="001C05CC" w:rsidRPr="00D200F0" w:rsidRDefault="001C05CC" w:rsidP="00D200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9968-05-16</w:t>
    </w:r>
    <w:r>
      <w:rPr>
        <w:rFonts w:ascii="David" w:hAnsi="David"/>
        <w:color w:val="000000"/>
        <w:sz w:val="22"/>
        <w:szCs w:val="22"/>
        <w:rtl/>
      </w:rPr>
      <w:tab/>
      <w:t xml:space="preserve"> מדינת ישראל נ' אחמד סמרי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533B1"/>
    <w:multiLevelType w:val="hybridMultilevel"/>
    <w:tmpl w:val="909C218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4C924476"/>
    <w:multiLevelType w:val="hybridMultilevel"/>
    <w:tmpl w:val="6A7EE1F8"/>
    <w:lvl w:ilvl="0" w:tplc="10CE208E">
      <w:start w:val="2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9298534">
    <w:abstractNumId w:val="1"/>
  </w:num>
  <w:num w:numId="2" w16cid:durableId="783692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47EE"/>
    <w:rsid w:val="00004B4A"/>
    <w:rsid w:val="000258C6"/>
    <w:rsid w:val="00092DB2"/>
    <w:rsid w:val="000A635C"/>
    <w:rsid w:val="000B222D"/>
    <w:rsid w:val="000F3716"/>
    <w:rsid w:val="000F776E"/>
    <w:rsid w:val="001163D9"/>
    <w:rsid w:val="00123268"/>
    <w:rsid w:val="0013605C"/>
    <w:rsid w:val="0015154B"/>
    <w:rsid w:val="0017711A"/>
    <w:rsid w:val="001C05CC"/>
    <w:rsid w:val="001D79AB"/>
    <w:rsid w:val="00203146"/>
    <w:rsid w:val="002474C9"/>
    <w:rsid w:val="00257D9F"/>
    <w:rsid w:val="002B1389"/>
    <w:rsid w:val="002D2C1C"/>
    <w:rsid w:val="002E4BA2"/>
    <w:rsid w:val="00327617"/>
    <w:rsid w:val="003429D5"/>
    <w:rsid w:val="00371D27"/>
    <w:rsid w:val="00374124"/>
    <w:rsid w:val="003C709F"/>
    <w:rsid w:val="003D65D3"/>
    <w:rsid w:val="003E51B4"/>
    <w:rsid w:val="003E6847"/>
    <w:rsid w:val="003F02C5"/>
    <w:rsid w:val="004D1A95"/>
    <w:rsid w:val="004D5997"/>
    <w:rsid w:val="0052303A"/>
    <w:rsid w:val="00533D5C"/>
    <w:rsid w:val="00551C5E"/>
    <w:rsid w:val="005638FB"/>
    <w:rsid w:val="00582B08"/>
    <w:rsid w:val="005847C1"/>
    <w:rsid w:val="005B4DDE"/>
    <w:rsid w:val="005E305D"/>
    <w:rsid w:val="0061736F"/>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0F0F"/>
    <w:rsid w:val="00946CA3"/>
    <w:rsid w:val="009A4E50"/>
    <w:rsid w:val="009A720E"/>
    <w:rsid w:val="009B4682"/>
    <w:rsid w:val="00A03304"/>
    <w:rsid w:val="00A24369"/>
    <w:rsid w:val="00A244D7"/>
    <w:rsid w:val="00A43026"/>
    <w:rsid w:val="00A472AB"/>
    <w:rsid w:val="00A52B25"/>
    <w:rsid w:val="00A547EE"/>
    <w:rsid w:val="00A96648"/>
    <w:rsid w:val="00AE1669"/>
    <w:rsid w:val="00B07251"/>
    <w:rsid w:val="00B10E9A"/>
    <w:rsid w:val="00B24722"/>
    <w:rsid w:val="00B35717"/>
    <w:rsid w:val="00B47E2E"/>
    <w:rsid w:val="00B6502B"/>
    <w:rsid w:val="00B73086"/>
    <w:rsid w:val="00B77FA2"/>
    <w:rsid w:val="00B922D9"/>
    <w:rsid w:val="00B970C5"/>
    <w:rsid w:val="00BA5B6F"/>
    <w:rsid w:val="00BD5087"/>
    <w:rsid w:val="00BF5C5D"/>
    <w:rsid w:val="00C22EAD"/>
    <w:rsid w:val="00C25259"/>
    <w:rsid w:val="00C303EF"/>
    <w:rsid w:val="00C66536"/>
    <w:rsid w:val="00C6661F"/>
    <w:rsid w:val="00C9418A"/>
    <w:rsid w:val="00D11A80"/>
    <w:rsid w:val="00D200F0"/>
    <w:rsid w:val="00D308EF"/>
    <w:rsid w:val="00D357B5"/>
    <w:rsid w:val="00D40041"/>
    <w:rsid w:val="00D56203"/>
    <w:rsid w:val="00D807AC"/>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7455C2"/>
  <w15:chartTrackingRefBased/>
  <w15:docId w15:val="{5742A064-47C5-4C84-80A8-4EC207F0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7E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547EE"/>
    <w:pPr>
      <w:tabs>
        <w:tab w:val="center" w:pos="4153"/>
        <w:tab w:val="right" w:pos="8306"/>
      </w:tabs>
    </w:pPr>
  </w:style>
  <w:style w:type="paragraph" w:styleId="a5">
    <w:name w:val="footer"/>
    <w:basedOn w:val="a"/>
    <w:rsid w:val="00A547EE"/>
    <w:pPr>
      <w:tabs>
        <w:tab w:val="center" w:pos="4153"/>
        <w:tab w:val="right" w:pos="8306"/>
      </w:tabs>
    </w:pPr>
  </w:style>
  <w:style w:type="character" w:styleId="a6">
    <w:name w:val="page number"/>
    <w:basedOn w:val="a0"/>
    <w:rsid w:val="00A547EE"/>
  </w:style>
  <w:style w:type="character" w:customStyle="1" w:styleId="a4">
    <w:name w:val="כותרת עליונה תו"/>
    <w:link w:val="a3"/>
    <w:rsid w:val="00A547EE"/>
    <w:rPr>
      <w:rFonts w:cs="David"/>
      <w:sz w:val="24"/>
      <w:szCs w:val="24"/>
      <w:lang w:val="en-US" w:eastAsia="en-US" w:bidi="he-IL"/>
    </w:rPr>
  </w:style>
  <w:style w:type="character" w:customStyle="1" w:styleId="TimesNewRomanTimesNewRoman">
    <w:name w:val="סגנון (לטיני) Times New Roman (עברית ושפות אחרות) Times New Roman..."/>
    <w:rsid w:val="00A547EE"/>
    <w:rPr>
      <w:rFonts w:ascii="Times New Roman" w:hAnsi="Times New Roman" w:cs="David" w:hint="default"/>
      <w:b/>
      <w:bCs/>
      <w:sz w:val="26"/>
      <w:szCs w:val="26"/>
    </w:rPr>
  </w:style>
  <w:style w:type="paragraph" w:customStyle="1" w:styleId="ListParagraph">
    <w:name w:val="List Paragraph"/>
    <w:basedOn w:val="a"/>
    <w:rsid w:val="00A547EE"/>
    <w:pPr>
      <w:ind w:left="720"/>
      <w:contextualSpacing/>
    </w:pPr>
  </w:style>
  <w:style w:type="character" w:styleId="Hyperlink">
    <w:name w:val="Hyperlink"/>
    <w:rsid w:val="00D200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034921" TargetMode="External"/><Relationship Id="rId39" Type="http://schemas.openxmlformats.org/officeDocument/2006/relationships/header" Target="header1.xml"/><Relationship Id="rId21" Type="http://schemas.openxmlformats.org/officeDocument/2006/relationships/hyperlink" Target="http://www.nevo.co.il/law/70301/40c" TargetMode="External"/><Relationship Id="rId34" Type="http://schemas.openxmlformats.org/officeDocument/2006/relationships/hyperlink" Target="http://www.nevo.co.il/law/70301/144"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case/6243627" TargetMode="External"/><Relationship Id="rId29" Type="http://schemas.openxmlformats.org/officeDocument/2006/relationships/hyperlink" Target="http://www.nevo.co.il/case/7840699"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6864329"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2165943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7878510" TargetMode="External"/><Relationship Id="rId30" Type="http://schemas.openxmlformats.org/officeDocument/2006/relationships/hyperlink" Target="http://www.nevo.co.il/case/491626"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601503"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3156</Words>
  <Characters>15783</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18902</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4063348</vt:i4>
      </vt:variant>
      <vt:variant>
        <vt:i4>72</vt:i4>
      </vt:variant>
      <vt:variant>
        <vt:i4>0</vt:i4>
      </vt:variant>
      <vt:variant>
        <vt:i4>5</vt:i4>
      </vt:variant>
      <vt:variant>
        <vt:lpwstr>http://www.nevo.co.il/case/21659433</vt:lpwstr>
      </vt:variant>
      <vt:variant>
        <vt:lpwstr/>
      </vt:variant>
      <vt:variant>
        <vt:i4>458827</vt:i4>
      </vt:variant>
      <vt:variant>
        <vt:i4>69</vt:i4>
      </vt:variant>
      <vt:variant>
        <vt:i4>0</vt:i4>
      </vt:variant>
      <vt:variant>
        <vt:i4>5</vt:i4>
      </vt:variant>
      <vt:variant>
        <vt:lpwstr>http://www.nevo.co.il/case/491626</vt:lpwstr>
      </vt:variant>
      <vt:variant>
        <vt:lpwstr/>
      </vt:variant>
      <vt:variant>
        <vt:i4>3932277</vt:i4>
      </vt:variant>
      <vt:variant>
        <vt:i4>66</vt:i4>
      </vt:variant>
      <vt:variant>
        <vt:i4>0</vt:i4>
      </vt:variant>
      <vt:variant>
        <vt:i4>5</vt:i4>
      </vt:variant>
      <vt:variant>
        <vt:lpwstr>http://www.nevo.co.il/case/7840699</vt:lpwstr>
      </vt:variant>
      <vt:variant>
        <vt:lpwstr/>
      </vt:variant>
      <vt:variant>
        <vt:i4>3801210</vt:i4>
      </vt:variant>
      <vt:variant>
        <vt:i4>63</vt:i4>
      </vt:variant>
      <vt:variant>
        <vt:i4>0</vt:i4>
      </vt:variant>
      <vt:variant>
        <vt:i4>5</vt:i4>
      </vt:variant>
      <vt:variant>
        <vt:lpwstr>http://www.nevo.co.il/case/6864329</vt:lpwstr>
      </vt:variant>
      <vt:variant>
        <vt:lpwstr/>
      </vt:variant>
      <vt:variant>
        <vt:i4>3473525</vt:i4>
      </vt:variant>
      <vt:variant>
        <vt:i4>60</vt:i4>
      </vt:variant>
      <vt:variant>
        <vt:i4>0</vt:i4>
      </vt:variant>
      <vt:variant>
        <vt:i4>5</vt:i4>
      </vt:variant>
      <vt:variant>
        <vt:lpwstr>http://www.nevo.co.il/case/7878510</vt:lpwstr>
      </vt:variant>
      <vt:variant>
        <vt:lpwstr/>
      </vt:variant>
      <vt:variant>
        <vt:i4>3997810</vt:i4>
      </vt:variant>
      <vt:variant>
        <vt:i4>57</vt:i4>
      </vt:variant>
      <vt:variant>
        <vt:i4>0</vt:i4>
      </vt:variant>
      <vt:variant>
        <vt:i4>5</vt:i4>
      </vt:variant>
      <vt:variant>
        <vt:lpwstr>http://www.nevo.co.il/case/6034921</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3342455</vt:i4>
      </vt:variant>
      <vt:variant>
        <vt:i4>39</vt:i4>
      </vt:variant>
      <vt:variant>
        <vt:i4>0</vt:i4>
      </vt:variant>
      <vt:variant>
        <vt:i4>5</vt:i4>
      </vt:variant>
      <vt:variant>
        <vt:lpwstr>http://www.nevo.co.il/case/6243627</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2025-01-19T16:10:00Z</dcterms:created>
  <dcterms:modified xsi:type="dcterms:W3CDTF">2025-01-19T16:10:00Z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9968</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אחמד סמרי</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20170130</vt:lpwstr>
  </property>
  <property fmtid="{D5CDD505-2E9C-101B-9397-08002B2CF9AE}" pid="13" name="TYPE_N_DATE">
    <vt:lpwstr>39020170130</vt:lpwstr>
  </property>
  <property fmtid="{D5CDD505-2E9C-101B-9397-08002B2CF9AE}" pid="14" name="WORDNUMPAGES">
    <vt:lpwstr>10</vt:lpwstr>
  </property>
  <property fmtid="{D5CDD505-2E9C-101B-9397-08002B2CF9AE}" pid="15" name="TYPE_ABS_DATE">
    <vt:lpwstr>390020170130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6243627;5601503;6034921;7878510;6864329;7840699;491626;21659433</vt:lpwstr>
  </property>
  <property fmtid="{D5CDD505-2E9C-101B-9397-08002B2CF9AE}" pid="36" name="LAWLISTTMP1">
    <vt:lpwstr>70301/144.a;144.b;040b;040c;040i;40ja;144:2</vt:lpwstr>
  </property>
</Properties>
</file>