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02EF8" w:rsidRPr="00015E2B" w14:paraId="7B374453" w14:textId="77777777" w:rsidTr="006D62B5">
        <w:trPr>
          <w:trHeight w:hRule="exact" w:val="418"/>
          <w:jc w:val="center"/>
        </w:trPr>
        <w:tc>
          <w:tcPr>
            <w:tcW w:w="8721" w:type="dxa"/>
            <w:gridSpan w:val="2"/>
          </w:tcPr>
          <w:p w14:paraId="4F25E10B" w14:textId="77777777" w:rsidR="00702EF8" w:rsidRPr="00015E2B" w:rsidRDefault="00702EF8" w:rsidP="00015E2B">
            <w:pPr>
              <w:pStyle w:val="a3"/>
              <w:jc w:val="center"/>
              <w:rPr>
                <w:rFonts w:ascii="Tahoma" w:hAnsi="Tahoma" w:cs="Tahoma"/>
                <w:color w:val="000080"/>
                <w:rtl/>
              </w:rPr>
            </w:pPr>
            <w:bookmarkStart w:id="0" w:name="LastJudge"/>
            <w:r w:rsidRPr="00015E2B">
              <w:rPr>
                <w:rFonts w:ascii="Tahoma" w:hAnsi="Tahoma" w:cs="Tahoma"/>
                <w:b/>
                <w:bCs/>
                <w:color w:val="000080"/>
                <w:rtl/>
              </w:rPr>
              <w:t>בית המשפט המחוזי בירושלים</w:t>
            </w:r>
          </w:p>
        </w:tc>
      </w:tr>
      <w:tr w:rsidR="00702EF8" w:rsidRPr="00015E2B" w14:paraId="5BFFAFCC" w14:textId="77777777" w:rsidTr="006D62B5">
        <w:trPr>
          <w:trHeight w:val="337"/>
          <w:jc w:val="center"/>
        </w:trPr>
        <w:tc>
          <w:tcPr>
            <w:tcW w:w="5054" w:type="dxa"/>
          </w:tcPr>
          <w:p w14:paraId="1245227C" w14:textId="77777777" w:rsidR="00702EF8" w:rsidRPr="00015E2B" w:rsidRDefault="00702EF8" w:rsidP="00015E2B">
            <w:pPr>
              <w:rPr>
                <w:rFonts w:cs="FrankRuehl"/>
                <w:sz w:val="28"/>
                <w:szCs w:val="28"/>
                <w:rtl/>
              </w:rPr>
            </w:pPr>
            <w:r w:rsidRPr="00015E2B">
              <w:rPr>
                <w:rFonts w:cs="FrankRuehl"/>
                <w:sz w:val="28"/>
                <w:szCs w:val="28"/>
                <w:rtl/>
              </w:rPr>
              <w:t>ת"פ</w:t>
            </w:r>
            <w:r w:rsidRPr="00015E2B">
              <w:rPr>
                <w:rFonts w:cs="FrankRuehl" w:hint="cs"/>
                <w:sz w:val="28"/>
                <w:szCs w:val="28"/>
                <w:rtl/>
              </w:rPr>
              <w:t xml:space="preserve"> </w:t>
            </w:r>
            <w:r w:rsidRPr="00015E2B">
              <w:rPr>
                <w:rFonts w:cs="FrankRuehl"/>
                <w:sz w:val="28"/>
                <w:szCs w:val="28"/>
                <w:rtl/>
              </w:rPr>
              <w:t>44840-06-16</w:t>
            </w:r>
            <w:r w:rsidRPr="00015E2B">
              <w:rPr>
                <w:rFonts w:cs="FrankRuehl" w:hint="cs"/>
                <w:sz w:val="28"/>
                <w:szCs w:val="28"/>
                <w:rtl/>
              </w:rPr>
              <w:t xml:space="preserve"> </w:t>
            </w:r>
            <w:r w:rsidRPr="00015E2B">
              <w:rPr>
                <w:rFonts w:cs="FrankRuehl"/>
                <w:sz w:val="28"/>
                <w:szCs w:val="28"/>
                <w:rtl/>
              </w:rPr>
              <w:t>מדינת ישראל נ' סלמה</w:t>
            </w:r>
          </w:p>
        </w:tc>
        <w:tc>
          <w:tcPr>
            <w:tcW w:w="3667" w:type="dxa"/>
          </w:tcPr>
          <w:p w14:paraId="0148AC1E" w14:textId="77777777" w:rsidR="00702EF8" w:rsidRPr="00015E2B" w:rsidRDefault="00702EF8" w:rsidP="00015E2B">
            <w:pPr>
              <w:pStyle w:val="a3"/>
              <w:jc w:val="right"/>
              <w:rPr>
                <w:rFonts w:cs="FrankRuehl"/>
                <w:sz w:val="28"/>
                <w:szCs w:val="28"/>
                <w:rtl/>
              </w:rPr>
            </w:pPr>
          </w:p>
        </w:tc>
      </w:tr>
    </w:tbl>
    <w:p w14:paraId="7B080816" w14:textId="77777777" w:rsidR="00702EF8" w:rsidRPr="00015E2B" w:rsidRDefault="00702EF8" w:rsidP="00702EF8">
      <w:pPr>
        <w:pStyle w:val="a3"/>
        <w:rPr>
          <w:rtl/>
        </w:rPr>
      </w:pPr>
      <w:r w:rsidRPr="00015E2B">
        <w:rPr>
          <w:rFonts w:hint="cs"/>
          <w:rtl/>
        </w:rPr>
        <w:t xml:space="preserve"> </w:t>
      </w:r>
    </w:p>
    <w:p w14:paraId="7E2B3DA2" w14:textId="77777777" w:rsidR="00702EF8" w:rsidRPr="00015E2B" w:rsidRDefault="00702EF8" w:rsidP="00702EF8">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702EF8" w:rsidRPr="00015E2B" w14:paraId="3DEE1527" w14:textId="77777777" w:rsidTr="00DE7DB6">
        <w:trPr>
          <w:trHeight w:val="295"/>
          <w:jc w:val="center"/>
        </w:trPr>
        <w:tc>
          <w:tcPr>
            <w:tcW w:w="945" w:type="dxa"/>
            <w:tcBorders>
              <w:top w:val="nil"/>
              <w:left w:val="nil"/>
              <w:bottom w:val="nil"/>
              <w:right w:val="nil"/>
            </w:tcBorders>
            <w:shd w:val="clear" w:color="auto" w:fill="auto"/>
          </w:tcPr>
          <w:p w14:paraId="5BE8639D" w14:textId="77777777" w:rsidR="00702EF8" w:rsidRPr="00015E2B" w:rsidRDefault="00702EF8" w:rsidP="00015E2B">
            <w:pPr>
              <w:jc w:val="both"/>
              <w:rPr>
                <w:rFonts w:ascii="Arial" w:hAnsi="Arial"/>
                <w:b/>
                <w:bCs/>
                <w:sz w:val="28"/>
                <w:szCs w:val="28"/>
              </w:rPr>
            </w:pPr>
            <w:r w:rsidRPr="00015E2B">
              <w:rPr>
                <w:rFonts w:ascii="Arial" w:hAnsi="Arial" w:hint="cs"/>
                <w:b/>
                <w:bCs/>
                <w:sz w:val="28"/>
                <w:szCs w:val="28"/>
                <w:rtl/>
              </w:rPr>
              <w:t>ב</w:t>
            </w:r>
            <w:r w:rsidRPr="00015E2B">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7D42704C" w14:textId="77777777" w:rsidR="00702EF8" w:rsidRPr="00015E2B" w:rsidRDefault="00702EF8" w:rsidP="00015E2B">
            <w:pPr>
              <w:rPr>
                <w:rFonts w:ascii="Arial" w:hAnsi="Arial"/>
                <w:b/>
                <w:bCs/>
                <w:sz w:val="28"/>
                <w:szCs w:val="28"/>
                <w:rtl/>
              </w:rPr>
            </w:pPr>
            <w:r w:rsidRPr="00015E2B">
              <w:rPr>
                <w:rFonts w:ascii="Arial" w:hAnsi="Arial" w:hint="cs"/>
                <w:b/>
                <w:bCs/>
                <w:sz w:val="28"/>
                <w:szCs w:val="28"/>
                <w:rtl/>
              </w:rPr>
              <w:t>כבוד ה</w:t>
            </w:r>
            <w:r w:rsidRPr="00015E2B">
              <w:rPr>
                <w:b/>
                <w:bCs/>
                <w:sz w:val="28"/>
                <w:szCs w:val="28"/>
                <w:rtl/>
              </w:rPr>
              <w:t>שופטת</w:t>
            </w:r>
            <w:r w:rsidRPr="00015E2B">
              <w:rPr>
                <w:rFonts w:ascii="Arial" w:hAnsi="Arial" w:hint="cs"/>
                <w:b/>
                <w:bCs/>
                <w:sz w:val="28"/>
                <w:szCs w:val="28"/>
                <w:rtl/>
              </w:rPr>
              <w:t xml:space="preserve">  </w:t>
            </w:r>
            <w:r w:rsidRPr="00015E2B">
              <w:rPr>
                <w:b/>
                <w:bCs/>
                <w:sz w:val="28"/>
                <w:szCs w:val="28"/>
                <w:rtl/>
              </w:rPr>
              <w:t>חגית מאק-קלמנוביץ</w:t>
            </w:r>
          </w:p>
          <w:p w14:paraId="78DB13E2" w14:textId="77777777" w:rsidR="00702EF8" w:rsidRPr="00015E2B" w:rsidRDefault="00702EF8" w:rsidP="00015E2B">
            <w:pPr>
              <w:rPr>
                <w:b/>
                <w:bCs/>
                <w:sz w:val="28"/>
                <w:szCs w:val="28"/>
                <w:rtl/>
              </w:rPr>
            </w:pPr>
          </w:p>
          <w:p w14:paraId="0796C41C" w14:textId="77777777" w:rsidR="00702EF8" w:rsidRPr="00015E2B" w:rsidRDefault="00702EF8" w:rsidP="00015E2B">
            <w:pPr>
              <w:jc w:val="both"/>
              <w:rPr>
                <w:rFonts w:ascii="Arial" w:hAnsi="Arial"/>
                <w:b/>
                <w:bCs/>
                <w:sz w:val="28"/>
                <w:szCs w:val="28"/>
              </w:rPr>
            </w:pPr>
          </w:p>
        </w:tc>
      </w:tr>
      <w:tr w:rsidR="00702EF8" w:rsidRPr="00015E2B" w14:paraId="06196EF5" w14:textId="77777777" w:rsidTr="00DE7DB6">
        <w:trPr>
          <w:trHeight w:val="355"/>
          <w:jc w:val="center"/>
        </w:trPr>
        <w:tc>
          <w:tcPr>
            <w:tcW w:w="945" w:type="dxa"/>
            <w:tcBorders>
              <w:top w:val="nil"/>
              <w:left w:val="nil"/>
              <w:bottom w:val="nil"/>
              <w:right w:val="nil"/>
            </w:tcBorders>
            <w:shd w:val="clear" w:color="auto" w:fill="auto"/>
          </w:tcPr>
          <w:p w14:paraId="71AE4EBC" w14:textId="77777777" w:rsidR="00702EF8" w:rsidRPr="00015E2B" w:rsidRDefault="00702EF8" w:rsidP="00015E2B">
            <w:pPr>
              <w:jc w:val="both"/>
              <w:rPr>
                <w:rFonts w:ascii="Arial" w:hAnsi="Arial"/>
                <w:b/>
                <w:bCs/>
                <w:sz w:val="28"/>
                <w:szCs w:val="28"/>
              </w:rPr>
            </w:pPr>
            <w:bookmarkStart w:id="1" w:name="FirstAppellant"/>
            <w:r w:rsidRPr="00015E2B">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470F6CC5" w14:textId="77777777" w:rsidR="00702EF8" w:rsidRPr="00015E2B" w:rsidRDefault="00702EF8" w:rsidP="00015E2B">
            <w:pPr>
              <w:rPr>
                <w:b/>
                <w:bCs/>
                <w:sz w:val="28"/>
                <w:szCs w:val="28"/>
              </w:rPr>
            </w:pPr>
            <w:r w:rsidRPr="00015E2B">
              <w:rPr>
                <w:b/>
                <w:bCs/>
                <w:sz w:val="28"/>
                <w:szCs w:val="28"/>
                <w:rtl/>
              </w:rPr>
              <w:t>מדינת ישראל</w:t>
            </w:r>
          </w:p>
        </w:tc>
        <w:tc>
          <w:tcPr>
            <w:tcW w:w="3761" w:type="dxa"/>
            <w:tcBorders>
              <w:top w:val="nil"/>
              <w:left w:val="nil"/>
              <w:bottom w:val="nil"/>
              <w:right w:val="nil"/>
            </w:tcBorders>
            <w:shd w:val="clear" w:color="auto" w:fill="auto"/>
          </w:tcPr>
          <w:p w14:paraId="35CC9FC1" w14:textId="77777777" w:rsidR="00702EF8" w:rsidRPr="00015E2B" w:rsidRDefault="00702EF8" w:rsidP="00015E2B">
            <w:pPr>
              <w:jc w:val="both"/>
              <w:rPr>
                <w:rFonts w:ascii="Arial" w:hAnsi="Arial"/>
                <w:b/>
                <w:bCs/>
                <w:sz w:val="28"/>
                <w:szCs w:val="28"/>
              </w:rPr>
            </w:pPr>
          </w:p>
        </w:tc>
      </w:tr>
      <w:bookmarkEnd w:id="1"/>
      <w:tr w:rsidR="00702EF8" w:rsidRPr="00015E2B" w14:paraId="5DC35CEF" w14:textId="77777777" w:rsidTr="00DE7DB6">
        <w:trPr>
          <w:trHeight w:val="355"/>
          <w:jc w:val="center"/>
        </w:trPr>
        <w:tc>
          <w:tcPr>
            <w:tcW w:w="945" w:type="dxa"/>
            <w:tcBorders>
              <w:top w:val="nil"/>
              <w:left w:val="nil"/>
              <w:bottom w:val="nil"/>
              <w:right w:val="nil"/>
            </w:tcBorders>
            <w:shd w:val="clear" w:color="auto" w:fill="auto"/>
          </w:tcPr>
          <w:p w14:paraId="18C25731" w14:textId="77777777" w:rsidR="00702EF8" w:rsidRPr="00015E2B" w:rsidRDefault="00702EF8" w:rsidP="00015E2B">
            <w:pPr>
              <w:jc w:val="both"/>
              <w:rPr>
                <w:rFonts w:ascii="Arial" w:hAnsi="Arial"/>
                <w:b/>
                <w:bCs/>
                <w:sz w:val="30"/>
                <w:szCs w:val="30"/>
                <w:rtl/>
              </w:rPr>
            </w:pPr>
          </w:p>
        </w:tc>
        <w:tc>
          <w:tcPr>
            <w:tcW w:w="4114" w:type="dxa"/>
            <w:tcBorders>
              <w:top w:val="nil"/>
              <w:left w:val="nil"/>
              <w:bottom w:val="nil"/>
              <w:right w:val="nil"/>
            </w:tcBorders>
            <w:shd w:val="clear" w:color="auto" w:fill="auto"/>
          </w:tcPr>
          <w:p w14:paraId="7297B064" w14:textId="77777777" w:rsidR="00702EF8" w:rsidRPr="00015E2B" w:rsidRDefault="00702EF8" w:rsidP="00015E2B">
            <w:pPr>
              <w:jc w:val="both"/>
              <w:rPr>
                <w:b/>
                <w:bCs/>
                <w:sz w:val="26"/>
                <w:szCs w:val="26"/>
                <w:rtl/>
              </w:rPr>
            </w:pPr>
            <w:r w:rsidRPr="00015E2B">
              <w:rPr>
                <w:rFonts w:hint="cs"/>
                <w:b/>
                <w:bCs/>
                <w:sz w:val="26"/>
                <w:szCs w:val="26"/>
                <w:rtl/>
              </w:rPr>
              <w:t>ע"י פרקליטות מחוז ירושלים (פלילי)</w:t>
            </w:r>
          </w:p>
        </w:tc>
        <w:tc>
          <w:tcPr>
            <w:tcW w:w="3761" w:type="dxa"/>
            <w:tcBorders>
              <w:top w:val="nil"/>
              <w:left w:val="nil"/>
              <w:bottom w:val="nil"/>
              <w:right w:val="nil"/>
            </w:tcBorders>
            <w:shd w:val="clear" w:color="auto" w:fill="auto"/>
          </w:tcPr>
          <w:p w14:paraId="4056D202" w14:textId="77777777" w:rsidR="00702EF8" w:rsidRPr="00015E2B" w:rsidRDefault="00702EF8" w:rsidP="00015E2B">
            <w:pPr>
              <w:jc w:val="right"/>
              <w:rPr>
                <w:rFonts w:ascii="Arial" w:hAnsi="Arial"/>
                <w:b/>
                <w:bCs/>
                <w:sz w:val="28"/>
                <w:szCs w:val="28"/>
                <w:rtl/>
              </w:rPr>
            </w:pPr>
            <w:r w:rsidRPr="00015E2B">
              <w:rPr>
                <w:rFonts w:ascii="Arial" w:hAnsi="Arial" w:hint="cs"/>
                <w:b/>
                <w:bCs/>
                <w:sz w:val="28"/>
                <w:szCs w:val="28"/>
                <w:rtl/>
              </w:rPr>
              <w:t>ה</w:t>
            </w:r>
            <w:r w:rsidRPr="00015E2B">
              <w:rPr>
                <w:b/>
                <w:bCs/>
                <w:sz w:val="28"/>
                <w:szCs w:val="28"/>
                <w:rtl/>
              </w:rPr>
              <w:t>מאשימה</w:t>
            </w:r>
          </w:p>
        </w:tc>
      </w:tr>
      <w:tr w:rsidR="00702EF8" w:rsidRPr="00015E2B" w14:paraId="6CDB2DC1" w14:textId="77777777" w:rsidTr="00DE7DB6">
        <w:trPr>
          <w:trHeight w:val="355"/>
          <w:jc w:val="center"/>
        </w:trPr>
        <w:tc>
          <w:tcPr>
            <w:tcW w:w="945" w:type="dxa"/>
            <w:tcBorders>
              <w:top w:val="nil"/>
              <w:left w:val="nil"/>
              <w:bottom w:val="nil"/>
              <w:right w:val="nil"/>
            </w:tcBorders>
            <w:shd w:val="clear" w:color="auto" w:fill="auto"/>
          </w:tcPr>
          <w:p w14:paraId="2AD11E3C" w14:textId="77777777" w:rsidR="00702EF8" w:rsidRPr="00015E2B" w:rsidRDefault="00702EF8" w:rsidP="00015E2B">
            <w:pPr>
              <w:jc w:val="both"/>
              <w:rPr>
                <w:rFonts w:ascii="Arial" w:hAnsi="Arial"/>
                <w:b/>
                <w:bCs/>
                <w:sz w:val="30"/>
                <w:szCs w:val="30"/>
                <w:rtl/>
              </w:rPr>
            </w:pPr>
          </w:p>
        </w:tc>
        <w:tc>
          <w:tcPr>
            <w:tcW w:w="7875" w:type="dxa"/>
            <w:gridSpan w:val="2"/>
            <w:tcBorders>
              <w:top w:val="nil"/>
              <w:left w:val="nil"/>
              <w:bottom w:val="nil"/>
              <w:right w:val="nil"/>
            </w:tcBorders>
            <w:shd w:val="clear" w:color="auto" w:fill="auto"/>
          </w:tcPr>
          <w:p w14:paraId="33819C5E" w14:textId="77777777" w:rsidR="00702EF8" w:rsidRPr="00015E2B" w:rsidRDefault="00702EF8" w:rsidP="00015E2B">
            <w:pPr>
              <w:jc w:val="center"/>
              <w:rPr>
                <w:rFonts w:ascii="Arial" w:hAnsi="Arial"/>
                <w:b/>
                <w:bCs/>
                <w:sz w:val="30"/>
                <w:szCs w:val="30"/>
                <w:rtl/>
              </w:rPr>
            </w:pPr>
          </w:p>
          <w:p w14:paraId="0E58A150" w14:textId="77777777" w:rsidR="00702EF8" w:rsidRPr="00015E2B" w:rsidRDefault="00702EF8" w:rsidP="00015E2B">
            <w:pPr>
              <w:jc w:val="center"/>
              <w:rPr>
                <w:rFonts w:ascii="Arial" w:hAnsi="Arial"/>
                <w:b/>
                <w:bCs/>
                <w:sz w:val="30"/>
                <w:szCs w:val="30"/>
                <w:rtl/>
              </w:rPr>
            </w:pPr>
            <w:r w:rsidRPr="00015E2B">
              <w:rPr>
                <w:rFonts w:ascii="Arial" w:hAnsi="Arial"/>
                <w:b/>
                <w:bCs/>
                <w:sz w:val="30"/>
                <w:szCs w:val="30"/>
                <w:rtl/>
              </w:rPr>
              <w:t>נגד</w:t>
            </w:r>
          </w:p>
          <w:p w14:paraId="79312166" w14:textId="77777777" w:rsidR="00702EF8" w:rsidRPr="00015E2B" w:rsidRDefault="00702EF8" w:rsidP="00015E2B">
            <w:pPr>
              <w:jc w:val="both"/>
              <w:rPr>
                <w:rFonts w:ascii="Arial" w:hAnsi="Arial"/>
                <w:b/>
                <w:bCs/>
                <w:sz w:val="30"/>
                <w:szCs w:val="30"/>
              </w:rPr>
            </w:pPr>
          </w:p>
        </w:tc>
      </w:tr>
      <w:tr w:rsidR="00702EF8" w:rsidRPr="00015E2B" w14:paraId="48B088CF" w14:textId="77777777" w:rsidTr="00DE7DB6">
        <w:trPr>
          <w:trHeight w:val="355"/>
          <w:jc w:val="center"/>
        </w:trPr>
        <w:tc>
          <w:tcPr>
            <w:tcW w:w="945" w:type="dxa"/>
            <w:tcBorders>
              <w:top w:val="nil"/>
              <w:left w:val="nil"/>
              <w:bottom w:val="nil"/>
              <w:right w:val="nil"/>
            </w:tcBorders>
            <w:shd w:val="clear" w:color="auto" w:fill="auto"/>
          </w:tcPr>
          <w:p w14:paraId="2F772DF0" w14:textId="77777777" w:rsidR="00702EF8" w:rsidRPr="00015E2B" w:rsidRDefault="00702EF8" w:rsidP="00015E2B">
            <w:pPr>
              <w:rPr>
                <w:rFonts w:ascii="Arial" w:hAnsi="Arial"/>
                <w:b/>
                <w:bCs/>
                <w:sz w:val="30"/>
                <w:szCs w:val="30"/>
                <w:rtl/>
              </w:rPr>
            </w:pPr>
          </w:p>
        </w:tc>
        <w:tc>
          <w:tcPr>
            <w:tcW w:w="4114" w:type="dxa"/>
            <w:tcBorders>
              <w:top w:val="nil"/>
              <w:left w:val="nil"/>
              <w:bottom w:val="nil"/>
              <w:right w:val="nil"/>
            </w:tcBorders>
            <w:shd w:val="clear" w:color="auto" w:fill="auto"/>
          </w:tcPr>
          <w:p w14:paraId="0A2A2E87" w14:textId="77777777" w:rsidR="00702EF8" w:rsidRPr="00015E2B" w:rsidRDefault="00702EF8" w:rsidP="00015E2B">
            <w:pPr>
              <w:rPr>
                <w:b/>
                <w:bCs/>
                <w:sz w:val="26"/>
                <w:szCs w:val="26"/>
                <w:rtl/>
              </w:rPr>
            </w:pPr>
            <w:r w:rsidRPr="00015E2B">
              <w:rPr>
                <w:b/>
                <w:bCs/>
                <w:sz w:val="26"/>
                <w:szCs w:val="26"/>
                <w:rtl/>
              </w:rPr>
              <w:t>אמיר סלמה</w:t>
            </w:r>
          </w:p>
        </w:tc>
        <w:tc>
          <w:tcPr>
            <w:tcW w:w="3761" w:type="dxa"/>
            <w:tcBorders>
              <w:top w:val="nil"/>
              <w:left w:val="nil"/>
              <w:bottom w:val="nil"/>
              <w:right w:val="nil"/>
            </w:tcBorders>
            <w:shd w:val="clear" w:color="auto" w:fill="auto"/>
          </w:tcPr>
          <w:p w14:paraId="0F479875" w14:textId="77777777" w:rsidR="00702EF8" w:rsidRPr="00015E2B" w:rsidRDefault="00702EF8" w:rsidP="00015E2B">
            <w:pPr>
              <w:jc w:val="right"/>
              <w:rPr>
                <w:rFonts w:ascii="Arial" w:hAnsi="Arial"/>
                <w:b/>
                <w:bCs/>
                <w:sz w:val="30"/>
                <w:szCs w:val="30"/>
              </w:rPr>
            </w:pPr>
          </w:p>
        </w:tc>
      </w:tr>
      <w:tr w:rsidR="00702EF8" w:rsidRPr="00015E2B" w14:paraId="2E96DC33" w14:textId="77777777" w:rsidTr="00DE7DB6">
        <w:trPr>
          <w:trHeight w:val="355"/>
          <w:jc w:val="center"/>
        </w:trPr>
        <w:tc>
          <w:tcPr>
            <w:tcW w:w="945" w:type="dxa"/>
            <w:tcBorders>
              <w:top w:val="nil"/>
              <w:left w:val="nil"/>
              <w:bottom w:val="nil"/>
              <w:right w:val="nil"/>
            </w:tcBorders>
            <w:shd w:val="clear" w:color="auto" w:fill="auto"/>
          </w:tcPr>
          <w:p w14:paraId="377D51E7" w14:textId="77777777" w:rsidR="00702EF8" w:rsidRPr="00015E2B" w:rsidRDefault="00702EF8" w:rsidP="00015E2B">
            <w:pPr>
              <w:jc w:val="both"/>
              <w:rPr>
                <w:rFonts w:ascii="Arial" w:hAnsi="Arial"/>
                <w:b/>
                <w:bCs/>
                <w:sz w:val="30"/>
                <w:szCs w:val="30"/>
                <w:rtl/>
              </w:rPr>
            </w:pPr>
            <w:bookmarkStart w:id="2" w:name="FirstLawyer"/>
          </w:p>
        </w:tc>
        <w:tc>
          <w:tcPr>
            <w:tcW w:w="4114" w:type="dxa"/>
            <w:tcBorders>
              <w:top w:val="nil"/>
              <w:left w:val="nil"/>
              <w:bottom w:val="nil"/>
              <w:right w:val="nil"/>
            </w:tcBorders>
            <w:shd w:val="clear" w:color="auto" w:fill="auto"/>
          </w:tcPr>
          <w:p w14:paraId="5DBBE98D" w14:textId="77777777" w:rsidR="00702EF8" w:rsidRPr="00015E2B" w:rsidRDefault="00702EF8" w:rsidP="00015E2B">
            <w:pPr>
              <w:jc w:val="both"/>
              <w:rPr>
                <w:b/>
                <w:bCs/>
                <w:sz w:val="26"/>
                <w:szCs w:val="26"/>
                <w:rtl/>
              </w:rPr>
            </w:pPr>
            <w:r w:rsidRPr="00015E2B">
              <w:rPr>
                <w:rFonts w:hint="cs"/>
                <w:b/>
                <w:bCs/>
                <w:sz w:val="26"/>
                <w:szCs w:val="26"/>
                <w:rtl/>
              </w:rPr>
              <w:t>ע"י ב"כ עו"ד ארנון איתן</w:t>
            </w:r>
          </w:p>
        </w:tc>
        <w:tc>
          <w:tcPr>
            <w:tcW w:w="3761" w:type="dxa"/>
            <w:tcBorders>
              <w:top w:val="nil"/>
              <w:left w:val="nil"/>
              <w:bottom w:val="nil"/>
              <w:right w:val="nil"/>
            </w:tcBorders>
            <w:shd w:val="clear" w:color="auto" w:fill="auto"/>
          </w:tcPr>
          <w:p w14:paraId="0CFBAFE0" w14:textId="77777777" w:rsidR="00702EF8" w:rsidRPr="00015E2B" w:rsidRDefault="00702EF8" w:rsidP="00015E2B">
            <w:pPr>
              <w:jc w:val="right"/>
              <w:rPr>
                <w:rFonts w:ascii="Arial" w:hAnsi="Arial"/>
                <w:b/>
                <w:bCs/>
                <w:sz w:val="28"/>
                <w:szCs w:val="28"/>
              </w:rPr>
            </w:pPr>
            <w:r w:rsidRPr="00015E2B">
              <w:rPr>
                <w:rFonts w:ascii="Arial" w:hAnsi="Arial" w:hint="cs"/>
                <w:b/>
                <w:bCs/>
                <w:sz w:val="28"/>
                <w:szCs w:val="28"/>
                <w:rtl/>
              </w:rPr>
              <w:t>ה</w:t>
            </w:r>
            <w:r w:rsidRPr="00015E2B">
              <w:rPr>
                <w:b/>
                <w:bCs/>
                <w:sz w:val="28"/>
                <w:szCs w:val="28"/>
                <w:rtl/>
              </w:rPr>
              <w:t>נאשם</w:t>
            </w:r>
          </w:p>
        </w:tc>
      </w:tr>
      <w:tr w:rsidR="00702EF8" w:rsidRPr="008D637C" w14:paraId="0A1CE65F" w14:textId="77777777" w:rsidTr="00015E2B">
        <w:trPr>
          <w:trHeight w:val="355"/>
          <w:jc w:val="center"/>
        </w:trPr>
        <w:tc>
          <w:tcPr>
            <w:tcW w:w="8820" w:type="dxa"/>
            <w:gridSpan w:val="3"/>
            <w:tcBorders>
              <w:top w:val="nil"/>
              <w:left w:val="nil"/>
              <w:bottom w:val="nil"/>
              <w:right w:val="nil"/>
            </w:tcBorders>
            <w:shd w:val="clear" w:color="auto" w:fill="auto"/>
          </w:tcPr>
          <w:p w14:paraId="6C8A505D" w14:textId="77777777" w:rsidR="00DE7DB6" w:rsidRDefault="00DE7DB6" w:rsidP="00015E2B">
            <w:pPr>
              <w:jc w:val="center"/>
              <w:rPr>
                <w:rFonts w:ascii="Arial" w:hAnsi="Arial"/>
                <w:sz w:val="32"/>
                <w:szCs w:val="32"/>
                <w:rtl/>
              </w:rPr>
            </w:pPr>
            <w:bookmarkStart w:id="3" w:name="PsakDin" w:colFirst="0" w:colLast="0"/>
            <w:bookmarkStart w:id="4" w:name="LawTable"/>
            <w:bookmarkEnd w:id="0"/>
            <w:bookmarkEnd w:id="2"/>
            <w:bookmarkEnd w:id="4"/>
          </w:p>
          <w:p w14:paraId="1139F6B3" w14:textId="77777777" w:rsidR="00DE7DB6" w:rsidRPr="00DE7DB6" w:rsidRDefault="00DE7DB6" w:rsidP="00DE7DB6">
            <w:pPr>
              <w:spacing w:after="120" w:line="240" w:lineRule="exact"/>
              <w:ind w:left="283" w:hanging="283"/>
              <w:jc w:val="both"/>
              <w:rPr>
                <w:rFonts w:ascii="FrankRuehl" w:hAnsi="FrankRuehl" w:cs="FrankRuehl"/>
                <w:rtl/>
              </w:rPr>
            </w:pPr>
          </w:p>
          <w:p w14:paraId="77B9EEB1" w14:textId="77777777" w:rsidR="00DE7DB6" w:rsidRPr="00DE7DB6" w:rsidRDefault="00DE7DB6" w:rsidP="00DE7DB6">
            <w:pPr>
              <w:spacing w:after="120" w:line="240" w:lineRule="exact"/>
              <w:ind w:left="283" w:hanging="283"/>
              <w:jc w:val="both"/>
              <w:rPr>
                <w:rFonts w:ascii="FrankRuehl" w:hAnsi="FrankRuehl" w:cs="FrankRuehl"/>
                <w:rtl/>
              </w:rPr>
            </w:pPr>
            <w:r w:rsidRPr="00DE7DB6">
              <w:rPr>
                <w:rFonts w:ascii="FrankRuehl" w:hAnsi="FrankRuehl" w:cs="FrankRuehl"/>
                <w:rtl/>
              </w:rPr>
              <w:t xml:space="preserve">חקיקה שאוזכרה: </w:t>
            </w:r>
          </w:p>
          <w:p w14:paraId="3306E8F3" w14:textId="77777777" w:rsidR="00DE7DB6" w:rsidRPr="00DE7DB6" w:rsidRDefault="00DE7DB6" w:rsidP="00DE7DB6">
            <w:pPr>
              <w:spacing w:after="120" w:line="240" w:lineRule="exact"/>
              <w:ind w:left="283" w:hanging="283"/>
              <w:jc w:val="both"/>
              <w:rPr>
                <w:rFonts w:ascii="FrankRuehl" w:hAnsi="FrankRuehl" w:cs="FrankRuehl"/>
                <w:rtl/>
              </w:rPr>
            </w:pPr>
            <w:hyperlink r:id="rId6" w:history="1">
              <w:r w:rsidRPr="00DE7DB6">
                <w:rPr>
                  <w:rFonts w:ascii="FrankRuehl" w:hAnsi="FrankRuehl" w:cs="FrankRuehl"/>
                  <w:color w:val="0000FF"/>
                  <w:u w:val="single"/>
                  <w:rtl/>
                </w:rPr>
                <w:t>חוק העונשין, תשל"ז-1977</w:t>
              </w:r>
            </w:hyperlink>
            <w:r w:rsidRPr="00DE7DB6">
              <w:rPr>
                <w:rFonts w:ascii="FrankRuehl" w:hAnsi="FrankRuehl" w:cs="FrankRuehl"/>
                <w:rtl/>
              </w:rPr>
              <w:t xml:space="preserve">: סע'  </w:t>
            </w:r>
            <w:hyperlink r:id="rId7" w:history="1">
              <w:r w:rsidRPr="00DE7DB6">
                <w:rPr>
                  <w:rFonts w:ascii="FrankRuehl" w:hAnsi="FrankRuehl" w:cs="FrankRuehl"/>
                  <w:color w:val="0000FF"/>
                  <w:u w:val="single"/>
                  <w:rtl/>
                </w:rPr>
                <w:t>25</w:t>
              </w:r>
            </w:hyperlink>
            <w:r w:rsidRPr="00DE7DB6">
              <w:rPr>
                <w:rFonts w:ascii="FrankRuehl" w:hAnsi="FrankRuehl" w:cs="FrankRuehl"/>
                <w:rtl/>
              </w:rPr>
              <w:t xml:space="preserve">, </w:t>
            </w:r>
            <w:hyperlink r:id="rId8" w:history="1">
              <w:r w:rsidRPr="00DE7DB6">
                <w:rPr>
                  <w:rFonts w:ascii="FrankRuehl" w:hAnsi="FrankRuehl" w:cs="FrankRuehl"/>
                  <w:color w:val="0000FF"/>
                  <w:u w:val="single"/>
                  <w:rtl/>
                </w:rPr>
                <w:t>31</w:t>
              </w:r>
            </w:hyperlink>
            <w:r w:rsidRPr="00DE7DB6">
              <w:rPr>
                <w:rFonts w:ascii="FrankRuehl" w:hAnsi="FrankRuehl" w:cs="FrankRuehl"/>
                <w:rtl/>
              </w:rPr>
              <w:t xml:space="preserve">, </w:t>
            </w:r>
            <w:hyperlink r:id="rId9" w:history="1">
              <w:r w:rsidRPr="00DE7DB6">
                <w:rPr>
                  <w:rFonts w:ascii="FrankRuehl" w:hAnsi="FrankRuehl" w:cs="FrankRuehl"/>
                  <w:color w:val="0000FF"/>
                  <w:u w:val="single"/>
                  <w:rtl/>
                </w:rPr>
                <w:t>144(א)</w:t>
              </w:r>
            </w:hyperlink>
            <w:r w:rsidRPr="00DE7DB6">
              <w:rPr>
                <w:rFonts w:ascii="FrankRuehl" w:hAnsi="FrankRuehl" w:cs="FrankRuehl"/>
                <w:rtl/>
              </w:rPr>
              <w:t xml:space="preserve">, </w:t>
            </w:r>
            <w:hyperlink r:id="rId10" w:history="1">
              <w:r w:rsidRPr="00DE7DB6">
                <w:rPr>
                  <w:rFonts w:ascii="FrankRuehl" w:hAnsi="FrankRuehl" w:cs="FrankRuehl"/>
                  <w:color w:val="0000FF"/>
                  <w:u w:val="single"/>
                  <w:rtl/>
                </w:rPr>
                <w:t>144(ב)</w:t>
              </w:r>
            </w:hyperlink>
            <w:r w:rsidRPr="00DE7DB6">
              <w:rPr>
                <w:rFonts w:ascii="FrankRuehl" w:hAnsi="FrankRuehl" w:cs="FrankRuehl"/>
                <w:rtl/>
              </w:rPr>
              <w:t xml:space="preserve">, </w:t>
            </w:r>
            <w:hyperlink r:id="rId11" w:history="1">
              <w:r w:rsidRPr="00DE7DB6">
                <w:rPr>
                  <w:rFonts w:ascii="FrankRuehl" w:hAnsi="FrankRuehl" w:cs="FrankRuehl"/>
                  <w:color w:val="0000FF"/>
                  <w:u w:val="single"/>
                  <w:rtl/>
                </w:rPr>
                <w:t>379</w:t>
              </w:r>
            </w:hyperlink>
          </w:p>
          <w:p w14:paraId="2B237471" w14:textId="77777777" w:rsidR="00DE7DB6" w:rsidRPr="00DE7DB6" w:rsidRDefault="00DE7DB6" w:rsidP="00DE7DB6">
            <w:pPr>
              <w:spacing w:after="120" w:line="240" w:lineRule="exact"/>
              <w:ind w:left="283" w:hanging="283"/>
              <w:jc w:val="both"/>
              <w:rPr>
                <w:rFonts w:ascii="FrankRuehl" w:hAnsi="FrankRuehl" w:cs="FrankRuehl"/>
                <w:rtl/>
              </w:rPr>
            </w:pPr>
          </w:p>
          <w:p w14:paraId="0A36D571" w14:textId="77777777" w:rsidR="00DE7DB6" w:rsidRPr="00DE7DB6" w:rsidRDefault="00DE7DB6" w:rsidP="00015E2B">
            <w:pPr>
              <w:jc w:val="center"/>
              <w:rPr>
                <w:rFonts w:ascii="Arial" w:hAnsi="Arial"/>
                <w:sz w:val="32"/>
                <w:szCs w:val="32"/>
                <w:rtl/>
              </w:rPr>
            </w:pPr>
            <w:bookmarkStart w:id="5" w:name="LawTable_End"/>
            <w:bookmarkEnd w:id="5"/>
          </w:p>
          <w:p w14:paraId="74A700FA" w14:textId="77777777" w:rsidR="00DE7DB6" w:rsidRPr="00DE7DB6" w:rsidRDefault="00DE7DB6" w:rsidP="00015E2B">
            <w:pPr>
              <w:jc w:val="center"/>
              <w:rPr>
                <w:rFonts w:ascii="Arial" w:hAnsi="Arial"/>
                <w:sz w:val="32"/>
                <w:szCs w:val="32"/>
                <w:rtl/>
              </w:rPr>
            </w:pPr>
          </w:p>
          <w:p w14:paraId="45DD681D" w14:textId="77777777" w:rsidR="00DE7DB6" w:rsidRPr="00DE7DB6" w:rsidRDefault="00DE7DB6" w:rsidP="00015E2B">
            <w:pPr>
              <w:jc w:val="center"/>
              <w:rPr>
                <w:rFonts w:ascii="Arial" w:hAnsi="Arial"/>
                <w:sz w:val="32"/>
                <w:szCs w:val="32"/>
                <w:rtl/>
              </w:rPr>
            </w:pPr>
          </w:p>
          <w:p w14:paraId="59EFEC96" w14:textId="77777777" w:rsidR="00015E2B" w:rsidRPr="00015E2B" w:rsidRDefault="00015E2B" w:rsidP="00015E2B">
            <w:pPr>
              <w:jc w:val="center"/>
              <w:rPr>
                <w:rFonts w:ascii="Arial" w:hAnsi="Arial"/>
                <w:b/>
                <w:bCs/>
                <w:sz w:val="32"/>
                <w:szCs w:val="32"/>
                <w:u w:val="single"/>
                <w:rtl/>
              </w:rPr>
            </w:pPr>
            <w:r w:rsidRPr="00015E2B">
              <w:rPr>
                <w:rFonts w:ascii="Arial" w:hAnsi="Arial"/>
                <w:b/>
                <w:bCs/>
                <w:sz w:val="32"/>
                <w:szCs w:val="32"/>
                <w:u w:val="single"/>
                <w:rtl/>
              </w:rPr>
              <w:t>גזר דין</w:t>
            </w:r>
          </w:p>
          <w:p w14:paraId="64541E57" w14:textId="77777777" w:rsidR="00702EF8" w:rsidRPr="00015E2B" w:rsidRDefault="00702EF8" w:rsidP="00015E2B">
            <w:pPr>
              <w:jc w:val="center"/>
              <w:rPr>
                <w:rFonts w:ascii="Arial" w:hAnsi="Arial"/>
                <w:b/>
                <w:bCs/>
                <w:sz w:val="32"/>
                <w:szCs w:val="32"/>
                <w:u w:val="single"/>
                <w:rtl/>
              </w:rPr>
            </w:pPr>
          </w:p>
        </w:tc>
      </w:tr>
      <w:bookmarkEnd w:id="3"/>
    </w:tbl>
    <w:p w14:paraId="11BE7A2B" w14:textId="77777777" w:rsidR="00702EF8" w:rsidRPr="008D637C" w:rsidRDefault="00702EF8" w:rsidP="00702EF8">
      <w:pPr>
        <w:rPr>
          <w:rFonts w:ascii="Arial" w:hAnsi="Arial"/>
          <w:b/>
          <w:bCs/>
          <w:rtl/>
        </w:rPr>
      </w:pPr>
    </w:p>
    <w:p w14:paraId="53618B2D" w14:textId="77777777" w:rsidR="00702EF8" w:rsidRDefault="00702EF8" w:rsidP="00702EF8">
      <w:pPr>
        <w:rPr>
          <w:rtl/>
        </w:rPr>
      </w:pPr>
    </w:p>
    <w:p w14:paraId="60252918" w14:textId="77777777" w:rsidR="00702EF8" w:rsidRDefault="00702EF8" w:rsidP="00702EF8">
      <w:pPr>
        <w:spacing w:after="240" w:line="360" w:lineRule="auto"/>
        <w:jc w:val="both"/>
        <w:rPr>
          <w:b/>
          <w:bCs/>
          <w:u w:val="single"/>
          <w:rtl/>
        </w:rPr>
      </w:pPr>
      <w:r>
        <w:rPr>
          <w:rFonts w:hint="cs"/>
          <w:b/>
          <w:bCs/>
          <w:u w:val="single"/>
          <w:rtl/>
        </w:rPr>
        <w:t>העובדות וטענות הצדדים</w:t>
      </w:r>
    </w:p>
    <w:p w14:paraId="0CA65F34" w14:textId="77777777" w:rsidR="00702EF8" w:rsidRDefault="00702EF8" w:rsidP="00702EF8">
      <w:pPr>
        <w:spacing w:after="240" w:line="360" w:lineRule="auto"/>
        <w:ind w:left="720" w:hanging="720"/>
        <w:jc w:val="both"/>
      </w:pPr>
      <w:r w:rsidRPr="008D637C">
        <w:rPr>
          <w:rFonts w:hint="cs"/>
          <w:rtl/>
        </w:rPr>
        <w:t>1.</w:t>
      </w:r>
      <w:r w:rsidRPr="008D637C">
        <w:rPr>
          <w:rFonts w:hint="cs"/>
          <w:rtl/>
        </w:rPr>
        <w:tab/>
      </w:r>
      <w:bookmarkStart w:id="6" w:name="ABSTRACT_START"/>
      <w:bookmarkEnd w:id="6"/>
      <w:r>
        <w:rPr>
          <w:rFonts w:hint="cs"/>
          <w:rtl/>
        </w:rPr>
        <w:t xml:space="preserve">הנאשם, יליד 1993, הודה והורשע בכתב אישום שתוקן במסגרת הסדר טיעון בעבירות של נשיאת נשק לפי </w:t>
      </w:r>
      <w:hyperlink r:id="rId12" w:history="1">
        <w:r w:rsidR="006D62B5" w:rsidRPr="006D62B5">
          <w:rPr>
            <w:color w:val="0000FF"/>
            <w:u w:val="single"/>
            <w:rtl/>
          </w:rPr>
          <w:t>סעיף 144(ב)</w:t>
        </w:r>
      </w:hyperlink>
      <w:r>
        <w:rPr>
          <w:rFonts w:hint="cs"/>
          <w:rtl/>
        </w:rPr>
        <w:t xml:space="preserve"> ל</w:t>
      </w:r>
      <w:hyperlink r:id="rId13" w:history="1">
        <w:r w:rsidR="00015E2B" w:rsidRPr="00015E2B">
          <w:rPr>
            <w:color w:val="0000FF"/>
            <w:u w:val="single"/>
            <w:rtl/>
          </w:rPr>
          <w:t>חוק העונשין</w:t>
        </w:r>
      </w:hyperlink>
      <w:r>
        <w:rPr>
          <w:rFonts w:hint="cs"/>
          <w:rtl/>
        </w:rPr>
        <w:t xml:space="preserve"> התשל"ז-1977 (להלן: חוק העונשין), החזקת נשק לפי </w:t>
      </w:r>
      <w:hyperlink r:id="rId14" w:history="1">
        <w:r w:rsidR="006D62B5" w:rsidRPr="006D62B5">
          <w:rPr>
            <w:color w:val="0000FF"/>
            <w:u w:val="single"/>
            <w:rtl/>
          </w:rPr>
          <w:t>סעיף 144(א)</w:t>
        </w:r>
      </w:hyperlink>
      <w:r>
        <w:rPr>
          <w:rFonts w:hint="cs"/>
          <w:rtl/>
        </w:rPr>
        <w:t xml:space="preserve"> לחוק וסיוע לנסיון לתקיפה לפי </w:t>
      </w:r>
      <w:hyperlink r:id="rId15" w:history="1">
        <w:r w:rsidR="006D62B5" w:rsidRPr="006D62B5">
          <w:rPr>
            <w:color w:val="0000FF"/>
            <w:u w:val="single"/>
            <w:rtl/>
          </w:rPr>
          <w:t>סעיפים 379</w:t>
        </w:r>
      </w:hyperlink>
      <w:r>
        <w:rPr>
          <w:rFonts w:hint="cs"/>
          <w:rtl/>
        </w:rPr>
        <w:t xml:space="preserve"> + </w:t>
      </w:r>
      <w:hyperlink r:id="rId16" w:history="1">
        <w:r w:rsidR="006D62B5" w:rsidRPr="006D62B5">
          <w:rPr>
            <w:color w:val="0000FF"/>
            <w:u w:val="single"/>
            <w:rtl/>
          </w:rPr>
          <w:t>25</w:t>
        </w:r>
      </w:hyperlink>
      <w:r>
        <w:rPr>
          <w:rFonts w:hint="cs"/>
          <w:rtl/>
        </w:rPr>
        <w:t xml:space="preserve"> + </w:t>
      </w:r>
      <w:hyperlink r:id="rId17" w:history="1">
        <w:r w:rsidR="006D62B5" w:rsidRPr="006D62B5">
          <w:rPr>
            <w:color w:val="0000FF"/>
            <w:u w:val="single"/>
            <w:rtl/>
          </w:rPr>
          <w:t>31</w:t>
        </w:r>
      </w:hyperlink>
      <w:r>
        <w:rPr>
          <w:rFonts w:hint="cs"/>
          <w:rtl/>
        </w:rPr>
        <w:t xml:space="preserve"> לחוק. לא היתה הסכמה לעניין העונש, אם כי המאשימה לא התנגדה לשלוח את הנאשם לקבלת תסקיר של שירות המבחן.</w:t>
      </w:r>
    </w:p>
    <w:p w14:paraId="659F0D6E" w14:textId="77777777" w:rsidR="00702EF8" w:rsidRDefault="00702EF8" w:rsidP="00702EF8">
      <w:pPr>
        <w:spacing w:after="240" w:line="360" w:lineRule="auto"/>
        <w:ind w:left="720"/>
        <w:jc w:val="both"/>
        <w:rPr>
          <w:rtl/>
        </w:rPr>
      </w:pPr>
      <w:bookmarkStart w:id="7" w:name="ABSTRACT_END"/>
      <w:bookmarkEnd w:id="7"/>
      <w:r>
        <w:rPr>
          <w:rFonts w:hint="cs"/>
          <w:rtl/>
        </w:rPr>
        <w:t xml:space="preserve">על פי כתב האישום המתוקן, קיים סכסוך בין חברו של הנאשם אלירון גולד לבין אחרים, ביניהם רן ויוני אברג'יל ונתי קורקוס. עובר ליום 3.5.16 קיבל הנאשם לידיו והחזיק במקום מסתור שני רימוני הלם ורימון גז (להלן: הרימונים). בתאריך 5.6.16 נאמר לאלירון כי האחרים נמצאים ברחוב האפרסמון בירושלים. הוא קרא לנאשם ולחברים נוספים, הנאשם הצטייד ברימונים וכולם נסעו לרחוב האפרסמון. הנאשם מסר לאלירון את רימון הגז והסביר לו כיצד להשתמש בו. מאוחר יותר השליך הנאשם את רימון הגז לעבר רן אברג'יל . </w:t>
      </w:r>
      <w:r>
        <w:rPr>
          <w:rFonts w:hint="cs"/>
          <w:rtl/>
        </w:rPr>
        <w:lastRenderedPageBreak/>
        <w:t xml:space="preserve">הנאשם נטל את שני רימוני ההלם והטמינם במקום סמוך. ביומיים שלאחר מכן העבירם בין שני מקומות מסתור נוספים. במסגרת הסדר הטיעון הוסכם גם שעבירת הסיוע לנסיון התקיפה התבטאה רק בכך שהנאשם הביא לזירה את הרימונים והסביר לאלירן איך להשתמש ברימון הגז. </w:t>
      </w:r>
    </w:p>
    <w:p w14:paraId="21D31000" w14:textId="77777777" w:rsidR="00702EF8" w:rsidRDefault="00702EF8" w:rsidP="00702EF8">
      <w:pPr>
        <w:spacing w:after="240" w:line="360" w:lineRule="auto"/>
        <w:ind w:left="720" w:hanging="720"/>
        <w:jc w:val="both"/>
        <w:rPr>
          <w:rtl/>
        </w:rPr>
      </w:pPr>
      <w:r>
        <w:rPr>
          <w:rFonts w:hint="cs"/>
          <w:rtl/>
        </w:rPr>
        <w:t>2.</w:t>
      </w:r>
      <w:r>
        <w:rPr>
          <w:rFonts w:hint="cs"/>
          <w:rtl/>
        </w:rPr>
        <w:tab/>
        <w:t xml:space="preserve">ב"כ המאשימה טענה כי מעשי הנאשם פוגעים בערכים של שלום הציבור, בטחון הציבור ובטחון האדם הפרטי, וכי מדובר בעבירות חמורות שיש בהן פוטנציאל לגרימת נזק קטלני, ממשי וישיר, ועל כן הן מצדיקות ענישה משמעותית. היא הפנתה לפסיקה בעבירות נשק בכלל ובנוגע לרימוני הלם בלבד, ובעקבותיה טענה כי גם אם הסכנה ברימון הלם פחותה משל רימון רסס, עדיין מדובר בנשק שבכוחו לגרום לפציעה ולנזק. ב"כ המאשימה הפנתה לפסיקה וכן להנחיות פרקליט המדינה בנוגע לעבירות נשק, שממנה עולה כי יש להעלות את רמת הענישה בשל החומרה הרבה בעבירות אלו, ואין לראות טענה שהנשק הוחזק להגנה עצמית כמצדיקה סטיה ממתחם המוצא. </w:t>
      </w:r>
    </w:p>
    <w:p w14:paraId="39199E13" w14:textId="77777777" w:rsidR="00702EF8" w:rsidRDefault="00702EF8" w:rsidP="00702EF8">
      <w:pPr>
        <w:spacing w:after="240" w:line="360" w:lineRule="auto"/>
        <w:ind w:firstLine="720"/>
        <w:jc w:val="both"/>
        <w:rPr>
          <w:rtl/>
        </w:rPr>
      </w:pPr>
      <w:r>
        <w:rPr>
          <w:rFonts w:hint="cs"/>
          <w:rtl/>
        </w:rPr>
        <w:t xml:space="preserve">על סמך אלה טענה למתחם הנע בין שנה אחת לבין שלוש שנות מאסר. </w:t>
      </w:r>
    </w:p>
    <w:p w14:paraId="26D22315" w14:textId="77777777" w:rsidR="00702EF8" w:rsidRDefault="00702EF8" w:rsidP="00702EF8">
      <w:pPr>
        <w:spacing w:after="240" w:line="360" w:lineRule="auto"/>
        <w:ind w:left="720"/>
        <w:jc w:val="both"/>
        <w:rPr>
          <w:rtl/>
        </w:rPr>
      </w:pPr>
      <w:r>
        <w:rPr>
          <w:rFonts w:hint="cs"/>
          <w:rtl/>
        </w:rPr>
        <w:t xml:space="preserve">באשר לעונש בתוך המתחם טענה התובעת כי הנאשם הודה כבר בחקירה ולאחר מכן בבית המשפט, אך מאידך הוא בעל עבר פלילי בעבירת אלימות ונדון לעבודות שירות. היא התייחסה לתסקיר שירות המבחן, לתמונה המורכבת לגבי חייו של הנאשם, לנטילת האחריות החלקית ולסיכון להישנות התנהגות עוברת חוק. לאור כל אלו ביקשה למקם את הנאשם ברף האמצעי תחתון של המתחם, ולהטיל עליו חמישה עשר חודשי מאסר בפועל, מאסר על תנאי וקנס, וכן לחלט את כלי הנשק שנתפסו. </w:t>
      </w:r>
    </w:p>
    <w:p w14:paraId="6698B0D9" w14:textId="77777777" w:rsidR="00702EF8" w:rsidRDefault="00702EF8" w:rsidP="00702EF8">
      <w:pPr>
        <w:spacing w:after="240" w:line="360" w:lineRule="auto"/>
        <w:ind w:left="720" w:hanging="720"/>
        <w:jc w:val="both"/>
        <w:rPr>
          <w:rtl/>
        </w:rPr>
      </w:pPr>
      <w:r>
        <w:rPr>
          <w:rFonts w:hint="cs"/>
          <w:rtl/>
        </w:rPr>
        <w:t>3.</w:t>
      </w:r>
      <w:r>
        <w:rPr>
          <w:rFonts w:hint="cs"/>
          <w:rtl/>
        </w:rPr>
        <w:tab/>
        <w:t xml:space="preserve">ב"כ הנאשם טען כי הפסיקה אליה הפנתה התובעת, כמו גם הנחיות פרקליט המדינה, מתייחסים לנסיבות חמורות בהרבה שאינן מתקיימות במקרה הנוכחי. לטענת ב"כ הנאשם במסגרת הנחיות פרקליט המדינה, מבחינת החומרה מיקומה של העבירה נמוך, ויש להביא בחשבון שהמעשה האקטיבי לא נעשה על ידו, ולא התקיים אקט של פיצוץ או רתיעה. הוא ביקש לקבל את המלצת שירות המבחן ולהטיל על הנאשם עונש של מאסר בעבודות שירות, וציין כי הנאשם השתלב במסגרת פיקוח מעצרים והשתתף בקבוצות טיפוליות בשירות המבחן. </w:t>
      </w:r>
    </w:p>
    <w:p w14:paraId="0AC554F8" w14:textId="77777777" w:rsidR="00702EF8" w:rsidRDefault="00702EF8" w:rsidP="00702EF8">
      <w:pPr>
        <w:spacing w:after="240" w:line="360" w:lineRule="auto"/>
        <w:ind w:left="720"/>
        <w:jc w:val="both"/>
        <w:rPr>
          <w:rtl/>
        </w:rPr>
      </w:pPr>
      <w:r>
        <w:rPr>
          <w:rFonts w:hint="cs"/>
          <w:rtl/>
        </w:rPr>
        <w:t xml:space="preserve">עוד טען הסניגור כי כתב האישום נגד הנאשם נולד כספיח של פרשה גדולה שנחקרה, וחלקו של הנאשם על פי כתב האישום המתוקן מצומצם, ואינו כולל פעולה אקטיבית של הנאשם בחלק העיקרי של האירוע, הכולל את השימוש ברימון. הוא הדגיש כי בכתב האישום לא נטען שהנאשם נכח במקום בו נזרק הרימון, או שהיה מודע לסכסוך בין חברו אלירון לבין האחרים, וכי סכסוך זה כלל לא נגע אליו. הוא הפנה גם לתסקיר שהוגש, לרקע הקשה ממנו הגיע הנאשם, לגורמים שונים שהשפיעו עליו, לתהליך החיובי שעבר ולהמלצה החיובית לגבי </w:t>
      </w:r>
      <w:r>
        <w:rPr>
          <w:rFonts w:hint="cs"/>
          <w:rtl/>
        </w:rPr>
        <w:lastRenderedPageBreak/>
        <w:t xml:space="preserve">העתיד. הוא הפנה לפסיקה וביקש, כאמור, להטיל על הנאשם עונש של מאסר בעבודות שירות כהמלצת שירות המבחן. </w:t>
      </w:r>
    </w:p>
    <w:p w14:paraId="4F59634B" w14:textId="77777777" w:rsidR="00702EF8" w:rsidRDefault="00702EF8" w:rsidP="00702EF8">
      <w:pPr>
        <w:spacing w:after="240" w:line="360" w:lineRule="auto"/>
        <w:ind w:left="720"/>
        <w:jc w:val="both"/>
        <w:rPr>
          <w:rtl/>
        </w:rPr>
      </w:pPr>
      <w:r>
        <w:rPr>
          <w:rFonts w:hint="cs"/>
          <w:rtl/>
        </w:rPr>
        <w:t xml:space="preserve">הנאשם עצמו הביע חרטה ואחריות מלאה למעשיו, וציין את השתתפותו בפגישות ובהליך הטיפולי. </w:t>
      </w:r>
    </w:p>
    <w:p w14:paraId="33430CBD" w14:textId="77777777" w:rsidR="00702EF8" w:rsidRDefault="00702EF8" w:rsidP="00702EF8">
      <w:pPr>
        <w:spacing w:after="240" w:line="360" w:lineRule="auto"/>
        <w:jc w:val="both"/>
        <w:rPr>
          <w:rtl/>
        </w:rPr>
      </w:pPr>
      <w:r>
        <w:rPr>
          <w:rFonts w:hint="cs"/>
          <w:rtl/>
        </w:rPr>
        <w:t>4.</w:t>
      </w:r>
      <w:r>
        <w:rPr>
          <w:rFonts w:hint="cs"/>
          <w:rtl/>
        </w:rPr>
        <w:tab/>
        <w:t xml:space="preserve">שירות המבחן הגיש תסקיר אודות הנאשם. </w:t>
      </w:r>
    </w:p>
    <w:p w14:paraId="2E4C75FE" w14:textId="77777777" w:rsidR="00702EF8" w:rsidRDefault="00702EF8" w:rsidP="00702EF8">
      <w:pPr>
        <w:spacing w:after="240" w:line="360" w:lineRule="auto"/>
        <w:ind w:left="720"/>
        <w:jc w:val="both"/>
        <w:rPr>
          <w:rtl/>
        </w:rPr>
      </w:pPr>
      <w:r>
        <w:rPr>
          <w:rFonts w:hint="cs"/>
          <w:rtl/>
        </w:rPr>
        <w:t xml:space="preserve">מהתסקיר עולה כי הנאשם בן למשפחה ערבית, אך גדל שנים רבות בסביבה יהודית, ומצוי בין העולמות. בתסקיר פרטים אודות הרקע והמצב המשפחתי של הנאשם, וכן הוזכרה תאונת דרכים שעבר הנאשם, שבגינה היה מאושפז חודשיים והוא נדרש לעבור ניתוח. עוד צויין בתסקיר כי הנאשם השתתף, במסגרת פיקוח מעצרים, בתכנית טיפולית בה התמיד במשך רוב התקופה, והדבר מצביע על יכולת לשיתוף פעולה ויציבות, כאשר הנאשם אף מבטא רצון לקיים אורח חיים נורמטיבי. עם זאת לנאשם הרשעות קודמות בעבירות אלימות וסמים, והוא התקשה להסביר את הסיבה להחזקת הרימונים נשוא תיק זה. קצינת המבחן התרשמה כי הנאשם מגלה "מודעות מסויימת" למצבו ולהשלכות של התנהגותו על המשך חייו, וכי  הצליח להשתלב בתכנית טיפולית ולהתמיד בה "במידת מה" והוא מבטא רצון לקיים אורח חיים נורמטיבי. לאור זאת המליצה קצינת המבחן  על המשך ההליכים הטיפוליים במסגרת צו מבחן, לצד עונש מאסר בעבודות שירות. </w:t>
      </w:r>
    </w:p>
    <w:p w14:paraId="4657681E" w14:textId="77777777" w:rsidR="00702EF8" w:rsidRDefault="00702EF8" w:rsidP="00702EF8">
      <w:pPr>
        <w:spacing w:after="240" w:line="360" w:lineRule="auto"/>
        <w:ind w:left="720" w:hanging="720"/>
        <w:jc w:val="both"/>
        <w:rPr>
          <w:rtl/>
        </w:rPr>
      </w:pPr>
      <w:r>
        <w:rPr>
          <w:rFonts w:hint="cs"/>
          <w:rtl/>
        </w:rPr>
        <w:t>5.</w:t>
      </w:r>
      <w:r>
        <w:rPr>
          <w:rFonts w:hint="cs"/>
          <w:rtl/>
        </w:rPr>
        <w:tab/>
        <w:t xml:space="preserve">לנאשם הרשעות קודמות: בשנת 2013 נדון למאסר על תנאי על עבירה של החזקת סם לשימוש עצמי. בשנת 2011 נדון לחמישה חודשי עבודות שירות בגין עבירות של שוד מזויין בנסיבות מחמירות, קשירת קשר לביצוע פשע וחבלה במזיד ברכב. אמנם העונש שהוטל על הנאשם בתיק זה מצביע על נסיבות קלות יחסית, אולם לא ניתן להתעלם מחומרת העבירות בהן הורשע. </w:t>
      </w:r>
    </w:p>
    <w:p w14:paraId="22420E62" w14:textId="77777777" w:rsidR="00702EF8" w:rsidRDefault="00702EF8" w:rsidP="00702EF8">
      <w:pPr>
        <w:spacing w:after="240" w:line="360" w:lineRule="auto"/>
        <w:ind w:left="720" w:hanging="720"/>
        <w:jc w:val="both"/>
        <w:rPr>
          <w:rtl/>
        </w:rPr>
      </w:pPr>
    </w:p>
    <w:p w14:paraId="5B2E8404" w14:textId="77777777" w:rsidR="00702EF8" w:rsidRDefault="00702EF8" w:rsidP="00702EF8">
      <w:pPr>
        <w:spacing w:after="240" w:line="360" w:lineRule="auto"/>
        <w:jc w:val="both"/>
        <w:rPr>
          <w:b/>
          <w:bCs/>
          <w:u w:val="single"/>
          <w:rtl/>
        </w:rPr>
      </w:pPr>
      <w:r>
        <w:rPr>
          <w:rFonts w:hint="cs"/>
          <w:b/>
          <w:bCs/>
          <w:u w:val="single"/>
          <w:rtl/>
        </w:rPr>
        <w:t xml:space="preserve">מתחם העונש ההולם </w:t>
      </w:r>
    </w:p>
    <w:p w14:paraId="228B730F" w14:textId="77777777" w:rsidR="00702EF8" w:rsidRDefault="00702EF8" w:rsidP="00702EF8">
      <w:pPr>
        <w:spacing w:after="240" w:line="360" w:lineRule="auto"/>
        <w:ind w:left="720" w:hanging="720"/>
        <w:jc w:val="both"/>
        <w:rPr>
          <w:rtl/>
        </w:rPr>
      </w:pPr>
      <w:r>
        <w:rPr>
          <w:rFonts w:hint="cs"/>
          <w:rtl/>
        </w:rPr>
        <w:t>6.</w:t>
      </w:r>
      <w:r>
        <w:rPr>
          <w:rFonts w:hint="cs"/>
          <w:rtl/>
        </w:rPr>
        <w:tab/>
        <w:t xml:space="preserve">החזקת נשק, ורימון בכלל זה, אינה עבירה אקראית. </w:t>
      </w:r>
      <w:r w:rsidRPr="006966CB">
        <w:rPr>
          <w:rFonts w:hint="cs"/>
          <w:rtl/>
        </w:rPr>
        <w:t>הרימון הוא נשק התקפי במהותו, שקשה להעלות על הדעת שימוש בו להגנה עצמית. בשונה מנשק קר לסוגיו ואף מאקדחים ורובים, מדובר בנשק שאדם יחיד אינו רשאי להחזיקו ולא ניתן לקבל רשיון להחזקתו, אלא על ידי צבא, משטרה או גופים מורשים לכך. כך שהחזקה של רימון אינה יכולה להיות החזקה "תמימה".</w:t>
      </w:r>
      <w:r>
        <w:rPr>
          <w:rFonts w:hint="cs"/>
          <w:rtl/>
        </w:rPr>
        <w:t xml:space="preserve"> השגת הנשק נעשית באמצעים בלתי חוקיים, ובדרך כלל תמורת סכומי כסף גדולים. היא מחייבת קשר עם גורמים שמהם ניתן לקבל את הנשק, וכן מצריכה דאגה מתמדת להחזקתו והסתרתו. </w:t>
      </w:r>
    </w:p>
    <w:p w14:paraId="5AC9C59D" w14:textId="77777777" w:rsidR="00702EF8" w:rsidRDefault="00702EF8" w:rsidP="00702EF8">
      <w:pPr>
        <w:spacing w:after="240" w:line="360" w:lineRule="auto"/>
        <w:ind w:left="720"/>
        <w:jc w:val="both"/>
        <w:rPr>
          <w:rtl/>
        </w:rPr>
      </w:pPr>
      <w:r>
        <w:rPr>
          <w:rFonts w:hint="cs"/>
          <w:rtl/>
        </w:rPr>
        <w:t>עבירות הנשק מקימות סכנה לשלומו ובטחונו של הציבור. נשק "חם", מכל סוג שהוא, מהווה סכנה של ממש, ועלול לגרום לנזק משמעותי ואף לקיפוח חיי אדם גם בשל חוסר זהירות, ועל אחת קמה וכמה מתוך שימוש מכוון בו. רמת הסיכון הנשקף מהנשק משתנה בהתאם לסוג הנשק ולטיב השימוש שנעשה בו. כפי שנאמר ב</w:t>
      </w:r>
      <w:hyperlink r:id="rId18" w:history="1">
        <w:r w:rsidR="00015E2B" w:rsidRPr="00015E2B">
          <w:rPr>
            <w:color w:val="0000FF"/>
            <w:u w:val="single"/>
            <w:rtl/>
          </w:rPr>
          <w:t>ע"פ 9543/09</w:t>
        </w:r>
      </w:hyperlink>
      <w:r>
        <w:rPr>
          <w:rFonts w:hint="cs"/>
          <w:rtl/>
        </w:rPr>
        <w:t xml:space="preserve">, </w:t>
      </w:r>
      <w:r>
        <w:rPr>
          <w:rFonts w:hint="cs"/>
          <w:b/>
          <w:bCs/>
          <w:rtl/>
        </w:rPr>
        <w:t>בילאל רחאל נ' מדינת ישראל</w:t>
      </w:r>
      <w:r>
        <w:rPr>
          <w:rFonts w:hint="cs"/>
          <w:rtl/>
        </w:rPr>
        <w:t xml:space="preserve">: </w:t>
      </w:r>
    </w:p>
    <w:p w14:paraId="09AEF699" w14:textId="77777777" w:rsidR="00702EF8" w:rsidRPr="00A92FD4" w:rsidRDefault="00702EF8" w:rsidP="00702EF8">
      <w:pPr>
        <w:spacing w:after="240" w:line="360" w:lineRule="auto"/>
        <w:ind w:left="1440"/>
        <w:jc w:val="both"/>
        <w:rPr>
          <w:b/>
          <w:bCs/>
          <w:rtl/>
        </w:rPr>
      </w:pPr>
      <w:r w:rsidRPr="00A92FD4">
        <w:rPr>
          <w:rFonts w:hint="cs"/>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183707E7" w14:textId="77777777" w:rsidR="00702EF8" w:rsidRDefault="00702EF8" w:rsidP="00702EF8">
      <w:pPr>
        <w:spacing w:after="240" w:line="360" w:lineRule="auto"/>
        <w:ind w:firstLine="720"/>
        <w:jc w:val="both"/>
        <w:rPr>
          <w:rtl/>
        </w:rPr>
      </w:pPr>
      <w:r>
        <w:rPr>
          <w:rFonts w:hint="cs"/>
          <w:rtl/>
        </w:rPr>
        <w:t>וב</w:t>
      </w:r>
      <w:hyperlink r:id="rId19" w:history="1">
        <w:r w:rsidR="00015E2B" w:rsidRPr="00015E2B">
          <w:rPr>
            <w:color w:val="0000FF"/>
            <w:u w:val="single"/>
            <w:rtl/>
          </w:rPr>
          <w:t>ע"פ 761/07</w:t>
        </w:r>
      </w:hyperlink>
      <w:r>
        <w:rPr>
          <w:rFonts w:hint="cs"/>
          <w:rtl/>
        </w:rPr>
        <w:t xml:space="preserve"> </w:t>
      </w:r>
      <w:r>
        <w:rPr>
          <w:rFonts w:hint="cs"/>
          <w:b/>
          <w:bCs/>
          <w:rtl/>
        </w:rPr>
        <w:t>מיכאל אדרי נ' מדינת ישראל</w:t>
      </w:r>
      <w:r>
        <w:rPr>
          <w:rFonts w:hint="cs"/>
          <w:rtl/>
        </w:rPr>
        <w:t>:</w:t>
      </w:r>
    </w:p>
    <w:p w14:paraId="1236E4DD" w14:textId="77777777" w:rsidR="00702EF8" w:rsidRPr="00A92FD4" w:rsidRDefault="00702EF8" w:rsidP="00702EF8">
      <w:pPr>
        <w:spacing w:after="240" w:line="360" w:lineRule="auto"/>
        <w:ind w:left="1440"/>
        <w:jc w:val="both"/>
        <w:rPr>
          <w:b/>
          <w:bCs/>
          <w:rtl/>
        </w:rPr>
      </w:pPr>
      <w:r w:rsidRPr="00A92FD4">
        <w:rPr>
          <w:rFonts w:hint="cs"/>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5EF6B1BF" w14:textId="77777777" w:rsidR="00702EF8" w:rsidRDefault="00702EF8" w:rsidP="00702EF8">
      <w:pPr>
        <w:spacing w:after="240" w:line="360" w:lineRule="auto"/>
        <w:ind w:left="720"/>
        <w:jc w:val="both"/>
        <w:rPr>
          <w:rtl/>
        </w:rPr>
      </w:pPr>
      <w:r>
        <w:rPr>
          <w:rFonts w:hint="cs"/>
          <w:rtl/>
        </w:rPr>
        <w:t xml:space="preserve">בנוגע לרימון רסס נפסק כי "גם אם סכנתו של רימון ההלם פחותה משל רימון רסס </w:t>
      </w:r>
      <w:r w:rsidRPr="00A92FD4">
        <w:rPr>
          <w:rFonts w:hint="cs"/>
          <w:b/>
          <w:bCs/>
          <w:rtl/>
        </w:rPr>
        <w:t xml:space="preserve">"עדיין מדובר בנשק שבכוחו לגרום פציעה לאדם, בכפוף לקרבתו למוקד הפעלתו" </w:t>
      </w:r>
      <w:r>
        <w:rPr>
          <w:rFonts w:hint="cs"/>
          <w:rtl/>
        </w:rPr>
        <w:t>(</w:t>
      </w:r>
      <w:hyperlink r:id="rId20" w:history="1">
        <w:r w:rsidR="00015E2B" w:rsidRPr="00015E2B">
          <w:rPr>
            <w:color w:val="0000FF"/>
            <w:u w:val="single"/>
            <w:rtl/>
          </w:rPr>
          <w:t>ע"פ 1323/13</w:t>
        </w:r>
      </w:hyperlink>
      <w:r>
        <w:rPr>
          <w:rFonts w:hint="cs"/>
          <w:rtl/>
        </w:rPr>
        <w:t xml:space="preserve">, </w:t>
      </w:r>
      <w:r>
        <w:rPr>
          <w:rFonts w:hint="cs"/>
          <w:b/>
          <w:bCs/>
          <w:rtl/>
        </w:rPr>
        <w:t>רך</w:t>
      </w:r>
      <w:r>
        <w:rPr>
          <w:rFonts w:hint="cs"/>
          <w:rtl/>
        </w:rPr>
        <w:t xml:space="preserve"> </w:t>
      </w:r>
      <w:r>
        <w:rPr>
          <w:rFonts w:hint="cs"/>
          <w:b/>
          <w:bCs/>
          <w:rtl/>
        </w:rPr>
        <w:t>חסן נ' מדינת ישראל</w:t>
      </w:r>
      <w:r>
        <w:rPr>
          <w:rFonts w:hint="cs"/>
          <w:rtl/>
        </w:rPr>
        <w:t xml:space="preserve">, וראו גם </w:t>
      </w:r>
      <w:hyperlink r:id="rId21" w:history="1">
        <w:r w:rsidR="00015E2B" w:rsidRPr="00015E2B">
          <w:rPr>
            <w:color w:val="0000FF"/>
            <w:u w:val="single"/>
            <w:rtl/>
          </w:rPr>
          <w:t>ע"פ 7386/13</w:t>
        </w:r>
      </w:hyperlink>
      <w:r>
        <w:rPr>
          <w:rFonts w:hint="cs"/>
          <w:rtl/>
        </w:rPr>
        <w:t xml:space="preserve">, </w:t>
      </w:r>
      <w:r>
        <w:rPr>
          <w:rFonts w:hint="cs"/>
          <w:b/>
          <w:bCs/>
          <w:rtl/>
        </w:rPr>
        <w:t>חוסיין עווד נ' מדינת ישראל</w:t>
      </w:r>
      <w:r>
        <w:rPr>
          <w:rFonts w:hint="cs"/>
          <w:rtl/>
        </w:rPr>
        <w:t xml:space="preserve">). </w:t>
      </w:r>
    </w:p>
    <w:p w14:paraId="390DE6D2" w14:textId="77777777" w:rsidR="00702EF8" w:rsidRDefault="00702EF8" w:rsidP="00702EF8">
      <w:pPr>
        <w:spacing w:after="240" w:line="360" w:lineRule="auto"/>
        <w:jc w:val="both"/>
        <w:rPr>
          <w:rtl/>
        </w:rPr>
      </w:pPr>
      <w:r>
        <w:rPr>
          <w:rFonts w:hint="cs"/>
          <w:rtl/>
        </w:rPr>
        <w:t>7.</w:t>
      </w:r>
      <w:r>
        <w:rPr>
          <w:rFonts w:hint="cs"/>
          <w:rtl/>
        </w:rPr>
        <w:tab/>
        <w:t xml:space="preserve">באשר לרמת הענישה הנוהגת, אני מפנה בין היתר לפסקי דין כדלקמן: </w:t>
      </w:r>
    </w:p>
    <w:p w14:paraId="655CD87C" w14:textId="77777777" w:rsidR="00702EF8" w:rsidRPr="008872AC" w:rsidRDefault="00702EF8" w:rsidP="00702EF8">
      <w:pPr>
        <w:spacing w:after="240" w:line="360" w:lineRule="auto"/>
        <w:ind w:left="720"/>
        <w:jc w:val="both"/>
        <w:rPr>
          <w:rtl/>
        </w:rPr>
      </w:pPr>
      <w:r>
        <w:rPr>
          <w:rFonts w:hint="cs"/>
          <w:rtl/>
        </w:rPr>
        <w:t>ב</w:t>
      </w:r>
      <w:hyperlink r:id="rId22" w:history="1">
        <w:r w:rsidR="00015E2B" w:rsidRPr="00015E2B">
          <w:rPr>
            <w:color w:val="0000FF"/>
            <w:u w:val="single"/>
            <w:rtl/>
          </w:rPr>
          <w:t>ע"פ 5713/10</w:t>
        </w:r>
      </w:hyperlink>
      <w:r>
        <w:rPr>
          <w:rFonts w:hint="cs"/>
          <w:rtl/>
        </w:rPr>
        <w:t xml:space="preserve">, </w:t>
      </w:r>
      <w:r>
        <w:rPr>
          <w:rFonts w:hint="cs"/>
          <w:b/>
          <w:bCs/>
          <w:rtl/>
        </w:rPr>
        <w:t>יהושע אקרמן נ' מדינת ישראל</w:t>
      </w:r>
      <w:r>
        <w:rPr>
          <w:rFonts w:hint="cs"/>
          <w:rtl/>
        </w:rPr>
        <w:t xml:space="preserve">,  המערער הורשע בהחזקת נשק, בכך שהחזיק בביתו לבנת חבלה ואצבע חבלה ומסר אותן לאדם אחר שהיה בדירה. ערעור על חומרת העונש התקבל  ועונשו של המערער הופחת מתשעה חודשי מאסר בפועל לשישה חודשי מאסר בעבודות שירות. זאת בהתחשב בעברו החיובי והנורמטיבי ותרומתו למדינה, בשירות הצבאי התעסוקתי ופעילות התנדבות, בנטילת האחריות המלאה והבעת החרטה ובהמלצת שירות המבחן, ובנסיבות ביצוע העבירה תחת השפעה של אדם אחר. </w:t>
      </w:r>
    </w:p>
    <w:p w14:paraId="35E9F0DA" w14:textId="77777777" w:rsidR="00702EF8" w:rsidRDefault="00702EF8" w:rsidP="00702EF8">
      <w:pPr>
        <w:spacing w:after="240" w:line="360" w:lineRule="auto"/>
        <w:ind w:left="720"/>
        <w:jc w:val="both"/>
        <w:rPr>
          <w:rtl/>
        </w:rPr>
      </w:pPr>
      <w:r>
        <w:rPr>
          <w:rFonts w:hint="cs"/>
          <w:rtl/>
        </w:rPr>
        <w:t>ב</w:t>
      </w:r>
      <w:hyperlink r:id="rId23" w:history="1">
        <w:r w:rsidR="00015E2B" w:rsidRPr="00015E2B">
          <w:rPr>
            <w:color w:val="0000FF"/>
            <w:u w:val="single"/>
            <w:rtl/>
          </w:rPr>
          <w:t>ת"פ (מחוזי חיפה) 31218-10-14</w:t>
        </w:r>
      </w:hyperlink>
      <w:r>
        <w:rPr>
          <w:rFonts w:hint="cs"/>
          <w:rtl/>
        </w:rPr>
        <w:t xml:space="preserve">, </w:t>
      </w:r>
      <w:r>
        <w:rPr>
          <w:rFonts w:hint="cs"/>
          <w:b/>
          <w:bCs/>
          <w:rtl/>
        </w:rPr>
        <w:t>מדינת ישראל נ' דיאב אסדי</w:t>
      </w:r>
      <w:r>
        <w:rPr>
          <w:rFonts w:hint="cs"/>
          <w:rtl/>
        </w:rPr>
        <w:t xml:space="preserve">, הנאשם הורשע בהחזקת רימון הלם, אשר בסמוך מאד להחזקתו הושלך לעבר בית המתלונן, נקבע מתחם שבין 8-20 חודשי מאסר הפועל,  והנאשם נדון לתשעה חודשי מאסר בפועל ומאסר על תנאי. </w:t>
      </w:r>
    </w:p>
    <w:p w14:paraId="6AC9B2EF" w14:textId="77777777" w:rsidR="00702EF8" w:rsidRDefault="00702EF8" w:rsidP="00702EF8">
      <w:pPr>
        <w:spacing w:after="240" w:line="360" w:lineRule="auto"/>
        <w:ind w:left="720"/>
        <w:jc w:val="both"/>
        <w:rPr>
          <w:rtl/>
        </w:rPr>
      </w:pPr>
      <w:r>
        <w:rPr>
          <w:rFonts w:hint="cs"/>
          <w:rtl/>
        </w:rPr>
        <w:t>ב</w:t>
      </w:r>
      <w:hyperlink r:id="rId24" w:history="1">
        <w:r w:rsidR="00015E2B" w:rsidRPr="00015E2B">
          <w:rPr>
            <w:color w:val="0000FF"/>
            <w:u w:val="single"/>
            <w:rtl/>
          </w:rPr>
          <w:t>ת"פ (מחוזי נצרת) 19087-06-13</w:t>
        </w:r>
      </w:hyperlink>
      <w:r>
        <w:rPr>
          <w:rFonts w:hint="cs"/>
          <w:rtl/>
        </w:rPr>
        <w:t xml:space="preserve">, </w:t>
      </w:r>
      <w:r>
        <w:rPr>
          <w:rFonts w:hint="cs"/>
          <w:b/>
          <w:bCs/>
          <w:rtl/>
        </w:rPr>
        <w:t>מדינת ישראל נ' מנסור פואז</w:t>
      </w:r>
      <w:r>
        <w:rPr>
          <w:rFonts w:hint="cs"/>
          <w:rtl/>
        </w:rPr>
        <w:t xml:space="preserve">, הנאשם הורשע בנשיאה והובלת נשק ובמעשה פזיזות ורשלנות, באירוע שכלל זריקת רימון הלם לעבר אנשים, ולאחר תסקיר שלילי, נדון הנאשם לשמונה עשר חודשי מאסר בפועל, מאסר על תנאי וקנס. </w:t>
      </w:r>
    </w:p>
    <w:p w14:paraId="56E26F90" w14:textId="77777777" w:rsidR="00702EF8" w:rsidRDefault="00702EF8" w:rsidP="00702EF8">
      <w:pPr>
        <w:spacing w:after="240" w:line="360" w:lineRule="auto"/>
        <w:ind w:left="720"/>
        <w:jc w:val="both"/>
        <w:rPr>
          <w:rtl/>
        </w:rPr>
      </w:pPr>
      <w:r>
        <w:rPr>
          <w:rFonts w:hint="cs"/>
          <w:rtl/>
        </w:rPr>
        <w:t>ב</w:t>
      </w:r>
      <w:hyperlink r:id="rId25" w:history="1">
        <w:r w:rsidR="00015E2B" w:rsidRPr="00015E2B">
          <w:rPr>
            <w:color w:val="0000FF"/>
            <w:u w:val="single"/>
            <w:rtl/>
          </w:rPr>
          <w:t>ת"פ (מחוזי חיפה) 51207-09-12</w:t>
        </w:r>
      </w:hyperlink>
      <w:r>
        <w:rPr>
          <w:rFonts w:hint="cs"/>
          <w:rtl/>
        </w:rPr>
        <w:t xml:space="preserve">, </w:t>
      </w:r>
      <w:r>
        <w:rPr>
          <w:rFonts w:hint="cs"/>
          <w:b/>
          <w:bCs/>
          <w:rtl/>
        </w:rPr>
        <w:t>מדינת ישראל נ' יוסף דכור</w:t>
      </w:r>
      <w:r>
        <w:rPr>
          <w:rFonts w:hint="cs"/>
          <w:rtl/>
        </w:rPr>
        <w:t xml:space="preserve">, הנאשם הורשע בייצור נשק, החזקתו בביתו וירי באזור מגורים בזמן חתונה. הייצור נעשה לשם שימוש בנשק לצייד. הנאשם נדון לשל"צ ומאסר על תנאי, בעקבות התסקיר החיובי והעובדה שהיה עצור חמישה ימים.  </w:t>
      </w:r>
    </w:p>
    <w:p w14:paraId="47DEC127" w14:textId="77777777" w:rsidR="00702EF8" w:rsidRDefault="00702EF8" w:rsidP="00702EF8">
      <w:pPr>
        <w:spacing w:after="240" w:line="360" w:lineRule="auto"/>
        <w:ind w:left="720"/>
        <w:jc w:val="both"/>
        <w:rPr>
          <w:rtl/>
        </w:rPr>
      </w:pPr>
      <w:r>
        <w:rPr>
          <w:rFonts w:hint="cs"/>
          <w:rtl/>
        </w:rPr>
        <w:t>ב</w:t>
      </w:r>
      <w:hyperlink r:id="rId26" w:history="1">
        <w:r w:rsidR="00015E2B" w:rsidRPr="00015E2B">
          <w:rPr>
            <w:color w:val="0000FF"/>
            <w:u w:val="single"/>
            <w:rtl/>
          </w:rPr>
          <w:t>ת"פ (שלום תל אביב) 25854-09-13</w:t>
        </w:r>
      </w:hyperlink>
      <w:r>
        <w:rPr>
          <w:rFonts w:hint="cs"/>
          <w:rtl/>
        </w:rPr>
        <w:t xml:space="preserve">, </w:t>
      </w:r>
      <w:r>
        <w:rPr>
          <w:rFonts w:hint="cs"/>
          <w:b/>
          <w:bCs/>
          <w:rtl/>
        </w:rPr>
        <w:t>מדינת ישראל נ' ניר מובדלי</w:t>
      </w:r>
      <w:r>
        <w:rPr>
          <w:rFonts w:hint="cs"/>
          <w:rtl/>
        </w:rPr>
        <w:t xml:space="preserve">, הנאשם הורשע בהחזקת אקדח בביתו וכן בהחזקת סם מסוג חשיש לצריכה עצמית. נקבע מתחם שבין מאסר על תנאי לבין תשעה חודשי מאסר בפועל. הנאשם נדון למאסר על תנאי וקנס. </w:t>
      </w:r>
    </w:p>
    <w:p w14:paraId="47A4C6D7" w14:textId="77777777" w:rsidR="00702EF8" w:rsidRDefault="00702EF8" w:rsidP="00702EF8">
      <w:pPr>
        <w:spacing w:after="240" w:line="360" w:lineRule="auto"/>
        <w:ind w:left="720"/>
        <w:jc w:val="both"/>
        <w:rPr>
          <w:rtl/>
        </w:rPr>
      </w:pPr>
      <w:r>
        <w:rPr>
          <w:rFonts w:hint="cs"/>
          <w:rtl/>
        </w:rPr>
        <w:t>ב</w:t>
      </w:r>
      <w:hyperlink r:id="rId27" w:history="1">
        <w:r w:rsidR="00015E2B" w:rsidRPr="00015E2B">
          <w:rPr>
            <w:color w:val="0000FF"/>
            <w:u w:val="single"/>
            <w:rtl/>
          </w:rPr>
          <w:t>ת"פ (שלום ירושלים) 24791-05-11</w:t>
        </w:r>
      </w:hyperlink>
      <w:r>
        <w:rPr>
          <w:rFonts w:hint="cs"/>
          <w:rtl/>
        </w:rPr>
        <w:t xml:space="preserve">, </w:t>
      </w:r>
      <w:r>
        <w:rPr>
          <w:rFonts w:hint="cs"/>
          <w:b/>
          <w:bCs/>
          <w:rtl/>
        </w:rPr>
        <w:t>מדינת ישראל נ' לביבה אחמד עבדאללה</w:t>
      </w:r>
      <w:r>
        <w:rPr>
          <w:rFonts w:hint="cs"/>
          <w:rtl/>
        </w:rPr>
        <w:t xml:space="preserve">, הנאשמת הורשעה בהחזקת נשק ואביזר לנשק, אקדח ושתי מחסניות תואמות. הנאשמת טענה לנסיבות שלא הוכחשו, לפיהן האקדח שייך לבן דודה אשר מחביאו ברשותה לאחר שירה בו במהלך חתונה. הנאשמת נדונה לחמישה חודשי מאסר על תנאי ולקנס בסך 1,000 ₪. </w:t>
      </w:r>
    </w:p>
    <w:p w14:paraId="176CFF7F" w14:textId="77777777" w:rsidR="00702EF8" w:rsidRDefault="00702EF8" w:rsidP="00702EF8">
      <w:pPr>
        <w:spacing w:after="240" w:line="360" w:lineRule="auto"/>
        <w:ind w:left="720"/>
        <w:jc w:val="both"/>
        <w:rPr>
          <w:rtl/>
        </w:rPr>
      </w:pPr>
      <w:r>
        <w:rPr>
          <w:rFonts w:hint="cs"/>
          <w:rtl/>
        </w:rPr>
        <w:t>ב</w:t>
      </w:r>
      <w:hyperlink r:id="rId28" w:history="1">
        <w:r w:rsidR="00015E2B" w:rsidRPr="00015E2B">
          <w:rPr>
            <w:color w:val="0000FF"/>
            <w:u w:val="single"/>
            <w:rtl/>
          </w:rPr>
          <w:t>ת"פ (שלום פתח תקווה) 9349-05-09</w:t>
        </w:r>
      </w:hyperlink>
      <w:r>
        <w:rPr>
          <w:rFonts w:hint="cs"/>
          <w:rtl/>
        </w:rPr>
        <w:t xml:space="preserve">, </w:t>
      </w:r>
      <w:r>
        <w:rPr>
          <w:rFonts w:hint="cs"/>
          <w:b/>
          <w:bCs/>
          <w:rtl/>
        </w:rPr>
        <w:t>מדינת ישראל נ' מאלק עודה</w:t>
      </w:r>
      <w:r>
        <w:rPr>
          <w:rFonts w:hint="cs"/>
          <w:rtl/>
        </w:rPr>
        <w:t xml:space="preserve">, הנאשם הורשע בהחזקת נשק בביתו. מדובר באקדח, מחסנית ריקה ו-26 כדורי אקדח. בהתחשב בתסקיר החיובי, ובכך שהנאשם שהה במעצר ממש במשך כחודשיים וחצי ולאחר מכן היה נתון במעצר בית מלא, הוא נדון לשישה חודשי מאסר בעבודות שירות, מאסר על תנאי וקנס בסך 7,000 ₪. </w:t>
      </w:r>
    </w:p>
    <w:p w14:paraId="4B92795D" w14:textId="77777777" w:rsidR="00702EF8" w:rsidRDefault="00702EF8" w:rsidP="00702EF8">
      <w:pPr>
        <w:spacing w:after="240" w:line="360" w:lineRule="auto"/>
        <w:ind w:left="720"/>
        <w:jc w:val="both"/>
        <w:rPr>
          <w:rtl/>
        </w:rPr>
      </w:pPr>
      <w:r>
        <w:rPr>
          <w:rFonts w:hint="cs"/>
          <w:rtl/>
        </w:rPr>
        <w:t xml:space="preserve">לאור כל האמור אני סבורה כי מתחם הענישה נע בין שישה חודשי מאסר, אשר בנסיבות מתאימות יכול שירוצו בעבודות שירות, לבין עשרים חודשי מאסר בפועל. </w:t>
      </w:r>
    </w:p>
    <w:p w14:paraId="4D46B08A" w14:textId="77777777" w:rsidR="00702EF8" w:rsidRDefault="00702EF8" w:rsidP="00702EF8">
      <w:pPr>
        <w:spacing w:after="240" w:line="360" w:lineRule="auto"/>
        <w:jc w:val="both"/>
        <w:rPr>
          <w:rtl/>
        </w:rPr>
      </w:pPr>
    </w:p>
    <w:p w14:paraId="2BEF6A1D" w14:textId="77777777" w:rsidR="00702EF8" w:rsidRDefault="00702EF8" w:rsidP="00702EF8">
      <w:pPr>
        <w:spacing w:after="240" w:line="360" w:lineRule="auto"/>
        <w:ind w:firstLine="720"/>
        <w:jc w:val="both"/>
        <w:rPr>
          <w:rtl/>
        </w:rPr>
      </w:pPr>
      <w:r>
        <w:rPr>
          <w:rFonts w:hint="cs"/>
          <w:b/>
          <w:bCs/>
          <w:u w:val="single"/>
          <w:rtl/>
        </w:rPr>
        <w:t>העונש הראוי במקרה זה</w:t>
      </w:r>
      <w:r>
        <w:rPr>
          <w:rFonts w:hint="cs"/>
          <w:rtl/>
        </w:rPr>
        <w:t xml:space="preserve"> </w:t>
      </w:r>
    </w:p>
    <w:p w14:paraId="1AC6950F" w14:textId="77777777" w:rsidR="00702EF8" w:rsidRDefault="00702EF8" w:rsidP="00702EF8">
      <w:pPr>
        <w:spacing w:after="240" w:line="360" w:lineRule="auto"/>
        <w:ind w:left="720" w:hanging="720"/>
        <w:jc w:val="both"/>
        <w:rPr>
          <w:rtl/>
        </w:rPr>
      </w:pPr>
      <w:r>
        <w:rPr>
          <w:rFonts w:hint="cs"/>
          <w:rtl/>
        </w:rPr>
        <w:t>8.</w:t>
      </w:r>
      <w:r>
        <w:rPr>
          <w:rFonts w:hint="cs"/>
          <w:rtl/>
        </w:rPr>
        <w:tab/>
        <w:t>לזכות הנאשם העובדה שהודה במיוחס לו, נטל אחריות וחסך זמן. תסקיר שירות המבחן שהוגש חיובי בעיקרו, ומביע אופטימיות זהירה באשר לאפשרות שהנאשם יעלה על הדרך הנכונה. עם זאת, התסקיר אינו נקי מספקות, כפי שפירטתי לעיל בהתייחסות המפורטת לתסקיר.</w:t>
      </w:r>
    </w:p>
    <w:p w14:paraId="4F510E9B" w14:textId="77777777" w:rsidR="00702EF8" w:rsidRDefault="00702EF8" w:rsidP="00702EF8">
      <w:pPr>
        <w:spacing w:after="240" w:line="360" w:lineRule="auto"/>
        <w:ind w:left="720"/>
        <w:jc w:val="both"/>
        <w:rPr>
          <w:rtl/>
        </w:rPr>
      </w:pPr>
      <w:r>
        <w:rPr>
          <w:rFonts w:hint="cs"/>
          <w:rtl/>
        </w:rPr>
        <w:t xml:space="preserve">לנאשם הרשעות קודמות, כולל הרשעה בעבירות אלימות חמורות. אמנם אין מדובר בעבר מכביד במיוחד, אך הוא רלוונטי ויש להביאו בחשבון בענישה. הנאשם ריצה בעבר עונש מאסר בעבודות שירות, אך נראה שלא היה בכך כדי להביאו להתרחק מעולם הפשע. </w:t>
      </w:r>
    </w:p>
    <w:p w14:paraId="73AA25F3" w14:textId="77777777" w:rsidR="00702EF8" w:rsidRDefault="00702EF8" w:rsidP="00702EF8">
      <w:pPr>
        <w:spacing w:after="240" w:line="360" w:lineRule="auto"/>
        <w:ind w:left="720" w:hanging="720"/>
        <w:jc w:val="both"/>
        <w:rPr>
          <w:rtl/>
        </w:rPr>
      </w:pPr>
      <w:r>
        <w:rPr>
          <w:rFonts w:hint="cs"/>
          <w:rtl/>
        </w:rPr>
        <w:t>9.</w:t>
      </w:r>
      <w:r>
        <w:rPr>
          <w:rFonts w:hint="cs"/>
          <w:rtl/>
        </w:rPr>
        <w:tab/>
        <w:t>על פי עובדות כתב האישום בו הודה, הנאשם החזיק בשלושה רימונים, מסוגים שונים (הלם וגז). באחד מהם נעשה שימוש בפועל, כאשר הנאשם עצמו העבירו לחברו לצורך כך. אמנם הנאשם לא עשה שימוש בנשק במו ידיו, אולם הוא היה מעורב בסדרת הפעולות שקדמו לשימוש.</w:t>
      </w:r>
    </w:p>
    <w:p w14:paraId="617ECCB8" w14:textId="77777777" w:rsidR="00702EF8" w:rsidRDefault="00702EF8" w:rsidP="00702EF8">
      <w:pPr>
        <w:spacing w:after="240" w:line="360" w:lineRule="auto"/>
        <w:ind w:left="720"/>
        <w:jc w:val="both"/>
        <w:rPr>
          <w:rtl/>
        </w:rPr>
      </w:pPr>
      <w:r>
        <w:rPr>
          <w:rFonts w:hint="cs"/>
          <w:rtl/>
        </w:rPr>
        <w:t xml:space="preserve">השימוש בנשק חמור במיוחד כשהוא נעשה על רקע סכסוכים ויריבויות בין קבוצות שונות, כפי שהיה במקרה זה. נסיונות פגיעה על רקע סכסוכים ויריבויות עלולות לגרום לפגיעה גם במעורבים וגם בחפים מפשע שנקלעים לתומם למקום, והיו דברים מעולם. אמנם לנאשם לא מיוחסת מעורבות בסכסוכים עצמם, ועל פי כתב האישום חברו של הנאשם, ולא הנאשם עצמו, היה מסוכסך עם אחרים, אולם הסיוע אותו נתן הנאשם לחברו היה כתוצאה מאותו סכסוך. פסיקת בית המשפט העליון והערכאות הדיוניות, אשר דוגמאות ממנה הובאו לעיל, מצביעה על הצורך להחמיר בעבירות בנשק. לנוכח כל אלו אני סבורה שכאשר מדובר בעבירות בנשק החורגות מהחזקה גרידא, העונש ההולם הוא מאסר בפועל. חריגה מכלל זה ניתן למצוא בפסיקה ישנה שאיננה מהשנים האחרונות, כשמדובר בעבירות על הצד המקל המבוצעות על ידי אנשים נורמטיביים ללא כל עבר פלילי, או בהתקיים נסיבות חריגות אחרות. כך, לדוגמא, הירי בחתונות, הגם שהוא תופעה אסורה ומסוכנת, חמור פחות משימוש בנשק נגד בני אדם, כך שבהקשר הנדון, הוא מהווה נסיבה מקלה אשר אינה מתקיימת בענייננו. </w:t>
      </w:r>
    </w:p>
    <w:p w14:paraId="588088FB" w14:textId="77777777" w:rsidR="00702EF8" w:rsidRDefault="00702EF8" w:rsidP="00702EF8">
      <w:pPr>
        <w:spacing w:after="240" w:line="360" w:lineRule="auto"/>
        <w:ind w:left="720"/>
        <w:jc w:val="both"/>
        <w:rPr>
          <w:rtl/>
        </w:rPr>
      </w:pPr>
      <w:r>
        <w:rPr>
          <w:rFonts w:hint="cs"/>
          <w:rtl/>
        </w:rPr>
        <w:t xml:space="preserve">יתכן שבנסיבות מקלות במיוחד, אילו התסקיר היה חיובי מאד, </w:t>
      </w:r>
      <w:r w:rsidRPr="00C501D8">
        <w:rPr>
          <w:rFonts w:hint="cs"/>
          <w:rtl/>
        </w:rPr>
        <w:t xml:space="preserve">ובהתחשב בכך שהנאשם היה נתון במעצר ממש תקופה מסויימת ולאחר מכן במעצר בית, </w:t>
      </w:r>
      <w:r>
        <w:rPr>
          <w:rFonts w:hint="cs"/>
          <w:rtl/>
        </w:rPr>
        <w:t xml:space="preserve"> ניתן היה לשקול להסתפק בעונש של עבודות שירות, כפי שנעשה לדוגמא בעניין אקרמן שהוזכר לעיל. אולם בענייננו, על אף שהתסקיר מצביע על הליך שעבר הנאשם וממליץ על המשך הטיפול, הוא מציג גם צדדים בעייתיים יותר. התסקיר אינו חיובי במלוא המובן.  </w:t>
      </w:r>
    </w:p>
    <w:p w14:paraId="5613F2BA" w14:textId="77777777" w:rsidR="00702EF8" w:rsidRDefault="00702EF8" w:rsidP="00702EF8">
      <w:pPr>
        <w:spacing w:after="240" w:line="360" w:lineRule="auto"/>
        <w:jc w:val="both"/>
        <w:rPr>
          <w:rtl/>
        </w:rPr>
      </w:pPr>
      <w:r>
        <w:rPr>
          <w:rFonts w:hint="cs"/>
          <w:rtl/>
        </w:rPr>
        <w:t>10.</w:t>
      </w:r>
      <w:r>
        <w:rPr>
          <w:rFonts w:hint="cs"/>
          <w:rtl/>
        </w:rPr>
        <w:tab/>
        <w:t xml:space="preserve">לאור כל האמור אני דנה את הנאשם לעונש כדלקמן: </w:t>
      </w:r>
    </w:p>
    <w:p w14:paraId="5653B8D6" w14:textId="77777777" w:rsidR="00702EF8" w:rsidRDefault="00702EF8" w:rsidP="00702EF8">
      <w:pPr>
        <w:spacing w:after="240" w:line="360" w:lineRule="auto"/>
        <w:ind w:firstLine="720"/>
        <w:jc w:val="both"/>
        <w:rPr>
          <w:rtl/>
        </w:rPr>
      </w:pPr>
      <w:r>
        <w:rPr>
          <w:rFonts w:hint="cs"/>
          <w:rtl/>
        </w:rPr>
        <w:t xml:space="preserve">1. מאסר בפועל לשמונה חודשים, בניכוי ימי מעצרו של הנאשם. </w:t>
      </w:r>
    </w:p>
    <w:p w14:paraId="64E6DFD4" w14:textId="77777777" w:rsidR="00702EF8" w:rsidRDefault="00702EF8" w:rsidP="00702EF8">
      <w:pPr>
        <w:spacing w:after="240" w:line="360" w:lineRule="auto"/>
        <w:ind w:left="720"/>
        <w:jc w:val="both"/>
        <w:rPr>
          <w:rtl/>
        </w:rPr>
      </w:pPr>
      <w:r>
        <w:rPr>
          <w:rFonts w:hint="cs"/>
          <w:rtl/>
        </w:rPr>
        <w:t xml:space="preserve">2. מאסר על תנאי לשלושה חודשים למשך שלוש שנים על כל עבירה בנשק ועל כל עבירת אלימות שהיא פשע. </w:t>
      </w:r>
    </w:p>
    <w:p w14:paraId="0825AC0C" w14:textId="77777777" w:rsidR="00702EF8" w:rsidRPr="00015E2B" w:rsidRDefault="00015E2B" w:rsidP="00702EF8">
      <w:pPr>
        <w:spacing w:after="240" w:line="360" w:lineRule="auto"/>
        <w:jc w:val="both"/>
        <w:rPr>
          <w:color w:val="FFFFFF"/>
          <w:sz w:val="2"/>
          <w:szCs w:val="2"/>
          <w:rtl/>
        </w:rPr>
      </w:pPr>
      <w:r w:rsidRPr="00015E2B">
        <w:rPr>
          <w:color w:val="FFFFFF"/>
          <w:sz w:val="2"/>
          <w:szCs w:val="2"/>
          <w:rtl/>
        </w:rPr>
        <w:t>5129371</w:t>
      </w:r>
    </w:p>
    <w:p w14:paraId="28460EA5" w14:textId="77777777" w:rsidR="00702EF8" w:rsidRPr="00B05847" w:rsidRDefault="00015E2B" w:rsidP="00702EF8">
      <w:pPr>
        <w:spacing w:after="240" w:line="360" w:lineRule="auto"/>
        <w:jc w:val="both"/>
        <w:rPr>
          <w:rtl/>
        </w:rPr>
      </w:pPr>
      <w:r w:rsidRPr="00015E2B">
        <w:rPr>
          <w:color w:val="FFFFFF"/>
          <w:sz w:val="2"/>
          <w:szCs w:val="2"/>
          <w:rtl/>
        </w:rPr>
        <w:t>54678313</w:t>
      </w:r>
      <w:r w:rsidR="00702EF8">
        <w:rPr>
          <w:rFonts w:hint="cs"/>
          <w:rtl/>
        </w:rPr>
        <w:t xml:space="preserve">זכות ערעור לבית המשפט העליון תוך 45 יום. </w:t>
      </w:r>
    </w:p>
    <w:p w14:paraId="22AC91F5" w14:textId="77777777" w:rsidR="00702EF8" w:rsidRDefault="00015E2B" w:rsidP="00702EF8">
      <w:pPr>
        <w:jc w:val="center"/>
      </w:pPr>
      <w:r>
        <w:rPr>
          <w:rFonts w:ascii="Arial" w:hAnsi="Arial"/>
          <w:rtl/>
        </w:rPr>
        <w:t xml:space="preserve">ניתן היום,  כ"ב ניסן תשע"ז, 18 אפריל 2017, בנוכחות הצדדים. </w:t>
      </w:r>
      <w:r w:rsidR="00702EF8">
        <w:rPr>
          <w:rFonts w:hint="cs"/>
          <w:rtl/>
        </w:rPr>
        <w:t xml:space="preserve">   </w:t>
      </w:r>
      <w:r w:rsidR="00702EF8">
        <w:rPr>
          <w:rFonts w:hint="cs"/>
          <w:rtl/>
        </w:rPr>
        <w:tab/>
      </w:r>
      <w:r w:rsidR="00702EF8">
        <w:rPr>
          <w:rFonts w:hint="cs"/>
          <w:rtl/>
        </w:rPr>
        <w:tab/>
      </w:r>
      <w:r w:rsidR="00702EF8">
        <w:rPr>
          <w:rFonts w:hint="cs"/>
          <w:rtl/>
        </w:rPr>
        <w:tab/>
      </w:r>
      <w:r w:rsidR="00702EF8">
        <w:rPr>
          <w:rFonts w:hint="cs"/>
          <w:rtl/>
        </w:rPr>
        <w:tab/>
      </w:r>
      <w:r w:rsidR="00702EF8">
        <w:rPr>
          <w:rFonts w:hint="cs"/>
          <w:rtl/>
        </w:rPr>
        <w:tab/>
      </w:r>
    </w:p>
    <w:p w14:paraId="51681874" w14:textId="77777777" w:rsidR="00702EF8" w:rsidRDefault="00702EF8" w:rsidP="00702EF8">
      <w:pPr>
        <w:rPr>
          <w:rFonts w:cs="FrankRuehl"/>
          <w:sz w:val="28"/>
          <w:szCs w:val="28"/>
          <w:rtl/>
        </w:rPr>
      </w:pPr>
    </w:p>
    <w:p w14:paraId="217EF9AD" w14:textId="77777777" w:rsidR="00702EF8" w:rsidRPr="006D62B5" w:rsidRDefault="006D62B5" w:rsidP="00702EF8">
      <w:pPr>
        <w:pStyle w:val="a3"/>
        <w:jc w:val="center"/>
        <w:rPr>
          <w:color w:val="FFFFFF"/>
          <w:sz w:val="2"/>
          <w:szCs w:val="2"/>
          <w:rtl/>
        </w:rPr>
      </w:pPr>
      <w:r w:rsidRPr="006D62B5">
        <w:rPr>
          <w:color w:val="FFFFFF"/>
          <w:sz w:val="2"/>
          <w:szCs w:val="2"/>
          <w:rtl/>
        </w:rPr>
        <w:t>5129371</w:t>
      </w:r>
    </w:p>
    <w:p w14:paraId="1F3D2C07" w14:textId="77777777" w:rsidR="00015E2B" w:rsidRPr="006D62B5" w:rsidRDefault="006D62B5" w:rsidP="00015E2B">
      <w:pPr>
        <w:keepNext/>
        <w:rPr>
          <w:rFonts w:ascii="David" w:hAnsi="David"/>
          <w:color w:val="FFFFFF"/>
          <w:sz w:val="2"/>
          <w:szCs w:val="2"/>
          <w:rtl/>
        </w:rPr>
      </w:pPr>
      <w:r w:rsidRPr="006D62B5">
        <w:rPr>
          <w:rFonts w:ascii="David" w:hAnsi="David"/>
          <w:color w:val="FFFFFF"/>
          <w:sz w:val="2"/>
          <w:szCs w:val="2"/>
          <w:rtl/>
        </w:rPr>
        <w:t>54678313</w:t>
      </w:r>
    </w:p>
    <w:p w14:paraId="08CEDBA4" w14:textId="77777777" w:rsidR="00015E2B" w:rsidRPr="00015E2B" w:rsidRDefault="00015E2B" w:rsidP="00015E2B">
      <w:pPr>
        <w:keepNext/>
        <w:rPr>
          <w:rFonts w:ascii="David" w:hAnsi="David"/>
          <w:color w:val="000000"/>
          <w:sz w:val="22"/>
          <w:szCs w:val="22"/>
          <w:rtl/>
        </w:rPr>
      </w:pPr>
      <w:r w:rsidRPr="00015E2B">
        <w:rPr>
          <w:rFonts w:ascii="David" w:hAnsi="David"/>
          <w:color w:val="000000"/>
          <w:sz w:val="22"/>
          <w:szCs w:val="22"/>
          <w:rtl/>
        </w:rPr>
        <w:t>חגית מאק קלמנוביץ 54678313</w:t>
      </w:r>
    </w:p>
    <w:p w14:paraId="02CCE6EB" w14:textId="77777777" w:rsidR="00015E2B" w:rsidRDefault="00015E2B" w:rsidP="00015E2B">
      <w:r w:rsidRPr="00015E2B">
        <w:rPr>
          <w:color w:val="000000"/>
          <w:rtl/>
        </w:rPr>
        <w:t>נוסח מסמך זה כפוף לשינויי ניסוח ועריכה</w:t>
      </w:r>
    </w:p>
    <w:p w14:paraId="09C36BAA" w14:textId="77777777" w:rsidR="00015E2B" w:rsidRDefault="00015E2B" w:rsidP="00015E2B">
      <w:pPr>
        <w:rPr>
          <w:rtl/>
        </w:rPr>
      </w:pPr>
    </w:p>
    <w:p w14:paraId="29060545" w14:textId="77777777" w:rsidR="00015E2B" w:rsidRDefault="00015E2B" w:rsidP="00015E2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704EE7D" w14:textId="77777777" w:rsidR="006D62B5" w:rsidRPr="006D62B5" w:rsidRDefault="006D62B5" w:rsidP="006D62B5">
      <w:pPr>
        <w:keepNext/>
        <w:rPr>
          <w:rFonts w:ascii="David" w:hAnsi="David"/>
          <w:color w:val="000000"/>
          <w:sz w:val="22"/>
          <w:szCs w:val="22"/>
          <w:rtl/>
        </w:rPr>
      </w:pPr>
    </w:p>
    <w:sectPr w:rsidR="006D62B5" w:rsidRPr="006D62B5" w:rsidSect="006D62B5">
      <w:headerReference w:type="even" r:id="rId30"/>
      <w:headerReference w:type="default" r:id="rId31"/>
      <w:footerReference w:type="even" r:id="rId32"/>
      <w:footerReference w:type="default" r:id="rId33"/>
      <w:pgSz w:w="11907" w:h="16840" w:code="9"/>
      <w:pgMar w:top="1701" w:right="1701" w:bottom="212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0148E" w14:textId="77777777" w:rsidR="00F05490" w:rsidRDefault="00F05490">
      <w:r>
        <w:separator/>
      </w:r>
    </w:p>
  </w:endnote>
  <w:endnote w:type="continuationSeparator" w:id="0">
    <w:p w14:paraId="26443295" w14:textId="77777777" w:rsidR="00F05490" w:rsidRDefault="00F0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2FFFF" w14:textId="77777777" w:rsidR="00E576DB" w:rsidRDefault="00E576DB" w:rsidP="006D62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93999F" w14:textId="77777777" w:rsidR="00E576DB" w:rsidRPr="006D62B5" w:rsidRDefault="00E576DB" w:rsidP="006D62B5">
    <w:pPr>
      <w:pStyle w:val="a4"/>
      <w:pBdr>
        <w:top w:val="single" w:sz="4" w:space="1" w:color="auto"/>
        <w:between w:val="single" w:sz="4" w:space="0" w:color="auto"/>
      </w:pBdr>
      <w:spacing w:after="60"/>
      <w:jc w:val="center"/>
      <w:rPr>
        <w:rFonts w:ascii="FrankRuehl" w:hAnsi="FrankRuehl" w:cs="FrankRuehl"/>
        <w:color w:val="000000"/>
      </w:rPr>
    </w:pPr>
    <w:r w:rsidRPr="006D62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ED575" w14:textId="77777777" w:rsidR="00E576DB" w:rsidRDefault="00E576DB" w:rsidP="006D62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6CB8">
      <w:rPr>
        <w:rFonts w:ascii="FrankRuehl" w:hAnsi="FrankRuehl" w:cs="FrankRuehl"/>
        <w:noProof/>
        <w:rtl/>
      </w:rPr>
      <w:t>1</w:t>
    </w:r>
    <w:r>
      <w:rPr>
        <w:rFonts w:ascii="FrankRuehl" w:hAnsi="FrankRuehl" w:cs="FrankRuehl"/>
        <w:rtl/>
      </w:rPr>
      <w:fldChar w:fldCharType="end"/>
    </w:r>
  </w:p>
  <w:p w14:paraId="43FFD6F9" w14:textId="77777777" w:rsidR="00E576DB" w:rsidRPr="006D62B5" w:rsidRDefault="00E576DB" w:rsidP="006D62B5">
    <w:pPr>
      <w:pStyle w:val="a4"/>
      <w:pBdr>
        <w:top w:val="single" w:sz="4" w:space="1" w:color="auto"/>
        <w:between w:val="single" w:sz="4" w:space="0" w:color="auto"/>
      </w:pBdr>
      <w:spacing w:after="60"/>
      <w:jc w:val="center"/>
      <w:rPr>
        <w:rFonts w:ascii="FrankRuehl" w:hAnsi="FrankRuehl" w:cs="FrankRuehl"/>
        <w:color w:val="000000"/>
      </w:rPr>
    </w:pPr>
    <w:r w:rsidRPr="006D62B5">
      <w:rPr>
        <w:rFonts w:ascii="FrankRuehl" w:hAnsi="FrankRuehl" w:cs="FrankRuehl"/>
        <w:color w:val="000000"/>
      </w:rPr>
      <w:pict w14:anchorId="6AB14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DC10F" w14:textId="77777777" w:rsidR="00F05490" w:rsidRDefault="00F05490">
      <w:r>
        <w:separator/>
      </w:r>
    </w:p>
  </w:footnote>
  <w:footnote w:type="continuationSeparator" w:id="0">
    <w:p w14:paraId="33E78AB2" w14:textId="77777777" w:rsidR="00F05490" w:rsidRDefault="00F05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A43D3" w14:textId="77777777" w:rsidR="00E576DB" w:rsidRPr="006D62B5" w:rsidRDefault="00E576DB" w:rsidP="006D62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44840-06-16</w:t>
    </w:r>
    <w:r>
      <w:rPr>
        <w:rFonts w:ascii="David" w:hAnsi="David"/>
        <w:color w:val="000000"/>
        <w:sz w:val="22"/>
        <w:szCs w:val="22"/>
        <w:rtl/>
      </w:rPr>
      <w:tab/>
      <w:t xml:space="preserve"> מדינת ישראל נ' אמיר סלמה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E0EF6" w14:textId="77777777" w:rsidR="00E576DB" w:rsidRPr="006D62B5" w:rsidRDefault="00E576DB" w:rsidP="006D62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44840-06-16</w:t>
    </w:r>
    <w:r>
      <w:rPr>
        <w:rFonts w:ascii="David" w:hAnsi="David"/>
        <w:color w:val="000000"/>
        <w:sz w:val="22"/>
        <w:szCs w:val="22"/>
        <w:rtl/>
      </w:rPr>
      <w:tab/>
      <w:t xml:space="preserve"> מדינת ישראל נ' אמיר סלמה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2EF8"/>
    <w:rsid w:val="00004B4A"/>
    <w:rsid w:val="00015E2B"/>
    <w:rsid w:val="000258C6"/>
    <w:rsid w:val="0008114B"/>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C1590"/>
    <w:rsid w:val="005E305D"/>
    <w:rsid w:val="005E6CB8"/>
    <w:rsid w:val="00671477"/>
    <w:rsid w:val="006C54AD"/>
    <w:rsid w:val="006D1E81"/>
    <w:rsid w:val="006D62B5"/>
    <w:rsid w:val="00702EF8"/>
    <w:rsid w:val="00710EDB"/>
    <w:rsid w:val="007171C2"/>
    <w:rsid w:val="00720984"/>
    <w:rsid w:val="007900C5"/>
    <w:rsid w:val="007A3B68"/>
    <w:rsid w:val="007D10E0"/>
    <w:rsid w:val="007E62CB"/>
    <w:rsid w:val="007E6DB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061A"/>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DE7DB6"/>
    <w:rsid w:val="00E45CCB"/>
    <w:rsid w:val="00E576DB"/>
    <w:rsid w:val="00E61C95"/>
    <w:rsid w:val="00EA60CD"/>
    <w:rsid w:val="00EE2A1B"/>
    <w:rsid w:val="00F05490"/>
    <w:rsid w:val="00F1700E"/>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B1BE54"/>
  <w15:chartTrackingRefBased/>
  <w15:docId w15:val="{D6F81318-104A-47E5-B57C-0A9C0698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2EF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02EF8"/>
    <w:pPr>
      <w:tabs>
        <w:tab w:val="center" w:pos="4153"/>
        <w:tab w:val="right" w:pos="8306"/>
      </w:tabs>
    </w:pPr>
  </w:style>
  <w:style w:type="paragraph" w:styleId="a4">
    <w:name w:val="footer"/>
    <w:basedOn w:val="a"/>
    <w:rsid w:val="00702EF8"/>
    <w:pPr>
      <w:tabs>
        <w:tab w:val="center" w:pos="4153"/>
        <w:tab w:val="right" w:pos="8306"/>
      </w:tabs>
    </w:pPr>
  </w:style>
  <w:style w:type="character" w:styleId="a5">
    <w:name w:val="page number"/>
    <w:basedOn w:val="a0"/>
    <w:rsid w:val="00702EF8"/>
  </w:style>
  <w:style w:type="character" w:styleId="Hyperlink">
    <w:name w:val="Hyperlink"/>
    <w:rsid w:val="00015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64932" TargetMode="External"/><Relationship Id="rId26" Type="http://schemas.openxmlformats.org/officeDocument/2006/relationships/hyperlink" Target="http://www.nevo.co.il/case/8282723" TargetMode="External"/><Relationship Id="rId3" Type="http://schemas.openxmlformats.org/officeDocument/2006/relationships/webSettings" Target="webSettings.xml"/><Relationship Id="rId21" Type="http://schemas.openxmlformats.org/officeDocument/2006/relationships/hyperlink" Target="http://www.nevo.co.il/case/10443017" TargetMode="External"/><Relationship Id="rId34" Type="http://schemas.openxmlformats.org/officeDocument/2006/relationships/fontTable" Target="fontTable.xml"/><Relationship Id="rId7" Type="http://schemas.openxmlformats.org/officeDocument/2006/relationships/hyperlink" Target="http://www.nevo.co.il/law/70301/25"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39535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case/6473037"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case/7676477"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79" TargetMode="External"/><Relationship Id="rId23" Type="http://schemas.openxmlformats.org/officeDocument/2006/relationships/hyperlink" Target="http://www.nevo.co.il/case/18105668" TargetMode="External"/><Relationship Id="rId28" Type="http://schemas.openxmlformats.org/officeDocument/2006/relationships/hyperlink" Target="http://www.nevo.co.il/case/5163370"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724364"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678001" TargetMode="External"/><Relationship Id="rId27" Type="http://schemas.openxmlformats.org/officeDocument/2006/relationships/hyperlink" Target="http://www.nevo.co.il/case/275323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2063</Words>
  <Characters>10315</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12354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3145841</vt:i4>
      </vt:variant>
      <vt:variant>
        <vt:i4>66</vt:i4>
      </vt:variant>
      <vt:variant>
        <vt:i4>0</vt:i4>
      </vt:variant>
      <vt:variant>
        <vt:i4>5</vt:i4>
      </vt:variant>
      <vt:variant>
        <vt:lpwstr>http://www.nevo.co.il/case/5163370</vt:lpwstr>
      </vt:variant>
      <vt:variant>
        <vt:lpwstr/>
      </vt:variant>
      <vt:variant>
        <vt:i4>3539059</vt:i4>
      </vt:variant>
      <vt:variant>
        <vt:i4>63</vt:i4>
      </vt:variant>
      <vt:variant>
        <vt:i4>0</vt:i4>
      </vt:variant>
      <vt:variant>
        <vt:i4>5</vt:i4>
      </vt:variant>
      <vt:variant>
        <vt:lpwstr>http://www.nevo.co.il/case/2753233</vt:lpwstr>
      </vt:variant>
      <vt:variant>
        <vt:lpwstr/>
      </vt:variant>
      <vt:variant>
        <vt:i4>3407990</vt:i4>
      </vt:variant>
      <vt:variant>
        <vt:i4>60</vt:i4>
      </vt:variant>
      <vt:variant>
        <vt:i4>0</vt:i4>
      </vt:variant>
      <vt:variant>
        <vt:i4>5</vt:i4>
      </vt:variant>
      <vt:variant>
        <vt:lpwstr>http://www.nevo.co.il/case/8282723</vt:lpwstr>
      </vt:variant>
      <vt:variant>
        <vt:lpwstr/>
      </vt:variant>
      <vt:variant>
        <vt:i4>3276926</vt:i4>
      </vt:variant>
      <vt:variant>
        <vt:i4>57</vt:i4>
      </vt:variant>
      <vt:variant>
        <vt:i4>0</vt:i4>
      </vt:variant>
      <vt:variant>
        <vt:i4>5</vt:i4>
      </vt:variant>
      <vt:variant>
        <vt:lpwstr>http://www.nevo.co.il/case/3953501</vt:lpwstr>
      </vt:variant>
      <vt:variant>
        <vt:lpwstr/>
      </vt:variant>
      <vt:variant>
        <vt:i4>3342451</vt:i4>
      </vt:variant>
      <vt:variant>
        <vt:i4>54</vt:i4>
      </vt:variant>
      <vt:variant>
        <vt:i4>0</vt:i4>
      </vt:variant>
      <vt:variant>
        <vt:i4>5</vt:i4>
      </vt:variant>
      <vt:variant>
        <vt:lpwstr>http://www.nevo.co.il/case/7676477</vt:lpwstr>
      </vt:variant>
      <vt:variant>
        <vt:lpwstr/>
      </vt:variant>
      <vt:variant>
        <vt:i4>3342458</vt:i4>
      </vt:variant>
      <vt:variant>
        <vt:i4>51</vt:i4>
      </vt:variant>
      <vt:variant>
        <vt:i4>0</vt:i4>
      </vt:variant>
      <vt:variant>
        <vt:i4>5</vt:i4>
      </vt:variant>
      <vt:variant>
        <vt:lpwstr>http://www.nevo.co.il/case/18105668</vt:lpwstr>
      </vt:variant>
      <vt:variant>
        <vt:lpwstr/>
      </vt:variant>
      <vt:variant>
        <vt:i4>3342458</vt:i4>
      </vt:variant>
      <vt:variant>
        <vt:i4>48</vt:i4>
      </vt:variant>
      <vt:variant>
        <vt:i4>0</vt:i4>
      </vt:variant>
      <vt:variant>
        <vt:i4>5</vt:i4>
      </vt:variant>
      <vt:variant>
        <vt:lpwstr>http://www.nevo.co.il/case/5678001</vt:lpwstr>
      </vt:variant>
      <vt:variant>
        <vt:lpwstr/>
      </vt:variant>
      <vt:variant>
        <vt:i4>3604592</vt:i4>
      </vt:variant>
      <vt:variant>
        <vt:i4>45</vt:i4>
      </vt:variant>
      <vt:variant>
        <vt:i4>0</vt:i4>
      </vt:variant>
      <vt:variant>
        <vt:i4>5</vt:i4>
      </vt:variant>
      <vt:variant>
        <vt:lpwstr>http://www.nevo.co.il/case/10443017</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3145841</vt:i4>
      </vt:variant>
      <vt:variant>
        <vt:i4>39</vt:i4>
      </vt:variant>
      <vt:variant>
        <vt:i4>0</vt:i4>
      </vt:variant>
      <vt:variant>
        <vt:i4>5</vt:i4>
      </vt:variant>
      <vt:variant>
        <vt:lpwstr>http://www.nevo.co.il/case/5724364</vt:lpwstr>
      </vt:variant>
      <vt:variant>
        <vt:lpwstr/>
      </vt:variant>
      <vt:variant>
        <vt:i4>3670132</vt:i4>
      </vt:variant>
      <vt:variant>
        <vt:i4>36</vt:i4>
      </vt:variant>
      <vt:variant>
        <vt:i4>0</vt:i4>
      </vt:variant>
      <vt:variant>
        <vt:i4>5</vt:i4>
      </vt:variant>
      <vt:variant>
        <vt:lpwstr>http://www.nevo.co.il/case/5764932</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44840</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אמיר סלמה</vt:lpwstr>
  </property>
  <property fmtid="{D5CDD505-2E9C-101B-9397-08002B2CF9AE}" pid="10" name="LAWYER">
    <vt:lpwstr>ארנון איתן;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20170418</vt:lpwstr>
  </property>
  <property fmtid="{D5CDD505-2E9C-101B-9397-08002B2CF9AE}" pid="14" name="TYPE_N_DATE">
    <vt:lpwstr>39020170418</vt:lpwstr>
  </property>
  <property fmtid="{D5CDD505-2E9C-101B-9397-08002B2CF9AE}" pid="15" name="WORDNUMPAGES">
    <vt:lpwstr>6</vt:lpwstr>
  </property>
  <property fmtid="{D5CDD505-2E9C-101B-9397-08002B2CF9AE}" pid="16" name="TYPE_ABS_DATE">
    <vt:lpwstr>390020170418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5764932;6473037;10443017;5678001;18105668;7676477;3953501;8282723;2753233;5163370</vt:lpwstr>
  </property>
  <property fmtid="{D5CDD505-2E9C-101B-9397-08002B2CF9AE}" pid="36" name="LAWLISTTMP1">
    <vt:lpwstr>70301/144.b;144.a;379;025;031</vt:lpwstr>
  </property>
</Properties>
</file>