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246001" w:rsidRPr="00091471" w14:paraId="658FB22A" w14:textId="77777777" w:rsidTr="00184AFD">
        <w:trPr>
          <w:trHeight w:hRule="exact" w:val="418"/>
          <w:jc w:val="center"/>
        </w:trPr>
        <w:tc>
          <w:tcPr>
            <w:tcW w:w="8721" w:type="dxa"/>
            <w:gridSpan w:val="2"/>
          </w:tcPr>
          <w:p w14:paraId="0B340425" w14:textId="77777777" w:rsidR="00246001" w:rsidRPr="00091471" w:rsidRDefault="00246001" w:rsidP="008F7D2A">
            <w:pPr>
              <w:pStyle w:val="a3"/>
              <w:jc w:val="center"/>
              <w:rPr>
                <w:rFonts w:ascii="Tahoma" w:hAnsi="Tahoma" w:cs="Tahoma"/>
                <w:color w:val="000080"/>
                <w:rtl/>
              </w:rPr>
            </w:pPr>
            <w:r w:rsidRPr="00091471">
              <w:rPr>
                <w:rFonts w:ascii="Tahoma" w:hAnsi="Tahoma" w:cs="Tahoma"/>
                <w:b/>
                <w:bCs/>
                <w:color w:val="000080"/>
                <w:rtl/>
              </w:rPr>
              <w:t>בית המשפט המחוזי בחיפה</w:t>
            </w:r>
          </w:p>
        </w:tc>
      </w:tr>
      <w:tr w:rsidR="00246001" w:rsidRPr="003608E7" w14:paraId="70793029" w14:textId="77777777" w:rsidTr="00184AFD">
        <w:trPr>
          <w:trHeight w:val="337"/>
          <w:jc w:val="center"/>
        </w:trPr>
        <w:tc>
          <w:tcPr>
            <w:tcW w:w="5059" w:type="dxa"/>
          </w:tcPr>
          <w:p w14:paraId="54B2F456" w14:textId="77777777" w:rsidR="00246001" w:rsidRPr="003608E7" w:rsidRDefault="00246001" w:rsidP="003608E7">
            <w:pPr>
              <w:spacing w:before="120" w:after="120" w:line="240" w:lineRule="exact"/>
              <w:rPr>
                <w:rFonts w:ascii="David" w:hAnsi="David" w:hint="cs"/>
                <w:b/>
                <w:bCs/>
                <w:sz w:val="26"/>
                <w:szCs w:val="26"/>
                <w:rtl/>
              </w:rPr>
            </w:pPr>
            <w:r w:rsidRPr="003608E7">
              <w:rPr>
                <w:b/>
                <w:bCs/>
                <w:sz w:val="26"/>
                <w:szCs w:val="26"/>
                <w:rtl/>
              </w:rPr>
              <w:br/>
              <w:t>תפ"ח 5551-06-16 מדינת ישראל נ' טחימר</w:t>
            </w:r>
            <w:r w:rsidR="003608E7">
              <w:rPr>
                <w:rFonts w:hint="cs"/>
                <w:b/>
                <w:bCs/>
                <w:sz w:val="26"/>
                <w:szCs w:val="26"/>
                <w:rtl/>
              </w:rPr>
              <w:t xml:space="preserve"> </w:t>
            </w:r>
            <w:r w:rsidRPr="003608E7">
              <w:rPr>
                <w:b/>
                <w:bCs/>
                <w:sz w:val="26"/>
                <w:szCs w:val="26"/>
                <w:rtl/>
              </w:rPr>
              <w:t>(עציר)</w:t>
            </w:r>
          </w:p>
        </w:tc>
        <w:tc>
          <w:tcPr>
            <w:tcW w:w="3662" w:type="dxa"/>
          </w:tcPr>
          <w:p w14:paraId="7054637A" w14:textId="77777777" w:rsidR="00246001" w:rsidRPr="003608E7" w:rsidRDefault="00246001" w:rsidP="003608E7">
            <w:pPr>
              <w:pStyle w:val="a3"/>
              <w:spacing w:before="120" w:after="120" w:line="240" w:lineRule="exact"/>
              <w:jc w:val="right"/>
              <w:rPr>
                <w:rFonts w:ascii="David" w:hAnsi="David"/>
                <w:b/>
                <w:bCs/>
                <w:sz w:val="26"/>
                <w:szCs w:val="26"/>
                <w:rtl/>
              </w:rPr>
            </w:pPr>
          </w:p>
        </w:tc>
      </w:tr>
    </w:tbl>
    <w:p w14:paraId="74398403" w14:textId="77777777" w:rsidR="00246001" w:rsidRPr="003608E7" w:rsidRDefault="00246001" w:rsidP="003608E7">
      <w:pPr>
        <w:pStyle w:val="a3"/>
        <w:spacing w:before="120" w:after="120" w:line="240" w:lineRule="exact"/>
        <w:rPr>
          <w:rFonts w:ascii="David" w:hAnsi="David"/>
          <w:sz w:val="26"/>
          <w:szCs w:val="26"/>
          <w:rtl/>
        </w:rPr>
      </w:pPr>
      <w:r w:rsidRPr="003608E7">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246001" w:rsidRPr="003608E7" w14:paraId="7F00EA0D" w14:textId="77777777" w:rsidTr="00246001">
        <w:trPr>
          <w:gridAfter w:val="1"/>
          <w:wAfter w:w="56" w:type="dxa"/>
        </w:trPr>
        <w:tc>
          <w:tcPr>
            <w:tcW w:w="8718" w:type="dxa"/>
            <w:gridSpan w:val="2"/>
            <w:shd w:val="clear" w:color="auto" w:fill="auto"/>
          </w:tcPr>
          <w:p w14:paraId="5D8A4F50" w14:textId="77777777" w:rsidR="00246001" w:rsidRPr="003608E7" w:rsidRDefault="00246001" w:rsidP="003608E7">
            <w:pPr>
              <w:spacing w:before="120" w:after="120" w:line="240" w:lineRule="exact"/>
              <w:rPr>
                <w:rFonts w:ascii="David" w:hAnsi="David"/>
                <w:b/>
                <w:bCs/>
                <w:sz w:val="26"/>
                <w:szCs w:val="26"/>
                <w:rtl/>
              </w:rPr>
            </w:pPr>
            <w:r w:rsidRPr="003608E7">
              <w:rPr>
                <w:rFonts w:ascii="David" w:hAnsi="David"/>
                <w:b/>
                <w:bCs/>
                <w:sz w:val="26"/>
                <w:szCs w:val="26"/>
                <w:rtl/>
              </w:rPr>
              <w:t>לפני הרכב השופטים:</w:t>
            </w:r>
          </w:p>
          <w:p w14:paraId="1E11A361" w14:textId="77777777" w:rsidR="00246001" w:rsidRPr="003608E7" w:rsidRDefault="00246001" w:rsidP="003608E7">
            <w:pPr>
              <w:spacing w:before="120" w:after="120" w:line="240" w:lineRule="exact"/>
              <w:rPr>
                <w:rFonts w:ascii="David" w:hAnsi="David"/>
                <w:b/>
                <w:bCs/>
                <w:sz w:val="26"/>
                <w:szCs w:val="26"/>
                <w:rtl/>
              </w:rPr>
            </w:pPr>
            <w:r w:rsidRPr="003608E7">
              <w:rPr>
                <w:rFonts w:ascii="David" w:hAnsi="David"/>
                <w:b/>
                <w:bCs/>
                <w:sz w:val="26"/>
                <w:szCs w:val="26"/>
                <w:rtl/>
              </w:rPr>
              <w:t>כב' השופטת דיאנה סלע [אב"ד]</w:t>
            </w:r>
          </w:p>
          <w:p w14:paraId="25B5889F" w14:textId="77777777" w:rsidR="00246001" w:rsidRPr="003608E7" w:rsidRDefault="00246001" w:rsidP="003608E7">
            <w:pPr>
              <w:spacing w:before="120" w:after="120" w:line="240" w:lineRule="exact"/>
              <w:rPr>
                <w:rStyle w:val="TimesNewRomanTimesNewRoman"/>
                <w:rFonts w:ascii="David" w:hAnsi="David"/>
                <w:rtl/>
              </w:rPr>
            </w:pPr>
            <w:r w:rsidRPr="003608E7">
              <w:rPr>
                <w:rFonts w:ascii="David" w:hAnsi="David"/>
                <w:b/>
                <w:bCs/>
                <w:sz w:val="26"/>
                <w:szCs w:val="26"/>
                <w:rtl/>
              </w:rPr>
              <w:t>כב' השופט אבי לוי</w:t>
            </w:r>
            <w:r w:rsidRPr="003608E7">
              <w:rPr>
                <w:rStyle w:val="TimesNewRomanTimesNewRoman"/>
                <w:rFonts w:ascii="David" w:hAnsi="David"/>
                <w:rtl/>
              </w:rPr>
              <w:t xml:space="preserve"> </w:t>
            </w:r>
          </w:p>
          <w:p w14:paraId="40470112" w14:textId="77777777" w:rsidR="00246001" w:rsidRPr="003608E7" w:rsidRDefault="00246001" w:rsidP="003608E7">
            <w:pPr>
              <w:spacing w:before="120" w:after="120" w:line="240" w:lineRule="exact"/>
              <w:rPr>
                <w:rFonts w:ascii="David" w:hAnsi="David" w:hint="cs"/>
                <w:b/>
                <w:bCs/>
                <w:sz w:val="26"/>
                <w:szCs w:val="26"/>
                <w:rtl/>
              </w:rPr>
            </w:pPr>
            <w:r w:rsidRPr="003608E7">
              <w:rPr>
                <w:rStyle w:val="TimesNewRomanTimesNewRoman"/>
                <w:rFonts w:ascii="David" w:hAnsi="David"/>
                <w:rtl/>
              </w:rPr>
              <w:t>כב' השופט ערן קוטון</w:t>
            </w:r>
          </w:p>
        </w:tc>
      </w:tr>
      <w:tr w:rsidR="00246001" w:rsidRPr="003608E7" w14:paraId="0C2A4432" w14:textId="77777777" w:rsidTr="00246001">
        <w:trPr>
          <w:cantSplit/>
          <w:trHeight w:val="111"/>
        </w:trPr>
        <w:tc>
          <w:tcPr>
            <w:tcW w:w="2880" w:type="dxa"/>
            <w:shd w:val="clear" w:color="auto" w:fill="auto"/>
          </w:tcPr>
          <w:p w14:paraId="611FDEBF" w14:textId="77777777" w:rsidR="00246001" w:rsidRPr="003608E7" w:rsidRDefault="00246001" w:rsidP="003608E7">
            <w:pPr>
              <w:spacing w:before="120" w:after="120" w:line="240" w:lineRule="exact"/>
              <w:ind w:left="26"/>
              <w:rPr>
                <w:rFonts w:ascii="David" w:hAnsi="David"/>
                <w:b/>
                <w:bCs/>
                <w:sz w:val="26"/>
                <w:szCs w:val="26"/>
                <w:rtl/>
              </w:rPr>
            </w:pPr>
            <w:bookmarkStart w:id="0" w:name="FirstAppellant"/>
            <w:bookmarkStart w:id="1" w:name="LastJudge"/>
            <w:bookmarkEnd w:id="1"/>
            <w:r w:rsidRPr="003608E7">
              <w:rPr>
                <w:rFonts w:ascii="David" w:hAnsi="David"/>
                <w:b/>
                <w:bCs/>
                <w:sz w:val="26"/>
                <w:szCs w:val="26"/>
                <w:rtl/>
              </w:rPr>
              <w:t>המאשימה</w:t>
            </w:r>
          </w:p>
        </w:tc>
        <w:tc>
          <w:tcPr>
            <w:tcW w:w="5922" w:type="dxa"/>
            <w:gridSpan w:val="2"/>
            <w:shd w:val="clear" w:color="auto" w:fill="auto"/>
          </w:tcPr>
          <w:p w14:paraId="1EB12021" w14:textId="77777777" w:rsidR="00246001" w:rsidRPr="003608E7" w:rsidRDefault="00246001" w:rsidP="003608E7">
            <w:pPr>
              <w:spacing w:before="120" w:after="120" w:line="240" w:lineRule="exact"/>
              <w:rPr>
                <w:rFonts w:ascii="David" w:hAnsi="David"/>
                <w:b/>
                <w:bCs/>
                <w:sz w:val="26"/>
                <w:szCs w:val="26"/>
                <w:rtl/>
              </w:rPr>
            </w:pPr>
            <w:r w:rsidRPr="003608E7">
              <w:rPr>
                <w:rFonts w:ascii="David" w:hAnsi="David"/>
                <w:b/>
                <w:bCs/>
                <w:sz w:val="26"/>
                <w:szCs w:val="26"/>
                <w:rtl/>
              </w:rPr>
              <w:t>מדינת ישראל</w:t>
            </w:r>
          </w:p>
        </w:tc>
      </w:tr>
      <w:bookmarkEnd w:id="0"/>
      <w:tr w:rsidR="00246001" w:rsidRPr="003608E7" w14:paraId="6C69EA2A" w14:textId="77777777" w:rsidTr="00246001">
        <w:tc>
          <w:tcPr>
            <w:tcW w:w="8802" w:type="dxa"/>
            <w:gridSpan w:val="3"/>
            <w:shd w:val="clear" w:color="auto" w:fill="auto"/>
            <w:vAlign w:val="center"/>
          </w:tcPr>
          <w:p w14:paraId="4C86DA1A" w14:textId="77777777" w:rsidR="00246001" w:rsidRPr="003608E7" w:rsidRDefault="00246001" w:rsidP="003608E7">
            <w:pPr>
              <w:spacing w:before="240" w:after="240" w:line="240" w:lineRule="exact"/>
              <w:jc w:val="center"/>
              <w:rPr>
                <w:rFonts w:ascii="David" w:hAnsi="David" w:hint="cs"/>
                <w:b/>
                <w:bCs/>
                <w:sz w:val="26"/>
                <w:szCs w:val="26"/>
                <w:rtl/>
              </w:rPr>
            </w:pPr>
            <w:r w:rsidRPr="003608E7">
              <w:rPr>
                <w:rFonts w:ascii="David" w:hAnsi="David"/>
                <w:b/>
                <w:bCs/>
                <w:sz w:val="26"/>
                <w:szCs w:val="26"/>
                <w:rtl/>
              </w:rPr>
              <w:t>נגד</w:t>
            </w:r>
          </w:p>
        </w:tc>
      </w:tr>
      <w:tr w:rsidR="00246001" w:rsidRPr="003608E7" w14:paraId="4A9C16A2" w14:textId="77777777" w:rsidTr="00246001">
        <w:tc>
          <w:tcPr>
            <w:tcW w:w="2880" w:type="dxa"/>
            <w:shd w:val="clear" w:color="auto" w:fill="auto"/>
          </w:tcPr>
          <w:p w14:paraId="36493B7A" w14:textId="77777777" w:rsidR="00246001" w:rsidRPr="003608E7" w:rsidRDefault="00246001" w:rsidP="003608E7">
            <w:pPr>
              <w:spacing w:before="120" w:after="120" w:line="240" w:lineRule="exact"/>
              <w:ind w:left="26"/>
              <w:rPr>
                <w:rFonts w:ascii="David" w:hAnsi="David"/>
                <w:b/>
                <w:bCs/>
                <w:sz w:val="26"/>
                <w:szCs w:val="26"/>
              </w:rPr>
            </w:pPr>
            <w:r w:rsidRPr="003608E7">
              <w:rPr>
                <w:rFonts w:ascii="David" w:hAnsi="David"/>
                <w:b/>
                <w:bCs/>
                <w:sz w:val="26"/>
                <w:szCs w:val="26"/>
                <w:rtl/>
              </w:rPr>
              <w:t>הנאשם</w:t>
            </w:r>
          </w:p>
        </w:tc>
        <w:tc>
          <w:tcPr>
            <w:tcW w:w="5922" w:type="dxa"/>
            <w:gridSpan w:val="2"/>
            <w:shd w:val="clear" w:color="auto" w:fill="auto"/>
          </w:tcPr>
          <w:p w14:paraId="327B98A7" w14:textId="77777777" w:rsidR="00246001" w:rsidRPr="003608E7" w:rsidRDefault="00246001" w:rsidP="003608E7">
            <w:pPr>
              <w:spacing w:before="120" w:after="120" w:line="240" w:lineRule="exact"/>
              <w:rPr>
                <w:rFonts w:ascii="David" w:hAnsi="David"/>
                <w:b/>
                <w:bCs/>
                <w:sz w:val="26"/>
                <w:szCs w:val="26"/>
                <w:rtl/>
              </w:rPr>
            </w:pPr>
            <w:r w:rsidRPr="003608E7">
              <w:rPr>
                <w:rFonts w:ascii="David" w:hAnsi="David"/>
                <w:b/>
                <w:bCs/>
                <w:sz w:val="26"/>
                <w:szCs w:val="26"/>
                <w:rtl/>
              </w:rPr>
              <w:t xml:space="preserve"> אשרף טחימר, ת"ז </w:t>
            </w:r>
            <w:r w:rsidR="00091471" w:rsidRPr="003608E7">
              <w:rPr>
                <w:rFonts w:ascii="David" w:hAnsi="David"/>
                <w:b/>
                <w:bCs/>
                <w:sz w:val="26"/>
                <w:szCs w:val="26"/>
              </w:rPr>
              <w:t>xxxxxxxxxx</w:t>
            </w:r>
            <w:r w:rsidRPr="003608E7">
              <w:rPr>
                <w:rFonts w:ascii="David" w:hAnsi="David"/>
                <w:b/>
                <w:bCs/>
                <w:sz w:val="26"/>
                <w:szCs w:val="26"/>
                <w:rtl/>
              </w:rPr>
              <w:t>(עציר)</w:t>
            </w:r>
          </w:p>
        </w:tc>
      </w:tr>
    </w:tbl>
    <w:p w14:paraId="611D2821" w14:textId="77777777" w:rsidR="00246001" w:rsidRPr="003608E7" w:rsidRDefault="00246001" w:rsidP="00246001"/>
    <w:p w14:paraId="36996DAE" w14:textId="77777777" w:rsidR="003608E7" w:rsidRPr="003608E7" w:rsidRDefault="003608E7" w:rsidP="003608E7">
      <w:pPr>
        <w:spacing w:before="120" w:after="120" w:line="240" w:lineRule="exact"/>
        <w:ind w:left="283" w:hanging="283"/>
        <w:jc w:val="both"/>
        <w:rPr>
          <w:rFonts w:ascii="FrankRuehl" w:hAnsi="FrankRuehl" w:cs="FrankRuehl"/>
          <w:rtl/>
        </w:rPr>
      </w:pPr>
      <w:bookmarkStart w:id="2" w:name="LawTable"/>
      <w:bookmarkEnd w:id="2"/>
      <w:r w:rsidRPr="003608E7">
        <w:rPr>
          <w:rFonts w:ascii="FrankRuehl" w:hAnsi="FrankRuehl" w:cs="FrankRuehl"/>
          <w:rtl/>
        </w:rPr>
        <w:t xml:space="preserve">חקיקה שאוזכרה: </w:t>
      </w:r>
    </w:p>
    <w:p w14:paraId="37117112" w14:textId="77777777" w:rsidR="003608E7" w:rsidRPr="003608E7" w:rsidRDefault="003608E7" w:rsidP="003608E7">
      <w:pPr>
        <w:spacing w:before="120" w:after="120" w:line="240" w:lineRule="exact"/>
        <w:ind w:left="283" w:hanging="283"/>
        <w:jc w:val="both"/>
        <w:rPr>
          <w:rFonts w:ascii="FrankRuehl" w:hAnsi="FrankRuehl" w:cs="FrankRuehl"/>
          <w:color w:val="0000FF"/>
          <w:rtl/>
        </w:rPr>
      </w:pPr>
      <w:hyperlink r:id="rId6" w:history="1">
        <w:r w:rsidRPr="003608E7">
          <w:rPr>
            <w:rStyle w:val="Hyperlink"/>
            <w:rFonts w:ascii="FrankRuehl" w:hAnsi="FrankRuehl" w:cs="FrankRuehl"/>
            <w:color w:val="0000FF"/>
            <w:rtl/>
          </w:rPr>
          <w:t>חוק העונשין, תשל"ז-1977</w:t>
        </w:r>
      </w:hyperlink>
      <w:r w:rsidRPr="003608E7">
        <w:rPr>
          <w:rFonts w:ascii="FrankRuehl" w:hAnsi="FrankRuehl" w:cs="FrankRuehl"/>
          <w:color w:val="0000FF"/>
          <w:u w:val="single"/>
          <w:rtl/>
        </w:rPr>
        <w:t xml:space="preserve">: סע'  </w:t>
      </w:r>
      <w:hyperlink r:id="rId7" w:history="1">
        <w:r w:rsidRPr="003608E7">
          <w:rPr>
            <w:rStyle w:val="Hyperlink"/>
            <w:rFonts w:ascii="FrankRuehl" w:hAnsi="FrankRuehl" w:cs="FrankRuehl"/>
            <w:color w:val="0000FF"/>
          </w:rPr>
          <w:t>58</w:t>
        </w:r>
      </w:hyperlink>
      <w:r w:rsidRPr="003608E7">
        <w:rPr>
          <w:rFonts w:ascii="FrankRuehl" w:hAnsi="FrankRuehl" w:cs="FrankRuehl"/>
          <w:color w:val="0000FF"/>
          <w:u w:val="single"/>
          <w:rtl/>
        </w:rPr>
        <w:t xml:space="preserve">, </w:t>
      </w:r>
      <w:hyperlink r:id="rId8" w:history="1">
        <w:r w:rsidRPr="003608E7">
          <w:rPr>
            <w:rStyle w:val="Hyperlink"/>
            <w:rFonts w:ascii="FrankRuehl" w:hAnsi="FrankRuehl" w:cs="FrankRuehl"/>
            <w:color w:val="0000FF"/>
          </w:rPr>
          <w:t>77</w:t>
        </w:r>
      </w:hyperlink>
      <w:r w:rsidRPr="003608E7">
        <w:rPr>
          <w:rFonts w:ascii="FrankRuehl" w:hAnsi="FrankRuehl" w:cs="FrankRuehl"/>
          <w:color w:val="0000FF"/>
          <w:rtl/>
        </w:rPr>
        <w:t xml:space="preserve">(א), </w:t>
      </w:r>
      <w:hyperlink r:id="rId9" w:history="1">
        <w:r w:rsidRPr="003608E7">
          <w:rPr>
            <w:rStyle w:val="Hyperlink"/>
            <w:rFonts w:ascii="FrankRuehl" w:hAnsi="FrankRuehl" w:cs="FrankRuehl"/>
            <w:color w:val="0000FF"/>
          </w:rPr>
          <w:t>144</w:t>
        </w:r>
      </w:hyperlink>
      <w:r w:rsidRPr="003608E7">
        <w:rPr>
          <w:rFonts w:ascii="FrankRuehl" w:hAnsi="FrankRuehl" w:cs="FrankRuehl"/>
          <w:color w:val="0000FF"/>
          <w:rtl/>
        </w:rPr>
        <w:t xml:space="preserve">(א), </w:t>
      </w:r>
      <w:hyperlink r:id="rId10" w:history="1">
        <w:r w:rsidRPr="003608E7">
          <w:rPr>
            <w:rStyle w:val="Hyperlink"/>
            <w:rFonts w:ascii="FrankRuehl" w:hAnsi="FrankRuehl" w:cs="FrankRuehl"/>
            <w:color w:val="0000FF"/>
          </w:rPr>
          <w:t>144</w:t>
        </w:r>
      </w:hyperlink>
      <w:r w:rsidRPr="003608E7">
        <w:rPr>
          <w:rFonts w:ascii="FrankRuehl" w:hAnsi="FrankRuehl" w:cs="FrankRuehl"/>
          <w:color w:val="0000FF"/>
          <w:rtl/>
        </w:rPr>
        <w:t xml:space="preserve">(ב), </w:t>
      </w:r>
      <w:hyperlink r:id="rId11" w:history="1">
        <w:r w:rsidRPr="003608E7">
          <w:rPr>
            <w:rStyle w:val="Hyperlink"/>
            <w:rFonts w:ascii="FrankRuehl" w:hAnsi="FrankRuehl" w:cs="FrankRuehl"/>
            <w:color w:val="0000FF"/>
          </w:rPr>
          <w:t>186</w:t>
        </w:r>
      </w:hyperlink>
      <w:r w:rsidRPr="003608E7">
        <w:rPr>
          <w:rFonts w:ascii="FrankRuehl" w:hAnsi="FrankRuehl" w:cs="FrankRuehl"/>
          <w:color w:val="0000FF"/>
          <w:rtl/>
        </w:rPr>
        <w:t xml:space="preserve">(א), </w:t>
      </w:r>
      <w:hyperlink r:id="rId12" w:history="1">
        <w:r w:rsidRPr="003608E7">
          <w:rPr>
            <w:rStyle w:val="Hyperlink"/>
            <w:rFonts w:ascii="FrankRuehl" w:hAnsi="FrankRuehl" w:cs="FrankRuehl"/>
            <w:color w:val="0000FF"/>
          </w:rPr>
          <w:t>300</w:t>
        </w:r>
      </w:hyperlink>
      <w:r w:rsidRPr="003608E7">
        <w:rPr>
          <w:rFonts w:ascii="FrankRuehl" w:hAnsi="FrankRuehl" w:cs="FrankRuehl"/>
          <w:color w:val="0000FF"/>
          <w:rtl/>
        </w:rPr>
        <w:t xml:space="preserve">(א), </w:t>
      </w:r>
      <w:hyperlink r:id="rId13" w:history="1">
        <w:r w:rsidRPr="003608E7">
          <w:rPr>
            <w:rStyle w:val="Hyperlink"/>
            <w:rFonts w:ascii="FrankRuehl" w:hAnsi="FrankRuehl" w:cs="FrankRuehl"/>
            <w:color w:val="0000FF"/>
          </w:rPr>
          <w:t>300</w:t>
        </w:r>
      </w:hyperlink>
      <w:r w:rsidRPr="003608E7">
        <w:rPr>
          <w:rFonts w:ascii="FrankRuehl" w:hAnsi="FrankRuehl" w:cs="FrankRuehl"/>
          <w:color w:val="0000FF"/>
          <w:rtl/>
        </w:rPr>
        <w:t xml:space="preserve">(א)(2), </w:t>
      </w:r>
      <w:hyperlink r:id="rId14" w:history="1">
        <w:r w:rsidRPr="003608E7">
          <w:rPr>
            <w:rStyle w:val="Hyperlink"/>
            <w:rFonts w:ascii="FrankRuehl" w:hAnsi="FrankRuehl" w:cs="FrankRuehl"/>
            <w:color w:val="0000FF"/>
          </w:rPr>
          <w:t>333</w:t>
        </w:r>
      </w:hyperlink>
      <w:r w:rsidRPr="003608E7">
        <w:rPr>
          <w:rFonts w:ascii="FrankRuehl" w:hAnsi="FrankRuehl" w:cs="FrankRuehl"/>
          <w:color w:val="0000FF"/>
          <w:rtl/>
        </w:rPr>
        <w:t xml:space="preserve">, </w:t>
      </w:r>
      <w:hyperlink r:id="rId15" w:history="1">
        <w:r w:rsidRPr="003608E7">
          <w:rPr>
            <w:rStyle w:val="Hyperlink"/>
            <w:rFonts w:ascii="FrankRuehl" w:hAnsi="FrankRuehl" w:cs="FrankRuehl"/>
            <w:color w:val="0000FF"/>
          </w:rPr>
          <w:t>334</w:t>
        </w:r>
      </w:hyperlink>
      <w:r w:rsidRPr="003608E7">
        <w:rPr>
          <w:rFonts w:ascii="FrankRuehl" w:hAnsi="FrankRuehl" w:cs="FrankRuehl"/>
          <w:color w:val="0000FF"/>
          <w:rtl/>
        </w:rPr>
        <w:t xml:space="preserve">, </w:t>
      </w:r>
      <w:hyperlink r:id="rId16" w:history="1">
        <w:r w:rsidRPr="003608E7">
          <w:rPr>
            <w:rStyle w:val="Hyperlink"/>
            <w:rFonts w:ascii="FrankRuehl" w:hAnsi="FrankRuehl" w:cs="FrankRuehl"/>
            <w:color w:val="0000FF"/>
          </w:rPr>
          <w:t>335</w:t>
        </w:r>
      </w:hyperlink>
      <w:r w:rsidRPr="003608E7">
        <w:rPr>
          <w:rFonts w:ascii="FrankRuehl" w:hAnsi="FrankRuehl" w:cs="FrankRuehl"/>
          <w:color w:val="0000FF"/>
          <w:rtl/>
        </w:rPr>
        <w:t xml:space="preserve">(א)(1), </w:t>
      </w:r>
      <w:hyperlink r:id="rId17" w:history="1">
        <w:r w:rsidRPr="003608E7">
          <w:rPr>
            <w:rStyle w:val="Hyperlink"/>
            <w:rFonts w:ascii="FrankRuehl" w:hAnsi="FrankRuehl" w:cs="FrankRuehl"/>
            <w:color w:val="0000FF"/>
          </w:rPr>
          <w:t>368</w:t>
        </w:r>
        <w:r w:rsidRPr="003608E7">
          <w:rPr>
            <w:rStyle w:val="Hyperlink"/>
            <w:rFonts w:ascii="FrankRuehl" w:hAnsi="FrankRuehl" w:cs="FrankRuehl"/>
            <w:color w:val="0000FF"/>
            <w:rtl/>
          </w:rPr>
          <w:t>ב</w:t>
        </w:r>
      </w:hyperlink>
      <w:r w:rsidRPr="003608E7">
        <w:rPr>
          <w:rFonts w:ascii="FrankRuehl" w:hAnsi="FrankRuehl" w:cs="FrankRuehl"/>
          <w:color w:val="0000FF"/>
          <w:rtl/>
        </w:rPr>
        <w:t xml:space="preserve">(ב), </w:t>
      </w:r>
      <w:hyperlink r:id="rId18" w:history="1">
        <w:r w:rsidRPr="003608E7">
          <w:rPr>
            <w:rStyle w:val="Hyperlink"/>
            <w:rFonts w:ascii="FrankRuehl" w:hAnsi="FrankRuehl" w:cs="FrankRuehl"/>
            <w:color w:val="0000FF"/>
          </w:rPr>
          <w:t>379</w:t>
        </w:r>
      </w:hyperlink>
      <w:r w:rsidRPr="003608E7">
        <w:rPr>
          <w:rFonts w:ascii="FrankRuehl" w:hAnsi="FrankRuehl" w:cs="FrankRuehl"/>
          <w:color w:val="0000FF"/>
          <w:rtl/>
        </w:rPr>
        <w:t xml:space="preserve">, </w:t>
      </w:r>
      <w:hyperlink r:id="rId19" w:history="1">
        <w:r w:rsidRPr="003608E7">
          <w:rPr>
            <w:rStyle w:val="Hyperlink"/>
            <w:rFonts w:ascii="FrankRuehl" w:hAnsi="FrankRuehl" w:cs="FrankRuehl"/>
            <w:color w:val="0000FF"/>
          </w:rPr>
          <w:t>40</w:t>
        </w:r>
        <w:r w:rsidRPr="003608E7">
          <w:rPr>
            <w:rStyle w:val="Hyperlink"/>
            <w:rFonts w:ascii="FrankRuehl" w:hAnsi="FrankRuehl" w:cs="FrankRuehl"/>
            <w:color w:val="0000FF"/>
            <w:rtl/>
          </w:rPr>
          <w:t>יא</w:t>
        </w:r>
      </w:hyperlink>
      <w:r w:rsidRPr="003608E7">
        <w:rPr>
          <w:rFonts w:ascii="FrankRuehl" w:hAnsi="FrankRuehl" w:cs="FrankRuehl"/>
          <w:color w:val="0000FF"/>
          <w:rtl/>
        </w:rPr>
        <w:t xml:space="preserve">, </w:t>
      </w:r>
      <w:hyperlink r:id="rId20" w:history="1">
        <w:r w:rsidRPr="003608E7">
          <w:rPr>
            <w:rStyle w:val="Hyperlink"/>
            <w:rFonts w:ascii="FrankRuehl" w:hAnsi="FrankRuehl" w:cs="FrankRuehl"/>
            <w:color w:val="0000FF"/>
          </w:rPr>
          <w:t>40</w:t>
        </w:r>
        <w:r w:rsidRPr="003608E7">
          <w:rPr>
            <w:rStyle w:val="Hyperlink"/>
            <w:rFonts w:ascii="FrankRuehl" w:hAnsi="FrankRuehl" w:cs="FrankRuehl"/>
            <w:color w:val="0000FF"/>
            <w:rtl/>
          </w:rPr>
          <w:t>יג</w:t>
        </w:r>
      </w:hyperlink>
      <w:r w:rsidRPr="003608E7">
        <w:rPr>
          <w:rFonts w:ascii="FrankRuehl" w:hAnsi="FrankRuehl" w:cs="FrankRuehl"/>
          <w:color w:val="0000FF"/>
          <w:rtl/>
        </w:rPr>
        <w:t xml:space="preserve">(א), </w:t>
      </w:r>
      <w:hyperlink r:id="rId21" w:history="1">
        <w:r w:rsidRPr="003608E7">
          <w:rPr>
            <w:rStyle w:val="Hyperlink"/>
            <w:rFonts w:ascii="FrankRuehl" w:hAnsi="FrankRuehl" w:cs="FrankRuehl"/>
            <w:color w:val="0000FF"/>
          </w:rPr>
          <w:t>40</w:t>
        </w:r>
        <w:r w:rsidRPr="003608E7">
          <w:rPr>
            <w:rStyle w:val="Hyperlink"/>
            <w:rFonts w:ascii="FrankRuehl" w:hAnsi="FrankRuehl" w:cs="FrankRuehl"/>
            <w:color w:val="0000FF"/>
            <w:rtl/>
          </w:rPr>
          <w:t>יג</w:t>
        </w:r>
      </w:hyperlink>
      <w:r w:rsidRPr="003608E7">
        <w:rPr>
          <w:rFonts w:ascii="FrankRuehl" w:hAnsi="FrankRuehl" w:cs="FrankRuehl"/>
          <w:color w:val="0000FF"/>
          <w:rtl/>
        </w:rPr>
        <w:t>(ב)</w:t>
      </w:r>
    </w:p>
    <w:p w14:paraId="332B969B" w14:textId="77777777" w:rsidR="003608E7" w:rsidRDefault="003608E7" w:rsidP="003608E7">
      <w:pPr>
        <w:rPr>
          <w:rFonts w:ascii="Arial" w:hAnsi="Arial" w:hint="cs"/>
          <w:rtl/>
        </w:rPr>
      </w:pPr>
      <w:bookmarkStart w:id="3" w:name="LawTable_End"/>
      <w:bookmarkEnd w:id="3"/>
    </w:p>
    <w:p w14:paraId="2A3D94B2" w14:textId="77777777" w:rsidR="001E1BC9" w:rsidRDefault="001E1BC9" w:rsidP="001E1BC9">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177E4915"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1E1BC9">
        <w:rPr>
          <w:rFonts w:cs="FrankRuehl" w:hint="cs"/>
          <w:szCs w:val="26"/>
          <w:rtl/>
        </w:rPr>
        <w:t>בית המשפט גזר את דינו של נאשם שהורשע ברצח ובעבירות אלימות והשית עליו מאסר עולם ועונשים נוספים, במצטבר.</w:t>
      </w:r>
    </w:p>
    <w:p w14:paraId="62C66AFE" w14:textId="77777777" w:rsidR="001E1BC9" w:rsidRDefault="001E1BC9" w:rsidP="001E1BC9">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דרכי ענישה: עונשים מצטברים</w:t>
      </w:r>
    </w:p>
    <w:p w14:paraId="71036D3C" w14:textId="77777777" w:rsidR="001E1BC9" w:rsidRDefault="001E1BC9" w:rsidP="001E1BC9">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עבירת רצח</w:t>
      </w:r>
    </w:p>
    <w:p w14:paraId="2B828445" w14:textId="77777777" w:rsidR="001E1BC9" w:rsidRDefault="001E1BC9" w:rsidP="001E1BC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9190D14"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sidRPr="001E1BC9">
        <w:rPr>
          <w:rFonts w:cs="FrankRuehl"/>
          <w:szCs w:val="26"/>
          <w:rtl/>
        </w:rPr>
        <w:t>הנאשם</w:t>
      </w:r>
      <w:r w:rsidRPr="001E1BC9">
        <w:rPr>
          <w:rFonts w:cs="FrankRuehl" w:hint="cs"/>
          <w:szCs w:val="26"/>
          <w:rtl/>
        </w:rPr>
        <w:t xml:space="preserve"> הורשע </w:t>
      </w:r>
      <w:r w:rsidRPr="001E1BC9">
        <w:rPr>
          <w:rFonts w:cs="FrankRuehl"/>
          <w:szCs w:val="26"/>
          <w:rtl/>
        </w:rPr>
        <w:t xml:space="preserve">בעבירות רצח בכוונה תחילה; תקיפת קטין הגורמת חבלה חמורה; פציעה בנסיבות מחמירות; ותקיפה סתם. </w:t>
      </w:r>
    </w:p>
    <w:p w14:paraId="61179314" w14:textId="77777777" w:rsidR="001E1BC9" w:rsidRDefault="001E1BC9" w:rsidP="001E1BC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07245CC"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sidRPr="001E1BC9">
        <w:rPr>
          <w:rFonts w:cs="FrankRuehl"/>
          <w:szCs w:val="26"/>
          <w:rtl/>
        </w:rPr>
        <w:t>בית המשפט המחוזי</w:t>
      </w:r>
      <w:r w:rsidRPr="001E1BC9">
        <w:rPr>
          <w:rFonts w:cs="FrankRuehl" w:hint="cs"/>
          <w:szCs w:val="26"/>
          <w:rtl/>
        </w:rPr>
        <w:t xml:space="preserve"> גזר את הדין כדלהלן:</w:t>
      </w:r>
    </w:p>
    <w:p w14:paraId="1AEC93A7"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sidRPr="001E1BC9">
        <w:rPr>
          <w:rFonts w:cs="FrankRuehl"/>
          <w:szCs w:val="26"/>
          <w:rtl/>
        </w:rPr>
        <w:t xml:space="preserve">מעשים </w:t>
      </w:r>
      <w:r w:rsidRPr="001E1BC9">
        <w:rPr>
          <w:rFonts w:cs="FrankRuehl" w:hint="cs"/>
          <w:szCs w:val="26"/>
          <w:rtl/>
        </w:rPr>
        <w:t>שבוצעו כלפי ילדיה של המנוחה</w:t>
      </w:r>
      <w:r w:rsidRPr="001E1BC9">
        <w:rPr>
          <w:rFonts w:cs="FrankRuehl"/>
          <w:szCs w:val="26"/>
          <w:rtl/>
        </w:rPr>
        <w:t xml:space="preserve"> </w:t>
      </w:r>
      <w:r w:rsidRPr="001E1BC9">
        <w:rPr>
          <w:rFonts w:cs="FrankRuehl" w:hint="cs"/>
          <w:szCs w:val="26"/>
          <w:rtl/>
        </w:rPr>
        <w:t xml:space="preserve">אינם </w:t>
      </w:r>
      <w:r w:rsidRPr="001E1BC9">
        <w:rPr>
          <w:rFonts w:cs="FrankRuehl"/>
          <w:szCs w:val="26"/>
          <w:rtl/>
        </w:rPr>
        <w:t>"נבלעים" באירוע רציחת המנוחה.</w:t>
      </w:r>
      <w:r w:rsidRPr="001E1BC9">
        <w:rPr>
          <w:rFonts w:cs="FrankRuehl" w:hint="cs"/>
          <w:szCs w:val="26"/>
          <w:rtl/>
        </w:rPr>
        <w:t xml:space="preserve"> </w:t>
      </w:r>
      <w:r w:rsidRPr="001E1BC9">
        <w:rPr>
          <w:rFonts w:cs="FrankRuehl"/>
          <w:szCs w:val="26"/>
          <w:rtl/>
        </w:rPr>
        <w:t xml:space="preserve">הנאשם פגע בכל אחד מילדי המנוחה בנפרד מפגיעתו במנוחה עצמה. במקרה זה, מוצדק לקבוע כי העבירות שבוצעו כלפי </w:t>
      </w:r>
      <w:r w:rsidRPr="001E1BC9">
        <w:rPr>
          <w:rFonts w:cs="FrankRuehl" w:hint="cs"/>
          <w:szCs w:val="26"/>
          <w:rtl/>
        </w:rPr>
        <w:t>ילדי המנוחה</w:t>
      </w:r>
      <w:r w:rsidRPr="001E1BC9">
        <w:rPr>
          <w:rFonts w:cs="FrankRuehl"/>
          <w:szCs w:val="26"/>
          <w:rtl/>
        </w:rPr>
        <w:t xml:space="preserve"> ייכללו במסגרת אירוע אחד (הנפרד מהרצח) והטומן בחובו את העבירות נגד הגוף שבוצעו בהם. מתחם עונש הולם לאירוע הנע בין 24 לבין 48 חודשי מאסר </w:t>
      </w:r>
      <w:r w:rsidRPr="001E1BC9">
        <w:rPr>
          <w:rFonts w:cs="FrankRuehl" w:hint="cs"/>
          <w:szCs w:val="26"/>
          <w:rtl/>
        </w:rPr>
        <w:t xml:space="preserve">לריצוי בפועל, </w:t>
      </w:r>
      <w:r w:rsidRPr="001E1BC9">
        <w:rPr>
          <w:rFonts w:cs="FrankRuehl"/>
          <w:szCs w:val="26"/>
          <w:rtl/>
        </w:rPr>
        <w:t>לצד עונשים נלווים.</w:t>
      </w:r>
      <w:r w:rsidRPr="001E1BC9">
        <w:rPr>
          <w:rFonts w:cs="FrankRuehl" w:hint="cs"/>
          <w:szCs w:val="26"/>
          <w:rtl/>
        </w:rPr>
        <w:t xml:space="preserve">  </w:t>
      </w:r>
    </w:p>
    <w:p w14:paraId="00E940C5"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sidRPr="001E1BC9">
        <w:rPr>
          <w:rFonts w:cs="FrankRuehl"/>
          <w:szCs w:val="26"/>
          <w:rtl/>
        </w:rPr>
        <w:t>סוגיית ניכוי תקופת המעצר מצויה בשיקול-דעת בית-המשפט הבא לגזור עונשו של נאשם</w:t>
      </w:r>
      <w:r w:rsidRPr="001E1BC9">
        <w:rPr>
          <w:rFonts w:cs="FrankRuehl" w:hint="cs"/>
          <w:szCs w:val="26"/>
          <w:rtl/>
        </w:rPr>
        <w:t xml:space="preserve">. </w:t>
      </w:r>
      <w:r w:rsidRPr="001E1BC9">
        <w:rPr>
          <w:rFonts w:cs="FrankRuehl"/>
          <w:szCs w:val="26"/>
          <w:rtl/>
        </w:rPr>
        <w:t>ככלל תנוכה תקופת המעצר מעונש המאסר הנגזר לנאשם. עם זאת, מקום בו ריצה הנאשם עונשי מאסר אחרים (בחופף למעצר), ככלל, אלו לא ינוכו</w:t>
      </w:r>
      <w:r w:rsidRPr="001E1BC9">
        <w:rPr>
          <w:rFonts w:cs="FrankRuehl" w:hint="cs"/>
          <w:szCs w:val="26"/>
          <w:rtl/>
        </w:rPr>
        <w:t>.</w:t>
      </w:r>
      <w:r w:rsidRPr="001E1BC9">
        <w:rPr>
          <w:rFonts w:cs="FrankRuehl"/>
          <w:szCs w:val="26"/>
          <w:rtl/>
        </w:rPr>
        <w:t xml:space="preserve"> בנסיבות </w:t>
      </w:r>
      <w:r w:rsidRPr="001E1BC9">
        <w:rPr>
          <w:rFonts w:cs="FrankRuehl" w:hint="cs"/>
          <w:szCs w:val="26"/>
          <w:rtl/>
        </w:rPr>
        <w:t>דנן</w:t>
      </w:r>
      <w:r w:rsidRPr="001E1BC9">
        <w:rPr>
          <w:rFonts w:cs="FrankRuehl"/>
          <w:szCs w:val="26"/>
          <w:rtl/>
        </w:rPr>
        <w:t xml:space="preserve">, </w:t>
      </w:r>
      <w:r w:rsidRPr="001E1BC9">
        <w:rPr>
          <w:rFonts w:cs="FrankRuehl" w:hint="cs"/>
          <w:szCs w:val="26"/>
          <w:rtl/>
        </w:rPr>
        <w:t>אין</w:t>
      </w:r>
      <w:r w:rsidRPr="001E1BC9">
        <w:rPr>
          <w:rFonts w:cs="FrankRuehl"/>
          <w:szCs w:val="26"/>
          <w:rtl/>
        </w:rPr>
        <w:t xml:space="preserve"> להקל עם הנאשם</w:t>
      </w:r>
      <w:r w:rsidRPr="001E1BC9">
        <w:rPr>
          <w:rFonts w:cs="FrankRuehl" w:hint="cs"/>
          <w:szCs w:val="26"/>
          <w:rtl/>
        </w:rPr>
        <w:t xml:space="preserve"> ויש</w:t>
      </w:r>
      <w:r w:rsidRPr="001E1BC9">
        <w:rPr>
          <w:rFonts w:cs="FrankRuehl"/>
          <w:szCs w:val="26"/>
          <w:rtl/>
        </w:rPr>
        <w:t xml:space="preserve"> </w:t>
      </w:r>
      <w:r w:rsidRPr="001E1BC9">
        <w:rPr>
          <w:rFonts w:cs="FrankRuehl" w:hint="cs"/>
          <w:szCs w:val="26"/>
          <w:rtl/>
        </w:rPr>
        <w:t xml:space="preserve">להימנע </w:t>
      </w:r>
      <w:r w:rsidRPr="001E1BC9">
        <w:rPr>
          <w:rFonts w:cs="FrankRuehl"/>
          <w:szCs w:val="26"/>
          <w:rtl/>
        </w:rPr>
        <w:t>מניכוי תקופות מעצר אשר רוצו במקביל לעונשי מאסר אשר הוטלו על הנאשם במסגרת משפטים</w:t>
      </w:r>
      <w:r w:rsidRPr="001E1BC9">
        <w:rPr>
          <w:rFonts w:cs="FrankRuehl" w:hint="cs"/>
          <w:szCs w:val="26"/>
          <w:rtl/>
        </w:rPr>
        <w:t xml:space="preserve"> ש</w:t>
      </w:r>
      <w:r w:rsidRPr="001E1BC9">
        <w:rPr>
          <w:rFonts w:cs="FrankRuehl"/>
          <w:szCs w:val="26"/>
          <w:rtl/>
        </w:rPr>
        <w:t>נערכו לו בתקופות אלו</w:t>
      </w:r>
      <w:r w:rsidRPr="001E1BC9">
        <w:rPr>
          <w:rFonts w:cs="FrankRuehl" w:hint="cs"/>
          <w:szCs w:val="26"/>
          <w:rtl/>
        </w:rPr>
        <w:t>. כ</w:t>
      </w:r>
      <w:r w:rsidRPr="001E1BC9">
        <w:rPr>
          <w:rFonts w:cs="FrankRuehl"/>
          <w:szCs w:val="26"/>
          <w:rtl/>
        </w:rPr>
        <w:t xml:space="preserve">כלל עונש מאסר מותנה המופעל ירוצה במצטבר לעונש המוטל על-ידי בית-המשפט שהפעילו. לא </w:t>
      </w:r>
      <w:r w:rsidRPr="001E1BC9">
        <w:rPr>
          <w:rFonts w:cs="FrankRuehl" w:hint="cs"/>
          <w:szCs w:val="26"/>
          <w:rtl/>
        </w:rPr>
        <w:t>נמצאו</w:t>
      </w:r>
      <w:r w:rsidRPr="001E1BC9">
        <w:rPr>
          <w:rFonts w:cs="FrankRuehl"/>
          <w:szCs w:val="26"/>
          <w:rtl/>
        </w:rPr>
        <w:t xml:space="preserve"> </w:t>
      </w:r>
      <w:r w:rsidRPr="001E1BC9">
        <w:rPr>
          <w:rFonts w:cs="FrankRuehl"/>
          <w:szCs w:val="26"/>
          <w:rtl/>
        </w:rPr>
        <w:lastRenderedPageBreak/>
        <w:t>טעמים מיוחדים, המצדיקים סטייה מכלל זה</w:t>
      </w:r>
      <w:r w:rsidRPr="001E1BC9">
        <w:rPr>
          <w:rFonts w:cs="FrankRuehl" w:hint="cs"/>
          <w:szCs w:val="26"/>
          <w:rtl/>
        </w:rPr>
        <w:t xml:space="preserve"> ועל כן יופעל </w:t>
      </w:r>
      <w:r w:rsidRPr="001E1BC9">
        <w:rPr>
          <w:rFonts w:cs="FrankRuehl"/>
          <w:szCs w:val="26"/>
          <w:rtl/>
        </w:rPr>
        <w:t xml:space="preserve">עונש מותנה זה במצטבר לעונש המוטל על הנאשם היום. </w:t>
      </w:r>
    </w:p>
    <w:p w14:paraId="0F66638B" w14:textId="77777777" w:rsidR="001E1BC9" w:rsidRPr="001E1BC9" w:rsidRDefault="001E1BC9" w:rsidP="001E1BC9">
      <w:pPr>
        <w:pBdr>
          <w:top w:val="single" w:sz="4" w:space="1" w:color="auto"/>
          <w:bottom w:val="single" w:sz="4" w:space="1" w:color="auto"/>
        </w:pBdr>
        <w:spacing w:after="120" w:line="320" w:lineRule="exact"/>
        <w:jc w:val="both"/>
        <w:rPr>
          <w:rFonts w:cs="FrankRuehl" w:hint="cs"/>
          <w:szCs w:val="26"/>
          <w:rtl/>
        </w:rPr>
      </w:pPr>
      <w:r w:rsidRPr="001E1BC9">
        <w:rPr>
          <w:rFonts w:cs="FrankRuehl" w:hint="cs"/>
          <w:szCs w:val="26"/>
          <w:rtl/>
        </w:rPr>
        <w:t xml:space="preserve">לפיכך, יוטלו על הנאשם עונש מאסר עולם; </w:t>
      </w:r>
      <w:r w:rsidRPr="001E1BC9">
        <w:rPr>
          <w:rFonts w:cs="FrankRuehl"/>
          <w:szCs w:val="26"/>
          <w:rtl/>
        </w:rPr>
        <w:t>48 חודשי מאסר בפועל</w:t>
      </w:r>
      <w:r w:rsidRPr="001E1BC9">
        <w:rPr>
          <w:rFonts w:cs="FrankRuehl" w:hint="cs"/>
          <w:szCs w:val="26"/>
          <w:rtl/>
        </w:rPr>
        <w:t xml:space="preserve"> </w:t>
      </w:r>
      <w:r w:rsidRPr="001E1BC9">
        <w:rPr>
          <w:rFonts w:cs="FrankRuehl"/>
          <w:szCs w:val="26"/>
          <w:rtl/>
        </w:rPr>
        <w:t>במצטבר</w:t>
      </w:r>
      <w:r w:rsidRPr="001E1BC9">
        <w:rPr>
          <w:rFonts w:cs="FrankRuehl" w:hint="cs"/>
          <w:szCs w:val="26"/>
          <w:rtl/>
        </w:rPr>
        <w:t>; הפעלת</w:t>
      </w:r>
      <w:r w:rsidRPr="001E1BC9">
        <w:rPr>
          <w:rFonts w:cs="FrankRuehl"/>
          <w:szCs w:val="26"/>
          <w:rtl/>
        </w:rPr>
        <w:t xml:space="preserve"> עונש מאסר על-תנאי בן 6 חודשים במצטבר</w:t>
      </w:r>
      <w:r w:rsidRPr="001E1BC9">
        <w:rPr>
          <w:rFonts w:cs="FrankRuehl" w:hint="cs"/>
          <w:szCs w:val="26"/>
          <w:rtl/>
        </w:rPr>
        <w:t>;</w:t>
      </w:r>
      <w:r w:rsidRPr="001E1BC9">
        <w:rPr>
          <w:rFonts w:cs="FrankRuehl"/>
          <w:szCs w:val="26"/>
          <w:rtl/>
        </w:rPr>
        <w:t xml:space="preserve"> מ</w:t>
      </w:r>
      <w:r w:rsidRPr="001E1BC9">
        <w:rPr>
          <w:rFonts w:cs="FrankRuehl" w:hint="cs"/>
          <w:szCs w:val="26"/>
          <w:rtl/>
        </w:rPr>
        <w:t>ה</w:t>
      </w:r>
      <w:r w:rsidRPr="001E1BC9">
        <w:rPr>
          <w:rFonts w:cs="FrankRuehl"/>
          <w:szCs w:val="26"/>
          <w:rtl/>
        </w:rPr>
        <w:t>עונש תנוכה תקופת מעצרו של הנאשם,</w:t>
      </w:r>
      <w:r w:rsidRPr="001E1BC9">
        <w:rPr>
          <w:rFonts w:cs="FrankRuehl" w:hint="cs"/>
          <w:szCs w:val="26"/>
          <w:rtl/>
        </w:rPr>
        <w:t xml:space="preserve"> אך</w:t>
      </w:r>
      <w:r w:rsidRPr="001E1BC9">
        <w:rPr>
          <w:rFonts w:cs="FrankRuehl"/>
          <w:szCs w:val="26"/>
          <w:rtl/>
        </w:rPr>
        <w:t xml:space="preserve"> לא תנוכה תקופה בת 11 חודשי מאסר </w:t>
      </w:r>
      <w:r w:rsidRPr="001E1BC9">
        <w:rPr>
          <w:rFonts w:cs="FrankRuehl" w:hint="cs"/>
          <w:szCs w:val="26"/>
          <w:rtl/>
        </w:rPr>
        <w:t>שאותה ריצה הנאשם במסגרת גזרי הדין שניתנו בעניינו במהלך תקופת מעצרו;</w:t>
      </w:r>
      <w:r w:rsidRPr="001E1BC9">
        <w:rPr>
          <w:rFonts w:cs="FrankRuehl"/>
          <w:szCs w:val="26"/>
          <w:rtl/>
        </w:rPr>
        <w:t xml:space="preserve"> </w:t>
      </w:r>
      <w:r w:rsidRPr="001E1BC9">
        <w:rPr>
          <w:rFonts w:cs="FrankRuehl" w:hint="cs"/>
          <w:szCs w:val="26"/>
          <w:rtl/>
        </w:rPr>
        <w:t xml:space="preserve">כמו כן </w:t>
      </w:r>
      <w:r w:rsidRPr="001E1BC9">
        <w:rPr>
          <w:rFonts w:cs="FrankRuehl"/>
          <w:szCs w:val="26"/>
          <w:rtl/>
        </w:rPr>
        <w:t>מוטלים על הנאשם 18 חודשי מאסר על תנאי</w:t>
      </w:r>
      <w:r w:rsidRPr="001E1BC9">
        <w:rPr>
          <w:rFonts w:cs="FrankRuehl" w:hint="cs"/>
          <w:szCs w:val="26"/>
          <w:rtl/>
        </w:rPr>
        <w:t xml:space="preserve"> ופיצוי </w:t>
      </w:r>
      <w:r w:rsidRPr="001E1BC9">
        <w:rPr>
          <w:rFonts w:cs="FrankRuehl"/>
          <w:szCs w:val="26"/>
          <w:rtl/>
        </w:rPr>
        <w:t>ארבעת ילדי המנוחה בסך כולל של 258,000 ₪ אשר יחולק</w:t>
      </w:r>
      <w:r w:rsidRPr="001E1BC9">
        <w:rPr>
          <w:rFonts w:cs="FrankRuehl" w:hint="cs"/>
          <w:szCs w:val="26"/>
          <w:rtl/>
        </w:rPr>
        <w:t xml:space="preserve"> ביניהם</w:t>
      </w:r>
      <w:r w:rsidRPr="001E1BC9">
        <w:rPr>
          <w:rFonts w:cs="FrankRuehl"/>
          <w:szCs w:val="26"/>
          <w:rtl/>
        </w:rPr>
        <w:t xml:space="preserve"> </w:t>
      </w:r>
      <w:r w:rsidRPr="001E1BC9">
        <w:rPr>
          <w:rFonts w:cs="FrankRuehl" w:hint="cs"/>
          <w:szCs w:val="26"/>
          <w:rtl/>
        </w:rPr>
        <w:t>באופן שווה</w:t>
      </w:r>
      <w:r w:rsidRPr="001E1BC9">
        <w:rPr>
          <w:rFonts w:cs="FrankRuehl"/>
          <w:szCs w:val="26"/>
          <w:rtl/>
        </w:rPr>
        <w:t>.</w:t>
      </w:r>
    </w:p>
    <w:p w14:paraId="660571C9" w14:textId="77777777" w:rsidR="001E1BC9" w:rsidRDefault="001E1BC9" w:rsidP="003608E7">
      <w:pPr>
        <w:rPr>
          <w:rFonts w:ascii="Arial" w:hAnsi="Arial" w:hint="cs"/>
          <w:rtl/>
        </w:rPr>
      </w:pPr>
      <w:bookmarkStart w:id="5" w:name="ABSTRACT_END"/>
      <w:bookmarkEnd w:id="5"/>
    </w:p>
    <w:p w14:paraId="79EB0A63" w14:textId="77777777" w:rsidR="001E1BC9" w:rsidRPr="003608E7" w:rsidRDefault="001E1BC9" w:rsidP="003608E7">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46001" w:rsidRPr="003608E7" w14:paraId="4911F838" w14:textId="77777777" w:rsidTr="00246001">
        <w:trPr>
          <w:trHeight w:val="355"/>
          <w:jc w:val="center"/>
        </w:trPr>
        <w:tc>
          <w:tcPr>
            <w:tcW w:w="8820" w:type="dxa"/>
            <w:tcBorders>
              <w:top w:val="nil"/>
              <w:left w:val="nil"/>
              <w:bottom w:val="nil"/>
              <w:right w:val="nil"/>
            </w:tcBorders>
            <w:shd w:val="clear" w:color="auto" w:fill="auto"/>
          </w:tcPr>
          <w:p w14:paraId="48FA82BB" w14:textId="77777777" w:rsidR="00091471" w:rsidRPr="001E1BC9" w:rsidRDefault="00091471" w:rsidP="00091471">
            <w:pPr>
              <w:jc w:val="center"/>
              <w:rPr>
                <w:rFonts w:ascii="Arial" w:hAnsi="Arial" w:cs="FrankRuehl"/>
                <w:b/>
                <w:bCs/>
                <w:sz w:val="32"/>
                <w:szCs w:val="32"/>
                <w:u w:val="single"/>
                <w:rtl/>
              </w:rPr>
            </w:pPr>
            <w:bookmarkStart w:id="6" w:name="PsakDin" w:colFirst="0" w:colLast="0"/>
            <w:r w:rsidRPr="001E1BC9">
              <w:rPr>
                <w:rFonts w:ascii="Arial" w:hAnsi="Arial" w:cs="FrankRuehl"/>
                <w:b/>
                <w:bCs/>
                <w:sz w:val="32"/>
                <w:szCs w:val="32"/>
                <w:u w:val="single"/>
                <w:rtl/>
              </w:rPr>
              <w:t>גזר - דין</w:t>
            </w:r>
          </w:p>
          <w:p w14:paraId="4D76290F" w14:textId="77777777" w:rsidR="00246001" w:rsidRPr="003608E7" w:rsidRDefault="00246001" w:rsidP="00091471">
            <w:pPr>
              <w:jc w:val="center"/>
              <w:rPr>
                <w:rFonts w:ascii="Arial" w:hAnsi="Arial" w:cs="FrankRuehl"/>
                <w:bCs/>
                <w:u w:val="single"/>
                <w:rtl/>
              </w:rPr>
            </w:pPr>
          </w:p>
        </w:tc>
      </w:tr>
      <w:bookmarkEnd w:id="6"/>
    </w:tbl>
    <w:p w14:paraId="516C5908" w14:textId="77777777" w:rsidR="00246001" w:rsidRPr="001A21CF" w:rsidRDefault="00246001" w:rsidP="00246001">
      <w:pPr>
        <w:rPr>
          <w:rFonts w:ascii="Arial" w:hAnsi="Arial"/>
          <w:sz w:val="2"/>
          <w:szCs w:val="2"/>
          <w:rtl/>
        </w:rPr>
      </w:pPr>
    </w:p>
    <w:p w14:paraId="44A055D5" w14:textId="77777777" w:rsidR="00246001" w:rsidRPr="001A21CF" w:rsidRDefault="00246001" w:rsidP="00246001">
      <w:pPr>
        <w:rPr>
          <w:rFonts w:ascii="Arial" w:hAnsi="Arial"/>
          <w:rtl/>
        </w:rPr>
      </w:pPr>
    </w:p>
    <w:p w14:paraId="5609A29F" w14:textId="77777777" w:rsidR="00246001" w:rsidRPr="001A21CF" w:rsidRDefault="00246001" w:rsidP="00246001">
      <w:pPr>
        <w:spacing w:after="160"/>
        <w:rPr>
          <w:rFonts w:ascii="David" w:hAnsi="David"/>
          <w:b/>
          <w:bCs/>
          <w:u w:val="single"/>
          <w:rtl/>
        </w:rPr>
      </w:pPr>
      <w:r w:rsidRPr="001A21CF">
        <w:rPr>
          <w:rFonts w:ascii="David" w:hAnsi="David"/>
          <w:b/>
          <w:bCs/>
          <w:u w:val="single"/>
          <w:rtl/>
        </w:rPr>
        <w:t>פתח דבר</w:t>
      </w:r>
    </w:p>
    <w:p w14:paraId="4AB08A39" w14:textId="77777777" w:rsidR="00246001" w:rsidRPr="001A21CF" w:rsidRDefault="00246001" w:rsidP="00246001">
      <w:pPr>
        <w:spacing w:after="160"/>
        <w:rPr>
          <w:rFonts w:ascii="David" w:hAnsi="David"/>
          <w:rtl/>
        </w:rPr>
      </w:pPr>
      <w:r w:rsidRPr="001A21CF">
        <w:rPr>
          <w:rFonts w:ascii="David" w:hAnsi="David"/>
          <w:rtl/>
        </w:rPr>
        <w:t xml:space="preserve">הגיעה שעת גזירת הדין. </w:t>
      </w:r>
    </w:p>
    <w:p w14:paraId="71B38C17"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במסגרת הכרעת-דיננו בעניינו של הנאשם, אשרף טחימר, מצאנו להרשיעו בעבירות שעניינן </w:t>
      </w:r>
      <w:r w:rsidRPr="001A21CF">
        <w:rPr>
          <w:rFonts w:ascii="David" w:hAnsi="David"/>
          <w:b/>
          <w:bCs/>
          <w:rtl/>
        </w:rPr>
        <w:t>רצח בכוונה תחילה,</w:t>
      </w:r>
      <w:r w:rsidRPr="001A21CF">
        <w:rPr>
          <w:b/>
          <w:bCs/>
          <w:sz w:val="20"/>
          <w:rtl/>
        </w:rPr>
        <w:t xml:space="preserve"> </w:t>
      </w:r>
      <w:r w:rsidRPr="001A21CF">
        <w:rPr>
          <w:sz w:val="20"/>
          <w:rtl/>
        </w:rPr>
        <w:t xml:space="preserve">לפי </w:t>
      </w:r>
      <w:hyperlink r:id="rId22" w:history="1">
        <w:r w:rsidR="00184AFD" w:rsidRPr="00184AFD">
          <w:rPr>
            <w:rStyle w:val="Hyperlink"/>
            <w:color w:val="0000FF"/>
            <w:sz w:val="20"/>
            <w:rtl/>
          </w:rPr>
          <w:t>סעיף 300(א)(2)</w:t>
        </w:r>
      </w:hyperlink>
      <w:r w:rsidRPr="001A21CF">
        <w:rPr>
          <w:sz w:val="20"/>
          <w:rtl/>
        </w:rPr>
        <w:t xml:space="preserve"> ל</w:t>
      </w:r>
      <w:hyperlink r:id="rId23" w:history="1">
        <w:r w:rsidR="00091471" w:rsidRPr="00091471">
          <w:rPr>
            <w:color w:val="0000FF"/>
            <w:sz w:val="20"/>
            <w:u w:val="single"/>
            <w:rtl/>
          </w:rPr>
          <w:t>חוק העונשין</w:t>
        </w:r>
      </w:hyperlink>
      <w:r w:rsidRPr="001A21CF">
        <w:rPr>
          <w:rFonts w:ascii="David" w:hAnsi="David"/>
          <w:rtl/>
        </w:rPr>
        <w:t xml:space="preserve">, התשל"ז-1977 (להלן: </w:t>
      </w:r>
      <w:r w:rsidRPr="001A21CF">
        <w:rPr>
          <w:rFonts w:ascii="David" w:hAnsi="David"/>
          <w:b/>
          <w:bCs/>
          <w:rtl/>
        </w:rPr>
        <w:t xml:space="preserve">"חוק העונשין" </w:t>
      </w:r>
      <w:r w:rsidRPr="001A21CF">
        <w:rPr>
          <w:rFonts w:ascii="David" w:hAnsi="David"/>
          <w:rtl/>
        </w:rPr>
        <w:t xml:space="preserve">או </w:t>
      </w:r>
      <w:r w:rsidRPr="001A21CF">
        <w:rPr>
          <w:rFonts w:ascii="David" w:hAnsi="David"/>
          <w:b/>
          <w:bCs/>
          <w:rtl/>
        </w:rPr>
        <w:t>"החוק"</w:t>
      </w:r>
      <w:r w:rsidRPr="001A21CF">
        <w:rPr>
          <w:rFonts w:ascii="David" w:hAnsi="David"/>
          <w:rtl/>
        </w:rPr>
        <w:t>)</w:t>
      </w:r>
      <w:r w:rsidRPr="001A21CF">
        <w:rPr>
          <w:rFonts w:ascii="David" w:hAnsi="David"/>
          <w:b/>
          <w:bCs/>
          <w:rtl/>
        </w:rPr>
        <w:t>;</w:t>
      </w:r>
      <w:r w:rsidRPr="001A21CF">
        <w:rPr>
          <w:rFonts w:ascii="David" w:hAnsi="David"/>
          <w:rtl/>
        </w:rPr>
        <w:t xml:space="preserve"> </w:t>
      </w:r>
      <w:r w:rsidRPr="001A21CF">
        <w:rPr>
          <w:rFonts w:ascii="David" w:hAnsi="David"/>
          <w:b/>
          <w:bCs/>
          <w:rtl/>
        </w:rPr>
        <w:t>תקיפת קטין הגורמת חבלה חמורה</w:t>
      </w:r>
      <w:r w:rsidRPr="001A21CF">
        <w:rPr>
          <w:rFonts w:ascii="David" w:hAnsi="David"/>
          <w:rtl/>
        </w:rPr>
        <w:t xml:space="preserve">, לפי </w:t>
      </w:r>
      <w:hyperlink r:id="rId24" w:history="1">
        <w:r w:rsidR="00184AFD" w:rsidRPr="00184AFD">
          <w:rPr>
            <w:rStyle w:val="Hyperlink"/>
            <w:rFonts w:ascii="David" w:hAnsi="David"/>
            <w:color w:val="0000FF"/>
            <w:rtl/>
          </w:rPr>
          <w:t>סעיף 368ב(ב)</w:t>
        </w:r>
      </w:hyperlink>
      <w:r w:rsidRPr="001A21CF">
        <w:rPr>
          <w:rFonts w:ascii="David" w:hAnsi="David"/>
          <w:rtl/>
        </w:rPr>
        <w:t xml:space="preserve"> לחוק העונשין; </w:t>
      </w:r>
      <w:r w:rsidRPr="001A21CF">
        <w:rPr>
          <w:rFonts w:ascii="David" w:hAnsi="David"/>
          <w:b/>
          <w:bCs/>
          <w:rtl/>
        </w:rPr>
        <w:t xml:space="preserve">פציעה בנסיבות מחמירות </w:t>
      </w:r>
      <w:r w:rsidRPr="001A21CF">
        <w:rPr>
          <w:rFonts w:ascii="David" w:hAnsi="David"/>
          <w:rtl/>
        </w:rPr>
        <w:t xml:space="preserve">לפי </w:t>
      </w:r>
      <w:hyperlink r:id="rId25" w:history="1">
        <w:r w:rsidR="00184AFD" w:rsidRPr="00184AFD">
          <w:rPr>
            <w:rStyle w:val="Hyperlink"/>
            <w:rFonts w:ascii="David" w:hAnsi="David"/>
            <w:color w:val="0000FF"/>
            <w:rtl/>
          </w:rPr>
          <w:t>סעיף 334</w:t>
        </w:r>
      </w:hyperlink>
      <w:r w:rsidRPr="001A21CF">
        <w:rPr>
          <w:rFonts w:ascii="David" w:hAnsi="David"/>
          <w:rtl/>
        </w:rPr>
        <w:t xml:space="preserve"> ו-</w:t>
      </w:r>
      <w:hyperlink r:id="rId26" w:history="1">
        <w:r w:rsidR="00184AFD" w:rsidRPr="00184AFD">
          <w:rPr>
            <w:rStyle w:val="Hyperlink"/>
            <w:rFonts w:ascii="David" w:hAnsi="David"/>
            <w:color w:val="0000FF"/>
            <w:rtl/>
          </w:rPr>
          <w:t>335(א)(1)</w:t>
        </w:r>
      </w:hyperlink>
      <w:r w:rsidRPr="001A21CF">
        <w:rPr>
          <w:rFonts w:ascii="David" w:hAnsi="David"/>
          <w:rtl/>
        </w:rPr>
        <w:t xml:space="preserve"> לחוק העונשין; </w:t>
      </w:r>
      <w:r w:rsidRPr="001A21CF">
        <w:rPr>
          <w:rFonts w:ascii="David" w:hAnsi="David"/>
          <w:b/>
          <w:bCs/>
          <w:rtl/>
        </w:rPr>
        <w:t>ותקיפה סתם,</w:t>
      </w:r>
      <w:r w:rsidRPr="001A21CF">
        <w:rPr>
          <w:rFonts w:ascii="David" w:hAnsi="David"/>
          <w:rtl/>
        </w:rPr>
        <w:t xml:space="preserve"> </w:t>
      </w:r>
      <w:r w:rsidRPr="001A21CF">
        <w:rPr>
          <w:rFonts w:ascii="DaunPenh" w:hAnsi="DaunPenh" w:hint="eastAsia"/>
          <w:rtl/>
        </w:rPr>
        <w:t>לפי</w:t>
      </w:r>
      <w:r w:rsidRPr="001A21CF">
        <w:rPr>
          <w:rFonts w:ascii="DaunPenh" w:hAnsi="DaunPenh"/>
          <w:rtl/>
        </w:rPr>
        <w:t xml:space="preserve"> </w:t>
      </w:r>
      <w:hyperlink r:id="rId27" w:history="1">
        <w:r w:rsidR="00184AFD" w:rsidRPr="00184AFD">
          <w:rPr>
            <w:rStyle w:val="Hyperlink"/>
            <w:rFonts w:ascii="DaunPenh" w:hAnsi="DaunPenh" w:hint="eastAsia"/>
            <w:color w:val="0000FF"/>
            <w:rtl/>
          </w:rPr>
          <w:t>סעיף</w:t>
        </w:r>
        <w:r w:rsidR="00184AFD" w:rsidRPr="00184AFD">
          <w:rPr>
            <w:rStyle w:val="Hyperlink"/>
            <w:rFonts w:ascii="DaunPenh" w:hAnsi="DaunPenh"/>
            <w:color w:val="0000FF"/>
            <w:rtl/>
          </w:rPr>
          <w:t xml:space="preserve"> 379</w:t>
        </w:r>
      </w:hyperlink>
      <w:r w:rsidRPr="001A21CF">
        <w:rPr>
          <w:rFonts w:ascii="DaunPenh" w:hAnsi="DaunPenh"/>
          <w:rtl/>
        </w:rPr>
        <w:t xml:space="preserve"> </w:t>
      </w:r>
      <w:r w:rsidRPr="001A21CF">
        <w:rPr>
          <w:rFonts w:ascii="DaunPenh" w:hAnsi="DaunPenh" w:hint="eastAsia"/>
          <w:rtl/>
        </w:rPr>
        <w:t>לחוק</w:t>
      </w:r>
      <w:r w:rsidRPr="001A21CF">
        <w:rPr>
          <w:rFonts w:ascii="DaunPenh" w:hAnsi="DaunPenh"/>
          <w:rtl/>
        </w:rPr>
        <w:t xml:space="preserve">. </w:t>
      </w:r>
    </w:p>
    <w:p w14:paraId="101230F7" w14:textId="77777777" w:rsidR="00246001" w:rsidRPr="0098352C" w:rsidRDefault="00246001" w:rsidP="00246001">
      <w:pPr>
        <w:spacing w:after="160" w:line="360" w:lineRule="auto"/>
        <w:jc w:val="both"/>
        <w:rPr>
          <w:rFonts w:ascii="David" w:hAnsi="David"/>
          <w:rtl/>
        </w:rPr>
      </w:pPr>
      <w:r w:rsidRPr="001A21CF">
        <w:rPr>
          <w:rFonts w:ascii="David" w:hAnsi="David"/>
          <w:rtl/>
        </w:rPr>
        <w:t xml:space="preserve">הדברים הובאו בהרחבה במסגרת הכרעת-דיננו המפורטת ולא נחזור עליהם כאן, אלא ככל שהדבר </w:t>
      </w:r>
      <w:r w:rsidRPr="0098352C">
        <w:rPr>
          <w:rFonts w:ascii="David" w:hAnsi="David"/>
          <w:rtl/>
        </w:rPr>
        <w:t xml:space="preserve">יידרש לצורך הפעלת שיקול-הדעת השיפוטי לעניין הענישה. </w:t>
      </w:r>
    </w:p>
    <w:p w14:paraId="24ED28B5" w14:textId="77777777" w:rsidR="00246001" w:rsidRPr="001A21CF" w:rsidRDefault="00246001" w:rsidP="00246001">
      <w:pPr>
        <w:spacing w:after="160" w:line="360" w:lineRule="auto"/>
        <w:jc w:val="both"/>
        <w:rPr>
          <w:rFonts w:ascii="David" w:hAnsi="David"/>
          <w:rtl/>
        </w:rPr>
      </w:pPr>
      <w:r w:rsidRPr="0098352C">
        <w:rPr>
          <w:rFonts w:ascii="David" w:hAnsi="David"/>
          <w:rtl/>
        </w:rPr>
        <w:t>עמדנו בהרחבה על הטרגדיה הנוראה אשר פקדה את המנוחה, הגב' מרוו</w:t>
      </w:r>
      <w:r w:rsidRPr="0098352C">
        <w:rPr>
          <w:rFonts w:ascii="David" w:hAnsi="David" w:hint="cs"/>
          <w:rtl/>
        </w:rPr>
        <w:t>א</w:t>
      </w:r>
      <w:r w:rsidRPr="0098352C">
        <w:rPr>
          <w:rFonts w:ascii="David" w:hAnsi="David"/>
          <w:rtl/>
        </w:rPr>
        <w:t>ת אבו-ג'ל</w:t>
      </w:r>
      <w:r w:rsidRPr="0098352C">
        <w:rPr>
          <w:rFonts w:ascii="David" w:hAnsi="David" w:hint="cs"/>
          <w:rtl/>
        </w:rPr>
        <w:t>י</w:t>
      </w:r>
      <w:r w:rsidRPr="0098352C">
        <w:rPr>
          <w:rFonts w:ascii="David" w:hAnsi="David"/>
          <w:rtl/>
        </w:rPr>
        <w:t>ל זכרה לברכה, ואת זו שפקדה את ארבעת ילדיה, נסראת, ננסי, נסים ובשאר.</w:t>
      </w:r>
      <w:r w:rsidRPr="001A21CF">
        <w:rPr>
          <w:rFonts w:ascii="David" w:hAnsi="David"/>
          <w:rtl/>
        </w:rPr>
        <w:t xml:space="preserve"> </w:t>
      </w:r>
    </w:p>
    <w:p w14:paraId="393F6B57"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נחמה פורתא מצאנו בכך, שבשלב הטיעונים לעניין העונש ראינו את שני הילדים הצעירים, בשאר ונסים ונוכחנו בכך שהללו גדלו והתפתחו. את סערת-הנפש אשר בוודאי חלפה בראשם עת פגשו את האיש שקיפד את פתיל חיי-אימם נוכל רק לדמיין. עם זאת, כלפי חוץ, התרשמנו שהם נושאים את אובדנם בגבורה, מקימים עצמם מהקרשים אט-אט ומתכוננים לחיות את חייהם כשאותה צלקת נוראה, פרי אותו לילה מר ונמהר תלווה אותם לעד. אין לנו אלא לאחל להם, שיבוא יום והם יזכו לשמוח וליהנות לעלוץ ולרון כראוי להם, תוך שהם מצליחים ולו במעט להניח מאחוריהם את אותה חוויה נוראה ואת אותו אובדן נורא. </w:t>
      </w:r>
    </w:p>
    <w:p w14:paraId="5105BC4D"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מכאן, נעבור לבחון את העונש, הראוי להיות מוטל על מי שקבענו שהוא האחראי לאותה טרגדיה. </w:t>
      </w:r>
    </w:p>
    <w:p w14:paraId="6415ABB0" w14:textId="77777777" w:rsidR="00246001" w:rsidRPr="001A21CF" w:rsidRDefault="00246001" w:rsidP="00246001">
      <w:pPr>
        <w:spacing w:after="160"/>
        <w:jc w:val="both"/>
        <w:rPr>
          <w:rFonts w:ascii="David" w:hAnsi="David"/>
          <w:rtl/>
        </w:rPr>
      </w:pPr>
      <w:r w:rsidRPr="001A21CF">
        <w:rPr>
          <w:rFonts w:ascii="David" w:hAnsi="David"/>
          <w:b/>
          <w:bCs/>
          <w:u w:val="single"/>
          <w:rtl/>
        </w:rPr>
        <w:t>תסקיר נפגעי העבירה</w:t>
      </w:r>
    </w:p>
    <w:p w14:paraId="2E687759"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ביום 16.3.20 הומצא לתיק בית המשפט תסקיר נרחב הנוגע לילדיה של המנוחה, נפגעי עבירות האלימות.  </w:t>
      </w:r>
      <w:r w:rsidRPr="001A21CF">
        <w:rPr>
          <w:rFonts w:ascii="David" w:hAnsi="David"/>
          <w:b/>
          <w:bCs/>
          <w:rtl/>
        </w:rPr>
        <w:t xml:space="preserve">על מנת למנוע פגיעה בילדי המנוחה לא מצאנו לנכון לצטט חלקים נרחבים מתסקיר זה. </w:t>
      </w:r>
      <w:r w:rsidRPr="001A21CF">
        <w:rPr>
          <w:rFonts w:ascii="David" w:hAnsi="David"/>
          <w:rtl/>
        </w:rPr>
        <w:t>לצד זאת, נציין בקצרה, כי עורכת התסקיר ציינה שלמעשה לא התקיימה פגישה עם בשאר ונסים, בשל בקשת האב ובשל מצבם הרגשי המורכב. הוסף, שהתקיימה שיחה טלפונית עם נסראת</w:t>
      </w:r>
      <w:r w:rsidRPr="001A21CF">
        <w:rPr>
          <w:rFonts w:ascii="David" w:hAnsi="David" w:hint="cs"/>
          <w:rtl/>
        </w:rPr>
        <w:t xml:space="preserve">, </w:t>
      </w:r>
      <w:r w:rsidRPr="001A21CF">
        <w:rPr>
          <w:rFonts w:ascii="David" w:hAnsi="David"/>
          <w:rtl/>
        </w:rPr>
        <w:t xml:space="preserve">שבמהלכה הוא הביע את הסכמתו שייערך תסקיר בעניינו, אך הוא העדיף להימנע מפגישה לצורך הכנת התסקיר. </w:t>
      </w:r>
    </w:p>
    <w:p w14:paraId="78B76732" w14:textId="77777777" w:rsidR="00246001" w:rsidRPr="001A21CF" w:rsidRDefault="00246001" w:rsidP="00246001">
      <w:pPr>
        <w:spacing w:after="160" w:line="360" w:lineRule="auto"/>
        <w:jc w:val="both"/>
        <w:rPr>
          <w:rFonts w:ascii="David" w:hAnsi="David"/>
          <w:rtl/>
        </w:rPr>
      </w:pPr>
      <w:r w:rsidRPr="001A21CF">
        <w:rPr>
          <w:rFonts w:ascii="David" w:hAnsi="David"/>
          <w:rtl/>
        </w:rPr>
        <w:lastRenderedPageBreak/>
        <w:t xml:space="preserve">בקצירת האומר, נציין, כי ההליך המשפטי היווה מעמסה רגשית ונפשית כבדה מאוד על בני המשפחה. הודגש, כי הפגיעה ניכרת  (ואף תהא ניכרת בעתיד) בכל שלבי התפתחותם של הילדים - בתחום הרגשי, הלימודי, החברתי והערכי.  הוסף, כי יחלפו עוד שנים ארוכות עד שבני המשפחה יוכלו לעבד את הטראומה שפקדה אותם בביתם - מבצרם.  עוד צוינו, במסגרת התסקיר, השלכות הרצח על </w:t>
      </w:r>
      <w:r w:rsidRPr="001A21CF">
        <w:rPr>
          <w:rFonts w:ascii="David" w:hAnsi="David"/>
          <w:b/>
          <w:bCs/>
          <w:rtl/>
        </w:rPr>
        <w:t xml:space="preserve">אמה ואחיה של המנוחה. </w:t>
      </w:r>
      <w:r w:rsidRPr="001A21CF">
        <w:rPr>
          <w:rFonts w:ascii="David" w:hAnsi="David"/>
          <w:rtl/>
        </w:rPr>
        <w:t xml:space="preserve">פורט, כי בפגישה עם המשפחה הורגשו "בעוצמה מאוד חזקה" הכאב והטראומה המלווים אותם, אף לאחר ארבע שנים מיום הרצח. הודגש בהקשר זה, כי בני משפחת המנוחה כואבים "ומפורקים רגשית", וכי קיימת ציפייה גדולה מצדם של בני המשפחה שעונשו של הנאשם יהלום את הנזקים הנרחבים שנגרמו להם. </w:t>
      </w:r>
    </w:p>
    <w:p w14:paraId="2EFEEF83" w14:textId="77777777" w:rsidR="00246001" w:rsidRPr="001A21CF" w:rsidRDefault="00246001" w:rsidP="00246001">
      <w:pPr>
        <w:spacing w:after="160"/>
        <w:jc w:val="both"/>
        <w:rPr>
          <w:rFonts w:ascii="David" w:hAnsi="David"/>
          <w:b/>
          <w:bCs/>
          <w:sz w:val="2"/>
          <w:szCs w:val="2"/>
          <w:u w:val="single"/>
          <w:rtl/>
        </w:rPr>
      </w:pPr>
    </w:p>
    <w:p w14:paraId="0537424B"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ראיות לעניין העונש</w:t>
      </w:r>
    </w:p>
    <w:p w14:paraId="33F6F896"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באי כוח המדינה, עו"ד אפרת גרינבוים ועו"ד טל עופר פרסו לפנינו את עברו הפלילי של הנאשם, אשר הורשע על-ידינו. </w:t>
      </w:r>
    </w:p>
    <w:p w14:paraId="24AB54F5"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צוין, כי לחובתו זקופות </w:t>
      </w:r>
      <w:r w:rsidRPr="001A21CF">
        <w:rPr>
          <w:rFonts w:ascii="David" w:hAnsi="David"/>
          <w:b/>
          <w:bCs/>
          <w:rtl/>
        </w:rPr>
        <w:t>לא פחות מ-37 הרשעות קודמות</w:t>
      </w:r>
      <w:r w:rsidRPr="001A21CF">
        <w:rPr>
          <w:rFonts w:ascii="David" w:hAnsi="David"/>
          <w:rtl/>
        </w:rPr>
        <w:t xml:space="preserve">, שחלק הארי מתוכן עוסק בעבירות                           </w:t>
      </w:r>
      <w:r w:rsidRPr="001A21CF">
        <w:rPr>
          <w:rFonts w:ascii="David" w:hAnsi="David"/>
          <w:b/>
          <w:bCs/>
          <w:rtl/>
        </w:rPr>
        <w:t>אלימות</w:t>
      </w:r>
      <w:r w:rsidRPr="001A21CF">
        <w:rPr>
          <w:rFonts w:ascii="David" w:hAnsi="David"/>
          <w:rtl/>
        </w:rPr>
        <w:t xml:space="preserve"> דווקא. צוין, שהנאשם </w:t>
      </w:r>
      <w:r w:rsidRPr="001A21CF">
        <w:rPr>
          <w:rFonts w:ascii="David" w:hAnsi="David"/>
          <w:b/>
          <w:bCs/>
          <w:rtl/>
        </w:rPr>
        <w:t>ריצה מספר פעמים עונשי מאסר (תקופה כוללת בת כ-9 שנים עובר למעצרו בתיקו הנוכחי)</w:t>
      </w:r>
      <w:r w:rsidRPr="001A21CF">
        <w:rPr>
          <w:rFonts w:ascii="David" w:hAnsi="David"/>
          <w:rtl/>
        </w:rPr>
        <w:t>,</w:t>
      </w:r>
      <w:r w:rsidRPr="001A21CF">
        <w:rPr>
          <w:rFonts w:ascii="David" w:hAnsi="David"/>
          <w:b/>
          <w:bCs/>
          <w:rtl/>
        </w:rPr>
        <w:t xml:space="preserve"> </w:t>
      </w:r>
      <w:r w:rsidRPr="001A21CF">
        <w:rPr>
          <w:rFonts w:ascii="David" w:hAnsi="David"/>
          <w:rtl/>
        </w:rPr>
        <w:t xml:space="preserve">כאשר מהאחרון שבהם השתחרר חודשים ספורים לפני ביצוע מעשה הרצח. </w:t>
      </w:r>
    </w:p>
    <w:p w14:paraId="5BE6F2E6"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הוא סיים לרצות עונש מאסר ביום 17.1.16; כזכור, הוא ביצע את המעשים, שבעשייתם הורשע על-ידינו ביום 1.5.16. הוא נעצר בו-ביום ומצוי במעצר עד עצם היום הזה. </w:t>
      </w:r>
    </w:p>
    <w:p w14:paraId="46014EBA"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הוצגו לעיוננו שני פסקי-דין, אשר ניתנו בעניינו של הנאשם </w:t>
      </w:r>
      <w:r w:rsidRPr="001A21CF">
        <w:rPr>
          <w:rFonts w:ascii="David" w:hAnsi="David"/>
          <w:b/>
          <w:bCs/>
          <w:u w:val="single"/>
          <w:rtl/>
        </w:rPr>
        <w:t>תוך כדי תקופת מעצרו דכאן</w:t>
      </w:r>
      <w:r w:rsidRPr="001A21CF">
        <w:rPr>
          <w:rFonts w:ascii="David" w:hAnsi="David"/>
          <w:rtl/>
        </w:rPr>
        <w:t xml:space="preserve"> – </w:t>
      </w:r>
    </w:p>
    <w:p w14:paraId="3B3601FF"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 במסגרת </w:t>
      </w:r>
      <w:hyperlink r:id="rId28" w:history="1">
        <w:r w:rsidR="00091471" w:rsidRPr="00091471">
          <w:rPr>
            <w:rFonts w:ascii="David" w:hAnsi="David"/>
            <w:color w:val="0000FF"/>
            <w:u w:val="single"/>
            <w:rtl/>
          </w:rPr>
          <w:t>ת.פ. 657</w:t>
        </w:r>
        <w:r w:rsidR="00091471" w:rsidRPr="00091471">
          <w:rPr>
            <w:rFonts w:ascii="David" w:hAnsi="David"/>
            <w:color w:val="0000FF"/>
            <w:u w:val="single"/>
            <w:rtl/>
          </w:rPr>
          <w:t>4</w:t>
        </w:r>
        <w:r w:rsidR="00091471" w:rsidRPr="00091471">
          <w:rPr>
            <w:rFonts w:ascii="David" w:hAnsi="David"/>
            <w:color w:val="0000FF"/>
            <w:u w:val="single"/>
            <w:rtl/>
          </w:rPr>
          <w:t>3-07-18</w:t>
        </w:r>
      </w:hyperlink>
      <w:r w:rsidRPr="001A21CF">
        <w:rPr>
          <w:rFonts w:ascii="David" w:hAnsi="David"/>
          <w:rtl/>
        </w:rPr>
        <w:t xml:space="preserve"> </w:t>
      </w:r>
      <w:r w:rsidR="003608E7" w:rsidRPr="003608E7">
        <w:rPr>
          <w:sz w:val="22"/>
          <w:rtl/>
        </w:rPr>
        <w:t xml:space="preserve">[פורסם בנבו] </w:t>
      </w:r>
      <w:r w:rsidRPr="001A21CF">
        <w:rPr>
          <w:rFonts w:ascii="David" w:hAnsi="David"/>
          <w:rtl/>
        </w:rPr>
        <w:t>הוא נדון בגין עבירות של תקיפת עובד ציבור בנסיבות מחמירות ואיומים ל</w:t>
      </w:r>
      <w:r w:rsidRPr="001A21CF">
        <w:rPr>
          <w:rFonts w:ascii="David" w:hAnsi="David"/>
          <w:b/>
          <w:bCs/>
          <w:rtl/>
        </w:rPr>
        <w:t>-6 חודשי מאסר בפועל מיום מתן גזר-הדין</w:t>
      </w:r>
      <w:r w:rsidRPr="001A21CF">
        <w:rPr>
          <w:rFonts w:ascii="David" w:hAnsi="David"/>
          <w:rtl/>
        </w:rPr>
        <w:t xml:space="preserve"> (24.6.19). האמור בעבירות שבוצעו כלפי סוהרים עת שהנאשם שהה באגף העצורים בבית-המשפט העליון. </w:t>
      </w:r>
    </w:p>
    <w:p w14:paraId="21F777F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 במסגרת </w:t>
      </w:r>
      <w:hyperlink r:id="rId29" w:history="1">
        <w:r w:rsidR="00091471" w:rsidRPr="00091471">
          <w:rPr>
            <w:rFonts w:ascii="David" w:hAnsi="David"/>
            <w:color w:val="0000FF"/>
            <w:u w:val="single"/>
            <w:rtl/>
          </w:rPr>
          <w:t>ת.פ. 3</w:t>
        </w:r>
        <w:r w:rsidR="00091471" w:rsidRPr="00091471">
          <w:rPr>
            <w:rFonts w:ascii="David" w:hAnsi="David"/>
            <w:color w:val="0000FF"/>
            <w:u w:val="single"/>
            <w:rtl/>
          </w:rPr>
          <w:t>9</w:t>
        </w:r>
        <w:r w:rsidR="00091471" w:rsidRPr="00091471">
          <w:rPr>
            <w:rFonts w:ascii="David" w:hAnsi="David"/>
            <w:color w:val="0000FF"/>
            <w:u w:val="single"/>
            <w:rtl/>
          </w:rPr>
          <w:t>721-04-17</w:t>
        </w:r>
      </w:hyperlink>
      <w:r w:rsidRPr="001A21CF">
        <w:rPr>
          <w:rFonts w:ascii="David" w:hAnsi="David"/>
          <w:rtl/>
        </w:rPr>
        <w:t xml:space="preserve"> </w:t>
      </w:r>
      <w:r w:rsidR="003608E7" w:rsidRPr="003608E7">
        <w:rPr>
          <w:sz w:val="22"/>
          <w:rtl/>
        </w:rPr>
        <w:t xml:space="preserve">[פורסם בנבו] </w:t>
      </w:r>
      <w:r w:rsidRPr="001A21CF">
        <w:rPr>
          <w:rFonts w:ascii="David" w:hAnsi="David"/>
          <w:rtl/>
        </w:rPr>
        <w:t>הוא הורשע בעבירות של איומים ותקיפת עובד ציבור, ונדון ל</w:t>
      </w:r>
      <w:r w:rsidRPr="001A21CF">
        <w:rPr>
          <w:rFonts w:ascii="David" w:hAnsi="David"/>
          <w:b/>
          <w:bCs/>
          <w:rtl/>
        </w:rPr>
        <w:t xml:space="preserve">-5 חודשי מאסר לריצוי בפועל מיום מתן גזר-הדין </w:t>
      </w:r>
      <w:r w:rsidRPr="001A21CF">
        <w:rPr>
          <w:rFonts w:ascii="David" w:hAnsi="David"/>
          <w:rtl/>
        </w:rPr>
        <w:t>(10.12.18)</w:t>
      </w:r>
    </w:p>
    <w:p w14:paraId="2DC220E3"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עוד הוצג לנו גזר-דין נוסף בעניינו של הנאשם שניתן במסגרת </w:t>
      </w:r>
      <w:hyperlink r:id="rId30" w:history="1">
        <w:r w:rsidR="00091471" w:rsidRPr="00091471">
          <w:rPr>
            <w:rFonts w:ascii="David" w:hAnsi="David"/>
            <w:color w:val="0000FF"/>
            <w:u w:val="single"/>
            <w:rtl/>
          </w:rPr>
          <w:t>ת.פ. 2524</w:t>
        </w:r>
        <w:r w:rsidR="00091471" w:rsidRPr="00091471">
          <w:rPr>
            <w:rFonts w:ascii="David" w:hAnsi="David"/>
            <w:color w:val="0000FF"/>
            <w:u w:val="single"/>
            <w:rtl/>
          </w:rPr>
          <w:t>6</w:t>
        </w:r>
        <w:r w:rsidR="00091471" w:rsidRPr="00091471">
          <w:rPr>
            <w:rFonts w:ascii="David" w:hAnsi="David"/>
            <w:color w:val="0000FF"/>
            <w:u w:val="single"/>
            <w:rtl/>
          </w:rPr>
          <w:t>-10-12</w:t>
        </w:r>
      </w:hyperlink>
      <w:r w:rsidRPr="001A21CF">
        <w:rPr>
          <w:rFonts w:ascii="David" w:hAnsi="David"/>
          <w:rtl/>
        </w:rPr>
        <w:t xml:space="preserve"> </w:t>
      </w:r>
      <w:r w:rsidR="003608E7" w:rsidRPr="003608E7">
        <w:rPr>
          <w:sz w:val="22"/>
          <w:rtl/>
        </w:rPr>
        <w:t xml:space="preserve">[פורסם בנבו] </w:t>
      </w:r>
      <w:r w:rsidRPr="00732291">
        <w:rPr>
          <w:rFonts w:ascii="David" w:hAnsi="David"/>
          <w:b/>
          <w:bCs/>
          <w:rtl/>
        </w:rPr>
        <w:t>(מיום 10.12.13).</w:t>
      </w:r>
      <w:r w:rsidRPr="001A21CF">
        <w:rPr>
          <w:rFonts w:ascii="David" w:hAnsi="David"/>
          <w:rtl/>
        </w:rPr>
        <w:t xml:space="preserve">  כאן הוטלו על הנאשם, לאחר שהורשע בעבירה של החזקת סכין או אגרופן שלא כדין, מאסר לריצוי בפועל בן 3 חודשים שלצדו גם </w:t>
      </w:r>
      <w:r w:rsidRPr="001A21CF">
        <w:rPr>
          <w:rFonts w:ascii="David" w:hAnsi="David"/>
          <w:b/>
          <w:bCs/>
          <w:rtl/>
        </w:rPr>
        <w:t xml:space="preserve">עונש מאסר על-תנאי בן 6 חודשים  - שלא יעבור במשך 3 שנים </w:t>
      </w:r>
      <w:r w:rsidRPr="001A21CF">
        <w:rPr>
          <w:rFonts w:ascii="David" w:hAnsi="David"/>
          <w:b/>
          <w:bCs/>
          <w:u w:val="single"/>
          <w:rtl/>
        </w:rPr>
        <w:t>מיום שחרורו  מהמאסר</w:t>
      </w:r>
      <w:r w:rsidRPr="001A21CF">
        <w:rPr>
          <w:rFonts w:ascii="David" w:hAnsi="David"/>
          <w:b/>
          <w:bCs/>
          <w:rtl/>
        </w:rPr>
        <w:t xml:space="preserve"> עבירה בהתאם </w:t>
      </w:r>
      <w:hyperlink r:id="rId31" w:history="1">
        <w:r w:rsidR="00184AFD" w:rsidRPr="00184AFD">
          <w:rPr>
            <w:rStyle w:val="Hyperlink"/>
            <w:rFonts w:ascii="David" w:hAnsi="David"/>
            <w:b/>
            <w:bCs/>
            <w:color w:val="0000FF"/>
            <w:rtl/>
          </w:rPr>
          <w:t>לסעיף 186(א)</w:t>
        </w:r>
      </w:hyperlink>
      <w:r w:rsidRPr="001A21CF">
        <w:rPr>
          <w:rFonts w:ascii="David" w:hAnsi="David"/>
          <w:b/>
          <w:bCs/>
          <w:rtl/>
        </w:rPr>
        <w:t xml:space="preserve"> ל</w:t>
      </w:r>
      <w:hyperlink r:id="rId32" w:history="1">
        <w:r w:rsidR="00091471" w:rsidRPr="00091471">
          <w:rPr>
            <w:rFonts w:ascii="David" w:hAnsi="David"/>
            <w:b/>
            <w:bCs/>
            <w:color w:val="0000FF"/>
            <w:u w:val="single"/>
            <w:rtl/>
          </w:rPr>
          <w:t>חוק העונשין</w:t>
        </w:r>
      </w:hyperlink>
      <w:r w:rsidRPr="001A21CF">
        <w:rPr>
          <w:rFonts w:ascii="David" w:hAnsi="David"/>
          <w:b/>
          <w:bCs/>
          <w:rtl/>
        </w:rPr>
        <w:t xml:space="preserve"> (החזקת סכין או אגרופן) או עבירת אלימות פיזית. לא היה חולק לפנינו על כך, שעונש על-תנאי זה הוא בר-הפעלה בהתחשב בהרשעתו של הנאשם לפנינו. </w:t>
      </w:r>
    </w:p>
    <w:p w14:paraId="0B747C5C"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טיעוני הצדדים</w:t>
      </w:r>
    </w:p>
    <w:p w14:paraId="0ED38B60"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המאשימה</w:t>
      </w:r>
    </w:p>
    <w:p w14:paraId="64968CF5"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בסיכומיהם, ביקשו ב"כ המאשימה שנקבע, כי העבירות הנלוות לרצח, שבהן הרשענו את הנאשם, מהוות </w:t>
      </w:r>
      <w:r w:rsidRPr="001A21CF">
        <w:rPr>
          <w:rFonts w:ascii="David" w:hAnsi="David"/>
          <w:b/>
          <w:bCs/>
          <w:rtl/>
        </w:rPr>
        <w:t>כולן אירוע נפרד</w:t>
      </w:r>
      <w:r w:rsidRPr="001A21CF">
        <w:rPr>
          <w:rFonts w:ascii="David" w:hAnsi="David"/>
          <w:rtl/>
        </w:rPr>
        <w:t xml:space="preserve"> הכולל בחובו מספר עבירות; לפיכך נתבקשנו לקבוע מתחם עונש הולם נפרד לעבירות הנלוות לעבירת הרצח, הללו אשר בוצעו כלפי ילדיה הקטינים של המנוחה, נסראת ונסים </w:t>
      </w:r>
    </w:p>
    <w:p w14:paraId="7EAA7DD9"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(ראו סעיף 15 לטיעוני המאשימה בכתב). עם זאת, כאן המקום לציין, כי בהמשך טיעוני המאשימה לעניין עונש, ועל אף תפישתה האמורה בסעיף 15 לטיעוניה בכתב, המאשימה עתרה </w:t>
      </w:r>
      <w:r w:rsidRPr="001A21CF">
        <w:rPr>
          <w:rFonts w:ascii="David" w:hAnsi="David"/>
          <w:u w:val="single"/>
          <w:rtl/>
        </w:rPr>
        <w:t>לפיצול</w:t>
      </w:r>
      <w:r w:rsidRPr="001A21CF">
        <w:rPr>
          <w:rFonts w:ascii="David" w:hAnsi="David"/>
          <w:rtl/>
        </w:rPr>
        <w:t xml:space="preserve">ן של העבירות הנלוות לרצח, כך שביחס לעבירה שנעברה כלפי נסים עתרה המאשימה שייקבע מתחם ענישה הולם ונפרד, וכך גם בהתייחס לשתי העבירות שנעברו כלפי נסראת. לעניין זה נידרש בהרחבה בהמשך.  </w:t>
      </w:r>
    </w:p>
    <w:p w14:paraId="6DAAEEC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לסיכום, בכל הנוגע למעשי האלימות, אשר בוצעו כלפי נסראת ונסים, הרי שהתבקשנו לקבוע, מתחם עונש הולם הנע בין 2.5 לבין 4.5 שנות מאסר -  בגין </w:t>
      </w:r>
      <w:r w:rsidRPr="001A21CF">
        <w:rPr>
          <w:rFonts w:ascii="David" w:hAnsi="David"/>
          <w:b/>
          <w:bCs/>
          <w:rtl/>
        </w:rPr>
        <w:t>שתי העבירות</w:t>
      </w:r>
      <w:r w:rsidRPr="001A21CF">
        <w:rPr>
          <w:rFonts w:ascii="David" w:hAnsi="David"/>
          <w:rtl/>
        </w:rPr>
        <w:t xml:space="preserve"> שגרמו לפגיעות שונות  בנסראת, בשים לב לאופי הפגיעות בו, חומרתן ונזקיהן וכן נסיבות ביצוע המעשים.  בנוסף, ובנפרד מכך, התבקשנו לקבוע מתחם עונש הולם הנע בין 8 לבין 18 חודשי מאסר בגין הפגיעה (תקיפה סתם) בנסים, גם כאן בשים לב לאופי המעשה ולנסיבות אשר אפפו את ביצועו. </w:t>
      </w:r>
    </w:p>
    <w:p w14:paraId="51975FB9"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ב"כ המאשימה הפנו אותנו להוראה העונשית, הצמודה </w:t>
      </w:r>
      <w:hyperlink r:id="rId33" w:history="1">
        <w:r w:rsidR="00184AFD" w:rsidRPr="00184AFD">
          <w:rPr>
            <w:rStyle w:val="Hyperlink"/>
            <w:rFonts w:ascii="David" w:hAnsi="David"/>
            <w:color w:val="0000FF"/>
            <w:rtl/>
          </w:rPr>
          <w:t>לסעיף 300(א)</w:t>
        </w:r>
      </w:hyperlink>
      <w:r w:rsidRPr="001A21CF">
        <w:rPr>
          <w:rFonts w:ascii="David" w:hAnsi="David"/>
          <w:rtl/>
        </w:rPr>
        <w:t xml:space="preserve"> ל</w:t>
      </w:r>
      <w:hyperlink r:id="rId34" w:history="1">
        <w:r w:rsidR="00091471" w:rsidRPr="00091471">
          <w:rPr>
            <w:rFonts w:ascii="David" w:hAnsi="David"/>
            <w:color w:val="0000FF"/>
            <w:u w:val="single"/>
            <w:rtl/>
          </w:rPr>
          <w:t>חוק העונשין</w:t>
        </w:r>
      </w:hyperlink>
      <w:r w:rsidRPr="001A21CF">
        <w:rPr>
          <w:rFonts w:ascii="David" w:hAnsi="David"/>
          <w:rtl/>
        </w:rPr>
        <w:t xml:space="preserve"> (בנוסחו הישן) שלפיה, המורשע בעבירה זו יישא </w:t>
      </w:r>
      <w:r w:rsidRPr="001A21CF">
        <w:rPr>
          <w:rFonts w:ascii="David" w:hAnsi="David"/>
          <w:b/>
          <w:bCs/>
          <w:rtl/>
        </w:rPr>
        <w:t>עונש מאסר-עולם חובה ועונש זה בלבד</w:t>
      </w:r>
      <w:r w:rsidRPr="001A21CF">
        <w:rPr>
          <w:rFonts w:ascii="David" w:hAnsi="David"/>
          <w:rtl/>
        </w:rPr>
        <w:t xml:space="preserve">. משהדין החדש איננו מיטיב עם הנאשם (כפי שאף קבענו בהכרעת-הדין) התבקשנו להטיל על הנאשם עונש מאסר-עולם, כמצוות החוק.  </w:t>
      </w:r>
    </w:p>
    <w:p w14:paraId="374019CB"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ב"כ המאשימה ביקשו כי נורה שכל העונשים, המוטלים על הנאשם (או המופעלים בעניינו) יצטברו זה לזה. כך, התבקשנו לצבור את עונשי המאסר המוטלים בגין הפגיעה בנסראת ובנסים לעונש מאסר-העולם, אשר התבקשנו להטיל בגין רציחתה של המנוחה. הטעם לבקשה לצבירה כאן נעוץ בצורכי ההלימה וההרתעה, וכן בצורך לתת ביטוי לפגיעה הנפרדת בכל אחד מהקרבנות ולמנוע "היבלעות" הפגיעות באחרונים בעונש המוטל בגין רציחת המנוחה. </w:t>
      </w:r>
    </w:p>
    <w:p w14:paraId="312A5591"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עוד התבקשנו להורות על הפעלת עונש המאסר המותנה התלוי ועומד נגד הנאשם במצטבר לעונש המוטל כאן. זהו הכלל וכך מתחייב, לדעת התביעה, בשים לב לאכזריות שלוותה את המעשים ונסיבות ביצוע העבירות. </w:t>
      </w:r>
    </w:p>
    <w:p w14:paraId="402166D4"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בנוסף, התבקשנו להורות שתקופת המעצר אשר תנוכה מהעונש, שאותו ירצה לבסוף הנאשם (אם ייקצב) לא תכלול את התקופות שבמהלכן ריצה הנאשם עונשי מאסר, שנגזרו לו, כמפורט לעיל, בהתאם לגזרי-דין שהוטלו עליו בבתי-משפט השלום בירושלים ובחיפה בגין עבירות של איומים ותקיפת עובד הציבור שהתמצו בהשמעת איומים ובתקיפת סוהרים במהלך מעצרו. </w:t>
      </w:r>
    </w:p>
    <w:p w14:paraId="5C72B3F9"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ב"כ המאשימה עתרו להטלת פיצוי לטובת משפחת המנוחה בסכום המרבי הקבוע </w:t>
      </w:r>
      <w:hyperlink r:id="rId35" w:history="1">
        <w:r w:rsidR="00184AFD" w:rsidRPr="00184AFD">
          <w:rPr>
            <w:rStyle w:val="Hyperlink"/>
            <w:rFonts w:ascii="David" w:hAnsi="David"/>
            <w:color w:val="0000FF"/>
            <w:rtl/>
          </w:rPr>
          <w:t>בסעיף 77(א)</w:t>
        </w:r>
      </w:hyperlink>
      <w:r w:rsidRPr="001A21CF">
        <w:rPr>
          <w:rFonts w:ascii="David" w:hAnsi="David"/>
          <w:rtl/>
        </w:rPr>
        <w:t xml:space="preserve"> לחוק (258,000 ₪). צוין, כי תכלית הפיצוי היא לשפות את הנפגע על הנזק והסבל שהיו מנת חלקו כשהמטרה היא מתן שיפוי על ההוצאות שנגרמו וייגרמו לקרבנות, על אובדן התמיכה הכלכלית בהם, ועל הסבל הנורא המלווה אותם יום יום. ב"כ המאשימה ציינו, כי על הסבל, הטראומה, ההלם, חוסר-האונים והמצוקה הגדולה שאותה חוו הקטינים ניתן היה ללמוד מעדויות שונות שנשמעו; נזקיהם של ילדי-המנוחה וקרוביה מדרגה ראשונה בטווח הרחוק יותר תוארו בתסקיר נפגעי העבירה המפורט שהוכן על-ידי קצינות המבחן. האמור בנזקים קשים שאינם בני-ריפוי. צוין, כי שום פיצוי לא יוכל להקהות את האסון, אך יהא בהטלת פיצוי בסכום גבוה כדי להעביר מסר לפוגעים בקדושת החיים כי הדין ימוצה עמם בכל המישורים. ב"כ המאשימה עתרו לחלוקת סכומי הפיצוי בין ארבעת ילדי המנוחה כאשר קרוביה האחרים (בן זוגה בעבר, אחיה, אחיותיה ואימה) ויתרו על קבלת הפיצוי לטובתם. </w:t>
      </w:r>
    </w:p>
    <w:p w14:paraId="376F32F2" w14:textId="77777777" w:rsidR="00246001" w:rsidRPr="001A21CF" w:rsidRDefault="00246001" w:rsidP="00246001">
      <w:pPr>
        <w:spacing w:after="160" w:line="360" w:lineRule="auto"/>
        <w:jc w:val="both"/>
        <w:rPr>
          <w:rFonts w:ascii="David" w:hAnsi="David"/>
          <w:b/>
          <w:bCs/>
          <w:sz w:val="2"/>
          <w:szCs w:val="2"/>
          <w:u w:val="single"/>
          <w:rtl/>
        </w:rPr>
      </w:pPr>
      <w:r w:rsidRPr="001A21CF">
        <w:rPr>
          <w:rFonts w:ascii="David" w:hAnsi="David"/>
          <w:rtl/>
        </w:rPr>
        <w:t xml:space="preserve">לבסוף, התבקשנו להטיל על הנאשם מאסר על תנאי לבל יעבור עבירת אלימות. </w:t>
      </w:r>
    </w:p>
    <w:p w14:paraId="40023F70" w14:textId="77777777" w:rsidR="00246001" w:rsidRPr="001A21CF" w:rsidRDefault="00246001" w:rsidP="00246001">
      <w:pPr>
        <w:rPr>
          <w:rFonts w:ascii="David" w:hAnsi="David"/>
          <w:b/>
          <w:bCs/>
          <w:sz w:val="2"/>
          <w:szCs w:val="2"/>
          <w:u w:val="single"/>
          <w:rtl/>
        </w:rPr>
      </w:pPr>
    </w:p>
    <w:p w14:paraId="31487724"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ב"כ הנאשם</w:t>
      </w:r>
    </w:p>
    <w:p w14:paraId="440F768C"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באת-כוחו של הנאשם עתרה לגזור לנאשם עונש מאסר-עולם (כמתחייב מהוראות-הדין ועונש זה בלבד). עם זאת, היא סברה, שבשים לב לכך שהעבירות הנוספות שבעשייתן הורשע הנאשם (אשר בוצעו כלפי ילדי-המנוחה), הן חלק מאירוע אחד, ראוי, אפוא, להימנע מלגזור  עונש נוסף בגינן. היא עתרה לכך, שעונשי המאסר אשר הוטלו על הנאשם במהלך תקופת מעצרו, ייכללו בתקופה המנוכה מהעונש הכולל שיהא עליו לרצות בסופו של יום. הטעם לכך - העובדה שהנאשם שהה במעצר תקופה ארוכה מאוד עד לסיום משפטו, בתנאי מעצר, הקשים בהרבה מתנאי מאסר, ללא חופשות ומבלי  שנהנה מתנאי ההחזקה כאסיר. </w:t>
      </w:r>
    </w:p>
    <w:p w14:paraId="2043A3DD"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עוד עתרה ב"כ הנאשם כי נימנע מהטלת פיצוי בסכום גבוה על הנאשם, בשים לב לנזקים החמורים, שנגרמו לנאשם ולמשפחתו בעקבות האירועים המתוארים כאן. בית-המשפחה נשרף, וכל בני-משפחתו המורחבת של הנאשם גורשו ממתחם מגוריהם; חזרתם אליו הותנתה בידי בני-משפחת המנוחה בתשלום של סכום "אסטרונומי" כפיצוי. היא עמדה על כך, שעורכי תסקיר נפגעי העבירה לא פגשו בילדי המנוחה לנוכח התנהגות אבי-המשפחה וכי לפיכך, יש להתייחס בספקנות לנטען בתסקיר. </w:t>
      </w:r>
    </w:p>
    <w:p w14:paraId="5DF2284E"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ב"כ הנאשם עמדה על כך שהנאשם עומד על חפותו. בהקשר זה צוין, כי טענתו היא שטפלו עליו את ביצוע המעשים הנוראיים שבעשייתם הורשע, מאחר שהוא עבר עבירות רבות בעבר ולכל היה אינטרס משותף לסלקו משכונת-מגוריהם. </w:t>
      </w:r>
    </w:p>
    <w:p w14:paraId="2E011C11"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הנאשם בדברו האחרון</w:t>
      </w:r>
    </w:p>
    <w:p w14:paraId="7B9E88F2"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הנאשם בחר להימנע מלשאת דברים והסתפק בחזרה על גרסתו, שלפיה הוא חף מכל פשע. </w:t>
      </w:r>
    </w:p>
    <w:p w14:paraId="0BF8A4C7"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דיון והכרעה</w:t>
      </w:r>
    </w:p>
    <w:p w14:paraId="5CD61951"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אין ולא יכול להיות חולק על כך, שבגין הרשעתו ברצח בכוונה תחילה מצוות הדין הינה כי יוטל על הנאשם עונש של מאסר - עולם. זו מצוות-הדין אך אין כלל ספק בענייננו, כי במקרה מיוחד זה כך ראוי וכך יאה. </w:t>
      </w:r>
    </w:p>
    <w:p w14:paraId="1C962D04" w14:textId="77777777" w:rsidR="00246001" w:rsidRPr="001A21CF" w:rsidRDefault="00246001" w:rsidP="00246001">
      <w:pPr>
        <w:spacing w:after="160"/>
        <w:jc w:val="both"/>
        <w:rPr>
          <w:rFonts w:ascii="David" w:hAnsi="David"/>
          <w:rtl/>
        </w:rPr>
      </w:pPr>
      <w:r w:rsidRPr="001A21CF">
        <w:rPr>
          <w:rFonts w:ascii="David" w:hAnsi="David"/>
          <w:rtl/>
        </w:rPr>
        <w:t xml:space="preserve">נותרו, אפוא, מספר עניינים נוספים להכרעתנו במסגרת גזר-דין זה - </w:t>
      </w:r>
    </w:p>
    <w:p w14:paraId="4849BE35"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 האם נכון לגזור על הנאשם, בנוסף לעונש המוטל עליו בגין מעשה הרצח, עונשים נוספים, מצטברים בגין מעשי תקיפת ילדי-המנוחה, כעתירת המאשימה, </w:t>
      </w:r>
      <w:r w:rsidRPr="001A21CF">
        <w:rPr>
          <w:rFonts w:ascii="David" w:hAnsi="David"/>
          <w:b/>
          <w:bCs/>
          <w:rtl/>
        </w:rPr>
        <w:t>או שמא להסתפק בעונש מאסר-העולם כמגלם את האירוע בכללו?</w:t>
      </w:r>
      <w:r w:rsidRPr="001A21CF">
        <w:rPr>
          <w:rFonts w:ascii="David" w:hAnsi="David"/>
          <w:rtl/>
        </w:rPr>
        <w:t xml:space="preserve"> </w:t>
      </w:r>
    </w:p>
    <w:p w14:paraId="5012C33B"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 האם ראוי לצוות על הפעלת עונש המאסר המותנה התלוי ועומד בעניינו של הנאשם במצטבר לעונש המוטל עליו כאן? </w:t>
      </w:r>
    </w:p>
    <w:p w14:paraId="7AD88F50" w14:textId="77777777" w:rsidR="00246001" w:rsidRPr="001A21CF" w:rsidRDefault="00246001" w:rsidP="00246001">
      <w:pPr>
        <w:spacing w:after="160" w:line="360" w:lineRule="auto"/>
        <w:jc w:val="both"/>
        <w:rPr>
          <w:rFonts w:ascii="David" w:hAnsi="David"/>
          <w:rtl/>
        </w:rPr>
      </w:pPr>
      <w:r w:rsidRPr="001A21CF">
        <w:rPr>
          <w:rFonts w:ascii="David" w:hAnsi="David"/>
          <w:rtl/>
        </w:rPr>
        <w:t>(ג) האם ראוי להורות על ניכוי כל תקופת מעצרו או שמא יש להורות על ניכוי תקופת המעצר תוך הפחתת התקופות בהן ריצה עונשי מאסר שאותם נשא במהלך תקופת מעצרו?</w:t>
      </w:r>
    </w:p>
    <w:p w14:paraId="60FEEAF1"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(ד) מהו סכום הפיצוי שבו ראוי לחייב את הנאשם בשים לב למכלול השיקולים הצריכים לדבר בכגון דא? </w:t>
      </w:r>
    </w:p>
    <w:p w14:paraId="2E881B8F"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נדון בשאלות אלו כסדרן. </w:t>
      </w:r>
    </w:p>
    <w:p w14:paraId="36960807"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 xml:space="preserve">א. אירוע יחיד או שמא אירועים שונים </w:t>
      </w:r>
    </w:p>
    <w:p w14:paraId="34BECE8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ייאמר מיד, דעתנו בסוגיה זו כדעת ב"כ המאשימה, במובן זה שאף לשיטתנו יש לראות בעבירות הנלוות לביצוע הרצח כאירוע נפרד. אין בידינו לקבל את הטענה, שלפיה מעשים אלו "נבלעים" באירוע (ובמעשה) רציחת המנוחה. </w:t>
      </w:r>
    </w:p>
    <w:p w14:paraId="17061704"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אכן, יש למצוא קשר של זמן ומקום וכן קשר של רציפות-ביצוע בין מעשה הרצח לבין מעשי הפגיעה בנסראת ובנסים, שבעשייתם הורשע הנאשם שלפנינו </w:t>
      </w:r>
      <w:r w:rsidRPr="00246001">
        <w:rPr>
          <w:rFonts w:ascii="Calibri" w:hAnsi="Calibri"/>
          <w:rtl/>
        </w:rPr>
        <w:t>(</w:t>
      </w:r>
      <w:r w:rsidRPr="00246001">
        <w:rPr>
          <w:rFonts w:ascii="Calibri" w:hAnsi="Calibri" w:hint="eastAsia"/>
          <w:rtl/>
        </w:rPr>
        <w:t>ראו</w:t>
      </w:r>
      <w:r w:rsidRPr="00246001">
        <w:rPr>
          <w:rFonts w:ascii="Calibri" w:hAnsi="Calibri"/>
          <w:rtl/>
        </w:rPr>
        <w:t xml:space="preserve"> </w:t>
      </w:r>
      <w:r w:rsidRPr="00246001">
        <w:rPr>
          <w:rFonts w:ascii="Calibri" w:hAnsi="Calibri" w:hint="eastAsia"/>
          <w:rtl/>
        </w:rPr>
        <w:t>לעניין</w:t>
      </w:r>
      <w:r w:rsidRPr="00246001">
        <w:rPr>
          <w:rFonts w:ascii="Calibri" w:hAnsi="Calibri"/>
          <w:rtl/>
        </w:rPr>
        <w:t xml:space="preserve"> </w:t>
      </w:r>
      <w:r w:rsidRPr="00246001">
        <w:rPr>
          <w:rFonts w:ascii="Calibri" w:hAnsi="Calibri" w:hint="eastAsia"/>
          <w:rtl/>
        </w:rPr>
        <w:t>זה</w:t>
      </w:r>
      <w:r w:rsidRPr="00246001">
        <w:rPr>
          <w:rFonts w:ascii="Calibri" w:hAnsi="Calibri"/>
          <w:rtl/>
        </w:rPr>
        <w:t xml:space="preserve">: </w:t>
      </w:r>
      <w:hyperlink r:id="rId36"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4910/13</w:t>
        </w:r>
      </w:hyperlink>
      <w:r w:rsidRPr="00246001">
        <w:rPr>
          <w:rFonts w:ascii="Calibri" w:hAnsi="Calibri"/>
          <w:rtl/>
        </w:rPr>
        <w:t xml:space="preserve"> </w:t>
      </w:r>
      <w:r w:rsidRPr="00246001">
        <w:rPr>
          <w:rFonts w:ascii="Calibri" w:hAnsi="Calibri" w:hint="eastAsia"/>
          <w:b/>
          <w:bCs/>
          <w:rtl/>
        </w:rPr>
        <w:t>ג</w:t>
      </w:r>
      <w:r w:rsidRPr="00246001">
        <w:rPr>
          <w:rFonts w:ascii="Calibri" w:hAnsi="Calibri"/>
          <w:b/>
          <w:bCs/>
          <w:rtl/>
        </w:rPr>
        <w:t>'</w:t>
      </w:r>
      <w:r w:rsidRPr="00246001">
        <w:rPr>
          <w:rFonts w:ascii="Calibri" w:hAnsi="Calibri" w:hint="eastAsia"/>
          <w:b/>
          <w:bCs/>
          <w:rtl/>
        </w:rPr>
        <w:t>אבר</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b/>
          <w:bCs/>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23.6.15; </w:t>
      </w:r>
      <w:hyperlink r:id="rId37"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9308/12</w:t>
        </w:r>
      </w:hyperlink>
      <w:r w:rsidRPr="00246001">
        <w:rPr>
          <w:rFonts w:ascii="Calibri" w:hAnsi="Calibri"/>
          <w:rtl/>
        </w:rPr>
        <w:t xml:space="preserve"> </w:t>
      </w:r>
      <w:r w:rsidRPr="00246001">
        <w:rPr>
          <w:rFonts w:ascii="Calibri" w:hAnsi="Calibri" w:hint="eastAsia"/>
          <w:b/>
          <w:bCs/>
          <w:rtl/>
        </w:rPr>
        <w:t>עיסא</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b/>
          <w:bCs/>
          <w:rtl/>
        </w:rPr>
        <w:t>,</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30.7.15).</w:t>
      </w:r>
      <w:r w:rsidRPr="001A21CF">
        <w:rPr>
          <w:rFonts w:ascii="David" w:hAnsi="David"/>
          <w:rtl/>
        </w:rPr>
        <w:t xml:space="preserve"> מעשי-הפגיעה בשני הקטינים נעשו הן במטרה לבצע את מעשה הרצח (הפגיעה בנסים) הן במטרה לברוח מהמקום (הפגיעות בנסראת). משכך, בנקל ניתן יהיה לסווג את כל אלו כאירוע אחד, הטומן בחובו מספר מעשים. </w:t>
      </w:r>
    </w:p>
    <w:p w14:paraId="5FADC599"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דא עקא, הנאשם פגע בכל אחד מילדי המנוחה </w:t>
      </w:r>
      <w:r w:rsidRPr="001A21CF">
        <w:rPr>
          <w:rFonts w:ascii="David" w:hAnsi="David"/>
          <w:b/>
          <w:bCs/>
          <w:rtl/>
        </w:rPr>
        <w:t>בנפרד</w:t>
      </w:r>
      <w:r w:rsidRPr="001A21CF">
        <w:rPr>
          <w:rFonts w:ascii="David" w:hAnsi="David"/>
          <w:rtl/>
        </w:rPr>
        <w:t xml:space="preserve"> מפגיעתו במנוחה עצמה. כל אחד מהם הוא קרבן-העבירות, לא רק בהיותו בנה של המנוחה, אשר איבד את אמו. כל אחד מהם הוא קרבנו הישיר של הנאשם, אשר נפגע מנחת זרועו. </w:t>
      </w:r>
    </w:p>
    <w:p w14:paraId="288273EC" w14:textId="77777777" w:rsidR="00246001" w:rsidRPr="001A21CF" w:rsidRDefault="00246001" w:rsidP="00246001">
      <w:pPr>
        <w:spacing w:after="160" w:line="360" w:lineRule="auto"/>
        <w:jc w:val="both"/>
        <w:rPr>
          <w:rFonts w:ascii="David" w:hAnsi="David"/>
          <w:rtl/>
        </w:rPr>
      </w:pPr>
      <w:r w:rsidRPr="001A21CF">
        <w:rPr>
          <w:rFonts w:ascii="David" w:hAnsi="David"/>
          <w:rtl/>
        </w:rPr>
        <w:t>משאלו הם פני הדברים, לשיטתנו, במקרה זה, מוצדק אפוא, לקבוע כי העבירות שבוצעו כלפי נסראת ונסים, ייכללו במסגרת אירוע אחד (הנפרד מהרצח) והטומן בחובו את העבירות (המעשים השונים) נגד הגוף שבוצעו בהם</w:t>
      </w:r>
      <w:r w:rsidRPr="001A21CF">
        <w:rPr>
          <w:rFonts w:ascii="David" w:hAnsi="David"/>
          <w:b/>
          <w:bCs/>
          <w:rtl/>
        </w:rPr>
        <w:t xml:space="preserve">. לדידנו דווקא "מבחן הקשר ההדוק" (וניסיון החיים) מצביע על קשר בל יינתק המתקיים  בין כל עבירות התקיפה "החיצוניות לרצח" </w:t>
      </w:r>
      <w:r w:rsidRPr="00246001">
        <w:rPr>
          <w:rFonts w:ascii="Calibri" w:hAnsi="Calibri"/>
          <w:rtl/>
        </w:rPr>
        <w:t>(</w:t>
      </w:r>
      <w:r w:rsidRPr="00246001">
        <w:rPr>
          <w:rFonts w:ascii="Calibri" w:hAnsi="Calibri" w:hint="eastAsia"/>
          <w:rtl/>
        </w:rPr>
        <w:t>ראו</w:t>
      </w:r>
      <w:r w:rsidRPr="00246001">
        <w:rPr>
          <w:rFonts w:ascii="Calibri" w:hAnsi="Calibri"/>
          <w:rtl/>
        </w:rPr>
        <w:t xml:space="preserve">: </w:t>
      </w:r>
      <w:hyperlink r:id="rId38"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4910/13</w:t>
        </w:r>
      </w:hyperlink>
      <w:r w:rsidRPr="00246001">
        <w:rPr>
          <w:rFonts w:ascii="Calibri" w:hAnsi="Calibri"/>
          <w:rtl/>
        </w:rPr>
        <w:t xml:space="preserve"> </w:t>
      </w:r>
      <w:r w:rsidRPr="00246001">
        <w:rPr>
          <w:rFonts w:ascii="Calibri" w:hAnsi="Calibri" w:hint="eastAsia"/>
          <w:b/>
          <w:bCs/>
          <w:rtl/>
        </w:rPr>
        <w:t>ג</w:t>
      </w:r>
      <w:r w:rsidRPr="00246001">
        <w:rPr>
          <w:rFonts w:ascii="Calibri" w:hAnsi="Calibri"/>
          <w:b/>
          <w:bCs/>
          <w:rtl/>
        </w:rPr>
        <w:t>'</w:t>
      </w:r>
      <w:r w:rsidRPr="00246001">
        <w:rPr>
          <w:rFonts w:ascii="Calibri" w:hAnsi="Calibri" w:hint="eastAsia"/>
          <w:b/>
          <w:bCs/>
          <w:rtl/>
        </w:rPr>
        <w:t>אבר</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b/>
          <w:bCs/>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hint="eastAsia"/>
          <w:rtl/>
        </w:rPr>
        <w:t>פסקאות</w:t>
      </w:r>
      <w:r w:rsidRPr="00246001">
        <w:rPr>
          <w:rFonts w:ascii="Calibri" w:hAnsi="Calibri"/>
          <w:rtl/>
        </w:rPr>
        <w:t xml:space="preserve"> 5 </w:t>
      </w:r>
      <w:r w:rsidRPr="00246001">
        <w:rPr>
          <w:rFonts w:ascii="Calibri" w:hAnsi="Calibri" w:hint="eastAsia"/>
          <w:rtl/>
        </w:rPr>
        <w:t>ו</w:t>
      </w:r>
      <w:r w:rsidRPr="00246001">
        <w:rPr>
          <w:rFonts w:ascii="Calibri" w:hAnsi="Calibri"/>
          <w:rtl/>
        </w:rPr>
        <w:t xml:space="preserve">- 6 </w:t>
      </w:r>
      <w:r w:rsidRPr="00246001">
        <w:rPr>
          <w:rFonts w:ascii="Calibri" w:hAnsi="Calibri" w:hint="eastAsia"/>
          <w:rtl/>
        </w:rPr>
        <w:t>לפסק</w:t>
      </w:r>
      <w:r w:rsidRPr="00246001">
        <w:rPr>
          <w:rFonts w:ascii="Calibri" w:hAnsi="Calibri"/>
          <w:rtl/>
        </w:rPr>
        <w:t xml:space="preserve"> </w:t>
      </w:r>
      <w:r w:rsidRPr="00246001">
        <w:rPr>
          <w:rFonts w:ascii="Calibri" w:hAnsi="Calibri" w:hint="eastAsia"/>
          <w:rtl/>
        </w:rPr>
        <w:t>דינה</w:t>
      </w:r>
      <w:r w:rsidRPr="00246001">
        <w:rPr>
          <w:rFonts w:ascii="Calibri" w:hAnsi="Calibri"/>
          <w:rtl/>
        </w:rPr>
        <w:t xml:space="preserve"> </w:t>
      </w:r>
      <w:r w:rsidRPr="00246001">
        <w:rPr>
          <w:rFonts w:ascii="Calibri" w:hAnsi="Calibri" w:hint="eastAsia"/>
          <w:rtl/>
        </w:rPr>
        <w:t>של</w:t>
      </w:r>
      <w:r w:rsidRPr="00246001">
        <w:rPr>
          <w:rFonts w:ascii="Calibri" w:hAnsi="Calibri"/>
          <w:rtl/>
        </w:rPr>
        <w:t xml:space="preserve"> </w:t>
      </w:r>
      <w:r w:rsidRPr="00246001">
        <w:rPr>
          <w:rFonts w:ascii="Calibri" w:hAnsi="Calibri" w:hint="eastAsia"/>
          <w:rtl/>
        </w:rPr>
        <w:t>כב</w:t>
      </w:r>
      <w:r w:rsidRPr="00246001">
        <w:rPr>
          <w:rFonts w:ascii="Calibri" w:hAnsi="Calibri"/>
          <w:rtl/>
        </w:rPr>
        <w:t xml:space="preserve">' </w:t>
      </w:r>
      <w:r w:rsidRPr="00246001">
        <w:rPr>
          <w:rFonts w:ascii="Calibri" w:hAnsi="Calibri" w:hint="eastAsia"/>
          <w:rtl/>
        </w:rPr>
        <w:t>השופטת</w:t>
      </w:r>
      <w:r w:rsidRPr="00246001">
        <w:rPr>
          <w:rFonts w:ascii="Calibri" w:hAnsi="Calibri"/>
          <w:rtl/>
        </w:rPr>
        <w:t xml:space="preserve"> </w:t>
      </w:r>
      <w:r w:rsidRPr="00246001">
        <w:rPr>
          <w:rFonts w:ascii="Calibri" w:hAnsi="Calibri" w:hint="eastAsia"/>
          <w:rtl/>
        </w:rPr>
        <w:t>ד</w:t>
      </w:r>
      <w:r w:rsidRPr="00246001">
        <w:rPr>
          <w:rFonts w:ascii="Calibri" w:hAnsi="Calibri"/>
          <w:rtl/>
        </w:rPr>
        <w:t xml:space="preserve">' </w:t>
      </w:r>
      <w:r w:rsidRPr="00246001">
        <w:rPr>
          <w:rFonts w:ascii="Calibri" w:hAnsi="Calibri" w:hint="eastAsia"/>
          <w:rtl/>
        </w:rPr>
        <w:t>ברק</w:t>
      </w:r>
      <w:r w:rsidRPr="00246001">
        <w:rPr>
          <w:rFonts w:ascii="Calibri" w:hAnsi="Calibri"/>
          <w:rtl/>
        </w:rPr>
        <w:t xml:space="preserve"> –</w:t>
      </w:r>
      <w:r w:rsidRPr="00246001">
        <w:rPr>
          <w:rFonts w:ascii="Calibri" w:hAnsi="Calibri" w:hint="eastAsia"/>
          <w:rtl/>
        </w:rPr>
        <w:t>ארז</w:t>
      </w:r>
      <w:r w:rsidRPr="00246001">
        <w:rPr>
          <w:rFonts w:ascii="Calibri" w:hAnsi="Calibri"/>
          <w:rtl/>
        </w:rPr>
        <w:t>,</w:t>
      </w:r>
      <w:r w:rsidRPr="00246001">
        <w:rPr>
          <w:rFonts w:ascii="Calibri" w:hAnsi="Calibri"/>
          <w:b/>
          <w:bCs/>
          <w:rtl/>
        </w:rPr>
        <w:t xml:space="preserve"> </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23.6.15</w:t>
      </w:r>
      <w:r w:rsidRPr="001A21CF">
        <w:rPr>
          <w:rFonts w:ascii="David" w:hAnsi="David"/>
          <w:b/>
          <w:bCs/>
          <w:rtl/>
        </w:rPr>
        <w:t xml:space="preserve">) ויודגש, בגין עבירות אלו ייקבע "עונש כולל" כאמור </w:t>
      </w:r>
      <w:hyperlink r:id="rId39" w:history="1">
        <w:r w:rsidR="00184AFD" w:rsidRPr="00184AFD">
          <w:rPr>
            <w:rStyle w:val="Hyperlink"/>
            <w:rFonts w:ascii="David" w:hAnsi="David"/>
            <w:b/>
            <w:bCs/>
            <w:color w:val="0000FF"/>
            <w:rtl/>
          </w:rPr>
          <w:t>בסעיף 40יג(א)</w:t>
        </w:r>
      </w:hyperlink>
      <w:r w:rsidRPr="001A21CF">
        <w:rPr>
          <w:rFonts w:ascii="David" w:hAnsi="David"/>
          <w:b/>
          <w:bCs/>
          <w:rtl/>
        </w:rPr>
        <w:t xml:space="preserve"> ל</w:t>
      </w:r>
      <w:hyperlink r:id="rId40" w:history="1">
        <w:r w:rsidR="00091471" w:rsidRPr="00091471">
          <w:rPr>
            <w:rFonts w:ascii="David" w:hAnsi="David"/>
            <w:b/>
            <w:bCs/>
            <w:color w:val="0000FF"/>
            <w:u w:val="single"/>
            <w:rtl/>
          </w:rPr>
          <w:t>חוק העונשין</w:t>
        </w:r>
      </w:hyperlink>
      <w:r w:rsidRPr="001A21CF">
        <w:rPr>
          <w:rFonts w:ascii="David" w:hAnsi="David"/>
          <w:rtl/>
        </w:rPr>
        <w:t xml:space="preserve">. </w:t>
      </w:r>
      <w:r w:rsidRPr="001A21CF">
        <w:rPr>
          <w:rFonts w:ascii="David" w:hAnsi="David"/>
          <w:b/>
          <w:bCs/>
          <w:u w:val="single"/>
          <w:rtl/>
        </w:rPr>
        <w:t xml:space="preserve">אנו סבורים שבאופן זה האינטרסים החברתיים, המוגנים, הנפרדים ורבי העוצמה הגלומים גם בפגיעות הנוספות שנעשו בנסראת ובנסים </w:t>
      </w:r>
      <w:r w:rsidRPr="001A21CF">
        <w:rPr>
          <w:rFonts w:ascii="David" w:hAnsi="David"/>
          <w:b/>
          <w:bCs/>
          <w:rtl/>
        </w:rPr>
        <w:t xml:space="preserve">ייבחנו כדבעי, בהתאם לכללים המנחים, המוטמעים בהבניית שיקול הדעת בענישה </w:t>
      </w:r>
      <w:r w:rsidRPr="001A21CF">
        <w:rPr>
          <w:rFonts w:ascii="David" w:hAnsi="David"/>
          <w:b/>
          <w:bCs/>
          <w:u w:val="single"/>
          <w:rtl/>
        </w:rPr>
        <w:t>ובנפרד מעבירת הרצח</w:t>
      </w:r>
      <w:r w:rsidRPr="001A21CF">
        <w:rPr>
          <w:rFonts w:ascii="David" w:hAnsi="David"/>
          <w:b/>
          <w:bCs/>
          <w:rtl/>
        </w:rPr>
        <w:t>.</w:t>
      </w:r>
      <w:r w:rsidRPr="001A21CF">
        <w:rPr>
          <w:rFonts w:ascii="David" w:hAnsi="David"/>
          <w:rtl/>
        </w:rPr>
        <w:t xml:space="preserve"> כך לטעמנו מתחייב מצרכי ההלימה וההרתעה; כך נדרש על-פי עקרונות הענישה והמוסר. </w:t>
      </w:r>
      <w:r w:rsidRPr="001A21CF">
        <w:rPr>
          <w:rFonts w:ascii="David" w:hAnsi="David"/>
          <w:b/>
          <w:bCs/>
          <w:rtl/>
        </w:rPr>
        <w:t xml:space="preserve"> </w:t>
      </w:r>
    </w:p>
    <w:p w14:paraId="2FA5E972" w14:textId="77777777" w:rsidR="00246001" w:rsidRPr="00246001" w:rsidRDefault="00246001" w:rsidP="00246001">
      <w:pPr>
        <w:spacing w:after="160" w:line="360" w:lineRule="auto"/>
        <w:jc w:val="both"/>
        <w:rPr>
          <w:rFonts w:ascii="Calibri" w:hAnsi="Calibri"/>
          <w:rtl/>
        </w:rPr>
      </w:pPr>
      <w:r w:rsidRPr="001A21CF">
        <w:rPr>
          <w:rFonts w:ascii="David" w:hAnsi="David"/>
          <w:rtl/>
        </w:rPr>
        <w:t xml:space="preserve">ודוק, אף אם נקבל את טענת ההגנה, לפיה ניתן להתייחס </w:t>
      </w:r>
      <w:r w:rsidRPr="001A21CF">
        <w:rPr>
          <w:rFonts w:ascii="David" w:hAnsi="David"/>
          <w:b/>
          <w:bCs/>
          <w:rtl/>
        </w:rPr>
        <w:t>אל מכלול הפרטים</w:t>
      </w:r>
      <w:r w:rsidRPr="001A21CF">
        <w:rPr>
          <w:rFonts w:ascii="David" w:hAnsi="David"/>
          <w:rtl/>
        </w:rPr>
        <w:t xml:space="preserve"> אשר נכללו בכתב-האישום </w:t>
      </w:r>
      <w:r w:rsidRPr="001A21CF">
        <w:rPr>
          <w:rFonts w:ascii="David" w:hAnsi="David"/>
        </w:rPr>
        <w:t>"</w:t>
      </w:r>
      <w:r w:rsidRPr="001A21CF">
        <w:rPr>
          <w:rFonts w:ascii="David" w:hAnsi="David"/>
          <w:rtl/>
        </w:rPr>
        <w:t xml:space="preserve">כאירוע אחד", אזי אין המדובר ב"אותם מעשים". הנאשם רצח את המנוחה; תקף את נסים; הכה את נסראת, וכתוצאה מכך גרם שאחת משיניו תיעקר ממקומה; </w:t>
      </w:r>
      <w:r w:rsidRPr="001A21CF">
        <w:rPr>
          <w:rFonts w:ascii="David" w:hAnsi="David"/>
          <w:u w:val="single"/>
          <w:rtl/>
        </w:rPr>
        <w:t>בנוסף</w:t>
      </w:r>
      <w:r w:rsidRPr="001A21CF">
        <w:rPr>
          <w:rFonts w:ascii="David" w:hAnsi="David"/>
          <w:rtl/>
        </w:rPr>
        <w:t xml:space="preserve"> פצע הנאשם באמצעות סכין את נסראת באצבע ידו השמאלית בנסיבות מחמירות; כל אחת מאלו היא עבירה נפרדת; כל אחת מהעבירות הללו מגלמת </w:t>
      </w:r>
      <w:r w:rsidRPr="001A21CF">
        <w:rPr>
          <w:rFonts w:ascii="David" w:hAnsi="David"/>
          <w:u w:val="single"/>
          <w:rtl/>
        </w:rPr>
        <w:t>מעשה מופרד ומובחן</w:t>
      </w:r>
      <w:r w:rsidRPr="001A21CF">
        <w:rPr>
          <w:rFonts w:ascii="David" w:hAnsi="David"/>
          <w:rtl/>
        </w:rPr>
        <w:t xml:space="preserve">. משאלו הם פני הדברים, </w:t>
      </w:r>
      <w:r w:rsidRPr="001A21CF">
        <w:rPr>
          <w:rFonts w:ascii="David" w:hAnsi="David"/>
          <w:b/>
          <w:bCs/>
          <w:rtl/>
        </w:rPr>
        <w:t>אף אם היינו גורסים כי עסקינן במסגרתו של אירוע אחד שבגדרו נכללות מספר עבירות נוספות, המגלמות מעשים נפרדים</w:t>
      </w:r>
      <w:r w:rsidRPr="001A21CF">
        <w:rPr>
          <w:rFonts w:ascii="David" w:hAnsi="David"/>
          <w:rtl/>
        </w:rPr>
        <w:t xml:space="preserve">, </w:t>
      </w:r>
      <w:r w:rsidRPr="001A21CF">
        <w:rPr>
          <w:rFonts w:ascii="David" w:hAnsi="David"/>
          <w:b/>
          <w:bCs/>
          <w:u w:val="single"/>
          <w:rtl/>
        </w:rPr>
        <w:t>בנוסף לעבירת ההמתה</w:t>
      </w:r>
      <w:r w:rsidRPr="001A21CF">
        <w:rPr>
          <w:rFonts w:ascii="David" w:hAnsi="David"/>
          <w:rtl/>
        </w:rPr>
        <w:t xml:space="preserve">, הרי </w:t>
      </w:r>
      <w:r w:rsidRPr="00246001">
        <w:rPr>
          <w:rFonts w:ascii="Calibri" w:hAnsi="Calibri" w:hint="eastAsia"/>
          <w:rtl/>
        </w:rPr>
        <w:t>שגם</w:t>
      </w:r>
      <w:r w:rsidRPr="00246001">
        <w:rPr>
          <w:rFonts w:ascii="Calibri" w:hAnsi="Calibri"/>
          <w:rtl/>
        </w:rPr>
        <w:t xml:space="preserve"> </w:t>
      </w:r>
      <w:r w:rsidRPr="00246001">
        <w:rPr>
          <w:rFonts w:ascii="Calibri" w:hAnsi="Calibri" w:hint="eastAsia"/>
          <w:rtl/>
        </w:rPr>
        <w:t>במצבים</w:t>
      </w:r>
      <w:r w:rsidRPr="00246001">
        <w:rPr>
          <w:rFonts w:ascii="Calibri" w:hAnsi="Calibri"/>
          <w:rtl/>
        </w:rPr>
        <w:t xml:space="preserve"> </w:t>
      </w:r>
      <w:r w:rsidRPr="00246001">
        <w:rPr>
          <w:rFonts w:ascii="Calibri" w:hAnsi="Calibri" w:hint="eastAsia"/>
          <w:rtl/>
        </w:rPr>
        <w:t>אלו</w:t>
      </w:r>
      <w:r w:rsidRPr="00246001">
        <w:rPr>
          <w:rFonts w:ascii="Calibri" w:hAnsi="Calibri"/>
          <w:rtl/>
        </w:rPr>
        <w:t xml:space="preserve"> </w:t>
      </w:r>
      <w:r w:rsidRPr="00246001">
        <w:rPr>
          <w:rFonts w:ascii="Calibri" w:hAnsi="Calibri" w:hint="eastAsia"/>
          <w:rtl/>
        </w:rPr>
        <w:t>אין</w:t>
      </w:r>
      <w:r w:rsidRPr="00246001">
        <w:rPr>
          <w:rFonts w:ascii="Calibri" w:hAnsi="Calibri"/>
          <w:rtl/>
        </w:rPr>
        <w:t xml:space="preserve"> </w:t>
      </w:r>
      <w:r w:rsidRPr="00246001">
        <w:rPr>
          <w:rFonts w:ascii="Calibri" w:hAnsi="Calibri" w:hint="eastAsia"/>
          <w:rtl/>
        </w:rPr>
        <w:t>מניעה</w:t>
      </w:r>
      <w:r w:rsidRPr="00246001">
        <w:rPr>
          <w:rFonts w:ascii="Calibri" w:hAnsi="Calibri"/>
          <w:rtl/>
        </w:rPr>
        <w:t xml:space="preserve"> </w:t>
      </w:r>
      <w:r w:rsidRPr="00246001">
        <w:rPr>
          <w:rFonts w:ascii="Calibri" w:hAnsi="Calibri" w:hint="eastAsia"/>
          <w:b/>
          <w:bCs/>
          <w:u w:val="single"/>
          <w:rtl/>
        </w:rPr>
        <w:t>כי</w:t>
      </w:r>
      <w:r w:rsidRPr="00246001">
        <w:rPr>
          <w:rFonts w:ascii="Calibri" w:hAnsi="Calibri"/>
          <w:b/>
          <w:bCs/>
          <w:u w:val="single"/>
          <w:rtl/>
        </w:rPr>
        <w:t xml:space="preserve"> </w:t>
      </w:r>
      <w:r w:rsidRPr="00246001">
        <w:rPr>
          <w:rFonts w:ascii="Calibri" w:hAnsi="Calibri" w:hint="eastAsia"/>
          <w:b/>
          <w:bCs/>
          <w:u w:val="single"/>
          <w:rtl/>
        </w:rPr>
        <w:t>לעונש</w:t>
      </w:r>
      <w:r w:rsidRPr="00246001">
        <w:rPr>
          <w:rFonts w:ascii="Calibri" w:hAnsi="Calibri"/>
          <w:b/>
          <w:bCs/>
          <w:u w:val="single"/>
          <w:rtl/>
        </w:rPr>
        <w:t xml:space="preserve"> </w:t>
      </w:r>
      <w:r w:rsidRPr="00246001">
        <w:rPr>
          <w:rFonts w:ascii="Calibri" w:hAnsi="Calibri" w:hint="eastAsia"/>
          <w:b/>
          <w:bCs/>
          <w:u w:val="single"/>
          <w:rtl/>
        </w:rPr>
        <w:t>המאסר</w:t>
      </w:r>
      <w:r w:rsidRPr="00246001">
        <w:rPr>
          <w:rFonts w:ascii="Calibri" w:hAnsi="Calibri"/>
          <w:b/>
          <w:bCs/>
          <w:u w:val="single"/>
          <w:rtl/>
        </w:rPr>
        <w:t xml:space="preserve"> </w:t>
      </w:r>
      <w:r w:rsidRPr="00246001">
        <w:rPr>
          <w:rFonts w:ascii="Calibri" w:hAnsi="Calibri" w:hint="eastAsia"/>
          <w:b/>
          <w:bCs/>
          <w:u w:val="single"/>
          <w:rtl/>
        </w:rPr>
        <w:t>העולם</w:t>
      </w:r>
      <w:r w:rsidRPr="00246001">
        <w:rPr>
          <w:rFonts w:ascii="Calibri" w:hAnsi="Calibri"/>
          <w:b/>
          <w:bCs/>
          <w:u w:val="single"/>
          <w:rtl/>
        </w:rPr>
        <w:t xml:space="preserve"> </w:t>
      </w:r>
      <w:r w:rsidRPr="00246001">
        <w:rPr>
          <w:rFonts w:ascii="Calibri" w:hAnsi="Calibri" w:hint="eastAsia"/>
          <w:b/>
          <w:bCs/>
          <w:u w:val="single"/>
          <w:rtl/>
        </w:rPr>
        <w:t>יצטברו</w:t>
      </w:r>
      <w:r w:rsidRPr="00246001">
        <w:rPr>
          <w:rFonts w:ascii="Calibri" w:hAnsi="Calibri"/>
          <w:b/>
          <w:bCs/>
          <w:u w:val="single"/>
          <w:rtl/>
        </w:rPr>
        <w:t xml:space="preserve"> </w:t>
      </w:r>
      <w:r w:rsidRPr="00246001">
        <w:rPr>
          <w:rFonts w:ascii="Calibri" w:hAnsi="Calibri" w:hint="eastAsia"/>
          <w:b/>
          <w:bCs/>
          <w:u w:val="single"/>
          <w:rtl/>
        </w:rPr>
        <w:t>עונשים</w:t>
      </w:r>
      <w:r w:rsidRPr="00246001">
        <w:rPr>
          <w:rFonts w:ascii="Calibri" w:hAnsi="Calibri"/>
          <w:b/>
          <w:bCs/>
          <w:u w:val="single"/>
          <w:rtl/>
        </w:rPr>
        <w:t xml:space="preserve"> </w:t>
      </w:r>
      <w:r w:rsidRPr="00246001">
        <w:rPr>
          <w:rFonts w:ascii="Calibri" w:hAnsi="Calibri" w:hint="eastAsia"/>
          <w:b/>
          <w:bCs/>
          <w:u w:val="single"/>
          <w:rtl/>
        </w:rPr>
        <w:t>נוספים</w:t>
      </w:r>
      <w:r w:rsidRPr="00246001">
        <w:rPr>
          <w:rFonts w:ascii="Calibri" w:hAnsi="Calibri"/>
          <w:b/>
          <w:bCs/>
          <w:u w:val="single"/>
          <w:rtl/>
        </w:rPr>
        <w:t xml:space="preserve"> </w:t>
      </w:r>
      <w:r w:rsidRPr="00246001">
        <w:rPr>
          <w:rFonts w:ascii="Calibri" w:hAnsi="Calibri"/>
          <w:rtl/>
        </w:rPr>
        <w:t>(</w:t>
      </w:r>
      <w:r w:rsidRPr="00246001">
        <w:rPr>
          <w:rFonts w:ascii="Calibri" w:hAnsi="Calibri" w:hint="eastAsia"/>
          <w:rtl/>
        </w:rPr>
        <w:t>לצד</w:t>
      </w:r>
      <w:r w:rsidRPr="00246001">
        <w:rPr>
          <w:rFonts w:ascii="Calibri" w:hAnsi="Calibri"/>
          <w:rtl/>
        </w:rPr>
        <w:t xml:space="preserve"> </w:t>
      </w:r>
      <w:r w:rsidRPr="00246001">
        <w:rPr>
          <w:rFonts w:ascii="Calibri" w:hAnsi="Calibri" w:hint="eastAsia"/>
          <w:rtl/>
        </w:rPr>
        <w:t>מגבלת</w:t>
      </w:r>
      <w:r w:rsidRPr="00246001">
        <w:rPr>
          <w:rFonts w:ascii="Calibri" w:hAnsi="Calibri"/>
          <w:rtl/>
        </w:rPr>
        <w:t xml:space="preserve"> </w:t>
      </w:r>
      <w:r w:rsidRPr="00246001">
        <w:rPr>
          <w:rFonts w:ascii="Calibri" w:hAnsi="Calibri" w:hint="eastAsia"/>
          <w:rtl/>
        </w:rPr>
        <w:t>צבירת</w:t>
      </w:r>
      <w:r w:rsidRPr="00246001">
        <w:rPr>
          <w:rFonts w:ascii="Calibri" w:hAnsi="Calibri"/>
          <w:rtl/>
        </w:rPr>
        <w:t xml:space="preserve"> </w:t>
      </w:r>
      <w:r w:rsidRPr="00246001">
        <w:rPr>
          <w:rFonts w:ascii="Calibri" w:hAnsi="Calibri" w:hint="eastAsia"/>
          <w:rtl/>
        </w:rPr>
        <w:t>העונשים</w:t>
      </w:r>
      <w:r w:rsidRPr="00246001">
        <w:rPr>
          <w:rFonts w:ascii="Calibri" w:hAnsi="Calibri"/>
          <w:rtl/>
        </w:rPr>
        <w:t xml:space="preserve"> </w:t>
      </w:r>
      <w:r w:rsidRPr="00246001">
        <w:rPr>
          <w:rFonts w:ascii="Calibri" w:hAnsi="Calibri" w:hint="eastAsia"/>
          <w:rtl/>
        </w:rPr>
        <w:t>המרביים</w:t>
      </w:r>
      <w:r w:rsidRPr="00246001">
        <w:rPr>
          <w:rFonts w:ascii="Calibri" w:hAnsi="Calibri"/>
          <w:rtl/>
        </w:rPr>
        <w:t xml:space="preserve"> </w:t>
      </w:r>
      <w:r w:rsidRPr="00246001">
        <w:rPr>
          <w:rFonts w:ascii="Calibri" w:hAnsi="Calibri" w:hint="eastAsia"/>
          <w:rtl/>
        </w:rPr>
        <w:t>הקבועים</w:t>
      </w:r>
      <w:r w:rsidRPr="00246001">
        <w:rPr>
          <w:rFonts w:ascii="Calibri" w:hAnsi="Calibri"/>
          <w:rtl/>
        </w:rPr>
        <w:t xml:space="preserve"> </w:t>
      </w:r>
      <w:r w:rsidRPr="00246001">
        <w:rPr>
          <w:rFonts w:ascii="Calibri" w:hAnsi="Calibri" w:hint="eastAsia"/>
          <w:rtl/>
        </w:rPr>
        <w:t>לצדן</w:t>
      </w:r>
      <w:r w:rsidRPr="00246001">
        <w:rPr>
          <w:rFonts w:ascii="Calibri" w:hAnsi="Calibri"/>
          <w:rtl/>
        </w:rPr>
        <w:t xml:space="preserve"> </w:t>
      </w:r>
      <w:r w:rsidRPr="00246001">
        <w:rPr>
          <w:rFonts w:ascii="Calibri" w:hAnsi="Calibri" w:hint="eastAsia"/>
          <w:rtl/>
        </w:rPr>
        <w:t>של</w:t>
      </w:r>
      <w:r w:rsidRPr="00246001">
        <w:rPr>
          <w:rFonts w:ascii="Calibri" w:hAnsi="Calibri"/>
          <w:rtl/>
        </w:rPr>
        <w:t xml:space="preserve"> </w:t>
      </w:r>
      <w:r w:rsidRPr="00246001">
        <w:rPr>
          <w:rFonts w:ascii="Calibri" w:hAnsi="Calibri" w:hint="eastAsia"/>
          <w:rtl/>
        </w:rPr>
        <w:t>העבירות</w:t>
      </w:r>
      <w:r w:rsidRPr="00246001">
        <w:rPr>
          <w:rFonts w:ascii="Calibri" w:hAnsi="Calibri"/>
          <w:rtl/>
        </w:rPr>
        <w:t xml:space="preserve"> </w:t>
      </w:r>
      <w:r w:rsidRPr="00246001">
        <w:rPr>
          <w:rFonts w:ascii="Calibri" w:hAnsi="Calibri" w:hint="eastAsia"/>
          <w:rtl/>
        </w:rPr>
        <w:t>הנכללות</w:t>
      </w:r>
      <w:r w:rsidRPr="00246001">
        <w:rPr>
          <w:rFonts w:ascii="Calibri" w:hAnsi="Calibri"/>
          <w:rtl/>
        </w:rPr>
        <w:t xml:space="preserve"> </w:t>
      </w:r>
      <w:r w:rsidRPr="00246001">
        <w:rPr>
          <w:rFonts w:ascii="Calibri" w:hAnsi="Calibri" w:hint="eastAsia"/>
          <w:rtl/>
        </w:rPr>
        <w:t>באירוע</w:t>
      </w:r>
      <w:r w:rsidRPr="00246001">
        <w:rPr>
          <w:rFonts w:ascii="Calibri" w:hAnsi="Calibri"/>
          <w:rtl/>
        </w:rPr>
        <w:t xml:space="preserve">).  </w:t>
      </w:r>
    </w:p>
    <w:p w14:paraId="0AF9838C" w14:textId="77777777" w:rsidR="00246001" w:rsidRPr="00246001" w:rsidRDefault="00246001" w:rsidP="00246001">
      <w:pPr>
        <w:spacing w:after="160" w:line="360" w:lineRule="auto"/>
        <w:jc w:val="both"/>
        <w:rPr>
          <w:rFonts w:ascii="Calibri" w:hAnsi="Calibri"/>
          <w:rtl/>
        </w:rPr>
      </w:pPr>
      <w:r w:rsidRPr="001A21CF">
        <w:rPr>
          <w:rFonts w:ascii="David" w:hAnsi="David"/>
          <w:rtl/>
        </w:rPr>
        <w:t xml:space="preserve">כך למשל, במסגרתו של </w:t>
      </w:r>
      <w:hyperlink r:id="rId41" w:history="1">
        <w:r w:rsidR="00091471" w:rsidRPr="00091471">
          <w:rPr>
            <w:rFonts w:ascii="David" w:hAnsi="David"/>
            <w:color w:val="0000FF"/>
            <w:u w:val="single"/>
            <w:rtl/>
          </w:rPr>
          <w:t>ע"פ 8965/18</w:t>
        </w:r>
      </w:hyperlink>
      <w:r w:rsidRPr="001A21CF">
        <w:rPr>
          <w:rFonts w:ascii="David" w:hAnsi="David"/>
          <w:rtl/>
        </w:rPr>
        <w:t xml:space="preserve"> </w:t>
      </w:r>
      <w:r w:rsidRPr="001A21CF">
        <w:rPr>
          <w:rFonts w:ascii="David" w:hAnsi="David"/>
          <w:b/>
          <w:bCs/>
          <w:rtl/>
        </w:rPr>
        <w:t>מחאג'נה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(ניתן ביום 3.11.19) </w:t>
      </w:r>
      <w:r w:rsidRPr="00246001">
        <w:rPr>
          <w:rFonts w:ascii="Calibri" w:hAnsi="Calibri" w:hint="eastAsia"/>
          <w:rtl/>
          <w:lang w:eastAsia="he-IL"/>
        </w:rPr>
        <w:t>דחה</w:t>
      </w:r>
      <w:r w:rsidRPr="00246001">
        <w:rPr>
          <w:rFonts w:ascii="Calibri" w:hAnsi="Calibri"/>
          <w:rtl/>
          <w:lang w:eastAsia="he-IL"/>
        </w:rPr>
        <w:t xml:space="preserve"> </w:t>
      </w:r>
      <w:r w:rsidRPr="00246001">
        <w:rPr>
          <w:rFonts w:ascii="Calibri" w:hAnsi="Calibri" w:hint="eastAsia"/>
          <w:rtl/>
          <w:lang w:eastAsia="he-IL"/>
        </w:rPr>
        <w:t>בית</w:t>
      </w:r>
      <w:r w:rsidRPr="00246001">
        <w:rPr>
          <w:rFonts w:ascii="Calibri" w:hAnsi="Calibri"/>
          <w:rtl/>
          <w:lang w:eastAsia="he-IL"/>
        </w:rPr>
        <w:t xml:space="preserve"> </w:t>
      </w:r>
      <w:r w:rsidRPr="00246001">
        <w:rPr>
          <w:rFonts w:ascii="Calibri" w:hAnsi="Calibri" w:hint="eastAsia"/>
          <w:rtl/>
          <w:lang w:eastAsia="he-IL"/>
        </w:rPr>
        <w:t>המשפט</w:t>
      </w:r>
      <w:r w:rsidRPr="00246001">
        <w:rPr>
          <w:rFonts w:ascii="Calibri" w:hAnsi="Calibri"/>
          <w:rtl/>
          <w:lang w:eastAsia="he-IL"/>
        </w:rPr>
        <w:t xml:space="preserve"> </w:t>
      </w:r>
      <w:r w:rsidRPr="00246001">
        <w:rPr>
          <w:rFonts w:ascii="Calibri" w:hAnsi="Calibri" w:hint="eastAsia"/>
          <w:rtl/>
          <w:lang w:eastAsia="he-IL"/>
        </w:rPr>
        <w:t>העליון</w:t>
      </w:r>
      <w:r w:rsidRPr="00246001">
        <w:rPr>
          <w:rFonts w:ascii="Calibri" w:hAnsi="Calibri"/>
          <w:rtl/>
          <w:lang w:eastAsia="he-IL"/>
        </w:rPr>
        <w:t xml:space="preserve"> </w:t>
      </w:r>
      <w:r w:rsidRPr="00246001">
        <w:rPr>
          <w:rFonts w:ascii="Calibri" w:hAnsi="Calibri" w:hint="eastAsia"/>
          <w:rtl/>
          <w:lang w:eastAsia="he-IL"/>
        </w:rPr>
        <w:t>ערעור</w:t>
      </w:r>
      <w:r w:rsidRPr="00246001">
        <w:rPr>
          <w:rFonts w:ascii="Calibri" w:hAnsi="Calibri"/>
          <w:rtl/>
          <w:lang w:eastAsia="he-IL"/>
        </w:rPr>
        <w:t xml:space="preserve"> </w:t>
      </w:r>
      <w:r w:rsidRPr="00246001">
        <w:rPr>
          <w:rFonts w:ascii="Calibri" w:hAnsi="Calibri" w:hint="eastAsia"/>
          <w:rtl/>
          <w:lang w:eastAsia="he-IL"/>
        </w:rPr>
        <w:t>על</w:t>
      </w:r>
      <w:r w:rsidRPr="00246001">
        <w:rPr>
          <w:rFonts w:ascii="Calibri" w:hAnsi="Calibri"/>
          <w:rtl/>
          <w:lang w:eastAsia="he-IL"/>
        </w:rPr>
        <w:t xml:space="preserve"> </w:t>
      </w:r>
      <w:r w:rsidRPr="00246001">
        <w:rPr>
          <w:rFonts w:ascii="Calibri" w:hAnsi="Calibri" w:hint="eastAsia"/>
          <w:rtl/>
          <w:lang w:eastAsia="he-IL"/>
        </w:rPr>
        <w:t>גזר</w:t>
      </w:r>
      <w:r w:rsidRPr="00246001">
        <w:rPr>
          <w:rFonts w:ascii="Calibri" w:hAnsi="Calibri"/>
          <w:rtl/>
          <w:lang w:eastAsia="he-IL"/>
        </w:rPr>
        <w:t xml:space="preserve"> </w:t>
      </w:r>
      <w:r w:rsidRPr="00246001">
        <w:rPr>
          <w:rFonts w:ascii="Calibri" w:hAnsi="Calibri" w:hint="eastAsia"/>
          <w:rtl/>
          <w:lang w:eastAsia="he-IL"/>
        </w:rPr>
        <w:t>דינו</w:t>
      </w:r>
      <w:r w:rsidRPr="00246001">
        <w:rPr>
          <w:rFonts w:ascii="Calibri" w:hAnsi="Calibri"/>
          <w:rtl/>
          <w:lang w:eastAsia="he-IL"/>
        </w:rPr>
        <w:t xml:space="preserve"> </w:t>
      </w:r>
      <w:r w:rsidRPr="00246001">
        <w:rPr>
          <w:rFonts w:ascii="Calibri" w:hAnsi="Calibri" w:hint="eastAsia"/>
          <w:rtl/>
          <w:lang w:eastAsia="he-IL"/>
        </w:rPr>
        <w:t>של</w:t>
      </w:r>
      <w:r w:rsidRPr="00246001">
        <w:rPr>
          <w:rFonts w:ascii="Calibri" w:hAnsi="Calibri"/>
          <w:rtl/>
          <w:lang w:eastAsia="he-IL"/>
        </w:rPr>
        <w:t xml:space="preserve"> </w:t>
      </w:r>
      <w:r w:rsidRPr="00246001">
        <w:rPr>
          <w:rFonts w:ascii="Calibri" w:hAnsi="Calibri" w:hint="eastAsia"/>
          <w:rtl/>
          <w:lang w:eastAsia="he-IL"/>
        </w:rPr>
        <w:t>בית</w:t>
      </w:r>
      <w:r w:rsidRPr="00246001">
        <w:rPr>
          <w:rFonts w:ascii="Calibri" w:hAnsi="Calibri"/>
          <w:rtl/>
          <w:lang w:eastAsia="he-IL"/>
        </w:rPr>
        <w:t xml:space="preserve"> </w:t>
      </w:r>
      <w:r w:rsidRPr="00246001">
        <w:rPr>
          <w:rFonts w:ascii="Calibri" w:hAnsi="Calibri" w:hint="eastAsia"/>
          <w:rtl/>
          <w:lang w:eastAsia="he-IL"/>
        </w:rPr>
        <w:t>המשפט</w:t>
      </w:r>
      <w:r w:rsidRPr="00246001">
        <w:rPr>
          <w:rFonts w:ascii="Calibri" w:hAnsi="Calibri"/>
          <w:rtl/>
          <w:lang w:eastAsia="he-IL"/>
        </w:rPr>
        <w:t xml:space="preserve"> </w:t>
      </w:r>
      <w:r w:rsidRPr="00246001">
        <w:rPr>
          <w:rFonts w:ascii="Calibri" w:hAnsi="Calibri" w:hint="eastAsia"/>
          <w:rtl/>
          <w:lang w:eastAsia="he-IL"/>
        </w:rPr>
        <w:t>המחוזי</w:t>
      </w:r>
      <w:r w:rsidRPr="00246001">
        <w:rPr>
          <w:rFonts w:ascii="Calibri" w:hAnsi="Calibri"/>
          <w:rtl/>
          <w:lang w:eastAsia="he-IL"/>
        </w:rPr>
        <w:t xml:space="preserve"> </w:t>
      </w:r>
      <w:r w:rsidRPr="00246001">
        <w:rPr>
          <w:rFonts w:ascii="Calibri" w:hAnsi="Calibri" w:hint="eastAsia"/>
          <w:rtl/>
          <w:lang w:eastAsia="he-IL"/>
        </w:rPr>
        <w:t>בחיפה</w:t>
      </w:r>
      <w:r w:rsidRPr="00246001">
        <w:rPr>
          <w:rFonts w:ascii="Calibri" w:hAnsi="Calibri"/>
          <w:rtl/>
          <w:lang w:eastAsia="he-IL"/>
        </w:rPr>
        <w:t xml:space="preserve">, </w:t>
      </w:r>
      <w:r w:rsidRPr="00246001">
        <w:rPr>
          <w:rFonts w:ascii="Calibri" w:hAnsi="Calibri" w:hint="eastAsia"/>
          <w:rtl/>
          <w:lang w:eastAsia="he-IL"/>
        </w:rPr>
        <w:t>שבמסגרתו</w:t>
      </w:r>
      <w:r w:rsidRPr="00246001">
        <w:rPr>
          <w:rFonts w:ascii="Calibri" w:hAnsi="Calibri"/>
          <w:rtl/>
          <w:lang w:eastAsia="he-IL"/>
        </w:rPr>
        <w:t xml:space="preserve"> </w:t>
      </w:r>
      <w:r w:rsidRPr="00246001">
        <w:rPr>
          <w:rFonts w:ascii="Calibri" w:hAnsi="Calibri" w:hint="eastAsia"/>
          <w:rtl/>
          <w:lang w:eastAsia="he-IL"/>
        </w:rPr>
        <w:t>הושת</w:t>
      </w:r>
      <w:r w:rsidRPr="00246001">
        <w:rPr>
          <w:rFonts w:ascii="Calibri" w:hAnsi="Calibri"/>
          <w:rtl/>
          <w:lang w:eastAsia="he-IL"/>
        </w:rPr>
        <w:t xml:space="preserve"> </w:t>
      </w:r>
      <w:r w:rsidRPr="00246001">
        <w:rPr>
          <w:rFonts w:ascii="Calibri" w:hAnsi="Calibri" w:hint="eastAsia"/>
          <w:rtl/>
          <w:lang w:eastAsia="he-IL"/>
        </w:rPr>
        <w:t>על</w:t>
      </w:r>
      <w:r w:rsidRPr="00246001">
        <w:rPr>
          <w:rFonts w:ascii="Calibri" w:hAnsi="Calibri"/>
          <w:rtl/>
          <w:lang w:eastAsia="he-IL"/>
        </w:rPr>
        <w:t xml:space="preserve"> </w:t>
      </w:r>
      <w:r w:rsidRPr="00246001">
        <w:rPr>
          <w:rFonts w:ascii="Calibri" w:hAnsi="Calibri" w:hint="eastAsia"/>
          <w:rtl/>
          <w:lang w:eastAsia="he-IL"/>
        </w:rPr>
        <w:t>המערער</w:t>
      </w:r>
      <w:r w:rsidRPr="00246001">
        <w:rPr>
          <w:rFonts w:ascii="Calibri" w:hAnsi="Calibri"/>
          <w:rtl/>
          <w:lang w:eastAsia="he-IL"/>
        </w:rPr>
        <w:t xml:space="preserve"> </w:t>
      </w:r>
      <w:r w:rsidRPr="001A21CF">
        <w:rPr>
          <w:rFonts w:ascii="David" w:hAnsi="David"/>
          <w:b/>
          <w:bCs/>
          <w:rtl/>
        </w:rPr>
        <w:t>עונש של מאסר עולם</w:t>
      </w:r>
      <w:r w:rsidRPr="001A21CF">
        <w:rPr>
          <w:rFonts w:ascii="David" w:hAnsi="David"/>
          <w:rtl/>
        </w:rPr>
        <w:t xml:space="preserve">, בגין הרשעתו בעבירה של </w:t>
      </w:r>
      <w:r w:rsidRPr="001A21CF">
        <w:rPr>
          <w:rFonts w:ascii="David" w:hAnsi="David"/>
          <w:u w:val="single"/>
          <w:rtl/>
        </w:rPr>
        <w:t>רצח בכוונה תחילה</w:t>
      </w:r>
      <w:r w:rsidRPr="001A21CF">
        <w:rPr>
          <w:rFonts w:ascii="David" w:hAnsi="David"/>
          <w:b/>
          <w:bCs/>
          <w:rtl/>
        </w:rPr>
        <w:t>;</w:t>
      </w:r>
      <w:r w:rsidRPr="001A21CF">
        <w:rPr>
          <w:rFonts w:ascii="David" w:hAnsi="David"/>
          <w:rtl/>
        </w:rPr>
        <w:t xml:space="preserve"> וכן- </w:t>
      </w:r>
      <w:r w:rsidRPr="001A21CF">
        <w:rPr>
          <w:rFonts w:ascii="David" w:hAnsi="David"/>
          <w:b/>
          <w:bCs/>
          <w:rtl/>
        </w:rPr>
        <w:t xml:space="preserve">עונש של 4 שנות מאסר בפועל אשר ירוצה </w:t>
      </w:r>
      <w:r w:rsidRPr="001A21CF">
        <w:rPr>
          <w:rFonts w:ascii="David" w:hAnsi="David"/>
          <w:b/>
          <w:bCs/>
          <w:u w:val="single"/>
          <w:rtl/>
        </w:rPr>
        <w:t>במצטבר</w:t>
      </w:r>
      <w:r w:rsidRPr="001A21CF">
        <w:rPr>
          <w:rFonts w:ascii="David" w:hAnsi="David"/>
          <w:b/>
          <w:bCs/>
          <w:rtl/>
        </w:rPr>
        <w:t xml:space="preserve"> לעונש מאסר העולם</w:t>
      </w:r>
      <w:r w:rsidRPr="001A21CF">
        <w:rPr>
          <w:rFonts w:ascii="David" w:hAnsi="David"/>
          <w:rtl/>
        </w:rPr>
        <w:t xml:space="preserve">, </w:t>
      </w:r>
      <w:r w:rsidRPr="001A21CF">
        <w:rPr>
          <w:rFonts w:ascii="David" w:hAnsi="David"/>
          <w:b/>
          <w:bCs/>
          <w:rtl/>
        </w:rPr>
        <w:t xml:space="preserve">בגין הרשעותיו </w:t>
      </w:r>
      <w:r w:rsidRPr="001A21CF">
        <w:rPr>
          <w:rFonts w:ascii="David" w:hAnsi="David"/>
          <w:b/>
          <w:bCs/>
          <w:u w:val="single"/>
          <w:rtl/>
        </w:rPr>
        <w:t xml:space="preserve">בשתי </w:t>
      </w:r>
      <w:r w:rsidRPr="001A21CF">
        <w:rPr>
          <w:rFonts w:ascii="David" w:hAnsi="David"/>
          <w:b/>
          <w:bCs/>
          <w:rtl/>
        </w:rPr>
        <w:t xml:space="preserve">עבירות </w:t>
      </w:r>
      <w:r w:rsidRPr="001A21CF">
        <w:rPr>
          <w:rFonts w:ascii="David" w:hAnsi="David"/>
          <w:b/>
          <w:bCs/>
          <w:u w:val="single"/>
          <w:rtl/>
        </w:rPr>
        <w:t>של פציעה בנסיבות מחמירות</w:t>
      </w:r>
      <w:r w:rsidRPr="00246001">
        <w:rPr>
          <w:rFonts w:ascii="Calibri" w:hAnsi="Calibri" w:cs="Arial"/>
          <w:b/>
          <w:bCs/>
          <w:sz w:val="22"/>
          <w:szCs w:val="22"/>
          <w:u w:val="single"/>
          <w:rtl/>
        </w:rPr>
        <w:t xml:space="preserve">, </w:t>
      </w:r>
      <w:r w:rsidRPr="001A21CF">
        <w:rPr>
          <w:rFonts w:ascii="David" w:hAnsi="David"/>
          <w:b/>
          <w:bCs/>
          <w:u w:val="single"/>
          <w:rtl/>
        </w:rPr>
        <w:t xml:space="preserve">לפי </w:t>
      </w:r>
      <w:hyperlink r:id="rId42" w:history="1">
        <w:r w:rsidR="00184AFD" w:rsidRPr="00184AFD">
          <w:rPr>
            <w:rStyle w:val="Hyperlink"/>
            <w:rFonts w:ascii="David" w:hAnsi="David"/>
            <w:b/>
            <w:bCs/>
            <w:color w:val="0000FF"/>
            <w:rtl/>
          </w:rPr>
          <w:t>סעיפים 334</w:t>
        </w:r>
      </w:hyperlink>
      <w:r w:rsidRPr="001A21CF">
        <w:rPr>
          <w:rFonts w:ascii="David" w:hAnsi="David"/>
          <w:b/>
          <w:bCs/>
          <w:u w:val="single"/>
          <w:rtl/>
        </w:rPr>
        <w:t xml:space="preserve"> ו-</w:t>
      </w:r>
      <w:hyperlink r:id="rId43" w:history="1">
        <w:r w:rsidR="00184AFD" w:rsidRPr="00184AFD">
          <w:rPr>
            <w:rStyle w:val="Hyperlink"/>
            <w:rFonts w:ascii="David" w:hAnsi="David"/>
            <w:b/>
            <w:bCs/>
            <w:color w:val="0000FF"/>
            <w:rtl/>
          </w:rPr>
          <w:t>335(א)(1)</w:t>
        </w:r>
      </w:hyperlink>
      <w:r w:rsidRPr="001A21CF">
        <w:rPr>
          <w:rFonts w:ascii="David" w:hAnsi="David"/>
          <w:b/>
          <w:bCs/>
          <w:u w:val="single"/>
          <w:rtl/>
        </w:rPr>
        <w:t xml:space="preserve"> ל</w:t>
      </w:r>
      <w:hyperlink r:id="rId44" w:history="1">
        <w:r w:rsidR="00091471" w:rsidRPr="00091471">
          <w:rPr>
            <w:rFonts w:ascii="David" w:hAnsi="David"/>
            <w:b/>
            <w:bCs/>
            <w:color w:val="0000FF"/>
            <w:u w:val="single"/>
            <w:rtl/>
          </w:rPr>
          <w:t>חוק העונשין</w:t>
        </w:r>
      </w:hyperlink>
      <w:r w:rsidRPr="001A21CF">
        <w:rPr>
          <w:rFonts w:ascii="David" w:hAnsi="David"/>
          <w:b/>
          <w:bCs/>
          <w:rtl/>
        </w:rPr>
        <w:t xml:space="preserve">. </w:t>
      </w:r>
      <w:r w:rsidRPr="001A21CF">
        <w:rPr>
          <w:rFonts w:ascii="David" w:hAnsi="David"/>
          <w:rtl/>
        </w:rPr>
        <w:t>כמו כן, נגזר על המערער עונש של שנתיים מאסר בפועל שירוצה בחופף לעונש מאסר העולם, בגין הרשעתיו בעבירות נשק</w:t>
      </w:r>
      <w:r w:rsidRPr="00246001">
        <w:rPr>
          <w:rFonts w:ascii="Calibri" w:hAnsi="Calibri" w:cs="Arial"/>
          <w:sz w:val="22"/>
          <w:szCs w:val="22"/>
          <w:rtl/>
        </w:rPr>
        <w:t xml:space="preserve"> </w:t>
      </w:r>
      <w:r w:rsidRPr="001A21CF">
        <w:rPr>
          <w:rFonts w:ascii="David" w:hAnsi="David"/>
          <w:rtl/>
        </w:rPr>
        <w:t xml:space="preserve">לפי </w:t>
      </w:r>
      <w:hyperlink r:id="rId45" w:history="1">
        <w:r w:rsidR="00184AFD" w:rsidRPr="00184AFD">
          <w:rPr>
            <w:rStyle w:val="Hyperlink"/>
            <w:rFonts w:ascii="David" w:hAnsi="David"/>
            <w:color w:val="0000FF"/>
            <w:rtl/>
          </w:rPr>
          <w:t>סעיפים 144(א)</w:t>
        </w:r>
      </w:hyperlink>
      <w:r w:rsidRPr="001A21CF">
        <w:rPr>
          <w:rFonts w:ascii="David" w:hAnsi="David"/>
          <w:rtl/>
        </w:rPr>
        <w:t xml:space="preserve"> רישא ו-</w:t>
      </w:r>
      <w:hyperlink r:id="rId46" w:history="1">
        <w:r w:rsidR="00184AFD" w:rsidRPr="00184AFD">
          <w:rPr>
            <w:rStyle w:val="Hyperlink"/>
            <w:rFonts w:ascii="David" w:hAnsi="David"/>
            <w:color w:val="0000FF"/>
            <w:rtl/>
          </w:rPr>
          <w:t>144(ב)</w:t>
        </w:r>
      </w:hyperlink>
      <w:r w:rsidRPr="001A21CF">
        <w:rPr>
          <w:rFonts w:ascii="David" w:hAnsi="David"/>
          <w:rtl/>
        </w:rPr>
        <w:t xml:space="preserve"> רישא ל</w:t>
      </w:r>
      <w:hyperlink r:id="rId47" w:history="1">
        <w:r w:rsidR="00091471" w:rsidRPr="00091471">
          <w:rPr>
            <w:rFonts w:ascii="David" w:hAnsi="David"/>
            <w:color w:val="0000FF"/>
            <w:u w:val="single"/>
            <w:rtl/>
          </w:rPr>
          <w:t>חוק העונשין</w:t>
        </w:r>
      </w:hyperlink>
      <w:r w:rsidRPr="001A21CF">
        <w:rPr>
          <w:rFonts w:ascii="David" w:hAnsi="David"/>
          <w:rtl/>
        </w:rPr>
        <w:t>.</w:t>
      </w:r>
      <w:r w:rsidRPr="001A21CF">
        <w:rPr>
          <w:rFonts w:ascii="David" w:hAnsi="David"/>
          <w:b/>
          <w:bCs/>
          <w:rtl/>
        </w:rPr>
        <w:t xml:space="preserve"> </w:t>
      </w:r>
      <w:r w:rsidRPr="001A21CF">
        <w:rPr>
          <w:rFonts w:ascii="David" w:hAnsi="David"/>
          <w:rtl/>
        </w:rPr>
        <w:t>עובדות מקרה זה לימדו, כי</w:t>
      </w:r>
      <w:r w:rsidRPr="001A21CF">
        <w:rPr>
          <w:rFonts w:ascii="David" w:hAnsi="David"/>
          <w:b/>
          <w:bCs/>
          <w:rtl/>
        </w:rPr>
        <w:t xml:space="preserve"> </w:t>
      </w:r>
      <w:r w:rsidRPr="001A21CF">
        <w:rPr>
          <w:rFonts w:ascii="David" w:hAnsi="David"/>
          <w:rtl/>
        </w:rPr>
        <w:t>בעת הירי עמדו מאחורי המנוח שניים נוספים, אשר נפגעו גם הם כתוצאה מהירי. לאחד, חדר קליע לדופן הבטן והוא אושפז למשך יומיים; ולשני נגרמו פצעי ירי בעכוז</w:t>
      </w:r>
      <w:r w:rsidRPr="001A21CF">
        <w:rPr>
          <w:rFonts w:ascii="David" w:hAnsi="David"/>
          <w:b/>
          <w:bCs/>
          <w:rtl/>
        </w:rPr>
        <w:t xml:space="preserve"> </w:t>
      </w:r>
      <w:r w:rsidRPr="001A21CF">
        <w:rPr>
          <w:rFonts w:ascii="David" w:hAnsi="David"/>
          <w:rtl/>
        </w:rPr>
        <w:t xml:space="preserve">(ראו בנוסף: </w:t>
      </w:r>
      <w:hyperlink r:id="rId48" w:history="1">
        <w:r w:rsidR="00091471" w:rsidRPr="00091471">
          <w:rPr>
            <w:rFonts w:ascii="David" w:hAnsi="David"/>
            <w:color w:val="0000FF"/>
            <w:u w:val="single"/>
            <w:rtl/>
          </w:rPr>
          <w:t>ע"פ 7707/11</w:t>
        </w:r>
      </w:hyperlink>
      <w:r w:rsidRPr="001A21CF">
        <w:rPr>
          <w:rFonts w:ascii="David" w:hAnsi="David"/>
          <w:rtl/>
        </w:rPr>
        <w:t xml:space="preserve"> </w:t>
      </w:r>
      <w:r w:rsidRPr="001A21CF">
        <w:rPr>
          <w:rFonts w:ascii="David" w:hAnsi="David"/>
          <w:b/>
          <w:bCs/>
          <w:rtl/>
        </w:rPr>
        <w:t>לחאם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ניתן ביום 29.7.15).</w:t>
      </w:r>
    </w:p>
    <w:p w14:paraId="21385021" w14:textId="77777777" w:rsidR="00246001" w:rsidRPr="00246001" w:rsidRDefault="00246001" w:rsidP="00246001">
      <w:pPr>
        <w:spacing w:after="160" w:line="360" w:lineRule="auto"/>
        <w:jc w:val="both"/>
        <w:rPr>
          <w:rFonts w:ascii="Calibri" w:hAnsi="Calibri"/>
          <w:rtl/>
        </w:rPr>
      </w:pPr>
      <w:r w:rsidRPr="00246001">
        <w:rPr>
          <w:rFonts w:ascii="Calibri" w:hAnsi="Calibri" w:hint="eastAsia"/>
          <w:b/>
          <w:bCs/>
          <w:rtl/>
        </w:rPr>
        <w:t>כך</w:t>
      </w:r>
      <w:r w:rsidRPr="00246001">
        <w:rPr>
          <w:rFonts w:ascii="Calibri" w:hAnsi="Calibri"/>
          <w:b/>
          <w:bCs/>
          <w:rtl/>
        </w:rPr>
        <w:t xml:space="preserve"> </w:t>
      </w:r>
      <w:r w:rsidRPr="00246001">
        <w:rPr>
          <w:rFonts w:ascii="Calibri" w:hAnsi="Calibri" w:hint="eastAsia"/>
          <w:b/>
          <w:bCs/>
          <w:rtl/>
        </w:rPr>
        <w:t>או</w:t>
      </w:r>
      <w:r w:rsidRPr="00246001">
        <w:rPr>
          <w:rFonts w:ascii="Calibri" w:hAnsi="Calibri"/>
          <w:b/>
          <w:bCs/>
          <w:rtl/>
        </w:rPr>
        <w:t xml:space="preserve"> </w:t>
      </w:r>
      <w:r w:rsidRPr="00246001">
        <w:rPr>
          <w:rFonts w:ascii="Calibri" w:hAnsi="Calibri" w:hint="eastAsia"/>
          <w:b/>
          <w:bCs/>
          <w:rtl/>
        </w:rPr>
        <w:t>כך</w:t>
      </w:r>
      <w:r w:rsidRPr="00246001">
        <w:rPr>
          <w:rFonts w:ascii="Calibri" w:hAnsi="Calibri"/>
          <w:b/>
          <w:bCs/>
          <w:rtl/>
        </w:rPr>
        <w:t xml:space="preserve">, </w:t>
      </w:r>
      <w:r w:rsidRPr="00246001">
        <w:rPr>
          <w:rFonts w:ascii="Calibri" w:hAnsi="Calibri" w:hint="eastAsia"/>
          <w:b/>
          <w:bCs/>
          <w:rtl/>
        </w:rPr>
        <w:t>התוצאה</w:t>
      </w:r>
      <w:r w:rsidRPr="00246001">
        <w:rPr>
          <w:rFonts w:ascii="Calibri" w:hAnsi="Calibri"/>
          <w:b/>
          <w:bCs/>
          <w:rtl/>
        </w:rPr>
        <w:t xml:space="preserve"> </w:t>
      </w:r>
      <w:r w:rsidRPr="00246001">
        <w:rPr>
          <w:rFonts w:ascii="Calibri" w:hAnsi="Calibri" w:hint="eastAsia"/>
          <w:b/>
          <w:bCs/>
          <w:rtl/>
        </w:rPr>
        <w:t>הסופית</w:t>
      </w:r>
      <w:r w:rsidRPr="00246001">
        <w:rPr>
          <w:rFonts w:ascii="Calibri" w:hAnsi="Calibri"/>
          <w:b/>
          <w:bCs/>
          <w:rtl/>
        </w:rPr>
        <w:t xml:space="preserve"> </w:t>
      </w:r>
      <w:r w:rsidRPr="00246001">
        <w:rPr>
          <w:rFonts w:ascii="Calibri" w:hAnsi="Calibri" w:hint="eastAsia"/>
          <w:b/>
          <w:bCs/>
          <w:rtl/>
        </w:rPr>
        <w:t>תהא</w:t>
      </w:r>
      <w:r w:rsidRPr="00246001">
        <w:rPr>
          <w:rFonts w:ascii="Calibri" w:hAnsi="Calibri"/>
          <w:b/>
          <w:bCs/>
          <w:rtl/>
        </w:rPr>
        <w:t xml:space="preserve"> </w:t>
      </w:r>
      <w:r w:rsidRPr="00246001">
        <w:rPr>
          <w:rFonts w:ascii="Calibri" w:hAnsi="Calibri" w:hint="eastAsia"/>
          <w:b/>
          <w:bCs/>
          <w:rtl/>
        </w:rPr>
        <w:t>זהה</w:t>
      </w:r>
      <w:r w:rsidRPr="00246001">
        <w:rPr>
          <w:rFonts w:ascii="Calibri" w:hAnsi="Calibri"/>
          <w:b/>
          <w:bCs/>
          <w:rtl/>
        </w:rPr>
        <w:t xml:space="preserve">. </w:t>
      </w:r>
      <w:r w:rsidRPr="00246001">
        <w:rPr>
          <w:rFonts w:ascii="Calibri" w:hAnsi="Calibri" w:hint="eastAsia"/>
          <w:rtl/>
        </w:rPr>
        <w:t>עם</w:t>
      </w:r>
      <w:r w:rsidRPr="00246001">
        <w:rPr>
          <w:rFonts w:ascii="Calibri" w:hAnsi="Calibri"/>
          <w:rtl/>
        </w:rPr>
        <w:t xml:space="preserve"> </w:t>
      </w:r>
      <w:r w:rsidRPr="00246001">
        <w:rPr>
          <w:rFonts w:ascii="Calibri" w:hAnsi="Calibri" w:hint="eastAsia"/>
          <w:rtl/>
        </w:rPr>
        <w:t>זאת</w:t>
      </w:r>
      <w:r w:rsidRPr="00246001">
        <w:rPr>
          <w:rFonts w:ascii="Calibri" w:hAnsi="Calibri"/>
          <w:rtl/>
        </w:rPr>
        <w:t xml:space="preserve">, </w:t>
      </w:r>
      <w:r w:rsidRPr="00246001">
        <w:rPr>
          <w:rFonts w:ascii="Calibri" w:hAnsi="Calibri" w:hint="eastAsia"/>
          <w:rtl/>
        </w:rPr>
        <w:t>כאמור</w:t>
      </w:r>
      <w:r w:rsidRPr="00246001">
        <w:rPr>
          <w:rFonts w:ascii="Calibri" w:hAnsi="Calibri"/>
          <w:rtl/>
        </w:rPr>
        <w:t xml:space="preserve"> </w:t>
      </w:r>
      <w:r w:rsidRPr="00246001">
        <w:rPr>
          <w:rFonts w:ascii="Calibri" w:hAnsi="Calibri" w:hint="eastAsia"/>
          <w:rtl/>
        </w:rPr>
        <w:t>לעיל</w:t>
      </w:r>
      <w:r w:rsidRPr="00246001">
        <w:rPr>
          <w:rFonts w:ascii="Calibri" w:hAnsi="Calibri"/>
          <w:rtl/>
        </w:rPr>
        <w:t xml:space="preserve">, </w:t>
      </w:r>
      <w:r w:rsidRPr="00246001">
        <w:rPr>
          <w:rFonts w:ascii="Calibri" w:hAnsi="Calibri" w:hint="eastAsia"/>
          <w:rtl/>
        </w:rPr>
        <w:t>בחירתנו</w:t>
      </w:r>
      <w:r w:rsidRPr="00246001">
        <w:rPr>
          <w:rFonts w:ascii="Calibri" w:hAnsi="Calibri"/>
          <w:rtl/>
        </w:rPr>
        <w:t xml:space="preserve"> </w:t>
      </w:r>
      <w:r w:rsidRPr="00246001">
        <w:rPr>
          <w:rFonts w:ascii="Calibri" w:hAnsi="Calibri" w:hint="eastAsia"/>
          <w:rtl/>
        </w:rPr>
        <w:t>להשקיף</w:t>
      </w:r>
      <w:r w:rsidRPr="00246001">
        <w:rPr>
          <w:rFonts w:ascii="Calibri" w:hAnsi="Calibri"/>
          <w:rtl/>
        </w:rPr>
        <w:t xml:space="preserve"> </w:t>
      </w:r>
      <w:r w:rsidRPr="00246001">
        <w:rPr>
          <w:rFonts w:ascii="Calibri" w:hAnsi="Calibri" w:hint="eastAsia"/>
          <w:rtl/>
        </w:rPr>
        <w:t>על</w:t>
      </w:r>
      <w:r w:rsidRPr="00246001">
        <w:rPr>
          <w:rFonts w:ascii="Calibri" w:hAnsi="Calibri"/>
          <w:rtl/>
        </w:rPr>
        <w:t xml:space="preserve"> </w:t>
      </w:r>
      <w:r w:rsidRPr="00246001">
        <w:rPr>
          <w:rFonts w:ascii="Calibri" w:hAnsi="Calibri" w:hint="eastAsia"/>
          <w:rtl/>
        </w:rPr>
        <w:t>העבירות</w:t>
      </w:r>
      <w:r w:rsidRPr="00246001">
        <w:rPr>
          <w:rFonts w:ascii="Calibri" w:hAnsi="Calibri"/>
          <w:rtl/>
        </w:rPr>
        <w:t xml:space="preserve"> </w:t>
      </w:r>
      <w:r w:rsidRPr="00246001">
        <w:rPr>
          <w:rFonts w:ascii="Calibri" w:hAnsi="Calibri" w:hint="eastAsia"/>
          <w:rtl/>
        </w:rPr>
        <w:t>הנלוות</w:t>
      </w:r>
      <w:r w:rsidRPr="00246001">
        <w:rPr>
          <w:rFonts w:ascii="Calibri" w:hAnsi="Calibri"/>
          <w:rtl/>
        </w:rPr>
        <w:t xml:space="preserve"> </w:t>
      </w:r>
      <w:r w:rsidRPr="00246001">
        <w:rPr>
          <w:rFonts w:ascii="Calibri" w:hAnsi="Calibri" w:hint="eastAsia"/>
          <w:rtl/>
        </w:rPr>
        <w:t>כאירוע</w:t>
      </w:r>
      <w:r w:rsidRPr="00246001">
        <w:rPr>
          <w:rFonts w:ascii="Calibri" w:hAnsi="Calibri"/>
          <w:rtl/>
        </w:rPr>
        <w:t xml:space="preserve"> </w:t>
      </w:r>
      <w:r w:rsidRPr="00246001">
        <w:rPr>
          <w:rFonts w:ascii="Calibri" w:hAnsi="Calibri" w:hint="eastAsia"/>
          <w:rtl/>
        </w:rPr>
        <w:t>המובחן</w:t>
      </w:r>
      <w:r w:rsidRPr="00246001">
        <w:rPr>
          <w:rFonts w:ascii="Calibri" w:hAnsi="Calibri"/>
          <w:rtl/>
        </w:rPr>
        <w:t xml:space="preserve"> </w:t>
      </w:r>
      <w:r w:rsidRPr="00246001">
        <w:rPr>
          <w:rFonts w:ascii="Calibri" w:hAnsi="Calibri" w:hint="eastAsia"/>
          <w:rtl/>
        </w:rPr>
        <w:t>מעבירת</w:t>
      </w:r>
      <w:r w:rsidRPr="00246001">
        <w:rPr>
          <w:rFonts w:ascii="Calibri" w:hAnsi="Calibri"/>
          <w:rtl/>
        </w:rPr>
        <w:t xml:space="preserve"> </w:t>
      </w:r>
      <w:r w:rsidRPr="00246001">
        <w:rPr>
          <w:rFonts w:ascii="Calibri" w:hAnsi="Calibri" w:hint="eastAsia"/>
          <w:rtl/>
        </w:rPr>
        <w:t>הרצח</w:t>
      </w:r>
      <w:r w:rsidRPr="00246001">
        <w:rPr>
          <w:rFonts w:ascii="Calibri" w:hAnsi="Calibri"/>
          <w:rtl/>
        </w:rPr>
        <w:t xml:space="preserve"> (</w:t>
      </w:r>
      <w:r w:rsidRPr="00246001">
        <w:rPr>
          <w:rFonts w:ascii="Calibri" w:hAnsi="Calibri" w:hint="eastAsia"/>
          <w:rtl/>
        </w:rPr>
        <w:t>שלצדה</w:t>
      </w:r>
      <w:r w:rsidRPr="00246001">
        <w:rPr>
          <w:rFonts w:ascii="Calibri" w:hAnsi="Calibri"/>
          <w:rtl/>
        </w:rPr>
        <w:t xml:space="preserve"> </w:t>
      </w:r>
      <w:r w:rsidRPr="00246001">
        <w:rPr>
          <w:rFonts w:ascii="Calibri" w:hAnsi="Calibri" w:hint="eastAsia"/>
          <w:rtl/>
        </w:rPr>
        <w:t>קבוע</w:t>
      </w:r>
      <w:r w:rsidRPr="00246001">
        <w:rPr>
          <w:rFonts w:ascii="Calibri" w:hAnsi="Calibri"/>
          <w:rtl/>
        </w:rPr>
        <w:t xml:space="preserve"> </w:t>
      </w:r>
      <w:r w:rsidRPr="00246001">
        <w:rPr>
          <w:rFonts w:ascii="Calibri" w:hAnsi="Calibri" w:hint="eastAsia"/>
          <w:rtl/>
        </w:rPr>
        <w:t>עונש</w:t>
      </w:r>
      <w:r w:rsidRPr="00246001">
        <w:rPr>
          <w:rFonts w:ascii="Calibri" w:hAnsi="Calibri"/>
          <w:rtl/>
        </w:rPr>
        <w:t xml:space="preserve"> </w:t>
      </w:r>
      <w:r w:rsidRPr="00246001">
        <w:rPr>
          <w:rFonts w:ascii="Calibri" w:hAnsi="Calibri" w:hint="eastAsia"/>
          <w:rtl/>
        </w:rPr>
        <w:t>מאסר</w:t>
      </w:r>
      <w:r w:rsidRPr="00246001">
        <w:rPr>
          <w:rFonts w:ascii="Calibri" w:hAnsi="Calibri"/>
          <w:rtl/>
        </w:rPr>
        <w:t xml:space="preserve"> </w:t>
      </w:r>
      <w:r w:rsidRPr="00246001">
        <w:rPr>
          <w:rFonts w:ascii="Calibri" w:hAnsi="Calibri" w:hint="eastAsia"/>
          <w:rtl/>
        </w:rPr>
        <w:t>עולם</w:t>
      </w:r>
      <w:r w:rsidRPr="00246001">
        <w:rPr>
          <w:rFonts w:ascii="Calibri" w:hAnsi="Calibri"/>
          <w:rtl/>
        </w:rPr>
        <w:t xml:space="preserve"> </w:t>
      </w:r>
      <w:r w:rsidRPr="00246001">
        <w:rPr>
          <w:rFonts w:ascii="Calibri" w:hAnsi="Calibri" w:hint="eastAsia"/>
          <w:rtl/>
        </w:rPr>
        <w:t>חובה</w:t>
      </w:r>
      <w:r w:rsidRPr="00246001">
        <w:rPr>
          <w:rFonts w:ascii="Calibri" w:hAnsi="Calibri"/>
          <w:rtl/>
        </w:rPr>
        <w:t xml:space="preserve">) </w:t>
      </w:r>
      <w:r w:rsidRPr="00246001">
        <w:rPr>
          <w:rFonts w:ascii="Calibri" w:hAnsi="Calibri" w:hint="eastAsia"/>
          <w:rtl/>
        </w:rPr>
        <w:t>מאפשרת</w:t>
      </w:r>
      <w:r w:rsidRPr="00246001">
        <w:rPr>
          <w:rFonts w:ascii="Calibri" w:hAnsi="Calibri"/>
          <w:rtl/>
        </w:rPr>
        <w:t xml:space="preserve"> </w:t>
      </w:r>
      <w:r w:rsidRPr="00246001">
        <w:rPr>
          <w:rFonts w:ascii="Calibri" w:hAnsi="Calibri" w:hint="eastAsia"/>
          <w:rtl/>
        </w:rPr>
        <w:t>לנו</w:t>
      </w:r>
      <w:r w:rsidRPr="00246001">
        <w:rPr>
          <w:rFonts w:ascii="Calibri" w:hAnsi="Calibri"/>
          <w:rtl/>
        </w:rPr>
        <w:t xml:space="preserve"> (</w:t>
      </w:r>
      <w:r w:rsidRPr="00246001">
        <w:rPr>
          <w:rFonts w:ascii="Calibri" w:hAnsi="Calibri" w:hint="eastAsia"/>
          <w:rtl/>
        </w:rPr>
        <w:t>לבית</w:t>
      </w:r>
      <w:r w:rsidRPr="00246001">
        <w:rPr>
          <w:rFonts w:ascii="Calibri" w:hAnsi="Calibri"/>
          <w:rtl/>
        </w:rPr>
        <w:t xml:space="preserve"> </w:t>
      </w:r>
      <w:r w:rsidRPr="00246001">
        <w:rPr>
          <w:rFonts w:ascii="Calibri" w:hAnsi="Calibri" w:hint="eastAsia"/>
          <w:rtl/>
        </w:rPr>
        <w:t>המשפט</w:t>
      </w:r>
      <w:r w:rsidRPr="00246001">
        <w:rPr>
          <w:rFonts w:ascii="Calibri" w:hAnsi="Calibri"/>
          <w:rtl/>
        </w:rPr>
        <w:t xml:space="preserve">) </w:t>
      </w:r>
      <w:r w:rsidRPr="00246001">
        <w:rPr>
          <w:rFonts w:ascii="Calibri" w:hAnsi="Calibri" w:hint="eastAsia"/>
          <w:rtl/>
        </w:rPr>
        <w:t>להפעיל</w:t>
      </w:r>
      <w:r w:rsidRPr="00246001">
        <w:rPr>
          <w:rFonts w:ascii="Calibri" w:hAnsi="Calibri"/>
          <w:rtl/>
        </w:rPr>
        <w:t xml:space="preserve"> </w:t>
      </w:r>
      <w:r w:rsidRPr="00246001">
        <w:rPr>
          <w:rFonts w:ascii="Calibri" w:hAnsi="Calibri" w:hint="eastAsia"/>
          <w:rtl/>
        </w:rPr>
        <w:t>כלים</w:t>
      </w:r>
      <w:r w:rsidRPr="00246001">
        <w:rPr>
          <w:rFonts w:ascii="Calibri" w:hAnsi="Calibri"/>
          <w:rtl/>
        </w:rPr>
        <w:t xml:space="preserve"> </w:t>
      </w:r>
      <w:r w:rsidRPr="00246001">
        <w:rPr>
          <w:rFonts w:ascii="Calibri" w:hAnsi="Calibri" w:hint="eastAsia"/>
          <w:rtl/>
        </w:rPr>
        <w:t>נוספים</w:t>
      </w:r>
      <w:r w:rsidRPr="00246001">
        <w:rPr>
          <w:rFonts w:ascii="Calibri" w:hAnsi="Calibri"/>
          <w:rtl/>
        </w:rPr>
        <w:t xml:space="preserve"> </w:t>
      </w:r>
      <w:r w:rsidRPr="00246001">
        <w:rPr>
          <w:rFonts w:ascii="Calibri" w:hAnsi="Calibri" w:hint="eastAsia"/>
          <w:rtl/>
        </w:rPr>
        <w:t>השייכים</w:t>
      </w:r>
      <w:r w:rsidRPr="00246001">
        <w:rPr>
          <w:rFonts w:ascii="Calibri" w:hAnsi="Calibri"/>
          <w:rtl/>
        </w:rPr>
        <w:t xml:space="preserve"> "</w:t>
      </w:r>
      <w:r w:rsidRPr="00246001">
        <w:rPr>
          <w:rFonts w:ascii="Calibri" w:hAnsi="Calibri" w:hint="eastAsia"/>
          <w:rtl/>
        </w:rPr>
        <w:t>לעולם</w:t>
      </w:r>
      <w:r w:rsidRPr="00246001">
        <w:rPr>
          <w:rFonts w:ascii="Calibri" w:hAnsi="Calibri"/>
          <w:rtl/>
        </w:rPr>
        <w:t xml:space="preserve"> </w:t>
      </w:r>
      <w:r w:rsidRPr="00246001">
        <w:rPr>
          <w:rFonts w:ascii="Calibri" w:hAnsi="Calibri" w:hint="eastAsia"/>
          <w:rtl/>
        </w:rPr>
        <w:t>הבניית</w:t>
      </w:r>
      <w:r w:rsidRPr="00246001">
        <w:rPr>
          <w:rFonts w:ascii="Calibri" w:hAnsi="Calibri"/>
          <w:rtl/>
        </w:rPr>
        <w:t xml:space="preserve"> </w:t>
      </w:r>
      <w:r w:rsidRPr="00246001">
        <w:rPr>
          <w:rFonts w:ascii="Calibri" w:hAnsi="Calibri" w:hint="eastAsia"/>
          <w:rtl/>
        </w:rPr>
        <w:t>שיקול</w:t>
      </w:r>
      <w:r w:rsidRPr="00246001">
        <w:rPr>
          <w:rFonts w:ascii="Calibri" w:hAnsi="Calibri"/>
          <w:rtl/>
        </w:rPr>
        <w:t xml:space="preserve"> </w:t>
      </w:r>
      <w:r w:rsidRPr="00246001">
        <w:rPr>
          <w:rFonts w:ascii="Calibri" w:hAnsi="Calibri" w:hint="eastAsia"/>
          <w:rtl/>
        </w:rPr>
        <w:t>הדעת</w:t>
      </w:r>
      <w:r w:rsidRPr="00246001">
        <w:rPr>
          <w:rFonts w:ascii="Calibri" w:hAnsi="Calibri"/>
          <w:rtl/>
        </w:rPr>
        <w:t xml:space="preserve"> </w:t>
      </w:r>
      <w:r w:rsidRPr="00246001">
        <w:rPr>
          <w:rFonts w:ascii="Calibri" w:hAnsi="Calibri" w:hint="eastAsia"/>
          <w:rtl/>
        </w:rPr>
        <w:t>הענישה</w:t>
      </w:r>
      <w:r w:rsidRPr="00246001">
        <w:rPr>
          <w:rFonts w:ascii="Calibri" w:hAnsi="Calibri"/>
          <w:rtl/>
        </w:rPr>
        <w:t xml:space="preserve">". </w:t>
      </w:r>
      <w:r w:rsidRPr="00246001">
        <w:rPr>
          <w:rFonts w:ascii="Calibri" w:hAnsi="Calibri" w:hint="eastAsia"/>
          <w:rtl/>
        </w:rPr>
        <w:t>כך</w:t>
      </w:r>
      <w:r w:rsidRPr="00246001">
        <w:rPr>
          <w:rFonts w:ascii="Calibri" w:hAnsi="Calibri"/>
          <w:rtl/>
        </w:rPr>
        <w:t xml:space="preserve"> </w:t>
      </w:r>
      <w:r w:rsidRPr="00246001">
        <w:rPr>
          <w:rFonts w:ascii="Calibri" w:hAnsi="Calibri" w:hint="eastAsia"/>
          <w:rtl/>
        </w:rPr>
        <w:t>לדוגמא</w:t>
      </w:r>
      <w:r w:rsidRPr="00246001">
        <w:rPr>
          <w:rFonts w:ascii="Calibri" w:hAnsi="Calibri"/>
          <w:rtl/>
        </w:rPr>
        <w:t xml:space="preserve">, </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יהיה</w:t>
      </w:r>
      <w:r w:rsidRPr="00246001">
        <w:rPr>
          <w:rFonts w:ascii="Calibri" w:hAnsi="Calibri"/>
          <w:rtl/>
        </w:rPr>
        <w:t xml:space="preserve"> </w:t>
      </w:r>
      <w:r w:rsidRPr="00246001">
        <w:rPr>
          <w:rFonts w:ascii="Calibri" w:hAnsi="Calibri" w:hint="eastAsia"/>
          <w:rtl/>
        </w:rPr>
        <w:t>במקרה</w:t>
      </w:r>
      <w:r w:rsidRPr="00246001">
        <w:rPr>
          <w:rFonts w:ascii="Calibri" w:hAnsi="Calibri"/>
          <w:rtl/>
        </w:rPr>
        <w:t xml:space="preserve"> </w:t>
      </w:r>
      <w:r w:rsidRPr="00246001">
        <w:rPr>
          <w:rFonts w:ascii="Calibri" w:hAnsi="Calibri" w:hint="eastAsia"/>
          <w:rtl/>
        </w:rPr>
        <w:t>זה</w:t>
      </w:r>
      <w:r w:rsidRPr="00246001">
        <w:rPr>
          <w:rFonts w:ascii="Calibri" w:hAnsi="Calibri"/>
          <w:rtl/>
        </w:rPr>
        <w:t xml:space="preserve"> </w:t>
      </w:r>
      <w:r w:rsidRPr="00246001">
        <w:rPr>
          <w:rFonts w:ascii="Calibri" w:hAnsi="Calibri" w:hint="eastAsia"/>
          <w:rtl/>
        </w:rPr>
        <w:t>לקבוע</w:t>
      </w:r>
      <w:r w:rsidRPr="00246001">
        <w:rPr>
          <w:rFonts w:ascii="Calibri" w:hAnsi="Calibri"/>
          <w:rtl/>
        </w:rPr>
        <w:t xml:space="preserve"> </w:t>
      </w:r>
      <w:r w:rsidRPr="00246001">
        <w:rPr>
          <w:rFonts w:ascii="Calibri" w:hAnsi="Calibri" w:hint="eastAsia"/>
          <w:rtl/>
        </w:rPr>
        <w:t>מתחם</w:t>
      </w:r>
      <w:r w:rsidRPr="00246001">
        <w:rPr>
          <w:rFonts w:ascii="Calibri" w:hAnsi="Calibri"/>
          <w:rtl/>
        </w:rPr>
        <w:t xml:space="preserve"> </w:t>
      </w:r>
      <w:r w:rsidRPr="00246001">
        <w:rPr>
          <w:rFonts w:ascii="Calibri" w:hAnsi="Calibri" w:hint="eastAsia"/>
          <w:rtl/>
        </w:rPr>
        <w:t>עונש</w:t>
      </w:r>
      <w:r w:rsidRPr="00246001">
        <w:rPr>
          <w:rFonts w:ascii="Calibri" w:hAnsi="Calibri"/>
          <w:rtl/>
        </w:rPr>
        <w:t xml:space="preserve"> </w:t>
      </w:r>
      <w:r w:rsidRPr="00246001">
        <w:rPr>
          <w:rFonts w:ascii="Calibri" w:hAnsi="Calibri" w:hint="eastAsia"/>
          <w:rtl/>
        </w:rPr>
        <w:t>הולם</w:t>
      </w:r>
      <w:r w:rsidRPr="00246001">
        <w:rPr>
          <w:rFonts w:ascii="Calibri" w:hAnsi="Calibri"/>
          <w:rtl/>
        </w:rPr>
        <w:t xml:space="preserve"> </w:t>
      </w:r>
      <w:r w:rsidRPr="00246001">
        <w:rPr>
          <w:rFonts w:ascii="Calibri" w:hAnsi="Calibri" w:hint="eastAsia"/>
          <w:u w:val="single"/>
          <w:rtl/>
        </w:rPr>
        <w:t>נפרד</w:t>
      </w:r>
      <w:r w:rsidRPr="00246001">
        <w:rPr>
          <w:rFonts w:ascii="Calibri" w:hAnsi="Calibri"/>
          <w:u w:val="single"/>
          <w:rtl/>
        </w:rPr>
        <w:t xml:space="preserve"> </w:t>
      </w:r>
      <w:r w:rsidRPr="00246001">
        <w:rPr>
          <w:rFonts w:ascii="Calibri" w:hAnsi="Calibri" w:hint="eastAsia"/>
          <w:rtl/>
        </w:rPr>
        <w:t>לעבירות</w:t>
      </w:r>
      <w:r w:rsidRPr="00246001">
        <w:rPr>
          <w:rFonts w:ascii="Calibri" w:hAnsi="Calibri"/>
          <w:rtl/>
        </w:rPr>
        <w:t xml:space="preserve"> </w:t>
      </w:r>
      <w:r w:rsidRPr="00246001">
        <w:rPr>
          <w:rFonts w:ascii="Calibri" w:hAnsi="Calibri" w:hint="eastAsia"/>
          <w:rtl/>
        </w:rPr>
        <w:t>השונות</w:t>
      </w:r>
      <w:r w:rsidRPr="00246001">
        <w:rPr>
          <w:rFonts w:ascii="Calibri" w:hAnsi="Calibri"/>
          <w:rtl/>
        </w:rPr>
        <w:t>, "</w:t>
      </w:r>
      <w:r w:rsidRPr="00246001">
        <w:rPr>
          <w:rFonts w:ascii="Calibri" w:hAnsi="Calibri" w:hint="eastAsia"/>
          <w:rtl/>
        </w:rPr>
        <w:t>המנותק</w:t>
      </w:r>
      <w:r w:rsidRPr="00246001">
        <w:rPr>
          <w:rFonts w:ascii="Calibri" w:hAnsi="Calibri"/>
          <w:rtl/>
        </w:rPr>
        <w:t xml:space="preserve">" </w:t>
      </w:r>
      <w:r w:rsidRPr="00246001">
        <w:rPr>
          <w:rFonts w:ascii="Calibri" w:hAnsi="Calibri" w:hint="eastAsia"/>
          <w:rtl/>
        </w:rPr>
        <w:t>מהרף</w:t>
      </w:r>
      <w:r w:rsidRPr="00246001">
        <w:rPr>
          <w:rFonts w:ascii="Calibri" w:hAnsi="Calibri"/>
          <w:rtl/>
        </w:rPr>
        <w:t xml:space="preserve"> </w:t>
      </w:r>
      <w:r w:rsidRPr="00246001">
        <w:rPr>
          <w:rFonts w:ascii="Calibri" w:hAnsi="Calibri" w:hint="eastAsia"/>
          <w:rtl/>
        </w:rPr>
        <w:t>העליון</w:t>
      </w:r>
      <w:r w:rsidRPr="00246001">
        <w:rPr>
          <w:rFonts w:ascii="Calibri" w:hAnsi="Calibri"/>
          <w:rtl/>
        </w:rPr>
        <w:t xml:space="preserve"> (</w:t>
      </w:r>
      <w:r w:rsidRPr="00246001">
        <w:rPr>
          <w:rFonts w:ascii="Calibri" w:hAnsi="Calibri" w:hint="eastAsia"/>
          <w:rtl/>
        </w:rPr>
        <w:t>והבלעדי</w:t>
      </w:r>
      <w:r w:rsidRPr="00246001">
        <w:rPr>
          <w:rFonts w:ascii="Calibri" w:hAnsi="Calibri"/>
          <w:rtl/>
        </w:rPr>
        <w:t xml:space="preserve">) </w:t>
      </w:r>
      <w:r w:rsidRPr="00246001">
        <w:rPr>
          <w:rFonts w:ascii="Calibri" w:hAnsi="Calibri" w:hint="eastAsia"/>
          <w:rtl/>
        </w:rPr>
        <w:t>במקרה</w:t>
      </w:r>
      <w:r w:rsidRPr="00246001">
        <w:rPr>
          <w:rFonts w:ascii="Calibri" w:hAnsi="Calibri"/>
          <w:rtl/>
        </w:rPr>
        <w:t xml:space="preserve"> </w:t>
      </w:r>
      <w:r w:rsidRPr="00246001">
        <w:rPr>
          <w:rFonts w:ascii="Calibri" w:hAnsi="Calibri" w:hint="eastAsia"/>
          <w:rtl/>
        </w:rPr>
        <w:t>דנן</w:t>
      </w:r>
      <w:r w:rsidRPr="00246001">
        <w:rPr>
          <w:rFonts w:ascii="Calibri" w:hAnsi="Calibri"/>
          <w:rtl/>
        </w:rPr>
        <w:t xml:space="preserve"> - "</w:t>
      </w:r>
      <w:r w:rsidRPr="00246001">
        <w:rPr>
          <w:rFonts w:ascii="Calibri" w:hAnsi="Calibri" w:hint="eastAsia"/>
          <w:rtl/>
        </w:rPr>
        <w:t>מאסר</w:t>
      </w:r>
      <w:r w:rsidRPr="00246001">
        <w:rPr>
          <w:rFonts w:ascii="Calibri" w:hAnsi="Calibri"/>
          <w:rtl/>
        </w:rPr>
        <w:t xml:space="preserve"> </w:t>
      </w:r>
      <w:r w:rsidRPr="00246001">
        <w:rPr>
          <w:rFonts w:ascii="Calibri" w:hAnsi="Calibri" w:hint="eastAsia"/>
          <w:rtl/>
        </w:rPr>
        <w:t>עולם</w:t>
      </w:r>
      <w:r w:rsidRPr="00246001">
        <w:rPr>
          <w:rFonts w:ascii="Calibri" w:hAnsi="Calibri"/>
          <w:rtl/>
        </w:rPr>
        <w:t xml:space="preserve">".  </w:t>
      </w:r>
      <w:r w:rsidRPr="00246001">
        <w:rPr>
          <w:rFonts w:ascii="Calibri" w:hAnsi="Calibri" w:hint="eastAsia"/>
          <w:rtl/>
        </w:rPr>
        <w:t>ודוק</w:t>
      </w:r>
      <w:r w:rsidRPr="00246001">
        <w:rPr>
          <w:rFonts w:ascii="Calibri" w:hAnsi="Calibri"/>
          <w:rtl/>
        </w:rPr>
        <w:t xml:space="preserve">, </w:t>
      </w:r>
      <w:r w:rsidRPr="00246001">
        <w:rPr>
          <w:rFonts w:ascii="Calibri" w:hAnsi="Calibri" w:hint="eastAsia"/>
          <w:rtl/>
        </w:rPr>
        <w:t>קביעת</w:t>
      </w:r>
      <w:r w:rsidRPr="00246001">
        <w:rPr>
          <w:rFonts w:ascii="Calibri" w:hAnsi="Calibri"/>
          <w:rtl/>
        </w:rPr>
        <w:t xml:space="preserve"> </w:t>
      </w:r>
      <w:r w:rsidRPr="00246001">
        <w:rPr>
          <w:rFonts w:ascii="Calibri" w:hAnsi="Calibri" w:hint="eastAsia"/>
          <w:rtl/>
        </w:rPr>
        <w:t>מתחמים</w:t>
      </w:r>
      <w:r w:rsidRPr="00246001">
        <w:rPr>
          <w:rFonts w:ascii="Calibri" w:hAnsi="Calibri"/>
          <w:rtl/>
        </w:rPr>
        <w:t xml:space="preserve"> </w:t>
      </w:r>
      <w:r w:rsidRPr="00246001">
        <w:rPr>
          <w:rFonts w:ascii="Calibri" w:hAnsi="Calibri" w:hint="eastAsia"/>
          <w:rtl/>
        </w:rPr>
        <w:t>שונים</w:t>
      </w:r>
      <w:r w:rsidRPr="00246001">
        <w:rPr>
          <w:rFonts w:ascii="Calibri" w:hAnsi="Calibri"/>
          <w:rtl/>
        </w:rPr>
        <w:t xml:space="preserve"> </w:t>
      </w:r>
      <w:r w:rsidRPr="00246001">
        <w:rPr>
          <w:rFonts w:ascii="Calibri" w:hAnsi="Calibri" w:hint="eastAsia"/>
          <w:rtl/>
        </w:rPr>
        <w:t>בגדרו</w:t>
      </w:r>
      <w:r w:rsidRPr="00246001">
        <w:rPr>
          <w:rFonts w:ascii="Calibri" w:hAnsi="Calibri"/>
          <w:rtl/>
        </w:rPr>
        <w:t xml:space="preserve"> </w:t>
      </w:r>
      <w:r w:rsidRPr="00246001">
        <w:rPr>
          <w:rFonts w:ascii="Calibri" w:hAnsi="Calibri" w:hint="eastAsia"/>
          <w:rtl/>
        </w:rPr>
        <w:t>של</w:t>
      </w:r>
      <w:r w:rsidRPr="00246001">
        <w:rPr>
          <w:rFonts w:ascii="Calibri" w:hAnsi="Calibri"/>
          <w:rtl/>
        </w:rPr>
        <w:t xml:space="preserve"> "</w:t>
      </w:r>
      <w:r w:rsidRPr="00246001">
        <w:rPr>
          <w:rFonts w:ascii="Calibri" w:hAnsi="Calibri" w:hint="eastAsia"/>
          <w:rtl/>
        </w:rPr>
        <w:t>אירוע</w:t>
      </w:r>
      <w:r w:rsidRPr="00246001">
        <w:rPr>
          <w:rFonts w:ascii="Calibri" w:hAnsi="Calibri"/>
          <w:rtl/>
        </w:rPr>
        <w:t xml:space="preserve"> </w:t>
      </w:r>
      <w:r w:rsidRPr="00246001">
        <w:rPr>
          <w:rFonts w:ascii="Calibri" w:hAnsi="Calibri" w:hint="eastAsia"/>
          <w:rtl/>
        </w:rPr>
        <w:t>אחד</w:t>
      </w:r>
      <w:r w:rsidRPr="00246001">
        <w:rPr>
          <w:rFonts w:ascii="Calibri" w:hAnsi="Calibri"/>
          <w:rtl/>
        </w:rPr>
        <w:t xml:space="preserve">" </w:t>
      </w:r>
      <w:r w:rsidRPr="001A21CF">
        <w:rPr>
          <w:rFonts w:ascii="David" w:hAnsi="David"/>
          <w:rtl/>
        </w:rPr>
        <w:t xml:space="preserve">חוטאת להוראת </w:t>
      </w:r>
      <w:hyperlink r:id="rId49" w:history="1">
        <w:r w:rsidR="00184AFD" w:rsidRPr="00184AFD">
          <w:rPr>
            <w:rStyle w:val="Hyperlink"/>
            <w:rFonts w:ascii="David" w:hAnsi="David"/>
            <w:color w:val="0000FF"/>
            <w:rtl/>
          </w:rPr>
          <w:t>סעיף 40יג(א)</w:t>
        </w:r>
      </w:hyperlink>
      <w:r w:rsidRPr="001A21CF">
        <w:rPr>
          <w:rFonts w:ascii="David" w:hAnsi="David"/>
          <w:rtl/>
        </w:rPr>
        <w:t xml:space="preserve"> ל</w:t>
      </w:r>
      <w:hyperlink r:id="rId50" w:history="1">
        <w:r w:rsidR="00091471" w:rsidRPr="00091471">
          <w:rPr>
            <w:rFonts w:ascii="David" w:hAnsi="David"/>
            <w:color w:val="0000FF"/>
            <w:u w:val="single"/>
            <w:rtl/>
          </w:rPr>
          <w:t>חוק העונשין</w:t>
        </w:r>
      </w:hyperlink>
      <w:r w:rsidRPr="001A21CF">
        <w:rPr>
          <w:rFonts w:ascii="David" w:hAnsi="David"/>
          <w:rtl/>
        </w:rPr>
        <w:t xml:space="preserve">, שהרי "דרך המלך" לחיבור מתחמי הענישה שנקבעו בגין מספר אירועים שונים קבועה בגדרו של </w:t>
      </w:r>
      <w:hyperlink r:id="rId51" w:history="1">
        <w:r w:rsidR="00184AFD" w:rsidRPr="00184AFD">
          <w:rPr>
            <w:rStyle w:val="Hyperlink"/>
            <w:rFonts w:ascii="David" w:hAnsi="David"/>
            <w:color w:val="0000FF"/>
            <w:rtl/>
          </w:rPr>
          <w:t>סעיף 40יג(ב)</w:t>
        </w:r>
      </w:hyperlink>
      <w:r w:rsidRPr="001A21CF">
        <w:rPr>
          <w:rFonts w:ascii="David" w:hAnsi="David"/>
          <w:rtl/>
        </w:rPr>
        <w:t xml:space="preserve"> לחוק העונשין. </w:t>
      </w:r>
    </w:p>
    <w:p w14:paraId="0866B34B" w14:textId="77777777" w:rsidR="00246001" w:rsidRPr="001A21CF" w:rsidRDefault="00246001" w:rsidP="00246001">
      <w:pPr>
        <w:spacing w:after="160" w:line="360" w:lineRule="auto"/>
        <w:jc w:val="both"/>
        <w:rPr>
          <w:rFonts w:ascii="David" w:hAnsi="David"/>
          <w:b/>
          <w:bCs/>
          <w:rtl/>
        </w:rPr>
      </w:pPr>
      <w:r w:rsidRPr="001A21CF">
        <w:rPr>
          <w:rFonts w:ascii="David" w:hAnsi="David"/>
          <w:b/>
          <w:bCs/>
          <w:rtl/>
        </w:rPr>
        <w:t xml:space="preserve">כאמור, אין חולק על כך, שבגין מעשה הרצח בכוונה תחילה (ובנסיבות מחמירות לפי הדין החדש) ראוי הנאשם לעונש של מאסר עולם וזה בלבד.  </w:t>
      </w:r>
    </w:p>
    <w:p w14:paraId="66F90BA7" w14:textId="77777777" w:rsidR="00246001" w:rsidRPr="001A21CF" w:rsidRDefault="00246001" w:rsidP="00246001">
      <w:pPr>
        <w:spacing w:after="160" w:line="360" w:lineRule="auto"/>
        <w:jc w:val="both"/>
        <w:rPr>
          <w:rFonts w:ascii="David" w:hAnsi="David"/>
          <w:b/>
          <w:bCs/>
          <w:sz w:val="2"/>
          <w:szCs w:val="2"/>
          <w:rtl/>
        </w:rPr>
      </w:pPr>
    </w:p>
    <w:p w14:paraId="7B40E37A" w14:textId="77777777" w:rsidR="00246001" w:rsidRPr="001A21CF" w:rsidRDefault="00246001" w:rsidP="00246001">
      <w:pPr>
        <w:spacing w:after="160"/>
        <w:jc w:val="both"/>
        <w:rPr>
          <w:rFonts w:ascii="David" w:hAnsi="David"/>
          <w:rtl/>
        </w:rPr>
      </w:pPr>
      <w:r w:rsidRPr="001A21CF">
        <w:rPr>
          <w:rFonts w:ascii="David" w:hAnsi="David"/>
          <w:b/>
          <w:bCs/>
          <w:u w:val="single"/>
          <w:rtl/>
        </w:rPr>
        <w:t>הפגיעות בנסראת ובנסים המהוות אירוע נפרד מביצוע הרצח</w:t>
      </w:r>
    </w:p>
    <w:p w14:paraId="0363A90C"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כפי שפורט, בכל הנוגע לפגיעות בנסראת ובנסים, הרי שלטעמנו יש לקבוע מתחם עונש כולל  ההולם  אירוע זה (והמעשים השונים בנסיבותיהם הכלולים במסגרתו). </w:t>
      </w:r>
    </w:p>
    <w:p w14:paraId="2158F03A"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הערכים החברתיים, שבהם פגעו המעשים ברורים: זכותו של אדם לשלמות גופו ולשלוות-נפשו; זכותו של קטין להיות משוחרר מפגיעה; הגנה על שלום הציבור ובטחונו. </w:t>
      </w:r>
      <w:r w:rsidRPr="001A21CF">
        <w:rPr>
          <w:rFonts w:ascii="David" w:hAnsi="David"/>
          <w:b/>
          <w:bCs/>
          <w:rtl/>
        </w:rPr>
        <w:t>מידת פגיעת המעשה בערכים המוגנים הללו מהותית</w:t>
      </w:r>
      <w:r w:rsidRPr="001A21CF">
        <w:rPr>
          <w:rFonts w:ascii="David" w:hAnsi="David"/>
          <w:rtl/>
        </w:rPr>
        <w:t xml:space="preserve">. עניין לנו במי שפגע בשני קטינים. </w:t>
      </w:r>
      <w:r w:rsidRPr="001A21CF">
        <w:rPr>
          <w:rFonts w:ascii="David" w:hAnsi="David"/>
          <w:b/>
          <w:bCs/>
          <w:rtl/>
        </w:rPr>
        <w:t>האחד, נדחף והופל ארצה על ידי הנאשם בעודו מנסה לגונן על אמו המנוחה, אשר נרצחה מול עיניו</w:t>
      </w:r>
      <w:r w:rsidRPr="001A21CF">
        <w:rPr>
          <w:rFonts w:ascii="David" w:hAnsi="David"/>
          <w:rtl/>
        </w:rPr>
        <w:t xml:space="preserve">. </w:t>
      </w:r>
      <w:r w:rsidRPr="001A21CF">
        <w:rPr>
          <w:rFonts w:ascii="David" w:hAnsi="David"/>
          <w:b/>
          <w:bCs/>
          <w:rtl/>
        </w:rPr>
        <w:t>השני, נזעק לחדרה של אמו למשמע זעקותיה באישון-ליל והותקף באכזריות בידי הנאשם. הנאשם הלם במכת אגרוף בפניו אשר עוצמתה גרמה לשבירת הגשר שהותקן על שיניו ולשחרור אחת משיניו ממקומה. כמו-כן כללה התקיפה ניסיון דקירה, אשר בנס הסתיימה בפציעה קלה באצבע</w:t>
      </w:r>
      <w:r w:rsidRPr="001A21CF">
        <w:rPr>
          <w:rFonts w:ascii="David" w:hAnsi="David"/>
          <w:rtl/>
        </w:rPr>
        <w:t xml:space="preserve">. נסיבות ביצוע המעשים חמורות – אמנם, הנאשם לא תכנן את תקיפתו של נסראת אשר הופיע במקום, אך אלו בוצעו תוך כדי ניסיון להימלט; הנזק אשר היה צפוי כתוצאה מביצוע העבירות הוא חמור - אכן, אילו הצליח הנאשם בניסיון הדקירה, היה בכך כדי לסכן חייו של נסראת. בפועל, נגרם לנסראת נזק חמור, כמפורט לעיל, פיזי כמו גם נפשי. הנאשם ביצע את המעשה לנוכח רצונו להימלט מזירת הרצח, שאותו ביצע. הנאשם יכול היה וצריך היה להימנע מלבצע המעשה ואף הבין אותו ואת משמעויותיו. </w:t>
      </w:r>
      <w:r w:rsidRPr="001A21CF">
        <w:rPr>
          <w:rFonts w:ascii="David" w:hAnsi="David"/>
          <w:b/>
          <w:bCs/>
          <w:rtl/>
        </w:rPr>
        <w:t>המעשה היה אכזרי ואלים באורח יוצא-דופן תוך ניצול עדיפותו הפיזית על-פני הקורבנות</w:t>
      </w:r>
      <w:r w:rsidRPr="001A21CF">
        <w:rPr>
          <w:rFonts w:ascii="David" w:hAnsi="David"/>
          <w:rtl/>
        </w:rPr>
        <w:t xml:space="preserve">. ביחס לתקיפתו של נסים, הרי שהמעשה נעשה על-מנת להקל על ביצוע הרצח. אמנם הנזק הפיזי שנגרם כפועל יוצא מתקיפתו של נסים לא היה חמור, אך אין ספק שבמקרה זה נגרם נזק נפשי לאותו קטין. שני הקטינים הותקפו בביתם פנימה, במקום אשר אמור לשמש </w:t>
      </w:r>
      <w:r>
        <w:rPr>
          <w:rFonts w:ascii="David" w:hAnsi="David" w:hint="cs"/>
          <w:rtl/>
        </w:rPr>
        <w:t xml:space="preserve">להם </w:t>
      </w:r>
      <w:r w:rsidRPr="001A21CF">
        <w:rPr>
          <w:rFonts w:ascii="David" w:hAnsi="David"/>
          <w:rtl/>
        </w:rPr>
        <w:t xml:space="preserve">מבצר ומגן, והנה הפך עבורם לשדה קרב, שדה קטל.    </w:t>
      </w:r>
    </w:p>
    <w:p w14:paraId="6C04A3C1" w14:textId="77777777" w:rsidR="00246001" w:rsidRPr="001A21CF" w:rsidRDefault="00246001" w:rsidP="00246001">
      <w:pPr>
        <w:spacing w:after="160" w:line="360" w:lineRule="auto"/>
        <w:jc w:val="both"/>
        <w:rPr>
          <w:rFonts w:ascii="David" w:hAnsi="David"/>
          <w:rtl/>
        </w:rPr>
      </w:pPr>
      <w:r w:rsidRPr="001A21CF">
        <w:rPr>
          <w:rFonts w:ascii="David" w:hAnsi="David"/>
          <w:rtl/>
        </w:rPr>
        <w:t>מדיניות הענישה בכגון דא מחמירה. ראו למשל:</w:t>
      </w:r>
      <w:r w:rsidRPr="001A21CF">
        <w:rPr>
          <w:rFonts w:ascii="David" w:hAnsi="David"/>
        </w:rPr>
        <w:t xml:space="preserve"> </w:t>
      </w:r>
      <w:hyperlink r:id="rId52" w:history="1">
        <w:r w:rsidR="003608E7" w:rsidRPr="003608E7">
          <w:rPr>
            <w:rStyle w:val="Hyperlink"/>
            <w:rFonts w:ascii="David" w:hAnsi="David"/>
            <w:color w:val="0000FF"/>
          </w:rPr>
          <w:t>1678/12</w:t>
        </w:r>
      </w:hyperlink>
      <w:r w:rsidRPr="001A21CF">
        <w:rPr>
          <w:rFonts w:ascii="David" w:hAnsi="David"/>
        </w:rPr>
        <w:t xml:space="preserve"> </w:t>
      </w:r>
      <w:r w:rsidRPr="001A21CF">
        <w:rPr>
          <w:rFonts w:ascii="David" w:hAnsi="David"/>
          <w:b/>
          <w:bCs/>
          <w:rtl/>
        </w:rPr>
        <w:t>פלוני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(ניתן ביום 1.5.12); </w:t>
      </w:r>
      <w:hyperlink r:id="rId53" w:history="1">
        <w:r w:rsidR="00091471" w:rsidRPr="00091471">
          <w:rPr>
            <w:rFonts w:ascii="David" w:hAnsi="David"/>
            <w:color w:val="0000FF"/>
            <w:u w:val="single"/>
            <w:rtl/>
          </w:rPr>
          <w:t>ע"פ 4303/06</w:t>
        </w:r>
      </w:hyperlink>
      <w:r w:rsidRPr="001A21CF">
        <w:rPr>
          <w:rFonts w:ascii="David" w:hAnsi="David"/>
          <w:rtl/>
        </w:rPr>
        <w:t xml:space="preserve"> </w:t>
      </w:r>
      <w:r w:rsidRPr="001A21CF">
        <w:rPr>
          <w:rFonts w:ascii="David" w:hAnsi="David"/>
          <w:b/>
          <w:bCs/>
          <w:rtl/>
        </w:rPr>
        <w:t>ג'אד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(ניתן ביום</w:t>
      </w:r>
      <w:r w:rsidRPr="001A21CF">
        <w:rPr>
          <w:rFonts w:ascii="David" w:hAnsi="David"/>
        </w:rPr>
        <w:t xml:space="preserve"> </w:t>
      </w:r>
      <w:r w:rsidRPr="001A21CF">
        <w:rPr>
          <w:rFonts w:ascii="David" w:hAnsi="David"/>
          <w:rtl/>
        </w:rPr>
        <w:t xml:space="preserve">16.10.06);  </w:t>
      </w:r>
      <w:hyperlink r:id="rId54" w:history="1">
        <w:r w:rsidR="00091471" w:rsidRPr="00091471">
          <w:rPr>
            <w:rFonts w:ascii="David" w:hAnsi="David"/>
            <w:color w:val="0000FF"/>
            <w:u w:val="single"/>
            <w:rtl/>
          </w:rPr>
          <w:t>ע"פ 8965/18</w:t>
        </w:r>
      </w:hyperlink>
      <w:r w:rsidRPr="001A21CF">
        <w:rPr>
          <w:rFonts w:ascii="David" w:hAnsi="David"/>
          <w:rtl/>
        </w:rPr>
        <w:t xml:space="preserve"> </w:t>
      </w:r>
      <w:r w:rsidRPr="001A21CF">
        <w:rPr>
          <w:rFonts w:ascii="David" w:hAnsi="David"/>
          <w:b/>
          <w:bCs/>
          <w:rtl/>
        </w:rPr>
        <w:t>מחאג'נה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(ניתן ביום 3.11.19) המוזכר לעיל; </w:t>
      </w:r>
      <w:hyperlink r:id="rId55" w:history="1">
        <w:r w:rsidR="00091471" w:rsidRPr="00091471">
          <w:rPr>
            <w:rFonts w:ascii="Calibri" w:hAnsi="Calibri" w:hint="eastAsia"/>
            <w:color w:val="0000FF"/>
            <w:u w:val="single"/>
            <w:rtl/>
          </w:rPr>
          <w:t>רע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1601/14</w:t>
        </w:r>
      </w:hyperlink>
      <w:r w:rsidRPr="00246001">
        <w:rPr>
          <w:rFonts w:ascii="Calibri" w:hAnsi="Calibri"/>
          <w:rtl/>
        </w:rPr>
        <w:t xml:space="preserve"> </w:t>
      </w:r>
      <w:r w:rsidRPr="00246001">
        <w:rPr>
          <w:rFonts w:ascii="Calibri" w:hAnsi="Calibri" w:hint="eastAsia"/>
          <w:b/>
          <w:bCs/>
          <w:rtl/>
        </w:rPr>
        <w:t>פרץ</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rtl/>
        </w:rPr>
        <w:t>(</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3.3.14); </w:t>
      </w:r>
      <w:hyperlink r:id="rId56" w:history="1">
        <w:r w:rsidR="00091471" w:rsidRPr="00091471">
          <w:rPr>
            <w:rFonts w:ascii="Calibri" w:hAnsi="Calibri" w:hint="eastAsia"/>
            <w:color w:val="0000FF"/>
            <w:u w:val="single"/>
            <w:rtl/>
          </w:rPr>
          <w:t>רע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2781/15</w:t>
        </w:r>
      </w:hyperlink>
      <w:r w:rsidRPr="00246001">
        <w:rPr>
          <w:rFonts w:ascii="Calibri" w:hAnsi="Calibri"/>
          <w:rtl/>
        </w:rPr>
        <w:t xml:space="preserve"> </w:t>
      </w:r>
      <w:r w:rsidRPr="00246001">
        <w:rPr>
          <w:rFonts w:ascii="Calibri" w:hAnsi="Calibri" w:hint="eastAsia"/>
          <w:b/>
          <w:bCs/>
          <w:rtl/>
        </w:rPr>
        <w:t>מחאמיד</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rtl/>
        </w:rPr>
        <w:t>(</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27.4.15); </w:t>
      </w:r>
      <w:hyperlink r:id="rId57" w:history="1">
        <w:r w:rsidR="00091471" w:rsidRPr="00091471">
          <w:rPr>
            <w:rFonts w:ascii="Calibri" w:hAnsi="Calibri" w:hint="eastAsia"/>
            <w:color w:val="0000FF"/>
            <w:u w:val="single"/>
            <w:rtl/>
          </w:rPr>
          <w:t>רע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8716/13</w:t>
        </w:r>
      </w:hyperlink>
      <w:r w:rsidRPr="00246001">
        <w:rPr>
          <w:rFonts w:ascii="Calibri" w:hAnsi="Calibri"/>
          <w:rtl/>
        </w:rPr>
        <w:t xml:space="preserve"> </w:t>
      </w:r>
      <w:r w:rsidRPr="00246001">
        <w:rPr>
          <w:rFonts w:ascii="Calibri" w:hAnsi="Calibri" w:hint="eastAsia"/>
          <w:b/>
          <w:bCs/>
          <w:rtl/>
        </w:rPr>
        <w:t>דיאב</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rtl/>
        </w:rPr>
        <w:t>(</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13.8.14);  </w:t>
      </w:r>
      <w:r w:rsidRPr="001A21CF">
        <w:rPr>
          <w:rFonts w:ascii="David" w:hAnsi="David"/>
          <w:rtl/>
        </w:rPr>
        <w:t xml:space="preserve">כמו כן, ראו מספר פסקי דין העוסקים בגרימת </w:t>
      </w:r>
      <w:r w:rsidRPr="001A21CF">
        <w:rPr>
          <w:rFonts w:ascii="David" w:hAnsi="David"/>
          <w:b/>
          <w:bCs/>
          <w:rtl/>
        </w:rPr>
        <w:t>חבלה חמורה</w:t>
      </w:r>
      <w:r w:rsidRPr="001A21CF">
        <w:rPr>
          <w:rFonts w:ascii="David" w:hAnsi="David"/>
          <w:rtl/>
        </w:rPr>
        <w:t xml:space="preserve">, בהתאם </w:t>
      </w:r>
      <w:hyperlink r:id="rId58" w:history="1">
        <w:r w:rsidR="00184AFD" w:rsidRPr="00184AFD">
          <w:rPr>
            <w:rStyle w:val="Hyperlink"/>
            <w:rFonts w:ascii="David" w:hAnsi="David"/>
            <w:color w:val="0000FF"/>
            <w:rtl/>
          </w:rPr>
          <w:t>לסעיף 333</w:t>
        </w:r>
      </w:hyperlink>
      <w:r w:rsidRPr="001A21CF">
        <w:rPr>
          <w:rFonts w:ascii="David" w:hAnsi="David"/>
          <w:rtl/>
        </w:rPr>
        <w:t xml:space="preserve"> ל</w:t>
      </w:r>
      <w:hyperlink r:id="rId59" w:history="1">
        <w:r w:rsidR="00091471" w:rsidRPr="00091471">
          <w:rPr>
            <w:rFonts w:ascii="David" w:hAnsi="David"/>
            <w:color w:val="0000FF"/>
            <w:u w:val="single"/>
            <w:rtl/>
          </w:rPr>
          <w:t>חוק העונשין</w:t>
        </w:r>
      </w:hyperlink>
      <w:r w:rsidRPr="001A21CF">
        <w:rPr>
          <w:rFonts w:ascii="David" w:hAnsi="David"/>
          <w:rtl/>
        </w:rPr>
        <w:t xml:space="preserve"> (העונש לצדה של עבירה זו - שבע שנות מאסר -  זהה לעונש הקבוע לצדו של </w:t>
      </w:r>
      <w:r w:rsidRPr="001A21CF">
        <w:rPr>
          <w:rFonts w:ascii="David" w:hAnsi="David"/>
          <w:u w:val="single"/>
          <w:rtl/>
        </w:rPr>
        <w:t xml:space="preserve">סעיף </w:t>
      </w:r>
      <w:hyperlink r:id="rId60" w:history="1">
        <w:r w:rsidR="00184AFD" w:rsidRPr="00184AFD">
          <w:rPr>
            <w:rStyle w:val="Hyperlink"/>
            <w:rFonts w:ascii="David" w:hAnsi="David"/>
            <w:color w:val="0000FF"/>
            <w:rtl/>
          </w:rPr>
          <w:t>368ב(ב)</w:t>
        </w:r>
      </w:hyperlink>
      <w:r w:rsidRPr="001A21CF">
        <w:rPr>
          <w:rFonts w:ascii="David" w:hAnsi="David"/>
          <w:u w:val="single"/>
          <w:rtl/>
        </w:rPr>
        <w:t>רישא לחוק העונשין)</w:t>
      </w:r>
      <w:r w:rsidRPr="001A21CF">
        <w:rPr>
          <w:rFonts w:ascii="David" w:hAnsi="David"/>
          <w:rtl/>
        </w:rPr>
        <w:t xml:space="preserve">: </w:t>
      </w:r>
      <w:hyperlink r:id="rId61"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2138/13</w:t>
        </w:r>
      </w:hyperlink>
      <w:r w:rsidRPr="00246001">
        <w:rPr>
          <w:rFonts w:ascii="Calibri" w:hAnsi="Calibri"/>
          <w:rtl/>
        </w:rPr>
        <w:t xml:space="preserve"> </w:t>
      </w:r>
      <w:r w:rsidRPr="00246001">
        <w:rPr>
          <w:rFonts w:ascii="Calibri" w:hAnsi="Calibri" w:hint="eastAsia"/>
          <w:b/>
          <w:bCs/>
          <w:rtl/>
        </w:rPr>
        <w:t>אבו</w:t>
      </w:r>
      <w:r w:rsidRPr="00246001">
        <w:rPr>
          <w:rFonts w:ascii="Calibri" w:hAnsi="Calibri"/>
          <w:b/>
          <w:bCs/>
          <w:rtl/>
        </w:rPr>
        <w:t xml:space="preserve"> </w:t>
      </w:r>
      <w:r w:rsidRPr="00246001">
        <w:rPr>
          <w:rFonts w:ascii="Calibri" w:hAnsi="Calibri" w:hint="eastAsia"/>
          <w:b/>
          <w:bCs/>
          <w:rtl/>
        </w:rPr>
        <w:t>קווידר</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rtl/>
        </w:rPr>
        <w:t>(</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23.6.13)</w:t>
      </w:r>
      <w:r w:rsidRPr="00246001">
        <w:rPr>
          <w:rFonts w:ascii="Calibri" w:hAnsi="Calibri"/>
          <w:rtl/>
          <w:lang w:eastAsia="he-IL"/>
        </w:rPr>
        <w:t xml:space="preserve">; </w:t>
      </w:r>
      <w:r w:rsidRPr="001A21CF">
        <w:rPr>
          <w:rFonts w:ascii="David" w:hAnsi="David"/>
          <w:rtl/>
        </w:rPr>
        <w:t xml:space="preserve"> </w:t>
      </w:r>
      <w:hyperlink r:id="rId62"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8029/12</w:t>
        </w:r>
      </w:hyperlink>
      <w:r w:rsidRPr="00246001">
        <w:rPr>
          <w:rFonts w:ascii="Calibri" w:hAnsi="Calibri"/>
          <w:rtl/>
        </w:rPr>
        <w:t xml:space="preserve"> </w:t>
      </w:r>
      <w:r w:rsidRPr="00246001">
        <w:rPr>
          <w:rFonts w:ascii="Calibri" w:hAnsi="Calibri" w:hint="eastAsia"/>
          <w:b/>
          <w:bCs/>
          <w:rtl/>
        </w:rPr>
        <w:t>מחרום</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rtl/>
        </w:rPr>
        <w:t>(</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30.5.13). </w:t>
      </w:r>
      <w:r w:rsidRPr="001A21CF">
        <w:rPr>
          <w:rFonts w:ascii="David" w:hAnsi="David"/>
          <w:rtl/>
        </w:rPr>
        <w:t xml:space="preserve"> </w:t>
      </w:r>
    </w:p>
    <w:p w14:paraId="090B164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לסיכום, בהתחשב במכלול, אנו קובעים </w:t>
      </w:r>
      <w:r w:rsidRPr="001A21CF">
        <w:rPr>
          <w:rFonts w:ascii="David" w:hAnsi="David"/>
          <w:b/>
          <w:bCs/>
          <w:rtl/>
        </w:rPr>
        <w:t xml:space="preserve">מתחם עונש הולם לאירוע הנ"ל הנע בין 24 לבין 48 חודשי מאסר </w:t>
      </w:r>
      <w:r w:rsidRPr="00732291">
        <w:rPr>
          <w:rFonts w:ascii="David" w:hAnsi="David" w:hint="cs"/>
          <w:b/>
          <w:bCs/>
          <w:rtl/>
        </w:rPr>
        <w:t>לריצוי בפועל</w:t>
      </w:r>
      <w:r>
        <w:rPr>
          <w:rFonts w:ascii="David" w:hAnsi="David" w:hint="cs"/>
          <w:rtl/>
        </w:rPr>
        <w:t xml:space="preserve">, </w:t>
      </w:r>
      <w:r w:rsidRPr="001A21CF">
        <w:rPr>
          <w:rFonts w:ascii="David" w:hAnsi="David"/>
          <w:rtl/>
        </w:rPr>
        <w:t xml:space="preserve">לצד עונשים נלווים. </w:t>
      </w:r>
    </w:p>
    <w:p w14:paraId="096282AE" w14:textId="77777777" w:rsidR="00246001" w:rsidRPr="001A21CF" w:rsidRDefault="00246001" w:rsidP="00246001">
      <w:pPr>
        <w:spacing w:after="160" w:line="360" w:lineRule="auto"/>
        <w:jc w:val="both"/>
        <w:rPr>
          <w:rFonts w:ascii="David" w:hAnsi="David"/>
          <w:rtl/>
        </w:rPr>
      </w:pPr>
      <w:r w:rsidRPr="001A21CF">
        <w:rPr>
          <w:rFonts w:ascii="David" w:hAnsi="David"/>
          <w:b/>
          <w:bCs/>
          <w:rtl/>
        </w:rPr>
        <w:t>לא מצאנו טעמים ממשיים להימנע מקביעת העונש בגין תקיפתם של נסראת ונסים על הרף העליון של מתחם הענישה שקבענו לעיל.</w:t>
      </w:r>
      <w:r w:rsidRPr="001A21CF">
        <w:rPr>
          <w:rFonts w:ascii="David" w:hAnsi="David"/>
          <w:rtl/>
        </w:rPr>
        <w:t xml:space="preserve"> עיון בנסיבות שאינן קשורות בביצוע העבירות (אלו הקבועות </w:t>
      </w:r>
      <w:hyperlink r:id="rId63" w:history="1">
        <w:r w:rsidR="00184AFD" w:rsidRPr="00184AFD">
          <w:rPr>
            <w:rStyle w:val="Hyperlink"/>
            <w:rFonts w:ascii="David" w:hAnsi="David"/>
            <w:color w:val="0000FF"/>
            <w:rtl/>
          </w:rPr>
          <w:t>בסעיף 40יא</w:t>
        </w:r>
      </w:hyperlink>
      <w:r w:rsidRPr="001A21CF">
        <w:rPr>
          <w:rFonts w:ascii="David" w:hAnsi="David"/>
          <w:rtl/>
        </w:rPr>
        <w:t xml:space="preserve"> לחוק) מוביל לממצא זה: </w:t>
      </w:r>
      <w:r w:rsidRPr="001A21CF">
        <w:rPr>
          <w:rFonts w:ascii="David" w:hAnsi="David"/>
          <w:b/>
          <w:bCs/>
          <w:rtl/>
        </w:rPr>
        <w:t>הנאשם לא נטל אחריות למעשיו</w:t>
      </w:r>
      <w:r w:rsidRPr="001A21CF">
        <w:rPr>
          <w:rFonts w:ascii="David" w:hAnsi="David"/>
          <w:rtl/>
        </w:rPr>
        <w:t xml:space="preserve">; </w:t>
      </w:r>
      <w:r w:rsidRPr="001A21CF">
        <w:rPr>
          <w:rFonts w:ascii="David" w:hAnsi="David"/>
          <w:b/>
          <w:bCs/>
          <w:rtl/>
        </w:rPr>
        <w:t>הוא לא עשה כל ניסיון לחזור למוטב</w:t>
      </w:r>
      <w:r w:rsidRPr="001A21CF">
        <w:rPr>
          <w:rFonts w:ascii="David" w:hAnsi="David"/>
          <w:rtl/>
        </w:rPr>
        <w:t xml:space="preserve">, לתקן את תוצאות מעשיו או לפצות את הנפגעים. ההיפך הוא נכון – </w:t>
      </w:r>
      <w:r w:rsidRPr="001A21CF">
        <w:rPr>
          <w:rFonts w:ascii="David" w:hAnsi="David"/>
          <w:b/>
          <w:bCs/>
          <w:rtl/>
        </w:rPr>
        <w:t>הוא הטיל בהם דופי לכל אורך המשפט. הוא לא הודה במעשיו בחקירה או בבית-המשפט. לא מצאנו התנהגות חיובית מצדו או תרומה לחברה.</w:t>
      </w:r>
      <w:r w:rsidRPr="001A21CF">
        <w:rPr>
          <w:rFonts w:ascii="David" w:hAnsi="David"/>
          <w:rtl/>
        </w:rPr>
        <w:t xml:space="preserve"> </w:t>
      </w:r>
      <w:r w:rsidRPr="001A21CF">
        <w:rPr>
          <w:rFonts w:ascii="David" w:hAnsi="David"/>
          <w:b/>
          <w:bCs/>
          <w:rtl/>
        </w:rPr>
        <w:t>עברו הפלילי מכביד.</w:t>
      </w:r>
      <w:r w:rsidRPr="001A21CF">
        <w:rPr>
          <w:rFonts w:ascii="David" w:hAnsi="David"/>
          <w:rtl/>
        </w:rPr>
        <w:t xml:space="preserve"> </w:t>
      </w:r>
    </w:p>
    <w:p w14:paraId="233BFB5E" w14:textId="77777777" w:rsidR="00246001" w:rsidRPr="001A21CF" w:rsidRDefault="00246001" w:rsidP="00246001">
      <w:pPr>
        <w:spacing w:after="160" w:line="360" w:lineRule="auto"/>
        <w:jc w:val="both"/>
        <w:rPr>
          <w:rFonts w:ascii="David" w:hAnsi="David"/>
          <w:b/>
          <w:bCs/>
          <w:rtl/>
        </w:rPr>
      </w:pPr>
      <w:r w:rsidRPr="001A21CF">
        <w:rPr>
          <w:rFonts w:ascii="David" w:hAnsi="David"/>
          <w:rtl/>
        </w:rPr>
        <w:t xml:space="preserve">לא זו אף זו, בהתאם לסעיף </w:t>
      </w:r>
      <w:hyperlink r:id="rId64" w:history="1">
        <w:r w:rsidR="00184AFD" w:rsidRPr="00184AFD">
          <w:rPr>
            <w:rStyle w:val="Hyperlink"/>
            <w:rFonts w:ascii="David" w:hAnsi="David"/>
            <w:color w:val="0000FF"/>
            <w:rtl/>
          </w:rPr>
          <w:t>40 יג(ב)</w:t>
        </w:r>
      </w:hyperlink>
      <w:r w:rsidRPr="001A21CF">
        <w:rPr>
          <w:rFonts w:ascii="David" w:hAnsi="David"/>
          <w:rtl/>
        </w:rPr>
        <w:t xml:space="preserve"> ל</w:t>
      </w:r>
      <w:hyperlink r:id="rId65" w:history="1">
        <w:r w:rsidR="00091471" w:rsidRPr="00091471">
          <w:rPr>
            <w:rFonts w:ascii="David" w:hAnsi="David"/>
            <w:color w:val="0000FF"/>
            <w:u w:val="single"/>
            <w:rtl/>
          </w:rPr>
          <w:t>חוק העונשין</w:t>
        </w:r>
      </w:hyperlink>
      <w:r w:rsidRPr="001A21CF">
        <w:rPr>
          <w:rFonts w:ascii="David" w:hAnsi="David"/>
          <w:rtl/>
        </w:rPr>
        <w:t xml:space="preserve">, סברנו, שאין למצוא הצדקה עניינית להימנע מלקבוע, כי לעונש מאסר העולם </w:t>
      </w:r>
      <w:r w:rsidRPr="001A21CF">
        <w:rPr>
          <w:rFonts w:ascii="David" w:hAnsi="David"/>
          <w:b/>
          <w:bCs/>
          <w:rtl/>
        </w:rPr>
        <w:t xml:space="preserve">יצטברו </w:t>
      </w:r>
      <w:r w:rsidRPr="001A21CF">
        <w:rPr>
          <w:rFonts w:ascii="David" w:hAnsi="David"/>
          <w:rtl/>
        </w:rPr>
        <w:t xml:space="preserve">48 חודשי מאסר </w:t>
      </w:r>
      <w:r w:rsidRPr="001A21CF">
        <w:rPr>
          <w:rFonts w:ascii="David" w:hAnsi="David"/>
          <w:b/>
          <w:bCs/>
          <w:rtl/>
        </w:rPr>
        <w:t xml:space="preserve">לריצוי בפועל שאותם אנו גוזרים על הנאשם בגין האירוע הנוסף, כמפורט לעיל. </w:t>
      </w:r>
    </w:p>
    <w:p w14:paraId="4F271ACA" w14:textId="77777777" w:rsidR="00246001" w:rsidRPr="001A21CF" w:rsidRDefault="00246001" w:rsidP="00246001">
      <w:pPr>
        <w:spacing w:after="160" w:line="360" w:lineRule="auto"/>
        <w:jc w:val="both"/>
        <w:rPr>
          <w:rFonts w:ascii="David" w:hAnsi="David"/>
          <w:b/>
          <w:bCs/>
          <w:sz w:val="2"/>
          <w:szCs w:val="2"/>
          <w:rtl/>
        </w:rPr>
      </w:pPr>
    </w:p>
    <w:p w14:paraId="2A3BA8D3" w14:textId="77777777" w:rsidR="00246001" w:rsidRPr="001A21CF" w:rsidRDefault="00246001" w:rsidP="00246001">
      <w:pPr>
        <w:spacing w:after="160"/>
        <w:rPr>
          <w:rFonts w:ascii="David" w:hAnsi="David"/>
          <w:b/>
          <w:bCs/>
          <w:u w:val="single"/>
          <w:rtl/>
        </w:rPr>
      </w:pPr>
      <w:r w:rsidRPr="001A21CF">
        <w:rPr>
          <w:rFonts w:ascii="David" w:hAnsi="David"/>
          <w:b/>
          <w:bCs/>
          <w:u w:val="single"/>
          <w:rtl/>
        </w:rPr>
        <w:t xml:space="preserve">ניכוי תקופת המעצר כולה או חלקה </w:t>
      </w:r>
    </w:p>
    <w:p w14:paraId="4DC880A4"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סוגיית ניכוי תקופת המעצר מצויה, כידוע בשיקול-דעת בית-המשפט הבא לגזור עונשו של נאשם                      (ראו למשל: </w:t>
      </w:r>
      <w:hyperlink r:id="rId66" w:history="1">
        <w:r w:rsidR="00091471" w:rsidRPr="00091471">
          <w:rPr>
            <w:rFonts w:ascii="Calibri" w:hAnsi="Calibri" w:hint="eastAsia"/>
            <w:color w:val="0000FF"/>
            <w:u w:val="single"/>
            <w:rtl/>
          </w:rPr>
          <w:t>ע</w:t>
        </w:r>
        <w:r w:rsidR="00091471" w:rsidRPr="00091471">
          <w:rPr>
            <w:rFonts w:ascii="Calibri" w:hAnsi="Calibri"/>
            <w:color w:val="0000FF"/>
            <w:u w:val="single"/>
            <w:rtl/>
          </w:rPr>
          <w:t>"</w:t>
        </w:r>
        <w:r w:rsidR="00091471" w:rsidRPr="00091471">
          <w:rPr>
            <w:rFonts w:ascii="Calibri" w:hAnsi="Calibri" w:hint="eastAsia"/>
            <w:color w:val="0000FF"/>
            <w:u w:val="single"/>
            <w:rtl/>
          </w:rPr>
          <w:t>פ</w:t>
        </w:r>
        <w:r w:rsidR="00091471" w:rsidRPr="00091471">
          <w:rPr>
            <w:rFonts w:ascii="Calibri" w:hAnsi="Calibri"/>
            <w:color w:val="0000FF"/>
            <w:u w:val="single"/>
            <w:rtl/>
          </w:rPr>
          <w:t xml:space="preserve"> 7768/15</w:t>
        </w:r>
      </w:hyperlink>
      <w:r w:rsidRPr="00246001">
        <w:rPr>
          <w:rFonts w:ascii="Calibri" w:hAnsi="Calibri"/>
          <w:rtl/>
        </w:rPr>
        <w:t xml:space="preserve"> </w:t>
      </w:r>
      <w:r w:rsidRPr="00246001">
        <w:rPr>
          <w:rFonts w:ascii="Calibri" w:hAnsi="Calibri" w:hint="eastAsia"/>
          <w:b/>
          <w:bCs/>
          <w:rtl/>
        </w:rPr>
        <w:t>פלוני</w:t>
      </w:r>
      <w:r w:rsidRPr="00246001">
        <w:rPr>
          <w:rFonts w:ascii="Calibri" w:hAnsi="Calibri"/>
          <w:b/>
          <w:bCs/>
          <w:rtl/>
        </w:rPr>
        <w:t xml:space="preserve"> </w:t>
      </w:r>
      <w:r w:rsidRPr="00246001">
        <w:rPr>
          <w:rFonts w:ascii="Calibri" w:hAnsi="Calibri" w:hint="eastAsia"/>
          <w:b/>
          <w:bCs/>
          <w:rtl/>
        </w:rPr>
        <w:t>נ</w:t>
      </w:r>
      <w:r w:rsidRPr="00246001">
        <w:rPr>
          <w:rFonts w:ascii="Calibri" w:hAnsi="Calibri"/>
          <w:b/>
          <w:bCs/>
          <w:rtl/>
        </w:rPr>
        <w:t xml:space="preserve">' </w:t>
      </w:r>
      <w:r w:rsidRPr="00246001">
        <w:rPr>
          <w:rFonts w:ascii="Calibri" w:hAnsi="Calibri" w:hint="eastAsia"/>
          <w:b/>
          <w:bCs/>
          <w:rtl/>
        </w:rPr>
        <w:t>מדינת</w:t>
      </w:r>
      <w:r w:rsidRPr="00246001">
        <w:rPr>
          <w:rFonts w:ascii="Calibri" w:hAnsi="Calibri"/>
          <w:b/>
          <w:bCs/>
          <w:rtl/>
        </w:rPr>
        <w:t xml:space="preserve"> </w:t>
      </w:r>
      <w:r w:rsidRPr="00246001">
        <w:rPr>
          <w:rFonts w:ascii="Calibri" w:hAnsi="Calibri" w:hint="eastAsia"/>
          <w:b/>
          <w:bCs/>
          <w:rtl/>
        </w:rPr>
        <w:t>ישראל</w:t>
      </w:r>
      <w:r w:rsidRPr="00246001">
        <w:rPr>
          <w:rFonts w:ascii="Calibri" w:hAnsi="Calibri"/>
          <w:rtl/>
        </w:rPr>
        <w:t xml:space="preserve">, </w:t>
      </w:r>
      <w:r w:rsidR="003608E7" w:rsidRPr="003608E7">
        <w:rPr>
          <w:sz w:val="22"/>
          <w:rtl/>
        </w:rPr>
        <w:t>[</w:t>
      </w:r>
      <w:r w:rsidR="003608E7" w:rsidRPr="003608E7">
        <w:rPr>
          <w:rFonts w:hint="eastAsia"/>
          <w:sz w:val="22"/>
          <w:rtl/>
        </w:rPr>
        <w:t>פורסם</w:t>
      </w:r>
      <w:r w:rsidR="003608E7" w:rsidRPr="003608E7">
        <w:rPr>
          <w:sz w:val="22"/>
          <w:rtl/>
        </w:rPr>
        <w:t xml:space="preserve"> </w:t>
      </w:r>
      <w:r w:rsidR="003608E7" w:rsidRPr="003608E7">
        <w:rPr>
          <w:rFonts w:hint="eastAsia"/>
          <w:sz w:val="22"/>
          <w:rtl/>
        </w:rPr>
        <w:t>בנבו</w:t>
      </w:r>
      <w:r w:rsidR="003608E7" w:rsidRPr="003608E7">
        <w:rPr>
          <w:sz w:val="22"/>
          <w:rtl/>
        </w:rPr>
        <w:t xml:space="preserve">] </w:t>
      </w:r>
      <w:r w:rsidRPr="00246001">
        <w:rPr>
          <w:rFonts w:ascii="Calibri" w:hAnsi="Calibri" w:hint="eastAsia"/>
          <w:rtl/>
        </w:rPr>
        <w:t>פסקה</w:t>
      </w:r>
      <w:r w:rsidRPr="00246001">
        <w:rPr>
          <w:rFonts w:ascii="Calibri" w:hAnsi="Calibri"/>
          <w:rtl/>
        </w:rPr>
        <w:t xml:space="preserve"> 23, </w:t>
      </w:r>
      <w:r w:rsidRPr="00246001">
        <w:rPr>
          <w:rFonts w:ascii="Calibri" w:hAnsi="Calibri" w:hint="eastAsia"/>
          <w:rtl/>
        </w:rPr>
        <w:t>ניתן</w:t>
      </w:r>
      <w:r w:rsidRPr="00246001">
        <w:rPr>
          <w:rFonts w:ascii="Calibri" w:hAnsi="Calibri"/>
          <w:rtl/>
        </w:rPr>
        <w:t xml:space="preserve"> </w:t>
      </w:r>
      <w:r w:rsidRPr="00246001">
        <w:rPr>
          <w:rFonts w:ascii="Calibri" w:hAnsi="Calibri" w:hint="eastAsia"/>
          <w:rtl/>
        </w:rPr>
        <w:t>ביום</w:t>
      </w:r>
      <w:r w:rsidRPr="00246001">
        <w:rPr>
          <w:rFonts w:ascii="Calibri" w:hAnsi="Calibri"/>
          <w:rtl/>
        </w:rPr>
        <w:t xml:space="preserve"> 20.4.16)  </w:t>
      </w:r>
      <w:r w:rsidRPr="001A21CF">
        <w:rPr>
          <w:rFonts w:ascii="David" w:hAnsi="David"/>
          <w:rtl/>
        </w:rPr>
        <w:t xml:space="preserve">הלכה פסוקה היא, כי, ככלל תנוכה תקופת המעצר מעונש המאסר הנגזר לנאשם. עם זאת, מקום בו ריצה הנאשם עונשי מאסר אחרים (בחופף למעצר), ככלל, אלו לא ינוכו [ראו: </w:t>
      </w:r>
      <w:hyperlink r:id="rId67" w:history="1">
        <w:r w:rsidR="00091471" w:rsidRPr="00091471">
          <w:rPr>
            <w:rFonts w:ascii="David" w:hAnsi="David"/>
            <w:color w:val="0000FF"/>
            <w:u w:val="single"/>
            <w:rtl/>
          </w:rPr>
          <w:t>ע"פ 2805/15</w:t>
        </w:r>
      </w:hyperlink>
      <w:r w:rsidRPr="001A21CF">
        <w:rPr>
          <w:rFonts w:ascii="David" w:hAnsi="David"/>
          <w:rtl/>
        </w:rPr>
        <w:t xml:space="preserve"> </w:t>
      </w:r>
      <w:r w:rsidRPr="001A21CF">
        <w:rPr>
          <w:rFonts w:ascii="David" w:hAnsi="David"/>
          <w:b/>
          <w:bCs/>
          <w:rtl/>
        </w:rPr>
        <w:t>סגייר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פסקה 19 (24.7.2017); </w:t>
      </w:r>
      <w:hyperlink r:id="rId68" w:history="1">
        <w:r w:rsidR="00091471" w:rsidRPr="00091471">
          <w:rPr>
            <w:rFonts w:ascii="David" w:hAnsi="David"/>
            <w:color w:val="0000FF"/>
            <w:u w:val="single"/>
            <w:rtl/>
          </w:rPr>
          <w:t>ע"פ 8244/17</w:t>
        </w:r>
      </w:hyperlink>
      <w:r w:rsidRPr="001A21CF">
        <w:rPr>
          <w:rFonts w:ascii="David" w:hAnsi="David"/>
          <w:rtl/>
        </w:rPr>
        <w:t xml:space="preserve"> </w:t>
      </w:r>
      <w:r w:rsidRPr="001A21CF">
        <w:rPr>
          <w:rFonts w:ascii="David" w:hAnsi="David"/>
          <w:b/>
          <w:bCs/>
          <w:rtl/>
        </w:rPr>
        <w:t>מדינת ישראל נ' פלוני</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פסקה 20 (21.6.2018)], אחרת הופך ריצויים של  עונשים אלה לחסר-משמעות, מה שעלול לעודד ביצוע עבירות תוך כדי מעצר. ויוער, כלל זה חל גם אם החפיפה פגעה באפשרותו של הנאשם ליהנות מהטבות להן היה זכאי  כ"אסיר" [ראו: </w:t>
      </w:r>
      <w:hyperlink r:id="rId69" w:history="1">
        <w:r w:rsidR="00091471" w:rsidRPr="00091471">
          <w:rPr>
            <w:rFonts w:ascii="David" w:hAnsi="David"/>
            <w:color w:val="0000FF"/>
            <w:u w:val="single"/>
            <w:rtl/>
          </w:rPr>
          <w:t>ע"פ 2453/15</w:t>
        </w:r>
      </w:hyperlink>
      <w:r w:rsidRPr="001A21CF">
        <w:rPr>
          <w:rFonts w:ascii="David" w:hAnsi="David"/>
          <w:rtl/>
        </w:rPr>
        <w:t xml:space="preserve"> </w:t>
      </w:r>
      <w:r w:rsidRPr="001A21CF">
        <w:rPr>
          <w:rFonts w:ascii="David" w:hAnsi="David"/>
          <w:b/>
          <w:bCs/>
          <w:rtl/>
        </w:rPr>
        <w:t>חיימוב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פסקה 27 (11.12.2016); </w:t>
      </w:r>
      <w:hyperlink r:id="rId70" w:history="1">
        <w:r w:rsidR="00091471" w:rsidRPr="00091471">
          <w:rPr>
            <w:rFonts w:ascii="David" w:hAnsi="David"/>
            <w:color w:val="0000FF"/>
            <w:u w:val="single"/>
            <w:rtl/>
          </w:rPr>
          <w:t>ע"פ 3924/17</w:t>
        </w:r>
      </w:hyperlink>
      <w:r w:rsidRPr="001A21CF">
        <w:rPr>
          <w:rFonts w:ascii="David" w:hAnsi="David"/>
          <w:rtl/>
        </w:rPr>
        <w:t xml:space="preserve"> </w:t>
      </w:r>
      <w:r w:rsidRPr="001A21CF">
        <w:rPr>
          <w:rFonts w:ascii="David" w:hAnsi="David"/>
          <w:b/>
          <w:bCs/>
          <w:rtl/>
        </w:rPr>
        <w:t>אלבז נ' מדינת ישראל,</w:t>
      </w:r>
      <w:r w:rsidRPr="001A21CF">
        <w:rPr>
          <w:rFonts w:ascii="David" w:hAnsi="David"/>
          <w:rtl/>
        </w:rPr>
        <w:t xml:space="preserve"> </w:t>
      </w:r>
      <w:r w:rsidR="003608E7" w:rsidRPr="003608E7">
        <w:rPr>
          <w:sz w:val="22"/>
          <w:rtl/>
        </w:rPr>
        <w:t xml:space="preserve">[פורסם בנבו] </w:t>
      </w:r>
      <w:r w:rsidRPr="001A21CF">
        <w:rPr>
          <w:rFonts w:ascii="David" w:hAnsi="David"/>
          <w:rtl/>
        </w:rPr>
        <w:t xml:space="preserve">פסקה 10 (27.7.2017)]. </w:t>
      </w:r>
    </w:p>
    <w:p w14:paraId="1FFBF330"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בנסיבות אלה, לא מצאנו להקל עם הנאשם. לפיכך, מצאנו לנכון להורות על הימנעות מניכוי תקופות מעצר אשר רוצו במקביל לעונשי מאסר אשר הוטלו על הנאשם במסגרת משפטים, אשר נערכו לו בתקופות אלו, כמפורט לעיל. </w:t>
      </w:r>
    </w:p>
    <w:p w14:paraId="1FAD4996"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 xml:space="preserve">הפעלת מאסר מותנה </w:t>
      </w:r>
    </w:p>
    <w:p w14:paraId="55ECCE77"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כמפורט לעיל, תלוי ועומד נגד הנאשם עונש מאסר על-תנאי בן 6 חודשים, שהוא בן-הפעלה, אליבא דכולי עלמא. </w:t>
      </w:r>
    </w:p>
    <w:p w14:paraId="78B9964D" w14:textId="77777777" w:rsidR="00246001" w:rsidRPr="001A21CF" w:rsidRDefault="00246001" w:rsidP="003608E7">
      <w:pPr>
        <w:spacing w:after="160" w:line="360" w:lineRule="auto"/>
        <w:jc w:val="both"/>
        <w:rPr>
          <w:rFonts w:ascii="David" w:hAnsi="David"/>
          <w:rtl/>
        </w:rPr>
      </w:pPr>
      <w:r w:rsidRPr="001A21CF">
        <w:rPr>
          <w:rFonts w:ascii="David" w:hAnsi="David"/>
          <w:rtl/>
        </w:rPr>
        <w:t xml:space="preserve">משכך, אנו מורים על הפעלת מאסר מותנה זה (מכוח </w:t>
      </w:r>
      <w:hyperlink r:id="rId71" w:history="1">
        <w:r w:rsidR="00091471" w:rsidRPr="00091471">
          <w:rPr>
            <w:rFonts w:ascii="David" w:hAnsi="David"/>
            <w:color w:val="0000FF"/>
            <w:u w:val="single"/>
            <w:rtl/>
          </w:rPr>
          <w:t>ת.פ. 25246-10-12</w:t>
        </w:r>
      </w:hyperlink>
      <w:r w:rsidRPr="001A21CF">
        <w:rPr>
          <w:rFonts w:ascii="David" w:hAnsi="David"/>
          <w:rtl/>
        </w:rPr>
        <w:t>)</w:t>
      </w:r>
      <w:r w:rsidR="003608E7">
        <w:rPr>
          <w:rFonts w:ascii="David" w:hAnsi="David" w:hint="cs"/>
          <w:rtl/>
        </w:rPr>
        <w:t xml:space="preserve"> </w:t>
      </w:r>
      <w:r w:rsidR="003608E7" w:rsidRPr="003608E7">
        <w:rPr>
          <w:sz w:val="22"/>
          <w:rtl/>
        </w:rPr>
        <w:t>[פורסם בנבו]</w:t>
      </w:r>
      <w:r w:rsidRPr="001A21CF">
        <w:rPr>
          <w:rFonts w:ascii="David" w:hAnsi="David"/>
          <w:rtl/>
        </w:rPr>
        <w:t xml:space="preserve">. בהתאם </w:t>
      </w:r>
      <w:hyperlink r:id="rId72" w:history="1">
        <w:r w:rsidR="00184AFD" w:rsidRPr="00184AFD">
          <w:rPr>
            <w:rStyle w:val="Hyperlink"/>
            <w:rFonts w:ascii="David" w:hAnsi="David"/>
            <w:color w:val="0000FF"/>
            <w:rtl/>
          </w:rPr>
          <w:t>לסעיף 58</w:t>
        </w:r>
      </w:hyperlink>
      <w:r w:rsidRPr="001A21CF">
        <w:rPr>
          <w:rFonts w:ascii="David" w:hAnsi="David"/>
          <w:rtl/>
        </w:rPr>
        <w:t xml:space="preserve"> ל</w:t>
      </w:r>
      <w:hyperlink r:id="rId73" w:history="1">
        <w:r w:rsidR="00091471" w:rsidRPr="00091471">
          <w:rPr>
            <w:rFonts w:ascii="David" w:hAnsi="David"/>
            <w:color w:val="0000FF"/>
            <w:u w:val="single"/>
            <w:rtl/>
          </w:rPr>
          <w:t>חוק העונשין</w:t>
        </w:r>
      </w:hyperlink>
      <w:r w:rsidRPr="001A21CF">
        <w:rPr>
          <w:rFonts w:ascii="David" w:hAnsi="David"/>
          <w:rtl/>
        </w:rPr>
        <w:t xml:space="preserve">, כלל הוא, כי עונש מאסר מותנה המופעל ירוצה במצטבר לעונש המוטל על-ידי בית-המשפט שהפעילו. לא מצאנו טעמים מיוחדים, המצדיקים סטייה מכלל זה. </w:t>
      </w:r>
    </w:p>
    <w:p w14:paraId="02C7F77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לפיכך, אנו מורים על הפעלת עונש מותנה זה במצטבר לעונש המוטל על הנאשם היום. </w:t>
      </w:r>
    </w:p>
    <w:p w14:paraId="4C6D74DC" w14:textId="77777777" w:rsidR="00246001" w:rsidRPr="001A21CF" w:rsidRDefault="00246001" w:rsidP="00246001">
      <w:pPr>
        <w:spacing w:after="160"/>
        <w:jc w:val="both"/>
        <w:rPr>
          <w:rFonts w:ascii="David" w:hAnsi="David"/>
          <w:b/>
          <w:bCs/>
          <w:u w:val="single"/>
          <w:rtl/>
        </w:rPr>
      </w:pPr>
      <w:r w:rsidRPr="001A21CF">
        <w:rPr>
          <w:rFonts w:ascii="David" w:hAnsi="David"/>
          <w:b/>
          <w:bCs/>
          <w:u w:val="single"/>
          <w:rtl/>
        </w:rPr>
        <w:t>פיצויים לקרבנות</w:t>
      </w:r>
    </w:p>
    <w:p w14:paraId="1E28F39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אף בסוגיית הפיצויים לקרבנות העבירות, דעתנו כדעת המאשימה. אמת נכון, משפחתו של הנאשם הוגלתה מביתה ומשכונת מגוריה; אמת נכון, ביתה נשרף במעשה אשר ראוי לכל גינוי. עם זאת, בין זאת ובין חובת הנאשם לפצות את קרבנות מעשיו הנפשעים המזוויעים ומעוררי-האימה אין דבר וחצי דבר. </w:t>
      </w:r>
    </w:p>
    <w:p w14:paraId="2415C644" w14:textId="77777777" w:rsidR="00246001" w:rsidRPr="001A21CF" w:rsidRDefault="00246001" w:rsidP="00246001">
      <w:pPr>
        <w:spacing w:after="160" w:line="360" w:lineRule="auto"/>
        <w:jc w:val="both"/>
        <w:rPr>
          <w:rFonts w:ascii="David" w:hAnsi="David"/>
          <w:rtl/>
        </w:rPr>
      </w:pPr>
      <w:r w:rsidRPr="001A21CF">
        <w:rPr>
          <w:rFonts w:ascii="David" w:hAnsi="David"/>
          <w:b/>
          <w:bCs/>
          <w:rtl/>
        </w:rPr>
        <w:t xml:space="preserve">כמפורט, עיינו עיין היטב בתסקיר נפגעי העבירה אשר הוכן בעניינם של קרבנות-העבירה כולם. </w:t>
      </w:r>
      <w:r w:rsidRPr="001A21CF">
        <w:rPr>
          <w:rFonts w:ascii="David" w:hAnsi="David"/>
          <w:rtl/>
        </w:rPr>
        <w:t xml:space="preserve">לא מצאנו גם ממש בטרוניית ב"כ הנאשם על כך, שעורכות התסקיר לא מצאו לנכון לפגוש את בשאר ונסים הקטינים פן תיגרם רגרסיה במצבם הנפשי. הדברים ברורים ומובנים מאליהם. אין גם צורך בדמיון רב על-מנת להבין מה גודל הטראומה ומה עומק הצלקת שאותה נושאים ארבעת ילדיה של המנוחה בליבם. אם לא די בכך שאימם נרצחה במעשה ברברי ואכזרי באישון-ליל במיטתה על לא עוול בכפה הרי שהם עצמם היו עדים למראות, לזוועות, לאימה. </w:t>
      </w:r>
    </w:p>
    <w:p w14:paraId="7263F372"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כפי שציינה בצדק ב"כ המאשימה בסיכומיה הכתובים, אין סכום כספי בעולם העשוי "להשיב את המצב לקדמותו". אין ספק, שהארבעה ייזקקו לטיפולים נפשיים ורגשיים על-מנת לעבד את האובדן והטראומה ולהגיע למצב בו הם יכולים להמשיך את חייהם בלא שאותו אירוע קשה ילווה אותם בכל צעד ושעל כצל כבד המוטל על עולמם. </w:t>
      </w:r>
    </w:p>
    <w:p w14:paraId="7F7F46F5"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אין ספק, שגם הטלת הסכום המרבי הקבוע בדין (ראו בהרחבה: </w:t>
      </w:r>
      <w:hyperlink r:id="rId74" w:history="1">
        <w:r w:rsidR="00091471" w:rsidRPr="00091471">
          <w:rPr>
            <w:rFonts w:ascii="David" w:hAnsi="David"/>
            <w:color w:val="0000FF"/>
            <w:u w:val="single"/>
            <w:rtl/>
          </w:rPr>
          <w:t>דנ"פ 5625/16</w:t>
        </w:r>
      </w:hyperlink>
      <w:r w:rsidRPr="001A21CF">
        <w:rPr>
          <w:rFonts w:ascii="David" w:hAnsi="David"/>
          <w:rtl/>
        </w:rPr>
        <w:t xml:space="preserve"> </w:t>
      </w:r>
      <w:r w:rsidRPr="001A21CF">
        <w:rPr>
          <w:rFonts w:ascii="David" w:hAnsi="David"/>
          <w:b/>
          <w:bCs/>
          <w:rtl/>
        </w:rPr>
        <w:t xml:space="preserve">מדינת ישראל נ' טווק, </w:t>
      </w:r>
      <w:r w:rsidR="003608E7" w:rsidRPr="003608E7">
        <w:rPr>
          <w:sz w:val="22"/>
          <w:rtl/>
        </w:rPr>
        <w:t xml:space="preserve">[פורסם בנבו] </w:t>
      </w:r>
      <w:r w:rsidRPr="001A21CF">
        <w:rPr>
          <w:rFonts w:ascii="David" w:hAnsi="David"/>
          <w:rtl/>
        </w:rPr>
        <w:t xml:space="preserve">ניתן ביום 13.9.17) כפיצוי במסגרת הליך פלילי אין בו כדי לפצותם כראוי על אובדנם. </w:t>
      </w:r>
    </w:p>
    <w:p w14:paraId="50D23098" w14:textId="77777777" w:rsidR="00246001" w:rsidRPr="001A21CF" w:rsidRDefault="00246001" w:rsidP="00246001">
      <w:pPr>
        <w:spacing w:after="160" w:line="360" w:lineRule="auto"/>
        <w:jc w:val="both"/>
        <w:rPr>
          <w:rFonts w:ascii="David" w:hAnsi="David"/>
          <w:rtl/>
        </w:rPr>
      </w:pPr>
      <w:r w:rsidRPr="001A21CF">
        <w:rPr>
          <w:rFonts w:ascii="David" w:hAnsi="David"/>
          <w:rtl/>
        </w:rPr>
        <w:t xml:space="preserve">עם זאת, יהא בכך כדי לשדר מסר לנאשם ולעבריינים פוטנציאליים אחרים בדבר שאט-הנפש והרגשת הקבס, המלווה את בית-המשפט בבואו לדון בעניינו של אותו רוצח נקלה, אשר גדע חיים בלי היסוס ובלי שינקוף אותו מצפונו.  </w:t>
      </w:r>
    </w:p>
    <w:p w14:paraId="2A9F2058" w14:textId="77777777" w:rsidR="00246001" w:rsidRPr="0098352C" w:rsidRDefault="00246001" w:rsidP="00246001">
      <w:pPr>
        <w:spacing w:after="160"/>
        <w:jc w:val="both"/>
        <w:rPr>
          <w:rFonts w:ascii="David" w:hAnsi="David"/>
          <w:b/>
          <w:bCs/>
          <w:u w:val="single"/>
          <w:rtl/>
        </w:rPr>
      </w:pPr>
      <w:r w:rsidRPr="0098352C">
        <w:rPr>
          <w:rFonts w:ascii="David" w:hAnsi="David"/>
          <w:b/>
          <w:bCs/>
          <w:u w:val="single"/>
          <w:rtl/>
        </w:rPr>
        <w:t xml:space="preserve">סוף דבר </w:t>
      </w:r>
    </w:p>
    <w:p w14:paraId="35A8A3BD" w14:textId="77777777" w:rsidR="00246001" w:rsidRPr="0098352C" w:rsidRDefault="00246001" w:rsidP="00246001">
      <w:pPr>
        <w:spacing w:after="160"/>
        <w:jc w:val="both"/>
        <w:rPr>
          <w:rFonts w:ascii="David" w:hAnsi="David"/>
          <w:rtl/>
        </w:rPr>
      </w:pPr>
      <w:r w:rsidRPr="0098352C">
        <w:rPr>
          <w:rFonts w:ascii="David" w:hAnsi="David" w:hint="cs"/>
          <w:rtl/>
        </w:rPr>
        <w:t>החלטנו</w:t>
      </w:r>
      <w:r w:rsidRPr="0098352C">
        <w:rPr>
          <w:rFonts w:ascii="David" w:hAnsi="David"/>
          <w:rtl/>
        </w:rPr>
        <w:t xml:space="preserve"> להטיל על הנאשם בגין שורת מעשי העבירה שבעשייתם הורשע את  העונשים כדלקמן – </w:t>
      </w:r>
    </w:p>
    <w:p w14:paraId="219E6659" w14:textId="77777777" w:rsidR="00246001" w:rsidRPr="001A21CF" w:rsidRDefault="00246001" w:rsidP="00246001">
      <w:pPr>
        <w:spacing w:after="160" w:line="360" w:lineRule="auto"/>
        <w:jc w:val="both"/>
        <w:rPr>
          <w:rFonts w:ascii="David" w:hAnsi="David"/>
          <w:rtl/>
        </w:rPr>
      </w:pPr>
      <w:r w:rsidRPr="0098352C">
        <w:rPr>
          <w:rFonts w:ascii="David" w:hAnsi="David"/>
          <w:rtl/>
        </w:rPr>
        <w:t xml:space="preserve">(א) מאסר עולם וכן, </w:t>
      </w:r>
      <w:r w:rsidRPr="0098352C">
        <w:rPr>
          <w:rFonts w:ascii="David" w:hAnsi="David"/>
          <w:b/>
          <w:bCs/>
          <w:rtl/>
        </w:rPr>
        <w:t>ובמצטבר</w:t>
      </w:r>
      <w:r w:rsidRPr="0098352C">
        <w:rPr>
          <w:rFonts w:ascii="David" w:hAnsi="David"/>
          <w:rtl/>
        </w:rPr>
        <w:t>, 48 חודשי מאסר נוספים לריצוי בפועל.</w:t>
      </w:r>
      <w:r w:rsidRPr="001A21CF">
        <w:rPr>
          <w:rFonts w:ascii="David" w:hAnsi="David"/>
          <w:rtl/>
        </w:rPr>
        <w:t xml:space="preserve"> </w:t>
      </w:r>
    </w:p>
    <w:p w14:paraId="54C93242" w14:textId="77777777" w:rsidR="00246001" w:rsidRPr="001A21CF" w:rsidRDefault="00246001" w:rsidP="00246001">
      <w:pPr>
        <w:spacing w:after="160" w:line="360" w:lineRule="auto"/>
        <w:jc w:val="both"/>
        <w:rPr>
          <w:rFonts w:ascii="David" w:hAnsi="David"/>
          <w:b/>
          <w:bCs/>
          <w:rtl/>
        </w:rPr>
      </w:pPr>
      <w:r w:rsidRPr="001A21CF">
        <w:rPr>
          <w:rFonts w:ascii="David" w:hAnsi="David"/>
          <w:rtl/>
        </w:rPr>
        <w:t>(ב) מופעל בזאת עונש מאסר על-תנאי בן 6 חודשים (מ-</w:t>
      </w:r>
      <w:hyperlink r:id="rId75" w:history="1">
        <w:r w:rsidR="00091471" w:rsidRPr="00091471">
          <w:rPr>
            <w:rFonts w:ascii="David" w:hAnsi="David"/>
            <w:color w:val="0000FF"/>
            <w:u w:val="single"/>
            <w:rtl/>
          </w:rPr>
          <w:t>ת.פ. 25246-10-12</w:t>
        </w:r>
      </w:hyperlink>
      <w:r w:rsidRPr="001A21CF">
        <w:rPr>
          <w:rFonts w:ascii="David" w:hAnsi="David"/>
          <w:rtl/>
        </w:rPr>
        <w:t xml:space="preserve">) </w:t>
      </w:r>
      <w:r w:rsidR="003608E7" w:rsidRPr="003608E7">
        <w:rPr>
          <w:sz w:val="22"/>
          <w:rtl/>
        </w:rPr>
        <w:t xml:space="preserve">[פורסם בנבו] </w:t>
      </w:r>
      <w:r w:rsidRPr="001A21CF">
        <w:rPr>
          <w:rFonts w:ascii="David" w:hAnsi="David"/>
          <w:b/>
          <w:bCs/>
          <w:rtl/>
        </w:rPr>
        <w:t>במצטבר</w:t>
      </w:r>
      <w:r w:rsidRPr="001A21CF">
        <w:rPr>
          <w:rFonts w:ascii="David" w:hAnsi="David"/>
          <w:rtl/>
        </w:rPr>
        <w:t xml:space="preserve"> לעונש המוטל על הנאשם היום. </w:t>
      </w:r>
      <w:r w:rsidRPr="001A21CF">
        <w:rPr>
          <w:rFonts w:ascii="David" w:hAnsi="David"/>
          <w:b/>
          <w:bCs/>
          <w:rtl/>
        </w:rPr>
        <w:t>כך, יהא על הנאשם לרצות</w:t>
      </w:r>
      <w:r w:rsidRPr="001A21CF">
        <w:rPr>
          <w:rFonts w:ascii="David" w:hAnsi="David"/>
          <w:rtl/>
        </w:rPr>
        <w:t xml:space="preserve"> </w:t>
      </w:r>
      <w:r w:rsidRPr="001A21CF">
        <w:rPr>
          <w:rFonts w:ascii="David" w:hAnsi="David"/>
          <w:b/>
          <w:bCs/>
          <w:rtl/>
        </w:rPr>
        <w:t xml:space="preserve">תקופה כוללת של 54 חודשי מאסר במצטבר לעונש מאסר עולם. </w:t>
      </w:r>
    </w:p>
    <w:p w14:paraId="4599E438" w14:textId="77777777" w:rsidR="00246001" w:rsidRDefault="00246001" w:rsidP="00246001">
      <w:pPr>
        <w:spacing w:after="160" w:line="360" w:lineRule="auto"/>
        <w:jc w:val="both"/>
        <w:rPr>
          <w:rFonts w:ascii="David" w:hAnsi="David"/>
          <w:rtl/>
        </w:rPr>
      </w:pPr>
      <w:r w:rsidRPr="0098352C">
        <w:rPr>
          <w:rFonts w:ascii="David" w:hAnsi="David"/>
          <w:rtl/>
        </w:rPr>
        <w:t xml:space="preserve">(ג) מעונש זה תנוכה (ככל שעונשו ייקצב) תקופת מעצרו של הנאשם החל ביום 1.5.16. עם זאת, </w:t>
      </w:r>
      <w:r w:rsidRPr="0098352C">
        <w:rPr>
          <w:rFonts w:ascii="David" w:hAnsi="David"/>
          <w:b/>
          <w:bCs/>
          <w:rtl/>
        </w:rPr>
        <w:t>לא תנוכה מתקופת המאסר הנ"ל תקופה בת 11 חודשי מאסר</w:t>
      </w:r>
      <w:r w:rsidRPr="0098352C">
        <w:rPr>
          <w:rFonts w:ascii="David" w:hAnsi="David"/>
          <w:rtl/>
        </w:rPr>
        <w:t>,</w:t>
      </w:r>
      <w:r w:rsidRPr="0098352C">
        <w:rPr>
          <w:rFonts w:ascii="David" w:hAnsi="David"/>
          <w:b/>
          <w:bCs/>
          <w:rtl/>
        </w:rPr>
        <w:t xml:space="preserve"> </w:t>
      </w:r>
      <w:r w:rsidRPr="0098352C">
        <w:rPr>
          <w:rFonts w:ascii="David" w:hAnsi="David" w:hint="cs"/>
          <w:b/>
          <w:bCs/>
          <w:rtl/>
        </w:rPr>
        <w:t>שאותה ריצה הנאשם, כפועל יוצא של גזרי הדין אשר ניתנו בעניינו במהלך תקופת מעצרו.</w:t>
      </w:r>
      <w:r>
        <w:rPr>
          <w:rFonts w:ascii="David" w:hAnsi="David" w:hint="cs"/>
          <w:b/>
          <w:bCs/>
          <w:rtl/>
        </w:rPr>
        <w:t xml:space="preserve"> </w:t>
      </w:r>
    </w:p>
    <w:p w14:paraId="3BD514CE" w14:textId="77777777" w:rsidR="00246001" w:rsidRPr="0098352C" w:rsidRDefault="00246001" w:rsidP="00246001">
      <w:pPr>
        <w:spacing w:after="160" w:line="360" w:lineRule="auto"/>
        <w:jc w:val="both"/>
        <w:rPr>
          <w:rFonts w:ascii="David" w:hAnsi="David"/>
          <w:sz w:val="2"/>
          <w:szCs w:val="2"/>
          <w:rtl/>
        </w:rPr>
      </w:pPr>
      <w:r w:rsidRPr="001A21CF">
        <w:rPr>
          <w:rFonts w:ascii="David" w:hAnsi="David"/>
          <w:rtl/>
        </w:rPr>
        <w:t>(</w:t>
      </w:r>
      <w:r>
        <w:rPr>
          <w:rFonts w:ascii="David" w:hAnsi="David" w:hint="cs"/>
          <w:rtl/>
        </w:rPr>
        <w:t>ד</w:t>
      </w:r>
      <w:r w:rsidRPr="001A21CF">
        <w:rPr>
          <w:rFonts w:ascii="David" w:hAnsi="David"/>
          <w:rtl/>
        </w:rPr>
        <w:t xml:space="preserve">) מוטלים על הנאשם 18 חודשי מאסר על תנאי למשך שלוש שנים לבל יעבור עבירה מסוג פשע שיש בה יסוד של איום או אלימות. </w:t>
      </w:r>
    </w:p>
    <w:p w14:paraId="788C0237" w14:textId="77777777" w:rsidR="00246001" w:rsidRPr="001A21CF" w:rsidRDefault="00246001" w:rsidP="00246001">
      <w:pPr>
        <w:spacing w:after="160" w:line="360" w:lineRule="auto"/>
        <w:jc w:val="both"/>
        <w:rPr>
          <w:rFonts w:ascii="David" w:hAnsi="David"/>
          <w:rtl/>
        </w:rPr>
      </w:pPr>
      <w:r w:rsidRPr="0098352C">
        <w:rPr>
          <w:rFonts w:ascii="David" w:hAnsi="David"/>
          <w:rtl/>
        </w:rPr>
        <w:t>(</w:t>
      </w:r>
      <w:r>
        <w:rPr>
          <w:rFonts w:ascii="David" w:hAnsi="David" w:hint="cs"/>
          <w:rtl/>
        </w:rPr>
        <w:t>ה</w:t>
      </w:r>
      <w:r w:rsidRPr="0098352C">
        <w:rPr>
          <w:rFonts w:ascii="David" w:hAnsi="David"/>
          <w:rtl/>
        </w:rPr>
        <w:t xml:space="preserve">) על הנאשם לפצות את ארבעת ילדי המנוחה (נסראת, ננסי, נסים ובשאר) בסך כולל של 258,000 ₪ אשר יחולק </w:t>
      </w:r>
      <w:r w:rsidRPr="0098352C">
        <w:rPr>
          <w:rFonts w:ascii="David" w:hAnsi="David" w:hint="cs"/>
          <w:rtl/>
        </w:rPr>
        <w:t xml:space="preserve">באופן שווה </w:t>
      </w:r>
      <w:r w:rsidRPr="0098352C">
        <w:rPr>
          <w:rFonts w:ascii="David" w:hAnsi="David"/>
          <w:rtl/>
        </w:rPr>
        <w:t>בין הארבעה. הסכום יופקד ב - 60 תשלומים החל מיום 1.9.20 בקופת בית המשפט, ויועבר לילדי המנוחה על פי פרטים עדכניים שיימסרו בידי המאשימה עד ליום 1.7.20.</w:t>
      </w:r>
      <w:r w:rsidRPr="001A21CF">
        <w:rPr>
          <w:rFonts w:ascii="David" w:hAnsi="David"/>
          <w:rtl/>
        </w:rPr>
        <w:t xml:space="preserve"> </w:t>
      </w:r>
    </w:p>
    <w:p w14:paraId="2E3E00F3" w14:textId="77777777" w:rsidR="00246001" w:rsidRPr="001A21CF" w:rsidRDefault="00246001" w:rsidP="00246001">
      <w:pPr>
        <w:spacing w:after="160" w:line="360" w:lineRule="auto"/>
        <w:jc w:val="both"/>
        <w:rPr>
          <w:rFonts w:ascii="David" w:hAnsi="David"/>
          <w:rtl/>
        </w:rPr>
      </w:pPr>
      <w:r w:rsidRPr="001A21CF">
        <w:rPr>
          <w:rFonts w:ascii="David" w:hAnsi="David"/>
          <w:b/>
          <w:bCs/>
          <w:rtl/>
        </w:rPr>
        <w:t>נאסר על הנאשם או מי מטעמו לפנות אל ילדי המנוחה או מי מטעמם לגבי הפיצויים</w:t>
      </w:r>
      <w:r w:rsidRPr="001A21CF">
        <w:rPr>
          <w:rFonts w:ascii="David" w:hAnsi="David"/>
          <w:rtl/>
        </w:rPr>
        <w:t>.</w:t>
      </w:r>
    </w:p>
    <w:p w14:paraId="1BB7459E" w14:textId="77777777" w:rsidR="00246001" w:rsidRPr="001A21CF" w:rsidRDefault="00246001" w:rsidP="00246001">
      <w:pPr>
        <w:spacing w:after="160" w:line="360" w:lineRule="auto"/>
        <w:jc w:val="both"/>
        <w:rPr>
          <w:rFonts w:ascii="David" w:hAnsi="David"/>
          <w:rtl/>
        </w:rPr>
      </w:pPr>
      <w:r w:rsidRPr="001A21CF">
        <w:rPr>
          <w:rFonts w:ascii="David" w:hAnsi="David"/>
          <w:b/>
          <w:bCs/>
          <w:rtl/>
        </w:rPr>
        <w:t xml:space="preserve">זכות ערעור כחוק. </w:t>
      </w:r>
    </w:p>
    <w:p w14:paraId="60F681FB" w14:textId="77777777" w:rsidR="00246001" w:rsidRPr="001A21CF" w:rsidRDefault="00246001" w:rsidP="00246001">
      <w:pPr>
        <w:rPr>
          <w:rtl/>
        </w:rPr>
      </w:pPr>
    </w:p>
    <w:p w14:paraId="6BE5743D" w14:textId="77777777" w:rsidR="00246001" w:rsidRPr="003608E7" w:rsidRDefault="00091471" w:rsidP="00091471">
      <w:pPr>
        <w:jc w:val="center"/>
        <w:rPr>
          <w:b/>
          <w:bCs/>
        </w:rPr>
      </w:pPr>
      <w:bookmarkStart w:id="7" w:name="Nitan"/>
      <w:r w:rsidRPr="003608E7">
        <w:rPr>
          <w:rFonts w:ascii="Arial" w:hAnsi="Arial"/>
          <w:b/>
          <w:bCs/>
          <w:rtl/>
        </w:rPr>
        <w:t xml:space="preserve">ניתן היום,  כ"ב סיוון תש"פ, 14 יוני 2020, במעמד באי כוח הצדדים והנאשם בהיוועדות חזותית. </w:t>
      </w:r>
      <w:bookmarkEnd w:id="7"/>
      <w:r w:rsidR="00246001" w:rsidRPr="003608E7">
        <w:rPr>
          <w:rFonts w:hint="cs"/>
          <w:b/>
          <w:bCs/>
          <w:rtl/>
        </w:rPr>
        <w:t xml:space="preserve">   </w:t>
      </w:r>
      <w:r w:rsidR="00246001" w:rsidRPr="003608E7">
        <w:rPr>
          <w:rFonts w:hint="cs"/>
          <w:b/>
          <w:bCs/>
          <w:rtl/>
        </w:rPr>
        <w:tab/>
      </w:r>
      <w:r w:rsidR="00246001" w:rsidRPr="003608E7">
        <w:rPr>
          <w:rFonts w:hint="cs"/>
          <w:b/>
          <w:bCs/>
          <w:rtl/>
        </w:rPr>
        <w:tab/>
      </w:r>
      <w:r w:rsidR="00246001" w:rsidRPr="003608E7">
        <w:rPr>
          <w:rFonts w:hint="cs"/>
          <w:b/>
          <w:bCs/>
          <w:rtl/>
        </w:rPr>
        <w:tab/>
      </w:r>
      <w:r w:rsidR="00246001" w:rsidRPr="003608E7">
        <w:rPr>
          <w:rFonts w:hint="cs"/>
          <w:b/>
          <w:bCs/>
          <w:rtl/>
        </w:rPr>
        <w:tab/>
      </w:r>
      <w:r w:rsidR="00246001" w:rsidRPr="003608E7">
        <w:rPr>
          <w:rFonts w:hint="cs"/>
          <w:b/>
          <w:bCs/>
          <w:rtl/>
        </w:rPr>
        <w:tab/>
      </w:r>
    </w:p>
    <w:p w14:paraId="5CA9443D" w14:textId="77777777" w:rsidR="00246001" w:rsidRDefault="00246001" w:rsidP="00246001">
      <w:pPr>
        <w:jc w:val="center"/>
        <w:rPr>
          <w:rFonts w:ascii="Arial" w:hAnsi="Arial" w:cs="FrankRuehl"/>
          <w:sz w:val="28"/>
          <w:szCs w:val="28"/>
          <w:rtl/>
        </w:rPr>
      </w:pPr>
    </w:p>
    <w:tbl>
      <w:tblPr>
        <w:bidiVisual/>
        <w:tblW w:w="0" w:type="auto"/>
        <w:tblLook w:val="01E0" w:firstRow="1" w:lastRow="1" w:firstColumn="1" w:lastColumn="1" w:noHBand="0" w:noVBand="0"/>
      </w:tblPr>
      <w:tblGrid>
        <w:gridCol w:w="2954"/>
        <w:gridCol w:w="236"/>
        <w:gridCol w:w="2513"/>
        <w:gridCol w:w="236"/>
        <w:gridCol w:w="2566"/>
      </w:tblGrid>
      <w:tr w:rsidR="00246001" w14:paraId="060260D6" w14:textId="77777777" w:rsidTr="00246001">
        <w:tc>
          <w:tcPr>
            <w:tcW w:w="2954" w:type="dxa"/>
            <w:tcBorders>
              <w:top w:val="nil"/>
              <w:left w:val="nil"/>
              <w:bottom w:val="single" w:sz="4" w:space="0" w:color="auto"/>
              <w:right w:val="nil"/>
            </w:tcBorders>
            <w:shd w:val="clear" w:color="auto" w:fill="auto"/>
            <w:vAlign w:val="bottom"/>
          </w:tcPr>
          <w:p w14:paraId="64ABD091" w14:textId="77777777" w:rsidR="00246001" w:rsidRPr="00246001" w:rsidRDefault="00246001" w:rsidP="00246001">
            <w:pPr>
              <w:jc w:val="center"/>
              <w:rPr>
                <w:rFonts w:ascii="Courier New" w:hAnsi="Courier New"/>
                <w:b/>
                <w:bCs/>
                <w:rtl/>
              </w:rPr>
            </w:pPr>
          </w:p>
        </w:tc>
        <w:tc>
          <w:tcPr>
            <w:tcW w:w="236" w:type="dxa"/>
            <w:shd w:val="clear" w:color="auto" w:fill="auto"/>
            <w:vAlign w:val="bottom"/>
          </w:tcPr>
          <w:p w14:paraId="2E6D46E9" w14:textId="77777777" w:rsidR="00246001" w:rsidRPr="00246001" w:rsidRDefault="00246001" w:rsidP="00246001">
            <w:pPr>
              <w:jc w:val="center"/>
              <w:rPr>
                <w:rFonts w:ascii="Courier New" w:hAnsi="Courier New"/>
                <w:b/>
                <w:bCs/>
              </w:rPr>
            </w:pPr>
          </w:p>
        </w:tc>
        <w:tc>
          <w:tcPr>
            <w:tcW w:w="2513" w:type="dxa"/>
            <w:tcBorders>
              <w:top w:val="nil"/>
              <w:left w:val="nil"/>
              <w:bottom w:val="single" w:sz="4" w:space="0" w:color="auto"/>
              <w:right w:val="nil"/>
            </w:tcBorders>
            <w:shd w:val="clear" w:color="auto" w:fill="auto"/>
            <w:vAlign w:val="bottom"/>
          </w:tcPr>
          <w:p w14:paraId="31461244" w14:textId="77777777" w:rsidR="00246001" w:rsidRPr="00246001" w:rsidRDefault="00246001" w:rsidP="00246001">
            <w:pPr>
              <w:jc w:val="center"/>
              <w:rPr>
                <w:rFonts w:ascii="Courier New" w:hAnsi="Courier New"/>
                <w:b/>
                <w:bCs/>
              </w:rPr>
            </w:pPr>
          </w:p>
        </w:tc>
        <w:tc>
          <w:tcPr>
            <w:tcW w:w="236" w:type="dxa"/>
            <w:shd w:val="clear" w:color="auto" w:fill="auto"/>
            <w:vAlign w:val="bottom"/>
          </w:tcPr>
          <w:p w14:paraId="68378854" w14:textId="77777777" w:rsidR="00246001" w:rsidRPr="00246001" w:rsidRDefault="00246001" w:rsidP="00246001">
            <w:pPr>
              <w:jc w:val="center"/>
              <w:rPr>
                <w:rFonts w:ascii="Courier New" w:hAnsi="Courier New"/>
                <w:b/>
                <w:bCs/>
              </w:rPr>
            </w:pPr>
          </w:p>
        </w:tc>
        <w:tc>
          <w:tcPr>
            <w:tcW w:w="2566" w:type="dxa"/>
            <w:tcBorders>
              <w:top w:val="nil"/>
              <w:left w:val="nil"/>
              <w:bottom w:val="single" w:sz="4" w:space="0" w:color="auto"/>
              <w:right w:val="nil"/>
            </w:tcBorders>
            <w:shd w:val="clear" w:color="auto" w:fill="auto"/>
            <w:vAlign w:val="bottom"/>
          </w:tcPr>
          <w:p w14:paraId="3575DF40" w14:textId="77777777" w:rsidR="00246001" w:rsidRPr="00246001" w:rsidRDefault="00246001" w:rsidP="00246001">
            <w:pPr>
              <w:jc w:val="center"/>
              <w:rPr>
                <w:rFonts w:ascii="Courier New" w:hAnsi="Courier New"/>
                <w:b/>
                <w:bCs/>
              </w:rPr>
            </w:pPr>
          </w:p>
        </w:tc>
      </w:tr>
      <w:tr w:rsidR="00246001" w14:paraId="77457CD8" w14:textId="77777777" w:rsidTr="00246001">
        <w:tc>
          <w:tcPr>
            <w:tcW w:w="2954" w:type="dxa"/>
            <w:tcBorders>
              <w:top w:val="single" w:sz="4" w:space="0" w:color="auto"/>
              <w:left w:val="nil"/>
              <w:bottom w:val="nil"/>
              <w:right w:val="nil"/>
            </w:tcBorders>
            <w:shd w:val="clear" w:color="auto" w:fill="auto"/>
          </w:tcPr>
          <w:p w14:paraId="2449A944" w14:textId="77777777" w:rsidR="00246001" w:rsidRPr="00246001" w:rsidRDefault="00246001" w:rsidP="00246001">
            <w:pPr>
              <w:jc w:val="center"/>
              <w:rPr>
                <w:b/>
                <w:bCs/>
                <w:noProof/>
                <w:rtl/>
              </w:rPr>
            </w:pPr>
            <w:r w:rsidRPr="00246001">
              <w:rPr>
                <w:rFonts w:hint="cs"/>
                <w:b/>
                <w:bCs/>
                <w:rtl/>
              </w:rPr>
              <w:t>ד. סלע, סגנית הנשיא</w:t>
            </w:r>
          </w:p>
          <w:p w14:paraId="38EF6008" w14:textId="77777777" w:rsidR="00246001" w:rsidRPr="00246001" w:rsidRDefault="00246001" w:rsidP="00246001">
            <w:pPr>
              <w:spacing w:line="360" w:lineRule="auto"/>
              <w:jc w:val="center"/>
              <w:rPr>
                <w:b/>
                <w:bCs/>
                <w:noProof/>
              </w:rPr>
            </w:pPr>
            <w:r w:rsidRPr="00246001">
              <w:rPr>
                <w:rFonts w:hint="cs"/>
                <w:b/>
                <w:bCs/>
                <w:rtl/>
              </w:rPr>
              <w:t>[אב"ד]</w:t>
            </w:r>
          </w:p>
        </w:tc>
        <w:tc>
          <w:tcPr>
            <w:tcW w:w="236" w:type="dxa"/>
            <w:shd w:val="clear" w:color="auto" w:fill="auto"/>
          </w:tcPr>
          <w:p w14:paraId="5243F3F0" w14:textId="77777777" w:rsidR="00246001" w:rsidRPr="00246001" w:rsidRDefault="00246001" w:rsidP="00246001">
            <w:pPr>
              <w:spacing w:line="360" w:lineRule="auto"/>
              <w:jc w:val="both"/>
              <w:rPr>
                <w:b/>
                <w:bCs/>
                <w:noProof/>
              </w:rPr>
            </w:pPr>
          </w:p>
        </w:tc>
        <w:tc>
          <w:tcPr>
            <w:tcW w:w="2513" w:type="dxa"/>
            <w:tcBorders>
              <w:top w:val="single" w:sz="4" w:space="0" w:color="auto"/>
              <w:left w:val="nil"/>
              <w:bottom w:val="nil"/>
              <w:right w:val="nil"/>
            </w:tcBorders>
            <w:shd w:val="clear" w:color="auto" w:fill="auto"/>
          </w:tcPr>
          <w:p w14:paraId="13F220A5" w14:textId="77777777" w:rsidR="00246001" w:rsidRPr="00246001" w:rsidRDefault="00246001" w:rsidP="00246001">
            <w:pPr>
              <w:spacing w:line="360" w:lineRule="auto"/>
              <w:jc w:val="center"/>
              <w:rPr>
                <w:b/>
                <w:bCs/>
                <w:noProof/>
                <w:rtl/>
              </w:rPr>
            </w:pPr>
            <w:r w:rsidRPr="00246001">
              <w:rPr>
                <w:rFonts w:hint="cs"/>
                <w:b/>
                <w:bCs/>
                <w:noProof/>
                <w:rtl/>
              </w:rPr>
              <w:t>א. לוי, שופט</w:t>
            </w:r>
          </w:p>
        </w:tc>
        <w:tc>
          <w:tcPr>
            <w:tcW w:w="236" w:type="dxa"/>
            <w:shd w:val="clear" w:color="auto" w:fill="auto"/>
          </w:tcPr>
          <w:p w14:paraId="4ADB2758" w14:textId="77777777" w:rsidR="00246001" w:rsidRPr="00246001" w:rsidRDefault="00246001" w:rsidP="00246001">
            <w:pPr>
              <w:spacing w:line="360" w:lineRule="auto"/>
              <w:jc w:val="both"/>
              <w:rPr>
                <w:b/>
                <w:bCs/>
                <w:noProof/>
              </w:rPr>
            </w:pPr>
          </w:p>
        </w:tc>
        <w:tc>
          <w:tcPr>
            <w:tcW w:w="2566" w:type="dxa"/>
            <w:tcBorders>
              <w:top w:val="single" w:sz="4" w:space="0" w:color="auto"/>
              <w:left w:val="nil"/>
              <w:bottom w:val="nil"/>
              <w:right w:val="nil"/>
            </w:tcBorders>
            <w:shd w:val="clear" w:color="auto" w:fill="auto"/>
          </w:tcPr>
          <w:p w14:paraId="548126CC" w14:textId="77777777" w:rsidR="00091471" w:rsidRDefault="00246001" w:rsidP="00246001">
            <w:pPr>
              <w:spacing w:line="360" w:lineRule="auto"/>
              <w:jc w:val="center"/>
              <w:rPr>
                <w:b/>
                <w:bCs/>
                <w:noProof/>
              </w:rPr>
            </w:pPr>
            <w:r w:rsidRPr="00246001">
              <w:rPr>
                <w:rFonts w:hint="cs"/>
                <w:b/>
                <w:bCs/>
                <w:rtl/>
              </w:rPr>
              <w:t>ע. קוטון, שופט</w:t>
            </w:r>
          </w:p>
          <w:p w14:paraId="79BA330D" w14:textId="77777777" w:rsidR="00246001" w:rsidRPr="00246001" w:rsidRDefault="00246001" w:rsidP="00246001">
            <w:pPr>
              <w:spacing w:line="360" w:lineRule="auto"/>
              <w:jc w:val="center"/>
              <w:rPr>
                <w:b/>
                <w:bCs/>
                <w:noProof/>
              </w:rPr>
            </w:pPr>
          </w:p>
        </w:tc>
      </w:tr>
    </w:tbl>
    <w:p w14:paraId="3FD365E0" w14:textId="77777777" w:rsidR="00246001" w:rsidRPr="00091471" w:rsidRDefault="00091471" w:rsidP="00246001">
      <w:pPr>
        <w:rPr>
          <w:color w:val="FFFFFF"/>
          <w:sz w:val="2"/>
          <w:szCs w:val="2"/>
          <w:rtl/>
        </w:rPr>
      </w:pPr>
      <w:r w:rsidRPr="00091471">
        <w:rPr>
          <w:color w:val="FFFFFF"/>
          <w:sz w:val="2"/>
          <w:szCs w:val="2"/>
          <w:rtl/>
        </w:rPr>
        <w:t>5129371</w:t>
      </w:r>
    </w:p>
    <w:p w14:paraId="2BF82282" w14:textId="77777777" w:rsidR="00246001" w:rsidRPr="00091471" w:rsidRDefault="00091471" w:rsidP="00246001">
      <w:pPr>
        <w:rPr>
          <w:color w:val="FFFFFF"/>
          <w:sz w:val="2"/>
          <w:szCs w:val="2"/>
          <w:rtl/>
        </w:rPr>
      </w:pPr>
      <w:r w:rsidRPr="00091471">
        <w:rPr>
          <w:color w:val="FFFFFF"/>
          <w:sz w:val="2"/>
          <w:szCs w:val="2"/>
          <w:rtl/>
        </w:rPr>
        <w:t>54678313</w:t>
      </w:r>
    </w:p>
    <w:p w14:paraId="6950B0C9" w14:textId="77777777" w:rsidR="00246001" w:rsidRDefault="00246001" w:rsidP="00246001">
      <w:pPr>
        <w:rPr>
          <w:rtl/>
        </w:rPr>
      </w:pPr>
    </w:p>
    <w:p w14:paraId="579B0DDF" w14:textId="77777777" w:rsidR="00091471" w:rsidRDefault="00091471" w:rsidP="00091471">
      <w:pPr>
        <w:rPr>
          <w:rtl/>
        </w:rPr>
      </w:pPr>
    </w:p>
    <w:p w14:paraId="727011B4" w14:textId="77777777" w:rsidR="00091471" w:rsidRDefault="00091471" w:rsidP="00091471">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50642398" w14:textId="77777777" w:rsidR="00184AFD" w:rsidRPr="00184AFD" w:rsidRDefault="00184AFD" w:rsidP="00184AFD">
      <w:pPr>
        <w:keepNext/>
        <w:rPr>
          <w:rFonts w:ascii="David" w:hAnsi="David"/>
          <w:color w:val="000000"/>
          <w:sz w:val="22"/>
          <w:szCs w:val="22"/>
          <w:rtl/>
        </w:rPr>
      </w:pPr>
    </w:p>
    <w:p w14:paraId="2CB66C24" w14:textId="77777777" w:rsidR="00184AFD" w:rsidRPr="00184AFD" w:rsidRDefault="00184AFD" w:rsidP="00184AFD">
      <w:pPr>
        <w:keepNext/>
        <w:rPr>
          <w:rFonts w:ascii="David" w:hAnsi="David"/>
          <w:color w:val="000000"/>
          <w:sz w:val="22"/>
          <w:szCs w:val="22"/>
          <w:rtl/>
        </w:rPr>
      </w:pPr>
      <w:r w:rsidRPr="00184AFD">
        <w:rPr>
          <w:rFonts w:ascii="David" w:hAnsi="David"/>
          <w:color w:val="000000"/>
          <w:sz w:val="22"/>
          <w:szCs w:val="22"/>
          <w:rtl/>
        </w:rPr>
        <w:t>דיאנה סלע 54678313-/</w:t>
      </w:r>
    </w:p>
    <w:p w14:paraId="6D5F6676" w14:textId="77777777" w:rsidR="00091471" w:rsidRPr="00091471" w:rsidRDefault="00184AFD" w:rsidP="00184AFD">
      <w:pPr>
        <w:rPr>
          <w:color w:val="0000FF"/>
          <w:u w:val="single"/>
        </w:rPr>
      </w:pPr>
      <w:r w:rsidRPr="00184AFD">
        <w:rPr>
          <w:color w:val="000000"/>
          <w:u w:val="single"/>
          <w:rtl/>
        </w:rPr>
        <w:t>נוסח מסמך זה כפוף לשינויי ניסוח ועריכה</w:t>
      </w:r>
    </w:p>
    <w:sectPr w:rsidR="00091471" w:rsidRPr="00091471" w:rsidSect="00184AFD">
      <w:headerReference w:type="even" r:id="rId77"/>
      <w:headerReference w:type="default" r:id="rId78"/>
      <w:footerReference w:type="even" r:id="rId79"/>
      <w:footerReference w:type="default" r:id="rId80"/>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83699" w14:textId="77777777" w:rsidR="00BD311E" w:rsidRDefault="00BD311E" w:rsidP="00CF4DAF">
      <w:r>
        <w:separator/>
      </w:r>
    </w:p>
  </w:endnote>
  <w:endnote w:type="continuationSeparator" w:id="0">
    <w:p w14:paraId="3FEA4E79" w14:textId="77777777" w:rsidR="00BD311E" w:rsidRDefault="00BD311E" w:rsidP="00CF4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AE845" w14:textId="77777777" w:rsidR="00184AFD" w:rsidRDefault="00184AFD" w:rsidP="00184A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3D81D2" w14:textId="77777777" w:rsidR="008F7D2A" w:rsidRPr="00184AFD" w:rsidRDefault="00184AFD" w:rsidP="00184AFD">
    <w:pPr>
      <w:pStyle w:val="a5"/>
      <w:pBdr>
        <w:top w:val="single" w:sz="4" w:space="1" w:color="auto"/>
        <w:between w:val="single" w:sz="4" w:space="0" w:color="auto"/>
      </w:pBdr>
      <w:spacing w:after="60"/>
      <w:jc w:val="center"/>
      <w:rPr>
        <w:rFonts w:ascii="FrankRuehl" w:hAnsi="FrankRuehl" w:cs="FrankRuehl"/>
        <w:color w:val="000000"/>
      </w:rPr>
    </w:pPr>
    <w:r w:rsidRPr="00184A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FC04" w14:textId="77777777" w:rsidR="00184AFD" w:rsidRDefault="00184AFD" w:rsidP="00184A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45478">
      <w:rPr>
        <w:rFonts w:ascii="FrankRuehl" w:hAnsi="FrankRuehl" w:cs="FrankRuehl"/>
        <w:noProof/>
        <w:rtl/>
      </w:rPr>
      <w:t>1</w:t>
    </w:r>
    <w:r>
      <w:rPr>
        <w:rFonts w:ascii="FrankRuehl" w:hAnsi="FrankRuehl" w:cs="FrankRuehl"/>
        <w:rtl/>
      </w:rPr>
      <w:fldChar w:fldCharType="end"/>
    </w:r>
  </w:p>
  <w:p w14:paraId="6E872042" w14:textId="77777777" w:rsidR="008F7D2A" w:rsidRPr="00184AFD" w:rsidRDefault="00184AFD" w:rsidP="00184AFD">
    <w:pPr>
      <w:pStyle w:val="a5"/>
      <w:pBdr>
        <w:top w:val="single" w:sz="4" w:space="1" w:color="auto"/>
        <w:between w:val="single" w:sz="4" w:space="0" w:color="auto"/>
      </w:pBdr>
      <w:spacing w:after="60"/>
      <w:jc w:val="center"/>
      <w:rPr>
        <w:rFonts w:ascii="FrankRuehl" w:hAnsi="FrankRuehl" w:cs="FrankRuehl"/>
        <w:color w:val="000000"/>
      </w:rPr>
    </w:pPr>
    <w:r w:rsidRPr="00184AFD">
      <w:rPr>
        <w:rFonts w:ascii="FrankRuehl" w:hAnsi="FrankRuehl" w:cs="FrankRuehl"/>
        <w:color w:val="000000"/>
      </w:rPr>
      <w:pict w14:anchorId="10436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9A24F" w14:textId="77777777" w:rsidR="00BD311E" w:rsidRDefault="00BD311E" w:rsidP="00CF4DAF">
      <w:r>
        <w:separator/>
      </w:r>
    </w:p>
  </w:footnote>
  <w:footnote w:type="continuationSeparator" w:id="0">
    <w:p w14:paraId="0D5FD395" w14:textId="77777777" w:rsidR="00BD311E" w:rsidRDefault="00BD311E" w:rsidP="00CF4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C6E44" w14:textId="77777777" w:rsidR="00091471" w:rsidRPr="00184AFD" w:rsidRDefault="00184AFD" w:rsidP="00184A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5551-06-16</w:t>
    </w:r>
    <w:r>
      <w:rPr>
        <w:rFonts w:ascii="David" w:hAnsi="David"/>
        <w:color w:val="000000"/>
        <w:sz w:val="22"/>
        <w:szCs w:val="22"/>
        <w:rtl/>
      </w:rPr>
      <w:tab/>
      <w:t xml:space="preserve"> מדינת ישראל נ' אשרף טחימר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7C65A" w14:textId="77777777" w:rsidR="00091471" w:rsidRPr="00184AFD" w:rsidRDefault="00184AFD" w:rsidP="00184A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5551-06-16</w:t>
    </w:r>
    <w:r>
      <w:rPr>
        <w:rFonts w:ascii="David" w:hAnsi="David"/>
        <w:color w:val="000000"/>
        <w:sz w:val="22"/>
        <w:szCs w:val="22"/>
        <w:rtl/>
      </w:rPr>
      <w:tab/>
      <w:t xml:space="preserve"> מדינת ישראל נ' אשרף טחימר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46001"/>
    <w:rsid w:val="00091471"/>
    <w:rsid w:val="00184AFD"/>
    <w:rsid w:val="001E1BC9"/>
    <w:rsid w:val="00246001"/>
    <w:rsid w:val="003608E7"/>
    <w:rsid w:val="0040055D"/>
    <w:rsid w:val="0044603D"/>
    <w:rsid w:val="006F5F1C"/>
    <w:rsid w:val="00845478"/>
    <w:rsid w:val="008F7D2A"/>
    <w:rsid w:val="00A62DB2"/>
    <w:rsid w:val="00A920DF"/>
    <w:rsid w:val="00BD311E"/>
    <w:rsid w:val="00C501AB"/>
    <w:rsid w:val="00CF4D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2700AD"/>
  <w15:chartTrackingRefBased/>
  <w15:docId w15:val="{89B7C314-FBE1-4105-94AF-46C96FF4B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60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46001"/>
    <w:pPr>
      <w:tabs>
        <w:tab w:val="center" w:pos="4153"/>
        <w:tab w:val="right" w:pos="8306"/>
      </w:tabs>
    </w:pPr>
  </w:style>
  <w:style w:type="character" w:customStyle="1" w:styleId="a4">
    <w:name w:val="כותרת עליונה תו"/>
    <w:link w:val="a3"/>
    <w:rsid w:val="00246001"/>
    <w:rPr>
      <w:rFonts w:ascii="Times New Roman" w:eastAsia="Times New Roman" w:hAnsi="Times New Roman" w:cs="David"/>
      <w:sz w:val="24"/>
      <w:szCs w:val="24"/>
    </w:rPr>
  </w:style>
  <w:style w:type="paragraph" w:styleId="a5">
    <w:name w:val="footer"/>
    <w:basedOn w:val="a"/>
    <w:link w:val="a6"/>
    <w:rsid w:val="00246001"/>
    <w:pPr>
      <w:tabs>
        <w:tab w:val="center" w:pos="4153"/>
        <w:tab w:val="right" w:pos="8306"/>
      </w:tabs>
    </w:pPr>
  </w:style>
  <w:style w:type="character" w:customStyle="1" w:styleId="a6">
    <w:name w:val="כותרת תחתונה תו"/>
    <w:link w:val="a5"/>
    <w:rsid w:val="00246001"/>
    <w:rPr>
      <w:rFonts w:ascii="Times New Roman" w:eastAsia="Times New Roman" w:hAnsi="Times New Roman" w:cs="David"/>
      <w:sz w:val="24"/>
      <w:szCs w:val="24"/>
    </w:rPr>
  </w:style>
  <w:style w:type="table" w:styleId="a7">
    <w:name w:val="Table Grid"/>
    <w:basedOn w:val="a1"/>
    <w:rsid w:val="002460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46001"/>
  </w:style>
  <w:style w:type="character" w:customStyle="1" w:styleId="TimesNewRomanTimesNewRoman">
    <w:name w:val="סגנון (לטיני) Times New Roman (עברית ושפות אחרות) Times New Roman..."/>
    <w:rsid w:val="00246001"/>
    <w:rPr>
      <w:rFonts w:ascii="Times New Roman" w:hAnsi="Times New Roman" w:cs="David" w:hint="default"/>
      <w:b/>
      <w:bCs/>
      <w:sz w:val="26"/>
      <w:szCs w:val="26"/>
    </w:rPr>
  </w:style>
  <w:style w:type="character" w:styleId="Hyperlink">
    <w:name w:val="Hyperlink"/>
    <w:rsid w:val="0009147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5.a.1" TargetMode="External"/><Relationship Id="rId21" Type="http://schemas.openxmlformats.org/officeDocument/2006/relationships/hyperlink" Target="http://www.nevo.co.il/law/70301/40jc.b" TargetMode="External"/><Relationship Id="rId42" Type="http://schemas.openxmlformats.org/officeDocument/2006/relationships/hyperlink" Target="http://www.nevo.co.il/law/70301/334" TargetMode="External"/><Relationship Id="rId47" Type="http://schemas.openxmlformats.org/officeDocument/2006/relationships/hyperlink" Target="http://www.nevo.co.il/law/70301" TargetMode="External"/><Relationship Id="rId63" Type="http://schemas.openxmlformats.org/officeDocument/2006/relationships/hyperlink" Target="http://www.nevo.co.il/law/70301/40ja" TargetMode="External"/><Relationship Id="rId68" Type="http://schemas.openxmlformats.org/officeDocument/2006/relationships/hyperlink" Target="http://www.nevo.co.il/case/24344573" TargetMode="External"/><Relationship Id="rId16" Type="http://schemas.openxmlformats.org/officeDocument/2006/relationships/hyperlink" Target="http://www.nevo.co.il/law/70301/335.a.1" TargetMode="External"/><Relationship Id="rId11" Type="http://schemas.openxmlformats.org/officeDocument/2006/relationships/hyperlink" Target="http://www.nevo.co.il/law/70301/186.a"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576587" TargetMode="External"/><Relationship Id="rId53" Type="http://schemas.openxmlformats.org/officeDocument/2006/relationships/hyperlink" Target="http://www.nevo.co.il/case/5949452" TargetMode="External"/><Relationship Id="rId58" Type="http://schemas.openxmlformats.org/officeDocument/2006/relationships/hyperlink" Target="http://www.nevo.co.il/law/70301/333" TargetMode="External"/><Relationship Id="rId74" Type="http://schemas.openxmlformats.org/officeDocument/2006/relationships/hyperlink" Target="http://www.nevo.co.il/case/21477594" TargetMode="External"/><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case/6846339" TargetMode="External"/><Relationship Id="rId82" Type="http://schemas.openxmlformats.org/officeDocument/2006/relationships/theme" Target="theme/theme1.xml"/><Relationship Id="rId19" Type="http://schemas.openxmlformats.org/officeDocument/2006/relationships/hyperlink" Target="http://www.nevo.co.il/law/70301/40ja" TargetMode="External"/><Relationship Id="rId14" Type="http://schemas.openxmlformats.org/officeDocument/2006/relationships/hyperlink" Target="http://www.nevo.co.il/law/70301/333" TargetMode="External"/><Relationship Id="rId22" Type="http://schemas.openxmlformats.org/officeDocument/2006/relationships/hyperlink" Target="http://www.nevo.co.il/law/70301/300.a.2" TargetMode="External"/><Relationship Id="rId27" Type="http://schemas.openxmlformats.org/officeDocument/2006/relationships/hyperlink" Target="http://www.nevo.co.il/law/70301/379" TargetMode="External"/><Relationship Id="rId30" Type="http://schemas.openxmlformats.org/officeDocument/2006/relationships/hyperlink" Target="http://www.nevo.co.il/case/3983232" TargetMode="External"/><Relationship Id="rId35" Type="http://schemas.openxmlformats.org/officeDocument/2006/relationships/hyperlink" Target="http://www.nevo.co.il/law/70301/77.a" TargetMode="External"/><Relationship Id="rId43" Type="http://schemas.openxmlformats.org/officeDocument/2006/relationships/hyperlink" Target="http://www.nevo.co.il/law/70301/335.a.1" TargetMode="External"/><Relationship Id="rId48" Type="http://schemas.openxmlformats.org/officeDocument/2006/relationships/hyperlink" Target="http://www.nevo.co.il/case/5603398" TargetMode="External"/><Relationship Id="rId56" Type="http://schemas.openxmlformats.org/officeDocument/2006/relationships/hyperlink" Target="http://www.nevo.co.il/case/20218172" TargetMode="External"/><Relationship Id="rId64" Type="http://schemas.openxmlformats.org/officeDocument/2006/relationships/hyperlink" Target="http://www.nevo.co.il/law/70301/40jc.b" TargetMode="External"/><Relationship Id="rId69" Type="http://schemas.openxmlformats.org/officeDocument/2006/relationships/hyperlink" Target="http://www.nevo.co.il/case/20178061" TargetMode="External"/><Relationship Id="rId77" Type="http://schemas.openxmlformats.org/officeDocument/2006/relationships/header" Target="header1.xml"/><Relationship Id="rId8" Type="http://schemas.openxmlformats.org/officeDocument/2006/relationships/hyperlink" Target="http://www.nevo.co.il/law/70301/77.a" TargetMode="External"/><Relationship Id="rId51" Type="http://schemas.openxmlformats.org/officeDocument/2006/relationships/hyperlink" Target="http://www.nevo.co.il/law/70301/40jc.b" TargetMode="External"/><Relationship Id="rId72" Type="http://schemas.openxmlformats.org/officeDocument/2006/relationships/hyperlink" Target="http://www.nevo.co.il/law/70301/58" TargetMode="External"/><Relationship Id="rId80"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300.a" TargetMode="External"/><Relationship Id="rId17" Type="http://schemas.openxmlformats.org/officeDocument/2006/relationships/hyperlink" Target="http://www.nevo.co.il/law/70301/368b.b" TargetMode="External"/><Relationship Id="rId25" Type="http://schemas.openxmlformats.org/officeDocument/2006/relationships/hyperlink" Target="http://www.nevo.co.il/law/70301/334" TargetMode="External"/><Relationship Id="rId33" Type="http://schemas.openxmlformats.org/officeDocument/2006/relationships/hyperlink" Target="http://www.nevo.co.il/law/70301/300.a"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law/70301/144.b"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0244332" TargetMode="External"/><Relationship Id="rId20" Type="http://schemas.openxmlformats.org/officeDocument/2006/relationships/hyperlink" Target="http://www.nevo.co.il/law/70301/40jc.a" TargetMode="External"/><Relationship Id="rId41" Type="http://schemas.openxmlformats.org/officeDocument/2006/relationships/hyperlink" Target="http://www.nevo.co.il/case/25246134" TargetMode="External"/><Relationship Id="rId54" Type="http://schemas.openxmlformats.org/officeDocument/2006/relationships/hyperlink" Target="http://www.nevo.co.il/case/25246134" TargetMode="External"/><Relationship Id="rId62" Type="http://schemas.openxmlformats.org/officeDocument/2006/relationships/hyperlink" Target="http://www.nevo.co.il/case/5605569" TargetMode="External"/><Relationship Id="rId70" Type="http://schemas.openxmlformats.org/officeDocument/2006/relationships/hyperlink" Target="http://www.nevo.co.il/case/22688077" TargetMode="External"/><Relationship Id="rId75" Type="http://schemas.openxmlformats.org/officeDocument/2006/relationships/hyperlink" Target="http://www.nevo.co.il/case/398323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3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4419055"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law/70301/40jc.a" TargetMode="External"/><Relationship Id="rId57" Type="http://schemas.openxmlformats.org/officeDocument/2006/relationships/hyperlink" Target="http://www.nevo.co.il/case/10543997"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186.a"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6243733" TargetMode="External"/><Relationship Id="rId60" Type="http://schemas.openxmlformats.org/officeDocument/2006/relationships/hyperlink" Target="http://www.nevo.co.il/law/70301/368b.b" TargetMode="External"/><Relationship Id="rId65" Type="http://schemas.openxmlformats.org/officeDocument/2006/relationships/hyperlink" Target="http://www.nevo.co.il/law/70301" TargetMode="External"/><Relationship Id="rId73" Type="http://schemas.openxmlformats.org/officeDocument/2006/relationships/hyperlink" Target="http://www.nevo.co.il/law/70301"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00.a.2" TargetMode="External"/><Relationship Id="rId18" Type="http://schemas.openxmlformats.org/officeDocument/2006/relationships/hyperlink" Target="http://www.nevo.co.il/law/70301/379" TargetMode="External"/><Relationship Id="rId39" Type="http://schemas.openxmlformats.org/officeDocument/2006/relationships/hyperlink" Target="http://www.nevo.co.il/law/70301/40jc.a"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13022233"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58" TargetMode="External"/><Relationship Id="rId71" Type="http://schemas.openxmlformats.org/officeDocument/2006/relationships/hyperlink" Target="http://www.nevo.co.il/case/3983232" TargetMode="External"/><Relationship Id="rId2" Type="http://schemas.openxmlformats.org/officeDocument/2006/relationships/settings" Target="settings.xml"/><Relationship Id="rId29" Type="http://schemas.openxmlformats.org/officeDocument/2006/relationships/hyperlink" Target="http://www.nevo.co.il/case/22548173" TargetMode="External"/><Relationship Id="rId24" Type="http://schemas.openxmlformats.org/officeDocument/2006/relationships/hyperlink" Target="http://www.nevo.co.il/law/70301/368b.b"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a" TargetMode="External"/><Relationship Id="rId66" Type="http://schemas.openxmlformats.org/officeDocument/2006/relationships/hyperlink" Target="http://www.nevo.co.il/case/2083266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4325</Words>
  <Characters>21628</Characters>
  <Application>Microsoft Office Word</Application>
  <DocSecurity>0</DocSecurity>
  <Lines>180</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25902</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3866749</vt:i4>
      </vt:variant>
      <vt:variant>
        <vt:i4>207</vt:i4>
      </vt:variant>
      <vt:variant>
        <vt:i4>0</vt:i4>
      </vt:variant>
      <vt:variant>
        <vt:i4>5</vt:i4>
      </vt:variant>
      <vt:variant>
        <vt:lpwstr>http://www.nevo.co.il/case/3983232</vt:lpwstr>
      </vt:variant>
      <vt:variant>
        <vt:lpwstr/>
      </vt:variant>
      <vt:variant>
        <vt:i4>3670135</vt:i4>
      </vt:variant>
      <vt:variant>
        <vt:i4>204</vt:i4>
      </vt:variant>
      <vt:variant>
        <vt:i4>0</vt:i4>
      </vt:variant>
      <vt:variant>
        <vt:i4>5</vt:i4>
      </vt:variant>
      <vt:variant>
        <vt:lpwstr>http://www.nevo.co.il/case/21477594</vt:lpwstr>
      </vt:variant>
      <vt:variant>
        <vt:lpwstr/>
      </vt:variant>
      <vt:variant>
        <vt:i4>7995492</vt:i4>
      </vt:variant>
      <vt:variant>
        <vt:i4>201</vt:i4>
      </vt:variant>
      <vt:variant>
        <vt:i4>0</vt:i4>
      </vt:variant>
      <vt:variant>
        <vt:i4>5</vt:i4>
      </vt:variant>
      <vt:variant>
        <vt:lpwstr>http://www.nevo.co.il/law/70301</vt:lpwstr>
      </vt:variant>
      <vt:variant>
        <vt:lpwstr/>
      </vt:variant>
      <vt:variant>
        <vt:i4>7143520</vt:i4>
      </vt:variant>
      <vt:variant>
        <vt:i4>198</vt:i4>
      </vt:variant>
      <vt:variant>
        <vt:i4>0</vt:i4>
      </vt:variant>
      <vt:variant>
        <vt:i4>5</vt:i4>
      </vt:variant>
      <vt:variant>
        <vt:lpwstr>http://www.nevo.co.il/law/70301/58</vt:lpwstr>
      </vt:variant>
      <vt:variant>
        <vt:lpwstr/>
      </vt:variant>
      <vt:variant>
        <vt:i4>3866749</vt:i4>
      </vt:variant>
      <vt:variant>
        <vt:i4>195</vt:i4>
      </vt:variant>
      <vt:variant>
        <vt:i4>0</vt:i4>
      </vt:variant>
      <vt:variant>
        <vt:i4>5</vt:i4>
      </vt:variant>
      <vt:variant>
        <vt:lpwstr>http://www.nevo.co.il/case/3983232</vt:lpwstr>
      </vt:variant>
      <vt:variant>
        <vt:lpwstr/>
      </vt:variant>
      <vt:variant>
        <vt:i4>3866750</vt:i4>
      </vt:variant>
      <vt:variant>
        <vt:i4>192</vt:i4>
      </vt:variant>
      <vt:variant>
        <vt:i4>0</vt:i4>
      </vt:variant>
      <vt:variant>
        <vt:i4>5</vt:i4>
      </vt:variant>
      <vt:variant>
        <vt:lpwstr>http://www.nevo.co.il/case/22688077</vt:lpwstr>
      </vt:variant>
      <vt:variant>
        <vt:lpwstr/>
      </vt:variant>
      <vt:variant>
        <vt:i4>3997811</vt:i4>
      </vt:variant>
      <vt:variant>
        <vt:i4>189</vt:i4>
      </vt:variant>
      <vt:variant>
        <vt:i4>0</vt:i4>
      </vt:variant>
      <vt:variant>
        <vt:i4>5</vt:i4>
      </vt:variant>
      <vt:variant>
        <vt:lpwstr>http://www.nevo.co.il/case/20178061</vt:lpwstr>
      </vt:variant>
      <vt:variant>
        <vt:lpwstr/>
      </vt:variant>
      <vt:variant>
        <vt:i4>3276913</vt:i4>
      </vt:variant>
      <vt:variant>
        <vt:i4>186</vt:i4>
      </vt:variant>
      <vt:variant>
        <vt:i4>0</vt:i4>
      </vt:variant>
      <vt:variant>
        <vt:i4>5</vt:i4>
      </vt:variant>
      <vt:variant>
        <vt:lpwstr>http://www.nevo.co.il/case/24344573</vt:lpwstr>
      </vt:variant>
      <vt:variant>
        <vt:lpwstr/>
      </vt:variant>
      <vt:variant>
        <vt:i4>3604595</vt:i4>
      </vt:variant>
      <vt:variant>
        <vt:i4>183</vt:i4>
      </vt:variant>
      <vt:variant>
        <vt:i4>0</vt:i4>
      </vt:variant>
      <vt:variant>
        <vt:i4>5</vt:i4>
      </vt:variant>
      <vt:variant>
        <vt:lpwstr>http://www.nevo.co.il/case/20244332</vt:lpwstr>
      </vt:variant>
      <vt:variant>
        <vt:lpwstr/>
      </vt:variant>
      <vt:variant>
        <vt:i4>4063345</vt:i4>
      </vt:variant>
      <vt:variant>
        <vt:i4>180</vt:i4>
      </vt:variant>
      <vt:variant>
        <vt:i4>0</vt:i4>
      </vt:variant>
      <vt:variant>
        <vt:i4>5</vt:i4>
      </vt:variant>
      <vt:variant>
        <vt:lpwstr>http://www.nevo.co.il/case/20832660</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6553637</vt:i4>
      </vt:variant>
      <vt:variant>
        <vt:i4>174</vt:i4>
      </vt:variant>
      <vt:variant>
        <vt:i4>0</vt:i4>
      </vt:variant>
      <vt:variant>
        <vt:i4>5</vt:i4>
      </vt:variant>
      <vt:variant>
        <vt:lpwstr>http://www.nevo.co.il/law/70301/40jc.b</vt:lpwstr>
      </vt:variant>
      <vt:variant>
        <vt:lpwstr/>
      </vt:variant>
      <vt:variant>
        <vt:i4>262155</vt:i4>
      </vt:variant>
      <vt:variant>
        <vt:i4>171</vt:i4>
      </vt:variant>
      <vt:variant>
        <vt:i4>0</vt:i4>
      </vt:variant>
      <vt:variant>
        <vt:i4>5</vt:i4>
      </vt:variant>
      <vt:variant>
        <vt:lpwstr>http://www.nevo.co.il/law/70301/40ja</vt:lpwstr>
      </vt:variant>
      <vt:variant>
        <vt:lpwstr/>
      </vt:variant>
      <vt:variant>
        <vt:i4>3735665</vt:i4>
      </vt:variant>
      <vt:variant>
        <vt:i4>168</vt:i4>
      </vt:variant>
      <vt:variant>
        <vt:i4>0</vt:i4>
      </vt:variant>
      <vt:variant>
        <vt:i4>5</vt:i4>
      </vt:variant>
      <vt:variant>
        <vt:lpwstr>http://www.nevo.co.il/case/5605569</vt:lpwstr>
      </vt:variant>
      <vt:variant>
        <vt:lpwstr/>
      </vt:variant>
      <vt:variant>
        <vt:i4>3670137</vt:i4>
      </vt:variant>
      <vt:variant>
        <vt:i4>165</vt:i4>
      </vt:variant>
      <vt:variant>
        <vt:i4>0</vt:i4>
      </vt:variant>
      <vt:variant>
        <vt:i4>5</vt:i4>
      </vt:variant>
      <vt:variant>
        <vt:lpwstr>http://www.nevo.co.il/case/6846339</vt:lpwstr>
      </vt:variant>
      <vt:variant>
        <vt:lpwstr/>
      </vt:variant>
      <vt:variant>
        <vt:i4>6488176</vt:i4>
      </vt:variant>
      <vt:variant>
        <vt:i4>162</vt:i4>
      </vt:variant>
      <vt:variant>
        <vt:i4>0</vt:i4>
      </vt:variant>
      <vt:variant>
        <vt:i4>5</vt:i4>
      </vt:variant>
      <vt:variant>
        <vt:lpwstr>http://www.nevo.co.il/law/70301/368b.b</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6684774</vt:i4>
      </vt:variant>
      <vt:variant>
        <vt:i4>156</vt:i4>
      </vt:variant>
      <vt:variant>
        <vt:i4>0</vt:i4>
      </vt:variant>
      <vt:variant>
        <vt:i4>5</vt:i4>
      </vt:variant>
      <vt:variant>
        <vt:lpwstr>http://www.nevo.co.il/law/70301/333</vt:lpwstr>
      </vt:variant>
      <vt:variant>
        <vt:lpwstr/>
      </vt:variant>
      <vt:variant>
        <vt:i4>4063353</vt:i4>
      </vt:variant>
      <vt:variant>
        <vt:i4>153</vt:i4>
      </vt:variant>
      <vt:variant>
        <vt:i4>0</vt:i4>
      </vt:variant>
      <vt:variant>
        <vt:i4>5</vt:i4>
      </vt:variant>
      <vt:variant>
        <vt:lpwstr>http://www.nevo.co.il/case/10543997</vt:lpwstr>
      </vt:variant>
      <vt:variant>
        <vt:lpwstr/>
      </vt:variant>
      <vt:variant>
        <vt:i4>4128884</vt:i4>
      </vt:variant>
      <vt:variant>
        <vt:i4>150</vt:i4>
      </vt:variant>
      <vt:variant>
        <vt:i4>0</vt:i4>
      </vt:variant>
      <vt:variant>
        <vt:i4>5</vt:i4>
      </vt:variant>
      <vt:variant>
        <vt:lpwstr>http://www.nevo.co.il/case/20218172</vt:lpwstr>
      </vt:variant>
      <vt:variant>
        <vt:lpwstr/>
      </vt:variant>
      <vt:variant>
        <vt:i4>3145847</vt:i4>
      </vt:variant>
      <vt:variant>
        <vt:i4>147</vt:i4>
      </vt:variant>
      <vt:variant>
        <vt:i4>0</vt:i4>
      </vt:variant>
      <vt:variant>
        <vt:i4>5</vt:i4>
      </vt:variant>
      <vt:variant>
        <vt:lpwstr>http://www.nevo.co.il/case/13022233</vt:lpwstr>
      </vt:variant>
      <vt:variant>
        <vt:lpwstr/>
      </vt:variant>
      <vt:variant>
        <vt:i4>3473524</vt:i4>
      </vt:variant>
      <vt:variant>
        <vt:i4>144</vt:i4>
      </vt:variant>
      <vt:variant>
        <vt:i4>0</vt:i4>
      </vt:variant>
      <vt:variant>
        <vt:i4>5</vt:i4>
      </vt:variant>
      <vt:variant>
        <vt:lpwstr>http://www.nevo.co.il/case/25246134</vt:lpwstr>
      </vt:variant>
      <vt:variant>
        <vt:lpwstr/>
      </vt:variant>
      <vt:variant>
        <vt:i4>3604593</vt:i4>
      </vt:variant>
      <vt:variant>
        <vt:i4>141</vt:i4>
      </vt:variant>
      <vt:variant>
        <vt:i4>0</vt:i4>
      </vt:variant>
      <vt:variant>
        <vt:i4>5</vt:i4>
      </vt:variant>
      <vt:variant>
        <vt:lpwstr>http://www.nevo.co.il/case/5949452</vt:lpwstr>
      </vt:variant>
      <vt:variant>
        <vt:lpwstr/>
      </vt:variant>
      <vt:variant>
        <vt:i4>3539062</vt:i4>
      </vt:variant>
      <vt:variant>
        <vt:i4>138</vt:i4>
      </vt:variant>
      <vt:variant>
        <vt:i4>0</vt:i4>
      </vt:variant>
      <vt:variant>
        <vt:i4>5</vt:i4>
      </vt:variant>
      <vt:variant>
        <vt:lpwstr>http://www.nevo.co.il/case/6243733</vt:lpwstr>
      </vt:variant>
      <vt:variant>
        <vt:lpwstr/>
      </vt:variant>
      <vt:variant>
        <vt:i4>6553637</vt:i4>
      </vt:variant>
      <vt:variant>
        <vt:i4>135</vt:i4>
      </vt:variant>
      <vt:variant>
        <vt:i4>0</vt:i4>
      </vt:variant>
      <vt:variant>
        <vt:i4>5</vt:i4>
      </vt:variant>
      <vt:variant>
        <vt:lpwstr>http://www.nevo.co.il/law/70301/40jc.b</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6750245</vt:i4>
      </vt:variant>
      <vt:variant>
        <vt:i4>129</vt:i4>
      </vt:variant>
      <vt:variant>
        <vt:i4>0</vt:i4>
      </vt:variant>
      <vt:variant>
        <vt:i4>5</vt:i4>
      </vt:variant>
      <vt:variant>
        <vt:lpwstr>http://www.nevo.co.il/law/70301/40jc.a</vt:lpwstr>
      </vt:variant>
      <vt:variant>
        <vt:lpwstr/>
      </vt:variant>
      <vt:variant>
        <vt:i4>4063352</vt:i4>
      </vt:variant>
      <vt:variant>
        <vt:i4>126</vt:i4>
      </vt:variant>
      <vt:variant>
        <vt:i4>0</vt:i4>
      </vt:variant>
      <vt:variant>
        <vt:i4>5</vt:i4>
      </vt:variant>
      <vt:variant>
        <vt:lpwstr>http://www.nevo.co.il/case/5603398</vt:lpwstr>
      </vt:variant>
      <vt:variant>
        <vt:lpwstr/>
      </vt:variant>
      <vt:variant>
        <vt:i4>7995492</vt:i4>
      </vt:variant>
      <vt:variant>
        <vt:i4>123</vt:i4>
      </vt:variant>
      <vt:variant>
        <vt:i4>0</vt:i4>
      </vt:variant>
      <vt:variant>
        <vt:i4>5</vt:i4>
      </vt:variant>
      <vt:variant>
        <vt:lpwstr>http://www.nevo.co.il/law/70301</vt:lpwstr>
      </vt:variant>
      <vt:variant>
        <vt:lpwstr/>
      </vt:variant>
      <vt:variant>
        <vt:i4>5177424</vt:i4>
      </vt:variant>
      <vt:variant>
        <vt:i4>120</vt:i4>
      </vt:variant>
      <vt:variant>
        <vt:i4>0</vt:i4>
      </vt:variant>
      <vt:variant>
        <vt:i4>5</vt:i4>
      </vt:variant>
      <vt:variant>
        <vt:lpwstr>http://www.nevo.co.il/law/70301/144.b</vt:lpwstr>
      </vt:variant>
      <vt:variant>
        <vt:lpwstr/>
      </vt:variant>
      <vt:variant>
        <vt:i4>5177424</vt:i4>
      </vt:variant>
      <vt:variant>
        <vt:i4>117</vt:i4>
      </vt:variant>
      <vt:variant>
        <vt:i4>0</vt:i4>
      </vt:variant>
      <vt:variant>
        <vt:i4>5</vt:i4>
      </vt:variant>
      <vt:variant>
        <vt:lpwstr>http://www.nevo.co.il/law/70301/144.a</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6684722</vt:i4>
      </vt:variant>
      <vt:variant>
        <vt:i4>111</vt:i4>
      </vt:variant>
      <vt:variant>
        <vt:i4>0</vt:i4>
      </vt:variant>
      <vt:variant>
        <vt:i4>5</vt:i4>
      </vt:variant>
      <vt:variant>
        <vt:lpwstr>http://www.nevo.co.il/law/70301/335.a.1</vt:lpwstr>
      </vt:variant>
      <vt:variant>
        <vt:lpwstr/>
      </vt:variant>
      <vt:variant>
        <vt:i4>6684774</vt:i4>
      </vt:variant>
      <vt:variant>
        <vt:i4>108</vt:i4>
      </vt:variant>
      <vt:variant>
        <vt:i4>0</vt:i4>
      </vt:variant>
      <vt:variant>
        <vt:i4>5</vt:i4>
      </vt:variant>
      <vt:variant>
        <vt:lpwstr>http://www.nevo.co.il/law/70301/334</vt:lpwstr>
      </vt:variant>
      <vt:variant>
        <vt:lpwstr/>
      </vt:variant>
      <vt:variant>
        <vt:i4>3473524</vt:i4>
      </vt:variant>
      <vt:variant>
        <vt:i4>105</vt:i4>
      </vt:variant>
      <vt:variant>
        <vt:i4>0</vt:i4>
      </vt:variant>
      <vt:variant>
        <vt:i4>5</vt:i4>
      </vt:variant>
      <vt:variant>
        <vt:lpwstr>http://www.nevo.co.il/case/25246134</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6750245</vt:i4>
      </vt:variant>
      <vt:variant>
        <vt:i4>99</vt:i4>
      </vt:variant>
      <vt:variant>
        <vt:i4>0</vt:i4>
      </vt:variant>
      <vt:variant>
        <vt:i4>5</vt:i4>
      </vt:variant>
      <vt:variant>
        <vt:lpwstr>http://www.nevo.co.il/law/70301/40jc.a</vt:lpwstr>
      </vt:variant>
      <vt:variant>
        <vt:lpwstr/>
      </vt:variant>
      <vt:variant>
        <vt:i4>3145849</vt:i4>
      </vt:variant>
      <vt:variant>
        <vt:i4>96</vt:i4>
      </vt:variant>
      <vt:variant>
        <vt:i4>0</vt:i4>
      </vt:variant>
      <vt:variant>
        <vt:i4>5</vt:i4>
      </vt:variant>
      <vt:variant>
        <vt:lpwstr>http://www.nevo.co.il/case/13093721</vt:lpwstr>
      </vt:variant>
      <vt:variant>
        <vt:lpwstr/>
      </vt:variant>
      <vt:variant>
        <vt:i4>3145855</vt:i4>
      </vt:variant>
      <vt:variant>
        <vt:i4>93</vt:i4>
      </vt:variant>
      <vt:variant>
        <vt:i4>0</vt:i4>
      </vt:variant>
      <vt:variant>
        <vt:i4>5</vt:i4>
      </vt:variant>
      <vt:variant>
        <vt:lpwstr>http://www.nevo.co.il/case/5576587</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196684</vt:i4>
      </vt:variant>
      <vt:variant>
        <vt:i4>87</vt:i4>
      </vt:variant>
      <vt:variant>
        <vt:i4>0</vt:i4>
      </vt:variant>
      <vt:variant>
        <vt:i4>5</vt:i4>
      </vt:variant>
      <vt:variant>
        <vt:lpwstr>http://www.nevo.co.il/law/70301/77.a</vt:lpwstr>
      </vt:variant>
      <vt:variant>
        <vt:lpwstr/>
      </vt:variant>
      <vt:variant>
        <vt:i4>7995492</vt:i4>
      </vt:variant>
      <vt:variant>
        <vt:i4>84</vt:i4>
      </vt:variant>
      <vt:variant>
        <vt:i4>0</vt:i4>
      </vt:variant>
      <vt:variant>
        <vt:i4>5</vt:i4>
      </vt:variant>
      <vt:variant>
        <vt:lpwstr>http://www.nevo.co.il/law/70301</vt:lpwstr>
      </vt:variant>
      <vt:variant>
        <vt:lpwstr/>
      </vt:variant>
      <vt:variant>
        <vt:i4>4915286</vt:i4>
      </vt:variant>
      <vt:variant>
        <vt:i4>81</vt:i4>
      </vt:variant>
      <vt:variant>
        <vt:i4>0</vt:i4>
      </vt:variant>
      <vt:variant>
        <vt:i4>5</vt:i4>
      </vt:variant>
      <vt:variant>
        <vt:lpwstr>http://www.nevo.co.il/law/70301/300.a</vt:lpwstr>
      </vt:variant>
      <vt:variant>
        <vt:lpwstr/>
      </vt:variant>
      <vt:variant>
        <vt:i4>7995492</vt:i4>
      </vt:variant>
      <vt:variant>
        <vt:i4>78</vt:i4>
      </vt:variant>
      <vt:variant>
        <vt:i4>0</vt:i4>
      </vt:variant>
      <vt:variant>
        <vt:i4>5</vt:i4>
      </vt:variant>
      <vt:variant>
        <vt:lpwstr>http://www.nevo.co.il/law/70301</vt:lpwstr>
      </vt:variant>
      <vt:variant>
        <vt:lpwstr/>
      </vt:variant>
      <vt:variant>
        <vt:i4>4390994</vt:i4>
      </vt:variant>
      <vt:variant>
        <vt:i4>75</vt:i4>
      </vt:variant>
      <vt:variant>
        <vt:i4>0</vt:i4>
      </vt:variant>
      <vt:variant>
        <vt:i4>5</vt:i4>
      </vt:variant>
      <vt:variant>
        <vt:lpwstr>http://www.nevo.co.il/law/70301/186.a</vt:lpwstr>
      </vt:variant>
      <vt:variant>
        <vt:lpwstr/>
      </vt:variant>
      <vt:variant>
        <vt:i4>3866749</vt:i4>
      </vt:variant>
      <vt:variant>
        <vt:i4>72</vt:i4>
      </vt:variant>
      <vt:variant>
        <vt:i4>0</vt:i4>
      </vt:variant>
      <vt:variant>
        <vt:i4>5</vt:i4>
      </vt:variant>
      <vt:variant>
        <vt:lpwstr>http://www.nevo.co.il/case/3983232</vt:lpwstr>
      </vt:variant>
      <vt:variant>
        <vt:lpwstr/>
      </vt:variant>
      <vt:variant>
        <vt:i4>3670131</vt:i4>
      </vt:variant>
      <vt:variant>
        <vt:i4>69</vt:i4>
      </vt:variant>
      <vt:variant>
        <vt:i4>0</vt:i4>
      </vt:variant>
      <vt:variant>
        <vt:i4>5</vt:i4>
      </vt:variant>
      <vt:variant>
        <vt:lpwstr>http://www.nevo.co.il/case/22548173</vt:lpwstr>
      </vt:variant>
      <vt:variant>
        <vt:lpwstr/>
      </vt:variant>
      <vt:variant>
        <vt:i4>3801201</vt:i4>
      </vt:variant>
      <vt:variant>
        <vt:i4>66</vt:i4>
      </vt:variant>
      <vt:variant>
        <vt:i4>0</vt:i4>
      </vt:variant>
      <vt:variant>
        <vt:i4>5</vt:i4>
      </vt:variant>
      <vt:variant>
        <vt:lpwstr>http://www.nevo.co.il/case/24419055</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6684722</vt:i4>
      </vt:variant>
      <vt:variant>
        <vt:i4>60</vt:i4>
      </vt:variant>
      <vt:variant>
        <vt:i4>0</vt:i4>
      </vt:variant>
      <vt:variant>
        <vt:i4>5</vt:i4>
      </vt:variant>
      <vt:variant>
        <vt:lpwstr>http://www.nevo.co.il/law/70301/335.a.1</vt:lpwstr>
      </vt:variant>
      <vt:variant>
        <vt:lpwstr/>
      </vt:variant>
      <vt:variant>
        <vt:i4>6684774</vt:i4>
      </vt:variant>
      <vt:variant>
        <vt:i4>57</vt:i4>
      </vt:variant>
      <vt:variant>
        <vt:i4>0</vt:i4>
      </vt:variant>
      <vt:variant>
        <vt:i4>5</vt:i4>
      </vt:variant>
      <vt:variant>
        <vt:lpwstr>http://www.nevo.co.il/law/70301/334</vt:lpwstr>
      </vt:variant>
      <vt:variant>
        <vt:lpwstr/>
      </vt:variant>
      <vt:variant>
        <vt:i4>6488176</vt:i4>
      </vt:variant>
      <vt:variant>
        <vt:i4>54</vt:i4>
      </vt:variant>
      <vt:variant>
        <vt:i4>0</vt:i4>
      </vt:variant>
      <vt:variant>
        <vt:i4>5</vt:i4>
      </vt:variant>
      <vt:variant>
        <vt:lpwstr>http://www.nevo.co.il/law/70301/368b.b</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6619191</vt:i4>
      </vt:variant>
      <vt:variant>
        <vt:i4>48</vt:i4>
      </vt:variant>
      <vt:variant>
        <vt:i4>0</vt:i4>
      </vt:variant>
      <vt:variant>
        <vt:i4>5</vt:i4>
      </vt:variant>
      <vt:variant>
        <vt:lpwstr>http://www.nevo.co.il/law/70301/300.a.2</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262155</vt:i4>
      </vt:variant>
      <vt:variant>
        <vt:i4>39</vt:i4>
      </vt:variant>
      <vt:variant>
        <vt:i4>0</vt:i4>
      </vt:variant>
      <vt:variant>
        <vt:i4>5</vt:i4>
      </vt:variant>
      <vt:variant>
        <vt:lpwstr>http://www.nevo.co.il/law/70301/40ja</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6488176</vt:i4>
      </vt:variant>
      <vt:variant>
        <vt:i4>33</vt:i4>
      </vt:variant>
      <vt:variant>
        <vt:i4>0</vt:i4>
      </vt:variant>
      <vt:variant>
        <vt:i4>5</vt:i4>
      </vt:variant>
      <vt:variant>
        <vt:lpwstr>http://www.nevo.co.il/law/70301/368b.b</vt:lpwstr>
      </vt:variant>
      <vt:variant>
        <vt:lpwstr/>
      </vt:variant>
      <vt:variant>
        <vt:i4>6684722</vt:i4>
      </vt:variant>
      <vt:variant>
        <vt:i4>30</vt:i4>
      </vt:variant>
      <vt:variant>
        <vt:i4>0</vt:i4>
      </vt:variant>
      <vt:variant>
        <vt:i4>5</vt:i4>
      </vt:variant>
      <vt:variant>
        <vt:lpwstr>http://www.nevo.co.il/law/70301/335.a.1</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6684774</vt:i4>
      </vt:variant>
      <vt:variant>
        <vt:i4>24</vt:i4>
      </vt:variant>
      <vt:variant>
        <vt:i4>0</vt:i4>
      </vt:variant>
      <vt:variant>
        <vt:i4>5</vt:i4>
      </vt:variant>
      <vt:variant>
        <vt:lpwstr>http://www.nevo.co.il/law/70301/333</vt:lpwstr>
      </vt:variant>
      <vt:variant>
        <vt:lpwstr/>
      </vt:variant>
      <vt:variant>
        <vt:i4>6619191</vt:i4>
      </vt:variant>
      <vt:variant>
        <vt:i4>21</vt:i4>
      </vt:variant>
      <vt:variant>
        <vt:i4>0</vt:i4>
      </vt:variant>
      <vt:variant>
        <vt:i4>5</vt:i4>
      </vt:variant>
      <vt:variant>
        <vt:lpwstr>http://www.nevo.co.il/law/70301/300.a.2</vt:lpwstr>
      </vt:variant>
      <vt:variant>
        <vt:lpwstr/>
      </vt:variant>
      <vt:variant>
        <vt:i4>4915286</vt:i4>
      </vt:variant>
      <vt:variant>
        <vt:i4>18</vt:i4>
      </vt:variant>
      <vt:variant>
        <vt:i4>0</vt:i4>
      </vt:variant>
      <vt:variant>
        <vt:i4>5</vt:i4>
      </vt:variant>
      <vt:variant>
        <vt:lpwstr>http://www.nevo.co.il/law/70301/300.a</vt:lpwstr>
      </vt:variant>
      <vt:variant>
        <vt:lpwstr/>
      </vt:variant>
      <vt:variant>
        <vt:i4>4390994</vt:i4>
      </vt:variant>
      <vt:variant>
        <vt:i4>15</vt:i4>
      </vt:variant>
      <vt:variant>
        <vt:i4>0</vt:i4>
      </vt:variant>
      <vt:variant>
        <vt:i4>5</vt:i4>
      </vt:variant>
      <vt:variant>
        <vt:lpwstr>http://www.nevo.co.il/law/70301/186.a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196684</vt:i4>
      </vt:variant>
      <vt:variant>
        <vt:i4>6</vt:i4>
      </vt:variant>
      <vt:variant>
        <vt:i4>0</vt:i4>
      </vt:variant>
      <vt:variant>
        <vt:i4>5</vt:i4>
      </vt:variant>
      <vt:variant>
        <vt:lpwstr>http://www.nevo.co.il/law/70301/77.a</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2025-01-19T16:10:00Z</dcterms:created>
  <dcterms:modified xsi:type="dcterms:W3CDTF">2025-01-19T16:10:00Z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5551</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אשרף טחימר</vt:lpwstr>
  </property>
  <property fmtid="{D5CDD505-2E9C-101B-9397-08002B2CF9AE}" pid="10" name="JUDGE">
    <vt:lpwstr>דיאנה סלע;אבי לוי;ערן קוטון</vt:lpwstr>
  </property>
  <property fmtid="{D5CDD505-2E9C-101B-9397-08002B2CF9AE}" pid="11" name="CITY">
    <vt:lpwstr>חי'</vt:lpwstr>
  </property>
  <property fmtid="{D5CDD505-2E9C-101B-9397-08002B2CF9AE}" pid="12" name="DATE">
    <vt:lpwstr>20200614</vt:lpwstr>
  </property>
  <property fmtid="{D5CDD505-2E9C-101B-9397-08002B2CF9AE}" pid="13" name="TYPE_N_DATE">
    <vt:lpwstr>39020200614</vt:lpwstr>
  </property>
  <property fmtid="{D5CDD505-2E9C-101B-9397-08002B2CF9AE}" pid="14" name="WORDNUMPAGES">
    <vt:lpwstr>10</vt:lpwstr>
  </property>
  <property fmtid="{D5CDD505-2E9C-101B-9397-08002B2CF9AE}" pid="15" name="TYPE_ABS_DATE">
    <vt:lpwstr>390120200614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24419055;22548173;3983232:3;13093721:2;5576587;25246134:2;5603398;6243733;5949452;13022233;20218172;10543997;6846339;5605569;20832660;20244332;24344573;20178061;22688077;21477594</vt:lpwstr>
  </property>
  <property fmtid="{D5CDD505-2E9C-101B-9397-08002B2CF9AE}" pid="36" name="LAWLISTTMP1">
    <vt:lpwstr>70301/300.a.2;368b.b:2;334:2;335.a.1:2;379;186.a;300.a;077.a;40jc.a:2;144.a;144.b;40jc.b:2;333;40ja;058</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8966;14615</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דרכי ענישה: עונשים מצטברים</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מדיניות ענישה: עבירת רצח</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20200722</vt:lpwstr>
  </property>
  <property fmtid="{D5CDD505-2E9C-101B-9397-08002B2CF9AE}" pid="71" name="METAKZER">
    <vt:lpwstr>מיכל</vt:lpwstr>
  </property>
</Properties>
</file>