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B125F" w:rsidRPr="001B125F" w14:paraId="01AC3F9F" w14:textId="77777777" w:rsidTr="00FA026A">
        <w:trPr>
          <w:trHeight w:hRule="exact" w:val="418"/>
          <w:jc w:val="center"/>
        </w:trPr>
        <w:tc>
          <w:tcPr>
            <w:tcW w:w="8721" w:type="dxa"/>
            <w:gridSpan w:val="2"/>
          </w:tcPr>
          <w:p w14:paraId="669BCA49" w14:textId="77777777" w:rsidR="001B125F" w:rsidRPr="001B125F" w:rsidRDefault="001B125F" w:rsidP="001B125F">
            <w:pPr>
              <w:pStyle w:val="a3"/>
              <w:jc w:val="center"/>
              <w:rPr>
                <w:rFonts w:ascii="Tahoma" w:hAnsi="Tahoma" w:cs="Tahoma"/>
                <w:color w:val="000080"/>
                <w:rtl/>
              </w:rPr>
            </w:pPr>
            <w:bookmarkStart w:id="0" w:name="FirstLawyer"/>
            <w:bookmarkStart w:id="1" w:name="LastJudge"/>
            <w:r w:rsidRPr="001B125F">
              <w:rPr>
                <w:rFonts w:ascii="Tahoma" w:hAnsi="Tahoma" w:cs="Tahoma"/>
                <w:b/>
                <w:bCs/>
                <w:color w:val="000080"/>
                <w:rtl/>
              </w:rPr>
              <w:t>בית המשפט המחוזי בחיפה</w:t>
            </w:r>
          </w:p>
        </w:tc>
      </w:tr>
      <w:tr w:rsidR="001B125F" w:rsidRPr="00C7183F" w14:paraId="482837F0" w14:textId="77777777" w:rsidTr="00FA026A">
        <w:trPr>
          <w:trHeight w:val="337"/>
          <w:jc w:val="center"/>
        </w:trPr>
        <w:tc>
          <w:tcPr>
            <w:tcW w:w="5054" w:type="dxa"/>
          </w:tcPr>
          <w:p w14:paraId="481155DB" w14:textId="77777777" w:rsidR="001B125F" w:rsidRPr="00C7183F" w:rsidRDefault="001B125F" w:rsidP="001B125F">
            <w:pPr>
              <w:rPr>
                <w:b/>
                <w:bCs/>
                <w:sz w:val="26"/>
                <w:szCs w:val="26"/>
                <w:rtl/>
              </w:rPr>
            </w:pPr>
            <w:r w:rsidRPr="00C7183F">
              <w:rPr>
                <w:b/>
                <w:bCs/>
                <w:sz w:val="26"/>
                <w:szCs w:val="26"/>
                <w:rtl/>
              </w:rPr>
              <w:t>ת"פ 8684-06-16 מדינת ישראל נ' אבו ריא ואח'</w:t>
            </w:r>
          </w:p>
          <w:p w14:paraId="5C179B02" w14:textId="77777777" w:rsidR="001B125F" w:rsidRPr="00C7183F" w:rsidRDefault="001B125F" w:rsidP="001B125F">
            <w:pPr>
              <w:pStyle w:val="a3"/>
              <w:rPr>
                <w:b/>
                <w:bCs/>
                <w:sz w:val="26"/>
                <w:szCs w:val="26"/>
                <w:rtl/>
              </w:rPr>
            </w:pPr>
          </w:p>
        </w:tc>
        <w:tc>
          <w:tcPr>
            <w:tcW w:w="3667" w:type="dxa"/>
          </w:tcPr>
          <w:p w14:paraId="10A29484" w14:textId="77777777" w:rsidR="001B125F" w:rsidRPr="00C7183F" w:rsidRDefault="001B125F" w:rsidP="001B125F">
            <w:pPr>
              <w:pStyle w:val="a3"/>
              <w:jc w:val="right"/>
              <w:rPr>
                <w:b/>
                <w:bCs/>
                <w:sz w:val="26"/>
                <w:szCs w:val="26"/>
                <w:rtl/>
              </w:rPr>
            </w:pPr>
          </w:p>
        </w:tc>
      </w:tr>
    </w:tbl>
    <w:p w14:paraId="49F6BD91" w14:textId="77777777" w:rsidR="001B125F" w:rsidRPr="00C7183F" w:rsidRDefault="001B125F" w:rsidP="00C7183F">
      <w:pPr>
        <w:pStyle w:val="a3"/>
        <w:rPr>
          <w:rtl/>
        </w:rPr>
      </w:pPr>
      <w:r w:rsidRPr="00C7183F">
        <w:rPr>
          <w:rtl/>
        </w:rPr>
        <w:t xml:space="preserve"> </w:t>
      </w:r>
    </w:p>
    <w:tbl>
      <w:tblPr>
        <w:bidiVisual/>
        <w:tblW w:w="8820" w:type="dxa"/>
        <w:jc w:val="center"/>
        <w:tblLook w:val="01E0" w:firstRow="1" w:lastRow="1" w:firstColumn="1" w:lastColumn="1" w:noHBand="0" w:noVBand="0"/>
      </w:tblPr>
      <w:tblGrid>
        <w:gridCol w:w="743"/>
        <w:gridCol w:w="2506"/>
        <w:gridCol w:w="5571"/>
      </w:tblGrid>
      <w:tr w:rsidR="001B125F" w:rsidRPr="00C7183F" w14:paraId="18A1389B" w14:textId="77777777" w:rsidTr="001B125F">
        <w:trPr>
          <w:jc w:val="center"/>
        </w:trPr>
        <w:tc>
          <w:tcPr>
            <w:tcW w:w="743" w:type="dxa"/>
          </w:tcPr>
          <w:p w14:paraId="19D3332D" w14:textId="77777777" w:rsidR="001B125F" w:rsidRPr="00C7183F" w:rsidRDefault="001B125F" w:rsidP="00C7183F">
            <w:pPr>
              <w:spacing w:before="120" w:after="120"/>
              <w:rPr>
                <w:rFonts w:ascii="Arial" w:hAnsi="Arial"/>
                <w:b/>
                <w:bCs/>
                <w:sz w:val="26"/>
                <w:szCs w:val="26"/>
              </w:rPr>
            </w:pPr>
            <w:r w:rsidRPr="00C7183F">
              <w:rPr>
                <w:rFonts w:ascii="Arial" w:hAnsi="Arial"/>
                <w:b/>
                <w:bCs/>
                <w:sz w:val="26"/>
                <w:szCs w:val="26"/>
                <w:rtl/>
              </w:rPr>
              <w:t xml:space="preserve">בפני </w:t>
            </w:r>
          </w:p>
        </w:tc>
        <w:tc>
          <w:tcPr>
            <w:tcW w:w="8077" w:type="dxa"/>
            <w:gridSpan w:val="2"/>
          </w:tcPr>
          <w:p w14:paraId="565F1479" w14:textId="77777777" w:rsidR="001B125F" w:rsidRPr="00C7183F" w:rsidRDefault="001B125F" w:rsidP="00C7183F">
            <w:pPr>
              <w:spacing w:before="120" w:after="120"/>
              <w:rPr>
                <w:rFonts w:ascii="Arial" w:hAnsi="Arial"/>
                <w:b/>
                <w:bCs/>
                <w:sz w:val="26"/>
                <w:szCs w:val="26"/>
                <w:rtl/>
              </w:rPr>
            </w:pPr>
            <w:r w:rsidRPr="00C7183F">
              <w:rPr>
                <w:rFonts w:ascii="Arial" w:hAnsi="Arial"/>
                <w:b/>
                <w:bCs/>
                <w:sz w:val="26"/>
                <w:szCs w:val="26"/>
                <w:rtl/>
              </w:rPr>
              <w:t>כבוד השופט  דניאל פיש</w:t>
            </w:r>
          </w:p>
        </w:tc>
      </w:tr>
      <w:tr w:rsidR="001B125F" w:rsidRPr="00C7183F" w14:paraId="0616079C" w14:textId="77777777" w:rsidTr="001B125F">
        <w:trPr>
          <w:jc w:val="center"/>
        </w:trPr>
        <w:tc>
          <w:tcPr>
            <w:tcW w:w="3249" w:type="dxa"/>
            <w:gridSpan w:val="2"/>
          </w:tcPr>
          <w:p w14:paraId="7C055331" w14:textId="77777777" w:rsidR="001B125F" w:rsidRPr="00C7183F" w:rsidRDefault="001B125F" w:rsidP="00C7183F">
            <w:pPr>
              <w:spacing w:before="120" w:after="120"/>
              <w:rPr>
                <w:rFonts w:ascii="Arial" w:hAnsi="Arial"/>
                <w:b/>
                <w:bCs/>
                <w:sz w:val="26"/>
                <w:szCs w:val="26"/>
              </w:rPr>
            </w:pPr>
            <w:bookmarkStart w:id="2" w:name="FirstAppellant"/>
          </w:p>
          <w:p w14:paraId="73558A8A" w14:textId="77777777" w:rsidR="001B125F" w:rsidRPr="00C7183F" w:rsidRDefault="001B125F" w:rsidP="00C7183F">
            <w:pPr>
              <w:spacing w:before="120" w:after="120"/>
              <w:rPr>
                <w:rFonts w:ascii="Arial" w:hAnsi="Arial"/>
                <w:b/>
                <w:bCs/>
                <w:sz w:val="26"/>
                <w:szCs w:val="26"/>
              </w:rPr>
            </w:pPr>
            <w:r w:rsidRPr="00C7183F">
              <w:rPr>
                <w:rFonts w:ascii="Arial" w:hAnsi="Arial"/>
                <w:b/>
                <w:bCs/>
                <w:sz w:val="26"/>
                <w:szCs w:val="26"/>
                <w:rtl/>
              </w:rPr>
              <w:t>מאשימה</w:t>
            </w:r>
          </w:p>
        </w:tc>
        <w:tc>
          <w:tcPr>
            <w:tcW w:w="5571" w:type="dxa"/>
          </w:tcPr>
          <w:p w14:paraId="33B0C732" w14:textId="77777777" w:rsidR="001B125F" w:rsidRPr="00C7183F" w:rsidRDefault="001B125F" w:rsidP="00C7183F">
            <w:pPr>
              <w:spacing w:before="120" w:after="120"/>
              <w:rPr>
                <w:rFonts w:ascii="Arial" w:hAnsi="Arial"/>
                <w:b/>
                <w:bCs/>
                <w:sz w:val="26"/>
                <w:szCs w:val="26"/>
                <w:rtl/>
              </w:rPr>
            </w:pPr>
          </w:p>
          <w:p w14:paraId="1FD694C5" w14:textId="77777777" w:rsidR="001B125F" w:rsidRPr="00C7183F" w:rsidRDefault="001B125F" w:rsidP="00C7183F">
            <w:pPr>
              <w:spacing w:before="120" w:after="120"/>
              <w:rPr>
                <w:b/>
                <w:bCs/>
                <w:sz w:val="26"/>
                <w:szCs w:val="26"/>
                <w:rtl/>
              </w:rPr>
            </w:pPr>
            <w:r w:rsidRPr="00C7183F">
              <w:rPr>
                <w:rFonts w:ascii="Arial" w:hAnsi="Arial"/>
                <w:b/>
                <w:bCs/>
                <w:sz w:val="26"/>
                <w:szCs w:val="26"/>
                <w:rtl/>
              </w:rPr>
              <w:t>מדינת ישראל</w:t>
            </w:r>
            <w:r w:rsidRPr="00C7183F">
              <w:rPr>
                <w:rFonts w:ascii="Arial" w:hAnsi="Arial"/>
                <w:b/>
                <w:bCs/>
                <w:sz w:val="26"/>
                <w:szCs w:val="26"/>
                <w:rtl/>
              </w:rPr>
              <w:br/>
            </w:r>
            <w:r w:rsidRPr="00C7183F">
              <w:rPr>
                <w:b/>
                <w:bCs/>
                <w:sz w:val="26"/>
                <w:szCs w:val="26"/>
                <w:rtl/>
              </w:rPr>
              <w:t>ע"י ב"כ עו"ד מפרקליטות מחוז חיפה - פלילי</w:t>
            </w:r>
          </w:p>
        </w:tc>
      </w:tr>
      <w:bookmarkEnd w:id="2"/>
      <w:tr w:rsidR="001B125F" w:rsidRPr="00C7183F" w14:paraId="468DF0B5" w14:textId="77777777" w:rsidTr="001B125F">
        <w:trPr>
          <w:jc w:val="center"/>
        </w:trPr>
        <w:tc>
          <w:tcPr>
            <w:tcW w:w="8820" w:type="dxa"/>
            <w:gridSpan w:val="3"/>
          </w:tcPr>
          <w:p w14:paraId="162EAE70" w14:textId="77777777" w:rsidR="001B125F" w:rsidRPr="00C7183F" w:rsidRDefault="001B125F" w:rsidP="001B125F">
            <w:pPr>
              <w:rPr>
                <w:rFonts w:ascii="Arial" w:hAnsi="Arial"/>
                <w:b/>
                <w:bCs/>
                <w:sz w:val="26"/>
                <w:szCs w:val="26"/>
              </w:rPr>
            </w:pPr>
          </w:p>
          <w:p w14:paraId="17E6AC19" w14:textId="77777777" w:rsidR="001B125F" w:rsidRPr="00C7183F" w:rsidRDefault="001B125F" w:rsidP="001B125F">
            <w:pPr>
              <w:jc w:val="center"/>
              <w:rPr>
                <w:rFonts w:ascii="Arial" w:hAnsi="Arial"/>
                <w:b/>
                <w:bCs/>
                <w:sz w:val="26"/>
                <w:szCs w:val="26"/>
                <w:rtl/>
              </w:rPr>
            </w:pPr>
            <w:r w:rsidRPr="00C7183F">
              <w:rPr>
                <w:rFonts w:ascii="Arial" w:hAnsi="Arial"/>
                <w:b/>
                <w:bCs/>
                <w:sz w:val="26"/>
                <w:szCs w:val="26"/>
                <w:rtl/>
              </w:rPr>
              <w:t>נגד</w:t>
            </w:r>
          </w:p>
          <w:p w14:paraId="0764F169" w14:textId="77777777" w:rsidR="001B125F" w:rsidRPr="00C7183F" w:rsidRDefault="001B125F" w:rsidP="001B125F">
            <w:pPr>
              <w:rPr>
                <w:rFonts w:ascii="Arial" w:hAnsi="Arial"/>
                <w:b/>
                <w:bCs/>
                <w:sz w:val="26"/>
                <w:szCs w:val="26"/>
                <w:rtl/>
              </w:rPr>
            </w:pPr>
          </w:p>
        </w:tc>
      </w:tr>
      <w:tr w:rsidR="001B125F" w:rsidRPr="00C7183F" w14:paraId="6DA98B36" w14:textId="77777777" w:rsidTr="001B125F">
        <w:trPr>
          <w:jc w:val="center"/>
        </w:trPr>
        <w:tc>
          <w:tcPr>
            <w:tcW w:w="3249" w:type="dxa"/>
            <w:gridSpan w:val="2"/>
          </w:tcPr>
          <w:p w14:paraId="4E5825FF" w14:textId="77777777" w:rsidR="001B125F" w:rsidRPr="00C7183F" w:rsidRDefault="001B125F" w:rsidP="00C7183F">
            <w:pPr>
              <w:spacing w:before="120" w:after="120"/>
              <w:rPr>
                <w:rFonts w:ascii="Arial" w:hAnsi="Arial"/>
                <w:b/>
                <w:bCs/>
                <w:sz w:val="26"/>
                <w:szCs w:val="26"/>
              </w:rPr>
            </w:pPr>
          </w:p>
          <w:p w14:paraId="26B6841A" w14:textId="77777777" w:rsidR="001B125F" w:rsidRPr="00C7183F" w:rsidRDefault="001B125F" w:rsidP="00C7183F">
            <w:pPr>
              <w:spacing w:before="120" w:after="120"/>
              <w:rPr>
                <w:rFonts w:ascii="Arial" w:hAnsi="Arial"/>
                <w:b/>
                <w:bCs/>
                <w:sz w:val="26"/>
                <w:szCs w:val="26"/>
                <w:rtl/>
              </w:rPr>
            </w:pPr>
            <w:r w:rsidRPr="00C7183F">
              <w:rPr>
                <w:rFonts w:ascii="Arial" w:hAnsi="Arial"/>
                <w:b/>
                <w:bCs/>
                <w:sz w:val="26"/>
                <w:szCs w:val="26"/>
                <w:rtl/>
              </w:rPr>
              <w:t>נאשמים</w:t>
            </w:r>
          </w:p>
        </w:tc>
        <w:tc>
          <w:tcPr>
            <w:tcW w:w="5571" w:type="dxa"/>
          </w:tcPr>
          <w:p w14:paraId="42F69277" w14:textId="77777777" w:rsidR="001B125F" w:rsidRPr="00C7183F" w:rsidRDefault="001B125F" w:rsidP="00C7183F">
            <w:pPr>
              <w:spacing w:before="120" w:after="120"/>
              <w:rPr>
                <w:rFonts w:ascii="Arial" w:hAnsi="Arial"/>
                <w:b/>
                <w:bCs/>
                <w:sz w:val="26"/>
                <w:szCs w:val="26"/>
              </w:rPr>
            </w:pPr>
          </w:p>
          <w:p w14:paraId="085DC1D7" w14:textId="77777777" w:rsidR="001B125F" w:rsidRPr="00C7183F" w:rsidRDefault="001B125F" w:rsidP="00C7183F">
            <w:pPr>
              <w:spacing w:before="120" w:after="120"/>
              <w:rPr>
                <w:b/>
                <w:bCs/>
                <w:sz w:val="26"/>
                <w:szCs w:val="26"/>
                <w:rtl/>
              </w:rPr>
            </w:pPr>
            <w:r w:rsidRPr="00C7183F">
              <w:rPr>
                <w:rFonts w:ascii="Arial" w:hAnsi="Arial"/>
                <w:b/>
                <w:bCs/>
                <w:sz w:val="26"/>
                <w:szCs w:val="26"/>
                <w:rtl/>
              </w:rPr>
              <w:t xml:space="preserve">1. עומר אבו ריא </w:t>
            </w:r>
            <w:r w:rsidRPr="00C7183F">
              <w:rPr>
                <w:b/>
                <w:bCs/>
                <w:sz w:val="26"/>
                <w:szCs w:val="26"/>
              </w:rPr>
              <w:t xml:space="preserve"> </w:t>
            </w:r>
            <w:r w:rsidRPr="00C7183F">
              <w:rPr>
                <w:b/>
                <w:bCs/>
                <w:sz w:val="26"/>
                <w:szCs w:val="26"/>
                <w:rtl/>
              </w:rPr>
              <w:t xml:space="preserve"> </w:t>
            </w:r>
            <w:r w:rsidRPr="00C7183F">
              <w:rPr>
                <w:b/>
                <w:bCs/>
                <w:sz w:val="26"/>
                <w:szCs w:val="26"/>
                <w:rtl/>
              </w:rPr>
              <w:br/>
              <w:t>ע"י ב"כ עו"ד עותמאן סנונו</w:t>
            </w:r>
          </w:p>
          <w:p w14:paraId="0FE20A15" w14:textId="77777777" w:rsidR="001B125F" w:rsidRPr="00C7183F" w:rsidRDefault="001B125F" w:rsidP="00C7183F">
            <w:pPr>
              <w:spacing w:before="120" w:after="120"/>
              <w:rPr>
                <w:b/>
                <w:bCs/>
                <w:sz w:val="26"/>
                <w:szCs w:val="26"/>
                <w:rtl/>
              </w:rPr>
            </w:pPr>
            <w:r w:rsidRPr="00C7183F">
              <w:rPr>
                <w:rFonts w:ascii="Arial" w:hAnsi="Arial"/>
                <w:b/>
                <w:bCs/>
                <w:sz w:val="26"/>
                <w:szCs w:val="26"/>
                <w:rtl/>
              </w:rPr>
              <w:t xml:space="preserve">2. מוחמד ריא </w:t>
            </w:r>
            <w:r w:rsidRPr="00C7183F">
              <w:rPr>
                <w:b/>
                <w:bCs/>
                <w:sz w:val="26"/>
                <w:szCs w:val="26"/>
              </w:rPr>
              <w:t xml:space="preserve"> </w:t>
            </w:r>
            <w:r w:rsidRPr="00C7183F">
              <w:rPr>
                <w:b/>
                <w:bCs/>
                <w:sz w:val="26"/>
                <w:szCs w:val="26"/>
                <w:rtl/>
              </w:rPr>
              <w:t xml:space="preserve"> </w:t>
            </w:r>
            <w:r w:rsidRPr="00C7183F">
              <w:rPr>
                <w:b/>
                <w:bCs/>
                <w:sz w:val="26"/>
                <w:szCs w:val="26"/>
                <w:rtl/>
              </w:rPr>
              <w:br/>
              <w:t>ע"י ב"כ עו"ד אברהם מנצור</w:t>
            </w:r>
          </w:p>
        </w:tc>
      </w:tr>
    </w:tbl>
    <w:p w14:paraId="1C4E90AE" w14:textId="77777777" w:rsidR="00C7183F" w:rsidRPr="00C7183F" w:rsidRDefault="00C7183F" w:rsidP="00C7183F">
      <w:pPr>
        <w:spacing w:after="120" w:line="240" w:lineRule="exact"/>
        <w:ind w:left="283" w:hanging="283"/>
        <w:jc w:val="both"/>
        <w:rPr>
          <w:rFonts w:ascii="FrankRuehl" w:hAnsi="FrankRuehl" w:cs="FrankRuehl"/>
          <w:rtl/>
        </w:rPr>
      </w:pPr>
      <w:bookmarkStart w:id="3" w:name="LawTable"/>
      <w:bookmarkEnd w:id="3"/>
    </w:p>
    <w:p w14:paraId="0D1112A5" w14:textId="77777777" w:rsidR="00C7183F" w:rsidRPr="00C7183F" w:rsidRDefault="00C7183F" w:rsidP="00C7183F">
      <w:pPr>
        <w:spacing w:after="120" w:line="240" w:lineRule="exact"/>
        <w:ind w:left="283" w:hanging="283"/>
        <w:jc w:val="both"/>
        <w:rPr>
          <w:rFonts w:ascii="FrankRuehl" w:hAnsi="FrankRuehl" w:cs="FrankRuehl"/>
          <w:rtl/>
        </w:rPr>
      </w:pPr>
      <w:r w:rsidRPr="00C7183F">
        <w:rPr>
          <w:rFonts w:ascii="FrankRuehl" w:hAnsi="FrankRuehl" w:cs="FrankRuehl"/>
          <w:rtl/>
        </w:rPr>
        <w:t xml:space="preserve">חקיקה שאוזכרה: </w:t>
      </w:r>
    </w:p>
    <w:p w14:paraId="6304F697" w14:textId="77777777" w:rsidR="00C7183F" w:rsidRPr="00C7183F" w:rsidRDefault="00C7183F" w:rsidP="00C7183F">
      <w:pPr>
        <w:spacing w:after="120" w:line="240" w:lineRule="exact"/>
        <w:ind w:left="283" w:hanging="283"/>
        <w:jc w:val="both"/>
        <w:rPr>
          <w:rFonts w:ascii="FrankRuehl" w:hAnsi="FrankRuehl" w:cs="FrankRuehl"/>
          <w:rtl/>
        </w:rPr>
      </w:pPr>
      <w:hyperlink r:id="rId8" w:history="1">
        <w:r w:rsidRPr="00C7183F">
          <w:rPr>
            <w:rFonts w:ascii="FrankRuehl" w:hAnsi="FrankRuehl" w:cs="FrankRuehl"/>
            <w:color w:val="0000FF"/>
            <w:u w:val="single"/>
            <w:rtl/>
          </w:rPr>
          <w:t>חוק העונשין, תשל"ז-1977</w:t>
        </w:r>
      </w:hyperlink>
      <w:r w:rsidRPr="00C7183F">
        <w:rPr>
          <w:rFonts w:ascii="FrankRuehl" w:hAnsi="FrankRuehl" w:cs="FrankRuehl"/>
          <w:rtl/>
        </w:rPr>
        <w:t xml:space="preserve">: סע'  </w:t>
      </w:r>
      <w:hyperlink r:id="rId9" w:history="1">
        <w:r w:rsidRPr="00C7183F">
          <w:rPr>
            <w:rFonts w:ascii="FrankRuehl" w:hAnsi="FrankRuehl" w:cs="FrankRuehl"/>
            <w:color w:val="0000FF"/>
            <w:u w:val="single"/>
            <w:rtl/>
          </w:rPr>
          <w:t>25</w:t>
        </w:r>
      </w:hyperlink>
      <w:r w:rsidRPr="00C7183F">
        <w:rPr>
          <w:rFonts w:ascii="FrankRuehl" w:hAnsi="FrankRuehl" w:cs="FrankRuehl"/>
          <w:rtl/>
        </w:rPr>
        <w:t xml:space="preserve">, </w:t>
      </w:r>
      <w:hyperlink r:id="rId10" w:history="1">
        <w:r w:rsidRPr="00C7183F">
          <w:rPr>
            <w:rFonts w:ascii="FrankRuehl" w:hAnsi="FrankRuehl" w:cs="FrankRuehl"/>
            <w:color w:val="0000FF"/>
            <w:u w:val="single"/>
            <w:rtl/>
          </w:rPr>
          <w:t>29</w:t>
        </w:r>
      </w:hyperlink>
      <w:r w:rsidRPr="00C7183F">
        <w:rPr>
          <w:rFonts w:ascii="FrankRuehl" w:hAnsi="FrankRuehl" w:cs="FrankRuehl"/>
          <w:rtl/>
        </w:rPr>
        <w:t xml:space="preserve">, </w:t>
      </w:r>
      <w:hyperlink r:id="rId11" w:history="1">
        <w:r w:rsidRPr="00C7183F">
          <w:rPr>
            <w:rFonts w:ascii="FrankRuehl" w:hAnsi="FrankRuehl" w:cs="FrankRuehl"/>
            <w:color w:val="0000FF"/>
            <w:u w:val="single"/>
            <w:rtl/>
          </w:rPr>
          <w:t>144(ב)</w:t>
        </w:r>
      </w:hyperlink>
      <w:r w:rsidRPr="00C7183F">
        <w:rPr>
          <w:rFonts w:ascii="FrankRuehl" w:hAnsi="FrankRuehl" w:cs="FrankRuehl"/>
          <w:rtl/>
        </w:rPr>
        <w:t xml:space="preserve">, </w:t>
      </w:r>
      <w:hyperlink r:id="rId12" w:history="1">
        <w:r w:rsidRPr="00C7183F">
          <w:rPr>
            <w:rFonts w:ascii="FrankRuehl" w:hAnsi="FrankRuehl" w:cs="FrankRuehl"/>
            <w:color w:val="0000FF"/>
            <w:u w:val="single"/>
            <w:rtl/>
          </w:rPr>
          <w:t>144 (ב2)</w:t>
        </w:r>
      </w:hyperlink>
      <w:r w:rsidRPr="00C7183F">
        <w:rPr>
          <w:rFonts w:ascii="FrankRuehl" w:hAnsi="FrankRuehl" w:cs="FrankRuehl"/>
          <w:rtl/>
        </w:rPr>
        <w:t xml:space="preserve">, </w:t>
      </w:r>
      <w:hyperlink r:id="rId13" w:history="1">
        <w:r w:rsidRPr="00C7183F">
          <w:rPr>
            <w:rFonts w:ascii="FrankRuehl" w:hAnsi="FrankRuehl" w:cs="FrankRuehl"/>
            <w:color w:val="0000FF"/>
            <w:u w:val="single"/>
            <w:rtl/>
          </w:rPr>
          <w:t>448(א)</w:t>
        </w:r>
      </w:hyperlink>
      <w:r w:rsidRPr="00C7183F">
        <w:rPr>
          <w:rFonts w:ascii="FrankRuehl" w:hAnsi="FrankRuehl" w:cs="FrankRuehl"/>
          <w:rtl/>
        </w:rPr>
        <w:t xml:space="preserve">, </w:t>
      </w:r>
      <w:hyperlink r:id="rId14" w:history="1">
        <w:r w:rsidRPr="00C7183F">
          <w:rPr>
            <w:rFonts w:ascii="FrankRuehl" w:hAnsi="FrankRuehl" w:cs="FrankRuehl"/>
            <w:color w:val="0000FF"/>
            <w:u w:val="single"/>
            <w:rtl/>
          </w:rPr>
          <w:t>452</w:t>
        </w:r>
      </w:hyperlink>
    </w:p>
    <w:p w14:paraId="5074F6F7" w14:textId="77777777" w:rsidR="00C7183F" w:rsidRPr="00C7183F" w:rsidRDefault="00C7183F" w:rsidP="00C7183F">
      <w:pPr>
        <w:spacing w:after="120" w:line="240" w:lineRule="exact"/>
        <w:ind w:left="283" w:hanging="283"/>
        <w:jc w:val="both"/>
        <w:rPr>
          <w:rFonts w:ascii="FrankRuehl" w:hAnsi="FrankRuehl" w:cs="FrankRuehl"/>
          <w:rtl/>
        </w:rPr>
      </w:pPr>
    </w:p>
    <w:p w14:paraId="32334217" w14:textId="77777777" w:rsidR="00C7183F" w:rsidRDefault="00C7183F" w:rsidP="00C7183F">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737B3675" w14:textId="77777777" w:rsidR="00C7183F" w:rsidRPr="00C7183F" w:rsidRDefault="00C7183F" w:rsidP="00C7183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C7183F">
        <w:rPr>
          <w:rFonts w:cs="FrankRuehl" w:hint="cs"/>
          <w:szCs w:val="26"/>
          <w:rtl/>
        </w:rPr>
        <w:t xml:space="preserve">בית המשפט גזר את דינם של נאשמים שהורשעו בעבירות נשק והשלכת </w:t>
      </w:r>
      <w:r w:rsidRPr="00C7183F">
        <w:rPr>
          <w:rFonts w:cs="FrankRuehl"/>
          <w:szCs w:val="26"/>
          <w:rtl/>
        </w:rPr>
        <w:t>בבקבוקי תבערה</w:t>
      </w:r>
      <w:r w:rsidRPr="00C7183F">
        <w:rPr>
          <w:rFonts w:cs="FrankRuehl" w:hint="cs"/>
          <w:szCs w:val="26"/>
          <w:rtl/>
        </w:rPr>
        <w:t xml:space="preserve">, והשית על כל אחד מהם </w:t>
      </w:r>
      <w:r w:rsidRPr="00C7183F">
        <w:rPr>
          <w:rFonts w:cs="FrankRuehl"/>
          <w:szCs w:val="26"/>
          <w:rtl/>
        </w:rPr>
        <w:t>6 חודשי עבודות שירות</w:t>
      </w:r>
      <w:r w:rsidRPr="00C7183F">
        <w:rPr>
          <w:rFonts w:cs="FrankRuehl" w:hint="cs"/>
          <w:szCs w:val="26"/>
          <w:rtl/>
        </w:rPr>
        <w:t xml:space="preserve">, </w:t>
      </w:r>
      <w:r w:rsidRPr="00C7183F">
        <w:rPr>
          <w:rFonts w:cs="FrankRuehl"/>
          <w:szCs w:val="26"/>
          <w:rtl/>
        </w:rPr>
        <w:t xml:space="preserve">9 חודשי מאסר </w:t>
      </w:r>
      <w:r w:rsidRPr="00C7183F">
        <w:rPr>
          <w:rFonts w:cs="FrankRuehl" w:hint="cs"/>
          <w:szCs w:val="26"/>
          <w:rtl/>
        </w:rPr>
        <w:t xml:space="preserve">מותנה, </w:t>
      </w:r>
      <w:r w:rsidRPr="00C7183F">
        <w:rPr>
          <w:rFonts w:cs="FrankRuehl"/>
          <w:szCs w:val="26"/>
          <w:rtl/>
        </w:rPr>
        <w:t xml:space="preserve">קנס בסך 1,000 ₪ </w:t>
      </w:r>
      <w:r w:rsidRPr="00C7183F">
        <w:rPr>
          <w:rFonts w:cs="FrankRuehl" w:hint="cs"/>
          <w:szCs w:val="26"/>
          <w:rtl/>
        </w:rPr>
        <w:t>ו</w:t>
      </w:r>
      <w:r w:rsidRPr="00C7183F">
        <w:rPr>
          <w:rFonts w:cs="FrankRuehl"/>
          <w:szCs w:val="26"/>
          <w:rtl/>
        </w:rPr>
        <w:t>פיצוי ל</w:t>
      </w:r>
      <w:r w:rsidRPr="00C7183F">
        <w:rPr>
          <w:rFonts w:cs="FrankRuehl" w:hint="cs"/>
          <w:szCs w:val="26"/>
          <w:rtl/>
        </w:rPr>
        <w:t>ניזוק</w:t>
      </w:r>
      <w:r w:rsidRPr="00C7183F">
        <w:rPr>
          <w:rFonts w:cs="FrankRuehl"/>
          <w:szCs w:val="26"/>
          <w:rtl/>
        </w:rPr>
        <w:t>.</w:t>
      </w:r>
    </w:p>
    <w:p w14:paraId="58E518FE" w14:textId="77777777" w:rsidR="00C7183F" w:rsidRDefault="00C7183F" w:rsidP="00C7183F">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נשק</w:t>
      </w:r>
    </w:p>
    <w:p w14:paraId="67FCB717" w14:textId="77777777" w:rsidR="00C7183F" w:rsidRDefault="00C7183F" w:rsidP="00C7183F">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שיקולי ענישה</w:t>
      </w:r>
    </w:p>
    <w:p w14:paraId="6508DFFE" w14:textId="77777777" w:rsidR="00C7183F" w:rsidRDefault="00C7183F" w:rsidP="00C7183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0861008" w14:textId="77777777" w:rsidR="00C7183F" w:rsidRPr="00C7183F" w:rsidRDefault="00C7183F" w:rsidP="00C7183F">
      <w:pPr>
        <w:pBdr>
          <w:top w:val="single" w:sz="4" w:space="1" w:color="auto"/>
          <w:bottom w:val="single" w:sz="4" w:space="1" w:color="auto"/>
        </w:pBdr>
        <w:spacing w:after="120" w:line="320" w:lineRule="exact"/>
        <w:jc w:val="both"/>
        <w:rPr>
          <w:rFonts w:cs="FrankRuehl" w:hint="cs"/>
          <w:szCs w:val="26"/>
          <w:rtl/>
        </w:rPr>
      </w:pPr>
      <w:r w:rsidRPr="00C7183F">
        <w:rPr>
          <w:rFonts w:cs="FrankRuehl"/>
          <w:szCs w:val="26"/>
          <w:rtl/>
        </w:rPr>
        <w:t xml:space="preserve">הנאשמים </w:t>
      </w:r>
      <w:r w:rsidRPr="00C7183F">
        <w:rPr>
          <w:rFonts w:cs="FrankRuehl" w:hint="cs"/>
          <w:szCs w:val="26"/>
          <w:rtl/>
        </w:rPr>
        <w:t>הורשעו</w:t>
      </w:r>
      <w:r w:rsidRPr="00C7183F">
        <w:rPr>
          <w:rFonts w:cs="FrankRuehl"/>
          <w:szCs w:val="26"/>
          <w:rtl/>
        </w:rPr>
        <w:t xml:space="preserve"> במסגרת הסדר טיעון חלקי בביצוע עבירות של ייצור נשק</w:t>
      </w:r>
      <w:r w:rsidRPr="00C7183F">
        <w:rPr>
          <w:rFonts w:cs="FrankRuehl" w:hint="cs"/>
          <w:szCs w:val="26"/>
          <w:rtl/>
        </w:rPr>
        <w:t xml:space="preserve">, </w:t>
      </w:r>
      <w:r w:rsidRPr="00C7183F">
        <w:rPr>
          <w:rFonts w:cs="FrankRuehl"/>
          <w:szCs w:val="26"/>
          <w:rtl/>
        </w:rPr>
        <w:t>נשיאה והובלת נשק</w:t>
      </w:r>
      <w:r w:rsidRPr="00C7183F">
        <w:rPr>
          <w:rFonts w:cs="FrankRuehl" w:hint="cs"/>
          <w:szCs w:val="26"/>
          <w:rtl/>
        </w:rPr>
        <w:t xml:space="preserve">, </w:t>
      </w:r>
      <w:r w:rsidRPr="00C7183F">
        <w:rPr>
          <w:rFonts w:cs="FrankRuehl"/>
          <w:szCs w:val="26"/>
          <w:rtl/>
        </w:rPr>
        <w:t>ניסיון הצתה והיזק בזדון</w:t>
      </w:r>
      <w:r w:rsidRPr="00C7183F">
        <w:rPr>
          <w:rFonts w:cs="FrankRuehl" w:hint="cs"/>
          <w:szCs w:val="26"/>
          <w:rtl/>
        </w:rPr>
        <w:t>.</w:t>
      </w:r>
    </w:p>
    <w:p w14:paraId="5221C6F1" w14:textId="77777777" w:rsidR="00C7183F" w:rsidRDefault="00C7183F" w:rsidP="00C7183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4D9E2B1" w14:textId="77777777" w:rsidR="00C7183F" w:rsidRPr="00C7183F" w:rsidRDefault="00C7183F" w:rsidP="00C7183F">
      <w:pPr>
        <w:pBdr>
          <w:top w:val="single" w:sz="4" w:space="1" w:color="auto"/>
          <w:bottom w:val="single" w:sz="4" w:space="1" w:color="auto"/>
        </w:pBdr>
        <w:spacing w:after="120" w:line="320" w:lineRule="exact"/>
        <w:jc w:val="both"/>
        <w:rPr>
          <w:rFonts w:cs="FrankRuehl" w:hint="cs"/>
          <w:szCs w:val="26"/>
          <w:rtl/>
        </w:rPr>
      </w:pPr>
      <w:r w:rsidRPr="00C7183F">
        <w:rPr>
          <w:rFonts w:cs="FrankRuehl"/>
          <w:szCs w:val="26"/>
          <w:rtl/>
        </w:rPr>
        <w:t>בית המשפט המחוזי</w:t>
      </w:r>
      <w:r w:rsidRPr="00C7183F">
        <w:rPr>
          <w:rFonts w:cs="FrankRuehl" w:hint="cs"/>
          <w:szCs w:val="26"/>
          <w:rtl/>
        </w:rPr>
        <w:t xml:space="preserve"> גזר את הדין ופסק:</w:t>
      </w:r>
    </w:p>
    <w:p w14:paraId="65DA83A7" w14:textId="77777777" w:rsidR="00C7183F" w:rsidRPr="00C7183F" w:rsidRDefault="00C7183F" w:rsidP="00C7183F">
      <w:pPr>
        <w:pBdr>
          <w:top w:val="single" w:sz="4" w:space="1" w:color="auto"/>
          <w:bottom w:val="single" w:sz="4" w:space="1" w:color="auto"/>
        </w:pBdr>
        <w:spacing w:after="120" w:line="320" w:lineRule="exact"/>
        <w:jc w:val="both"/>
        <w:rPr>
          <w:rFonts w:cs="FrankRuehl"/>
          <w:szCs w:val="26"/>
          <w:rtl/>
        </w:rPr>
      </w:pPr>
      <w:r w:rsidRPr="00C7183F">
        <w:rPr>
          <w:rFonts w:cs="FrankRuehl"/>
          <w:szCs w:val="26"/>
          <w:rtl/>
        </w:rPr>
        <w:t>הערכים החברת</w:t>
      </w:r>
      <w:r w:rsidRPr="00C7183F">
        <w:rPr>
          <w:rFonts w:cs="FrankRuehl" w:hint="cs"/>
          <w:szCs w:val="26"/>
          <w:rtl/>
        </w:rPr>
        <w:t>י</w:t>
      </w:r>
      <w:r w:rsidRPr="00C7183F">
        <w:rPr>
          <w:rFonts w:cs="FrankRuehl"/>
          <w:szCs w:val="26"/>
          <w:rtl/>
        </w:rPr>
        <w:t>ים שנפגעו הם שלום הציבור, בטחונו והשמירה על הקניין הפרטי. רמת הפגיעה בהם – למרות שנעשה שימוש בבקבוקי תבערה ה</w:t>
      </w:r>
      <w:r w:rsidRPr="00C7183F">
        <w:rPr>
          <w:rFonts w:cs="FrankRuehl" w:hint="cs"/>
          <w:szCs w:val="26"/>
          <w:rtl/>
        </w:rPr>
        <w:t>י</w:t>
      </w:r>
      <w:r w:rsidRPr="00C7183F">
        <w:rPr>
          <w:rFonts w:cs="FrankRuehl"/>
          <w:szCs w:val="26"/>
          <w:rtl/>
        </w:rPr>
        <w:t>יתה נמוכה</w:t>
      </w:r>
      <w:r w:rsidRPr="00C7183F">
        <w:rPr>
          <w:rFonts w:cs="FrankRuehl" w:hint="cs"/>
          <w:szCs w:val="26"/>
          <w:rtl/>
        </w:rPr>
        <w:t>.</w:t>
      </w:r>
      <w:r w:rsidRPr="00C7183F">
        <w:rPr>
          <w:rFonts w:cs="FrankRuehl"/>
          <w:szCs w:val="26"/>
          <w:rtl/>
        </w:rPr>
        <w:t xml:space="preserve"> על חומרת עבירות הנשק ובין היתר החומר שבהכנת בקבוקי תבערה וזריקתם, אין צורך לחזור</w:t>
      </w:r>
      <w:r w:rsidRPr="00C7183F">
        <w:rPr>
          <w:rFonts w:cs="FrankRuehl" w:hint="cs"/>
          <w:szCs w:val="26"/>
          <w:rtl/>
        </w:rPr>
        <w:t>,</w:t>
      </w:r>
      <w:r w:rsidRPr="00C7183F">
        <w:rPr>
          <w:rFonts w:cs="FrankRuehl"/>
          <w:szCs w:val="26"/>
          <w:rtl/>
        </w:rPr>
        <w:t xml:space="preserve"> </w:t>
      </w:r>
      <w:r w:rsidRPr="00C7183F">
        <w:rPr>
          <w:rFonts w:cs="FrankRuehl" w:hint="cs"/>
          <w:szCs w:val="26"/>
          <w:rtl/>
        </w:rPr>
        <w:t xml:space="preserve">אך </w:t>
      </w:r>
      <w:r w:rsidRPr="00C7183F">
        <w:rPr>
          <w:rFonts w:cs="FrankRuehl"/>
          <w:szCs w:val="26"/>
          <w:rtl/>
        </w:rPr>
        <w:t>במקרה דנן הנאשמים לא היו מעוני</w:t>
      </w:r>
      <w:r w:rsidRPr="00C7183F">
        <w:rPr>
          <w:rFonts w:cs="FrankRuehl" w:hint="cs"/>
          <w:szCs w:val="26"/>
          <w:rtl/>
        </w:rPr>
        <w:t>י</w:t>
      </w:r>
      <w:r w:rsidRPr="00C7183F">
        <w:rPr>
          <w:rFonts w:cs="FrankRuehl"/>
          <w:szCs w:val="26"/>
          <w:rtl/>
        </w:rPr>
        <w:t>נים בפגיעה באדם ובכוונה זרקו את הבקבוקים במקום מרוחק ונטוש</w:t>
      </w:r>
      <w:r w:rsidRPr="00C7183F">
        <w:rPr>
          <w:rFonts w:cs="FrankRuehl" w:hint="cs"/>
          <w:szCs w:val="26"/>
          <w:rtl/>
        </w:rPr>
        <w:t>.</w:t>
      </w:r>
      <w:r w:rsidRPr="00C7183F">
        <w:rPr>
          <w:rFonts w:cs="FrankRuehl"/>
          <w:szCs w:val="26"/>
          <w:rtl/>
        </w:rPr>
        <w:t xml:space="preserve"> בנסיבות המקרה, מתחם הענישה ההולם נמצא </w:t>
      </w:r>
      <w:r w:rsidRPr="00C7183F">
        <w:rPr>
          <w:rFonts w:cs="FrankRuehl"/>
          <w:szCs w:val="26"/>
          <w:rtl/>
        </w:rPr>
        <w:lastRenderedPageBreak/>
        <w:t>בין 6 חודשי מאסר בפועל לבין שנה וחצי מאסר בפועל</w:t>
      </w:r>
      <w:r w:rsidRPr="00C7183F">
        <w:rPr>
          <w:rFonts w:cs="FrankRuehl" w:hint="cs"/>
          <w:szCs w:val="26"/>
          <w:rtl/>
        </w:rPr>
        <w:t xml:space="preserve">. בנסיבותיהם של הנאשמים, </w:t>
      </w:r>
      <w:r w:rsidRPr="00C7183F">
        <w:rPr>
          <w:rFonts w:cs="FrankRuehl"/>
          <w:szCs w:val="26"/>
          <w:rtl/>
        </w:rPr>
        <w:t xml:space="preserve">רצוי להימנע להטיל עונש שיביא לכך שהנאשמים ישהו בחברת עבריינים תקופה ארוכה. </w:t>
      </w:r>
      <w:r w:rsidRPr="00C7183F">
        <w:rPr>
          <w:rFonts w:cs="FrankRuehl" w:hint="cs"/>
          <w:szCs w:val="26"/>
          <w:rtl/>
        </w:rPr>
        <w:t xml:space="preserve">לפיכך, הושת </w:t>
      </w:r>
      <w:r w:rsidRPr="00C7183F">
        <w:rPr>
          <w:rFonts w:cs="FrankRuehl"/>
          <w:szCs w:val="26"/>
          <w:rtl/>
        </w:rPr>
        <w:t>על כל אחד מהנאשמים: 6 חודשי מאסר בפועל שירוצו בעבודות שירות</w:t>
      </w:r>
      <w:r w:rsidRPr="00C7183F">
        <w:rPr>
          <w:rFonts w:cs="FrankRuehl" w:hint="cs"/>
          <w:szCs w:val="26"/>
          <w:rtl/>
        </w:rPr>
        <w:t xml:space="preserve">, </w:t>
      </w:r>
      <w:r w:rsidRPr="00C7183F">
        <w:rPr>
          <w:rFonts w:cs="FrankRuehl"/>
          <w:szCs w:val="26"/>
          <w:rtl/>
        </w:rPr>
        <w:t>9 חודשי מאסר על תנאי</w:t>
      </w:r>
      <w:r w:rsidRPr="00C7183F">
        <w:rPr>
          <w:rFonts w:cs="FrankRuehl" w:hint="cs"/>
          <w:szCs w:val="26"/>
          <w:rtl/>
        </w:rPr>
        <w:t xml:space="preserve">, </w:t>
      </w:r>
      <w:r w:rsidRPr="00C7183F">
        <w:rPr>
          <w:rFonts w:cs="FrankRuehl"/>
          <w:szCs w:val="26"/>
          <w:rtl/>
        </w:rPr>
        <w:t xml:space="preserve">קנס בסך 1,000 ₪ </w:t>
      </w:r>
      <w:r w:rsidRPr="00C7183F">
        <w:rPr>
          <w:rFonts w:cs="FrankRuehl" w:hint="cs"/>
          <w:szCs w:val="26"/>
          <w:rtl/>
        </w:rPr>
        <w:t>ו</w:t>
      </w:r>
      <w:r w:rsidRPr="00C7183F">
        <w:rPr>
          <w:rFonts w:cs="FrankRuehl"/>
          <w:szCs w:val="26"/>
          <w:rtl/>
        </w:rPr>
        <w:t xml:space="preserve">פיצוי בסך 1,000 ₪ לקיבוץ </w:t>
      </w:r>
      <w:r w:rsidRPr="00C7183F">
        <w:rPr>
          <w:rFonts w:cs="FrankRuehl" w:hint="cs"/>
          <w:szCs w:val="26"/>
          <w:rtl/>
        </w:rPr>
        <w:t>שניזוק</w:t>
      </w:r>
      <w:r w:rsidRPr="00C7183F">
        <w:rPr>
          <w:rFonts w:cs="FrankRuehl"/>
          <w:szCs w:val="26"/>
          <w:rtl/>
        </w:rPr>
        <w:t xml:space="preserve">. </w:t>
      </w:r>
    </w:p>
    <w:p w14:paraId="0AF9987B" w14:textId="77777777" w:rsidR="00C7183F" w:rsidRPr="00C7183F" w:rsidRDefault="00C7183F">
      <w:pPr>
        <w:rPr>
          <w:rFonts w:ascii="Arial" w:hAnsi="Arial"/>
          <w:rtl/>
        </w:rPr>
      </w:pPr>
      <w:bookmarkStart w:id="6" w:name="ABSTRACT_END"/>
      <w:bookmarkEnd w:id="6"/>
    </w:p>
    <w:p w14:paraId="245B4EFF" w14:textId="77777777" w:rsidR="00C7183F" w:rsidRPr="00C7183F" w:rsidRDefault="00C7183F">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B125F" w14:paraId="35B9FA5B" w14:textId="77777777" w:rsidTr="001B125F">
        <w:trPr>
          <w:trHeight w:val="355"/>
          <w:jc w:val="center"/>
        </w:trPr>
        <w:tc>
          <w:tcPr>
            <w:tcW w:w="8820" w:type="dxa"/>
            <w:tcBorders>
              <w:top w:val="nil"/>
              <w:left w:val="nil"/>
              <w:bottom w:val="nil"/>
              <w:right w:val="nil"/>
            </w:tcBorders>
          </w:tcPr>
          <w:p w14:paraId="5DF25BD6" w14:textId="77777777" w:rsidR="001B125F" w:rsidRPr="001B125F" w:rsidRDefault="001B125F" w:rsidP="001B125F">
            <w:pPr>
              <w:jc w:val="center"/>
              <w:rPr>
                <w:rFonts w:ascii="Arial" w:hAnsi="Arial" w:cs="FrankRuehl"/>
                <w:bCs/>
                <w:sz w:val="32"/>
                <w:szCs w:val="32"/>
                <w:u w:val="single"/>
                <w:rtl/>
              </w:rPr>
            </w:pPr>
            <w:bookmarkStart w:id="7" w:name="PsakDin" w:colFirst="0" w:colLast="0"/>
            <w:bookmarkEnd w:id="0"/>
            <w:bookmarkEnd w:id="1"/>
            <w:r w:rsidRPr="001B125F">
              <w:rPr>
                <w:rFonts w:ascii="Arial" w:hAnsi="Arial" w:cs="FrankRuehl"/>
                <w:b/>
                <w:bCs/>
                <w:sz w:val="32"/>
                <w:szCs w:val="32"/>
                <w:u w:val="single"/>
                <w:rtl/>
              </w:rPr>
              <w:t>גזר דין</w:t>
            </w:r>
          </w:p>
        </w:tc>
      </w:tr>
      <w:bookmarkEnd w:id="7"/>
    </w:tbl>
    <w:p w14:paraId="3AC65830" w14:textId="77777777" w:rsidR="009F6B03" w:rsidRPr="00B05847" w:rsidRDefault="009F6B03">
      <w:pPr>
        <w:rPr>
          <w:rFonts w:ascii="Arial" w:hAnsi="Arial"/>
          <w:rtl/>
        </w:rPr>
      </w:pPr>
    </w:p>
    <w:p w14:paraId="66320F30" w14:textId="77777777" w:rsidR="009F6B03" w:rsidRPr="00B05847" w:rsidRDefault="009F6B03">
      <w:pPr>
        <w:rPr>
          <w:rFonts w:ascii="Arial" w:hAnsi="Arial"/>
          <w:rtl/>
        </w:rPr>
      </w:pPr>
    </w:p>
    <w:p w14:paraId="297D97E7" w14:textId="77777777" w:rsidR="009F6B03" w:rsidRDefault="009F6B03" w:rsidP="00BF0F54">
      <w:pPr>
        <w:numPr>
          <w:ilvl w:val="0"/>
          <w:numId w:val="3"/>
        </w:numPr>
        <w:spacing w:line="360" w:lineRule="auto"/>
        <w:jc w:val="both"/>
        <w:rPr>
          <w:rtl/>
        </w:rPr>
      </w:pPr>
      <w:bookmarkStart w:id="8" w:name="_GoBack"/>
      <w:r>
        <w:rPr>
          <w:rtl/>
        </w:rPr>
        <w:t xml:space="preserve">הנאשמים הודו בכתב אישום מתוקן במסגרת הסדר טיעון חלקי בביצוע עבירות של ייצור נשק לפי </w:t>
      </w:r>
      <w:hyperlink r:id="rId15" w:history="1">
        <w:r w:rsidR="00FA026A" w:rsidRPr="00FA026A">
          <w:rPr>
            <w:color w:val="0000FF"/>
            <w:u w:val="single"/>
            <w:rtl/>
          </w:rPr>
          <w:t>סעיף 144 (ב2)</w:t>
        </w:r>
      </w:hyperlink>
      <w:r>
        <w:rPr>
          <w:rtl/>
        </w:rPr>
        <w:t xml:space="preserve"> + </w:t>
      </w:r>
      <w:hyperlink r:id="rId16" w:history="1">
        <w:r w:rsidR="00FA026A" w:rsidRPr="00FA026A">
          <w:rPr>
            <w:rStyle w:val="Hyperlink"/>
            <w:rtl/>
          </w:rPr>
          <w:t>29</w:t>
        </w:r>
      </w:hyperlink>
      <w:r>
        <w:rPr>
          <w:rtl/>
        </w:rPr>
        <w:t xml:space="preserve"> ל</w:t>
      </w:r>
      <w:hyperlink r:id="rId17" w:history="1">
        <w:r w:rsidR="001B125F" w:rsidRPr="001B125F">
          <w:rPr>
            <w:color w:val="0000FF"/>
            <w:u w:val="single"/>
            <w:rtl/>
          </w:rPr>
          <w:t>חוק העונשין</w:t>
        </w:r>
      </w:hyperlink>
      <w:r>
        <w:rPr>
          <w:rtl/>
        </w:rPr>
        <w:t xml:space="preserve">, התשל"ז- 1977; נשיאה והובלת נשק לפי </w:t>
      </w:r>
      <w:hyperlink r:id="rId18" w:history="1">
        <w:r w:rsidR="00FA026A" w:rsidRPr="00FA026A">
          <w:rPr>
            <w:rStyle w:val="Hyperlink"/>
            <w:rtl/>
          </w:rPr>
          <w:t>סעיפים 144(ב)</w:t>
        </w:r>
      </w:hyperlink>
      <w:r>
        <w:rPr>
          <w:rtl/>
        </w:rPr>
        <w:t xml:space="preserve"> רישא + </w:t>
      </w:r>
      <w:hyperlink r:id="rId19" w:history="1">
        <w:r w:rsidR="00FA026A" w:rsidRPr="00FA026A">
          <w:rPr>
            <w:rStyle w:val="Hyperlink"/>
            <w:rtl/>
          </w:rPr>
          <w:t>29</w:t>
        </w:r>
      </w:hyperlink>
      <w:r>
        <w:rPr>
          <w:rtl/>
        </w:rPr>
        <w:t xml:space="preserve"> לחוק העונשין; ניסיון הצתה לפי </w:t>
      </w:r>
      <w:hyperlink r:id="rId20" w:history="1">
        <w:r w:rsidR="00FA026A" w:rsidRPr="00FA026A">
          <w:rPr>
            <w:rStyle w:val="Hyperlink"/>
            <w:rtl/>
          </w:rPr>
          <w:t>סעיף 448(א)</w:t>
        </w:r>
      </w:hyperlink>
      <w:r>
        <w:rPr>
          <w:rtl/>
        </w:rPr>
        <w:t xml:space="preserve"> רישא + </w:t>
      </w:r>
      <w:hyperlink r:id="rId21" w:history="1">
        <w:r w:rsidR="00FA026A" w:rsidRPr="00FA026A">
          <w:rPr>
            <w:color w:val="0000FF"/>
            <w:u w:val="single"/>
            <w:rtl/>
          </w:rPr>
          <w:t>25</w:t>
        </w:r>
      </w:hyperlink>
      <w:r>
        <w:rPr>
          <w:rtl/>
        </w:rPr>
        <w:t xml:space="preserve"> + </w:t>
      </w:r>
      <w:hyperlink r:id="rId22" w:history="1">
        <w:r w:rsidR="00FA026A" w:rsidRPr="00FA026A">
          <w:rPr>
            <w:color w:val="0000FF"/>
            <w:u w:val="single"/>
            <w:rtl/>
          </w:rPr>
          <w:t>29</w:t>
        </w:r>
      </w:hyperlink>
      <w:r>
        <w:rPr>
          <w:rtl/>
        </w:rPr>
        <w:t xml:space="preserve"> לחוק; והיזק בזדון לפי </w:t>
      </w:r>
      <w:hyperlink r:id="rId23" w:history="1">
        <w:r w:rsidR="00FA026A" w:rsidRPr="00FA026A">
          <w:rPr>
            <w:color w:val="0000FF"/>
            <w:u w:val="single"/>
            <w:rtl/>
          </w:rPr>
          <w:t>סעיף 452</w:t>
        </w:r>
      </w:hyperlink>
      <w:r>
        <w:rPr>
          <w:rtl/>
        </w:rPr>
        <w:t xml:space="preserve"> + </w:t>
      </w:r>
      <w:hyperlink r:id="rId24" w:history="1">
        <w:r w:rsidR="00FA026A" w:rsidRPr="00FA026A">
          <w:rPr>
            <w:color w:val="0000FF"/>
            <w:u w:val="single"/>
            <w:rtl/>
          </w:rPr>
          <w:t>29</w:t>
        </w:r>
      </w:hyperlink>
      <w:r>
        <w:rPr>
          <w:rtl/>
        </w:rPr>
        <w:t xml:space="preserve"> לחוק. ההסדר לא כלל את סוגיית העונש שתדון להלן.</w:t>
      </w:r>
    </w:p>
    <w:bookmarkEnd w:id="8"/>
    <w:p w14:paraId="52394F3C" w14:textId="77777777" w:rsidR="009F6B03" w:rsidRDefault="009F6B03" w:rsidP="00BF0F54">
      <w:pPr>
        <w:spacing w:line="360" w:lineRule="auto"/>
        <w:jc w:val="both"/>
        <w:rPr>
          <w:rtl/>
        </w:rPr>
      </w:pPr>
    </w:p>
    <w:p w14:paraId="7BA19439" w14:textId="77777777" w:rsidR="009F6B03" w:rsidRDefault="009F6B03" w:rsidP="00BF0F54">
      <w:pPr>
        <w:numPr>
          <w:ilvl w:val="0"/>
          <w:numId w:val="3"/>
        </w:numPr>
        <w:spacing w:line="360" w:lineRule="auto"/>
        <w:jc w:val="both"/>
        <w:rPr>
          <w:rtl/>
        </w:rPr>
      </w:pPr>
      <w:r>
        <w:rPr>
          <w:rtl/>
        </w:rPr>
        <w:t xml:space="preserve">כאמור בכתב האישום, בספטמבר ואוקטובר 2015 התקיימו ברחבי הארץ פעולות מחאה נגד מדיניות ממשלת ישראל, לרבות בדרך של חסימת כבישים, הפגנות ועימותים עם כוחות הבטחון. במהלך התקופה התרחשו ברחבי הארץ אירועי טרור רבים ושררה מתיחות בטחונית. ביום 9.10.15, בתחנה המרכזית בעפולה נורתה  אשה שנחשדה כמפגעת על ידי כוחות הבטחון. על רקע זה באותו יום התקיימה הפגנה בסכנין בה השתתפו הנאשמים. </w:t>
      </w:r>
    </w:p>
    <w:p w14:paraId="00C05056" w14:textId="77777777" w:rsidR="009F6B03" w:rsidRDefault="009F6B03" w:rsidP="00BF0F54">
      <w:pPr>
        <w:spacing w:line="360" w:lineRule="auto"/>
        <w:jc w:val="both"/>
        <w:rPr>
          <w:rtl/>
        </w:rPr>
      </w:pPr>
    </w:p>
    <w:p w14:paraId="6CD6B002" w14:textId="77777777" w:rsidR="009F6B03" w:rsidRDefault="009F6B03" w:rsidP="00BF0F54">
      <w:pPr>
        <w:numPr>
          <w:ilvl w:val="0"/>
          <w:numId w:val="3"/>
        </w:numPr>
        <w:spacing w:line="360" w:lineRule="auto"/>
        <w:jc w:val="both"/>
        <w:rPr>
          <w:rtl/>
        </w:rPr>
      </w:pPr>
      <w:r>
        <w:rPr>
          <w:rtl/>
        </w:rPr>
        <w:t xml:space="preserve">באותו יום בשעות הערב, לאחר ההפגנה ועל רקע האירועים שפורטו וכנקמה על הירי בעפולה, החליטו הנאשמים לייצר בקבוקי תבערה וליידות אותם לעבר נכסים בקיבוץ אשבל על מנת להציתם. בהמשך להחלטה, בלילה שבין 9.10.15 – 10.10.15, בסמוך לשעה 24:00, ייצרו הנאשמים בביתו של הנאשם 1 בסכנין 6 בקבוקי תבערה. בהמשך, צעדו רגלית לעבר אשבל כשהם רעולי פנים ונושאים עמם את בקבוקי התבערה. הם זחלו מתחת לשער הכניסה האחורי של הקיבוץ ובהמשך בסמוך לשעה 01:00 התמקמו על שביל גישה מוגבה הנמצא בסמוך לשביל גישה הסמוך ל"מדורה" – מתחם המשמש לאירוח קבוצות וכולל בין היתר, אוהל גדול סביבו צמחיה. הנאשמים הדליקו את בקבוקי התבערה באמצעות מצית והשליכו אותם לעבר האוהל על מנת להציתו, ולאחר מכן ברחו לסכנין. חלק מבקבוקי התבערה התלקחו ופגעו בגג האוהל, חדרו לתוכו וגרמו לשריפת חלק מגג האוהל ושריפתם של כסא פלסטיק ושטיחים שהיו בתוכו ויתר בקבוקי התבערה שהתלקחו פגעו בקרקע מסביב לאוהל. </w:t>
      </w:r>
    </w:p>
    <w:p w14:paraId="032B227C" w14:textId="77777777" w:rsidR="009F6B03" w:rsidRDefault="009F6B03" w:rsidP="00BF0F54">
      <w:pPr>
        <w:spacing w:line="360" w:lineRule="auto"/>
        <w:jc w:val="both"/>
        <w:rPr>
          <w:rtl/>
        </w:rPr>
      </w:pPr>
    </w:p>
    <w:p w14:paraId="28D6A153" w14:textId="77777777" w:rsidR="009F6B03" w:rsidRPr="005F1801" w:rsidRDefault="009F6B03" w:rsidP="00BF0F54">
      <w:pPr>
        <w:spacing w:line="360" w:lineRule="auto"/>
        <w:ind w:left="360"/>
        <w:jc w:val="both"/>
        <w:rPr>
          <w:b/>
          <w:bCs/>
          <w:u w:val="single"/>
          <w:rtl/>
        </w:rPr>
      </w:pPr>
      <w:r w:rsidRPr="005F1801">
        <w:rPr>
          <w:b/>
          <w:bCs/>
          <w:u w:val="single"/>
          <w:rtl/>
        </w:rPr>
        <w:t>ראיות לעונש</w:t>
      </w:r>
    </w:p>
    <w:p w14:paraId="4CF7C26C" w14:textId="77777777" w:rsidR="009F6B03" w:rsidRDefault="009F6B03" w:rsidP="00BF0F54">
      <w:pPr>
        <w:spacing w:line="360" w:lineRule="auto"/>
        <w:jc w:val="both"/>
        <w:rPr>
          <w:rtl/>
        </w:rPr>
      </w:pPr>
    </w:p>
    <w:p w14:paraId="57EA8ED6" w14:textId="77777777" w:rsidR="009F6B03" w:rsidRDefault="009F6B03" w:rsidP="00BF0F54">
      <w:pPr>
        <w:numPr>
          <w:ilvl w:val="0"/>
          <w:numId w:val="3"/>
        </w:numPr>
        <w:spacing w:line="360" w:lineRule="auto"/>
        <w:jc w:val="both"/>
        <w:rPr>
          <w:rtl/>
        </w:rPr>
      </w:pPr>
      <w:r>
        <w:rPr>
          <w:rtl/>
        </w:rPr>
        <w:lastRenderedPageBreak/>
        <w:t xml:space="preserve">בהסכמת הצדדים הוגשה הודעה שנמסרה למשטרה על ידי מנהל החניון בישוב (נ/1) בה ציין שהפעילות האחרונה שהיתה במקום היתה ביום 3.10.15 ומאז לא היתה פעילות וציין "אני היום בבוקר (12.10.15) ... הגעתי למקום לבדוק שהכל בסדר ונכנסתי לאוהל וראיתי שהשטיחים במקום שרופים וגם כסא פלסטיק שרוף על הרצפה, יצאתי החוצה וביצעתי סריקה מחוץ לאוהל והבחנתי בשני בקבוקי תעברה שלמים המונחים על הרצפה מחוץ לאוהל....". הוגש גם נ/2, שהוא תמליל של הנאשם 2, מוחמד אבו ריא, שם הוא כבר הביע חרטה על המעשה ורצון לתקן את טעותו. הוא עוד תאר כי הוא והנאשם 1 זרקו את הבקבוקים לאחר שנראה להם שאין במקום אף אחד כיוון שהכל היה חשוך והנאשם 1 קרא "הלו, הלו" טרם זריקתם. </w:t>
      </w:r>
    </w:p>
    <w:p w14:paraId="5C768D45" w14:textId="77777777" w:rsidR="009F6B03" w:rsidRDefault="009F6B03" w:rsidP="00BF0F54">
      <w:pPr>
        <w:spacing w:line="360" w:lineRule="auto"/>
        <w:jc w:val="both"/>
        <w:rPr>
          <w:rtl/>
        </w:rPr>
      </w:pPr>
    </w:p>
    <w:p w14:paraId="4B166EA0" w14:textId="77777777" w:rsidR="009F6B03" w:rsidRDefault="009F6B03" w:rsidP="00BF0F54">
      <w:pPr>
        <w:numPr>
          <w:ilvl w:val="0"/>
          <w:numId w:val="3"/>
        </w:numPr>
        <w:spacing w:line="360" w:lineRule="auto"/>
        <w:jc w:val="both"/>
        <w:rPr>
          <w:rtl/>
        </w:rPr>
      </w:pPr>
      <w:r>
        <w:rPr>
          <w:rtl/>
        </w:rPr>
        <w:t xml:space="preserve">כמו כן העיד ראש עיריית סכנין שהכיר באופן אישי את שני הנאשמים בעת שהיו נערים וביקש שתינתן להם הזדמנות ושלא יוטל עליהם עונש כבד. </w:t>
      </w:r>
    </w:p>
    <w:p w14:paraId="369ED2CE" w14:textId="77777777" w:rsidR="009F6B03" w:rsidRDefault="009F6B03" w:rsidP="00BF0F54">
      <w:pPr>
        <w:spacing w:line="360" w:lineRule="auto"/>
        <w:jc w:val="both"/>
        <w:rPr>
          <w:rtl/>
        </w:rPr>
      </w:pPr>
    </w:p>
    <w:p w14:paraId="060A0B25" w14:textId="77777777" w:rsidR="009F6B03" w:rsidRDefault="009F6B03" w:rsidP="00BF0F54">
      <w:pPr>
        <w:spacing w:line="360" w:lineRule="auto"/>
        <w:ind w:left="360"/>
        <w:jc w:val="both"/>
        <w:rPr>
          <w:rtl/>
        </w:rPr>
      </w:pPr>
      <w:r>
        <w:rPr>
          <w:b/>
          <w:bCs/>
          <w:u w:val="single"/>
          <w:rtl/>
        </w:rPr>
        <w:t>טיעוני המדינה לעונש</w:t>
      </w:r>
    </w:p>
    <w:p w14:paraId="4A5A49E8" w14:textId="77777777" w:rsidR="009F6B03" w:rsidRDefault="009F6B03" w:rsidP="00BF0F54">
      <w:pPr>
        <w:spacing w:line="360" w:lineRule="auto"/>
        <w:jc w:val="both"/>
        <w:rPr>
          <w:rtl/>
        </w:rPr>
      </w:pPr>
    </w:p>
    <w:p w14:paraId="04D21D5B" w14:textId="77777777" w:rsidR="009F6B03" w:rsidRDefault="009F6B03" w:rsidP="00BF0F54">
      <w:pPr>
        <w:numPr>
          <w:ilvl w:val="0"/>
          <w:numId w:val="3"/>
        </w:numPr>
        <w:spacing w:line="360" w:lineRule="auto"/>
        <w:jc w:val="both"/>
        <w:rPr>
          <w:rtl/>
        </w:rPr>
      </w:pPr>
      <w:r>
        <w:rPr>
          <w:rtl/>
        </w:rPr>
        <w:t xml:space="preserve">המדינה ראתה  בחומרה יתרה התנהלות הנאשם 2 שביצע את העבירות נשוא ההליך דנן בעודו מנהל הליך פלילי אחר (גזר הדין ניתן ביום 8.11.15), דבר המראה לפי הטענה שאין לו מורא מפני החוק. </w:t>
      </w:r>
    </w:p>
    <w:p w14:paraId="0BBCD7E5" w14:textId="77777777" w:rsidR="009F6B03" w:rsidRDefault="009F6B03" w:rsidP="00BF0F54">
      <w:pPr>
        <w:spacing w:line="360" w:lineRule="auto"/>
        <w:jc w:val="both"/>
        <w:rPr>
          <w:rtl/>
        </w:rPr>
      </w:pPr>
    </w:p>
    <w:p w14:paraId="66B329A1" w14:textId="77777777" w:rsidR="009F6B03" w:rsidRDefault="009F6B03" w:rsidP="00BF0F54">
      <w:pPr>
        <w:numPr>
          <w:ilvl w:val="0"/>
          <w:numId w:val="3"/>
        </w:numPr>
        <w:spacing w:line="360" w:lineRule="auto"/>
        <w:jc w:val="both"/>
        <w:rPr>
          <w:rtl/>
        </w:rPr>
      </w:pPr>
      <w:r>
        <w:rPr>
          <w:rtl/>
        </w:rPr>
        <w:t xml:space="preserve">באשר לתקופת המעצר, איזכרה המדינה את </w:t>
      </w:r>
      <w:hyperlink r:id="rId25" w:history="1">
        <w:r w:rsidR="001B125F" w:rsidRPr="001B125F">
          <w:rPr>
            <w:color w:val="0000FF"/>
            <w:u w:val="single"/>
            <w:rtl/>
          </w:rPr>
          <w:t>ת"פ  7768/15</w:t>
        </w:r>
      </w:hyperlink>
      <w:r>
        <w:rPr>
          <w:rtl/>
        </w:rPr>
        <w:t xml:space="preserve"> פלוני נ' מדינת ישראל </w:t>
      </w:r>
      <w:r w:rsidR="00C7183F" w:rsidRPr="00C7183F">
        <w:rPr>
          <w:sz w:val="22"/>
          <w:rtl/>
        </w:rPr>
        <w:t xml:space="preserve">[פורסם בנבו] </w:t>
      </w:r>
      <w:r>
        <w:rPr>
          <w:rtl/>
        </w:rPr>
        <w:t xml:space="preserve">(20.4.2016) לפיו אין לנכות ימי מעצר בפיקוח אלקטרוני מתקופת מאסר שיגזר על הנאשם 2. </w:t>
      </w:r>
    </w:p>
    <w:p w14:paraId="02510399" w14:textId="77777777" w:rsidR="009F6B03" w:rsidRDefault="009F6B03" w:rsidP="00BF0F54">
      <w:pPr>
        <w:spacing w:line="360" w:lineRule="auto"/>
        <w:jc w:val="both"/>
        <w:rPr>
          <w:rtl/>
        </w:rPr>
      </w:pPr>
    </w:p>
    <w:p w14:paraId="7903AC97" w14:textId="77777777" w:rsidR="009F6B03" w:rsidRDefault="009F6B03" w:rsidP="00BF0F54">
      <w:pPr>
        <w:numPr>
          <w:ilvl w:val="0"/>
          <w:numId w:val="3"/>
        </w:numPr>
        <w:spacing w:line="360" w:lineRule="auto"/>
        <w:jc w:val="both"/>
        <w:rPr>
          <w:rtl/>
        </w:rPr>
      </w:pPr>
      <w:r>
        <w:rPr>
          <w:rtl/>
        </w:rPr>
        <w:t xml:space="preserve">באשר למתחם הענישה נטען שיש לראות בכל העבירות אירוע אחד ולקבוע מתחם עונש כולל לכל העבירות יחד. נטען שנפגעו הערכים החברתיים של שלום הציבור ובטחונו והגנה על הרכוש וחיי אדם. </w:t>
      </w:r>
    </w:p>
    <w:p w14:paraId="1D011CEA" w14:textId="77777777" w:rsidR="009F6B03" w:rsidRDefault="009F6B03" w:rsidP="00BF0F54">
      <w:pPr>
        <w:spacing w:line="360" w:lineRule="auto"/>
        <w:jc w:val="both"/>
        <w:rPr>
          <w:rtl/>
        </w:rPr>
      </w:pPr>
    </w:p>
    <w:p w14:paraId="4EBEF162" w14:textId="77777777" w:rsidR="009F6B03" w:rsidRDefault="009F6B03" w:rsidP="00BF0F54">
      <w:pPr>
        <w:numPr>
          <w:ilvl w:val="0"/>
          <w:numId w:val="3"/>
        </w:numPr>
        <w:spacing w:line="360" w:lineRule="auto"/>
        <w:jc w:val="both"/>
        <w:rPr>
          <w:rtl/>
        </w:rPr>
      </w:pPr>
      <w:r>
        <w:rPr>
          <w:rtl/>
        </w:rPr>
        <w:t>באשר לנסיבות הקשורות בביצוע העבירות, נטען שקיימות נסיבות מחמירות רבות, לרבות תכנון מוקדם שכלל ייצור בקבוקים בביתו של הנאשם 1; כי הנאשמים יכלו לחזור בהם בכל רגע נתון מביצוע המעשים אך לא עשו זאת; כי המעשים נעשו על רקע אידיאולוגי ומתוך רצון נקם על מעשי אנשי כוחות הבטחון. המאשימה טענה שמדובר בשיקול מרכזי שצריך לקבל את הבכורה בנסיבות (</w:t>
      </w:r>
      <w:hyperlink r:id="rId26" w:history="1">
        <w:r w:rsidR="001B125F" w:rsidRPr="001B125F">
          <w:rPr>
            <w:color w:val="0000FF"/>
            <w:u w:val="single"/>
            <w:rtl/>
          </w:rPr>
          <w:t>ע"פ 9201/06</w:t>
        </w:r>
      </w:hyperlink>
      <w:r>
        <w:rPr>
          <w:rtl/>
        </w:rPr>
        <w:t xml:space="preserve"> </w:t>
      </w:r>
      <w:r>
        <w:rPr>
          <w:u w:val="single"/>
          <w:rtl/>
        </w:rPr>
        <w:t>פלוני נ' מדינת ישראל</w:t>
      </w:r>
      <w:r>
        <w:rPr>
          <w:rtl/>
        </w:rPr>
        <w:t xml:space="preserve"> </w:t>
      </w:r>
      <w:r w:rsidR="00C7183F" w:rsidRPr="00C7183F">
        <w:rPr>
          <w:sz w:val="22"/>
          <w:rtl/>
        </w:rPr>
        <w:t xml:space="preserve">[פורסם בנבו] </w:t>
      </w:r>
      <w:r>
        <w:rPr>
          <w:rtl/>
        </w:rPr>
        <w:t xml:space="preserve">(6.3.2007); </w:t>
      </w:r>
      <w:hyperlink r:id="rId27" w:history="1">
        <w:r w:rsidR="001B125F" w:rsidRPr="001B125F">
          <w:rPr>
            <w:color w:val="0000FF"/>
            <w:u w:val="single"/>
            <w:rtl/>
          </w:rPr>
          <w:t>ע"פ 5873/09</w:t>
        </w:r>
      </w:hyperlink>
      <w:r>
        <w:rPr>
          <w:rtl/>
        </w:rPr>
        <w:t xml:space="preserve"> </w:t>
      </w:r>
      <w:r>
        <w:rPr>
          <w:u w:val="single"/>
          <w:rtl/>
        </w:rPr>
        <w:t xml:space="preserve">איברהים ביומי נ' מדינת ישראל </w:t>
      </w:r>
      <w:r>
        <w:rPr>
          <w:rtl/>
        </w:rPr>
        <w:t xml:space="preserve"> </w:t>
      </w:r>
      <w:r w:rsidR="00C7183F" w:rsidRPr="00C7183F">
        <w:rPr>
          <w:sz w:val="22"/>
          <w:rtl/>
        </w:rPr>
        <w:t xml:space="preserve">[פורסם בנבו] </w:t>
      </w:r>
      <w:r>
        <w:rPr>
          <w:rtl/>
        </w:rPr>
        <w:t xml:space="preserve">(28.12.2010); </w:t>
      </w:r>
      <w:hyperlink r:id="rId28" w:history="1">
        <w:r w:rsidR="001B125F" w:rsidRPr="001B125F">
          <w:rPr>
            <w:color w:val="0000FF"/>
            <w:u w:val="single"/>
            <w:rtl/>
          </w:rPr>
          <w:t>ע"פ 2206/16</w:t>
        </w:r>
      </w:hyperlink>
      <w:r>
        <w:rPr>
          <w:rtl/>
        </w:rPr>
        <w:t xml:space="preserve"> </w:t>
      </w:r>
      <w:r>
        <w:rPr>
          <w:u w:val="single"/>
          <w:rtl/>
        </w:rPr>
        <w:t xml:space="preserve">פלוני נ' מדינת ישראל </w:t>
      </w:r>
      <w:r w:rsidR="00C7183F" w:rsidRPr="00C7183F">
        <w:rPr>
          <w:sz w:val="22"/>
          <w:rtl/>
        </w:rPr>
        <w:t xml:space="preserve">[פורסם בנבו] </w:t>
      </w:r>
      <w:r>
        <w:rPr>
          <w:rtl/>
        </w:rPr>
        <w:t xml:space="preserve">(3.11.2016)). נטען עוד שזריקת בקבוקי התבערה הינה חמורה במיוחד לאור פוטנציאל הנזק הרב הטמון בפעולה וביתר שאת כאשר הבקבוקים נזרקים לעבר מתחם המשמש לאירוח קבוצות. נטען שהעובדה שבסופו של דבר לא נגרם נזק רב אינה משמעותית </w:t>
      </w:r>
      <w:r w:rsidRPr="00154AD2">
        <w:rPr>
          <w:rtl/>
        </w:rPr>
        <w:t>(</w:t>
      </w:r>
      <w:hyperlink r:id="rId29" w:history="1">
        <w:r w:rsidR="001B125F" w:rsidRPr="001B125F">
          <w:rPr>
            <w:color w:val="0000FF"/>
            <w:u w:val="single"/>
            <w:rtl/>
          </w:rPr>
          <w:t>ע"פ 3063/12</w:t>
        </w:r>
      </w:hyperlink>
      <w:r w:rsidRPr="00154AD2">
        <w:rPr>
          <w:rtl/>
        </w:rPr>
        <w:t xml:space="preserve"> </w:t>
      </w:r>
      <w:r w:rsidRPr="00154AD2">
        <w:rPr>
          <w:u w:val="single"/>
          <w:rtl/>
        </w:rPr>
        <w:t xml:space="preserve">מדינת ישראל נ' עודה  </w:t>
      </w:r>
      <w:r w:rsidR="00C7183F" w:rsidRPr="00C7183F">
        <w:rPr>
          <w:sz w:val="22"/>
          <w:u w:val="single"/>
          <w:rtl/>
        </w:rPr>
        <w:t xml:space="preserve">[פורסם בנבו] </w:t>
      </w:r>
      <w:r w:rsidRPr="00154AD2">
        <w:rPr>
          <w:u w:val="single"/>
          <w:rtl/>
        </w:rPr>
        <w:t>(8.5.2012)</w:t>
      </w:r>
      <w:r>
        <w:rPr>
          <w:rtl/>
        </w:rPr>
        <w:t xml:space="preserve">). הודגשה גם החומרה בזריקת בקבוקי תבערה על פי </w:t>
      </w:r>
      <w:hyperlink r:id="rId30" w:history="1">
        <w:r w:rsidR="001B125F" w:rsidRPr="001B125F">
          <w:rPr>
            <w:color w:val="0000FF"/>
            <w:u w:val="single"/>
            <w:rtl/>
          </w:rPr>
          <w:t>ע"פ 262/06</w:t>
        </w:r>
      </w:hyperlink>
      <w:r>
        <w:rPr>
          <w:rtl/>
        </w:rPr>
        <w:t xml:space="preserve"> </w:t>
      </w:r>
      <w:r>
        <w:rPr>
          <w:u w:val="single"/>
          <w:rtl/>
        </w:rPr>
        <w:t xml:space="preserve">פלוני נ' מדינת ישראל </w:t>
      </w:r>
      <w:r>
        <w:rPr>
          <w:rtl/>
        </w:rPr>
        <w:t xml:space="preserve"> </w:t>
      </w:r>
      <w:r w:rsidR="00C7183F" w:rsidRPr="00C7183F">
        <w:rPr>
          <w:sz w:val="22"/>
          <w:rtl/>
        </w:rPr>
        <w:t xml:space="preserve">[פורסם בנבו] </w:t>
      </w:r>
      <w:r>
        <w:rPr>
          <w:rtl/>
        </w:rPr>
        <w:t xml:space="preserve">(6.7.2006). </w:t>
      </w:r>
    </w:p>
    <w:p w14:paraId="0E3F152C" w14:textId="77777777" w:rsidR="009F6B03" w:rsidRDefault="009F6B03" w:rsidP="00BF0F54">
      <w:pPr>
        <w:spacing w:line="360" w:lineRule="auto"/>
        <w:jc w:val="both"/>
        <w:rPr>
          <w:rtl/>
        </w:rPr>
      </w:pPr>
    </w:p>
    <w:p w14:paraId="251BE0EC" w14:textId="77777777" w:rsidR="009F6B03" w:rsidRDefault="009F6B03" w:rsidP="00BF0F54">
      <w:pPr>
        <w:numPr>
          <w:ilvl w:val="0"/>
          <w:numId w:val="3"/>
        </w:numPr>
        <w:spacing w:line="360" w:lineRule="auto"/>
        <w:jc w:val="both"/>
        <w:rPr>
          <w:rtl/>
        </w:rPr>
      </w:pPr>
      <w:r>
        <w:rPr>
          <w:rtl/>
        </w:rPr>
        <w:t xml:space="preserve">מבחינת מדיניות הענישה אוזכרו המקרים הבאים: </w:t>
      </w:r>
      <w:hyperlink r:id="rId31" w:history="1">
        <w:r w:rsidR="001B125F" w:rsidRPr="001B125F">
          <w:rPr>
            <w:color w:val="0000FF"/>
            <w:u w:val="single"/>
            <w:rtl/>
          </w:rPr>
          <w:t>ת"פ 28097-11-10</w:t>
        </w:r>
      </w:hyperlink>
      <w:r>
        <w:rPr>
          <w:rtl/>
        </w:rPr>
        <w:t xml:space="preserve"> </w:t>
      </w:r>
      <w:r w:rsidRPr="005F1801">
        <w:rPr>
          <w:u w:val="single"/>
          <w:rtl/>
        </w:rPr>
        <w:t>מדינת ישראל נ' סודקי חלבי</w:t>
      </w:r>
      <w:r>
        <w:rPr>
          <w:rtl/>
        </w:rPr>
        <w:t xml:space="preserve"> </w:t>
      </w:r>
      <w:r w:rsidR="00C7183F" w:rsidRPr="00C7183F">
        <w:rPr>
          <w:sz w:val="22"/>
          <w:rtl/>
        </w:rPr>
        <w:t xml:space="preserve">[פורסם בנבו] </w:t>
      </w:r>
      <w:r>
        <w:rPr>
          <w:rtl/>
        </w:rPr>
        <w:t>(31.5.2011) – שם הנאשמים קשרו קשר והשליכו 3 בקבוקי תבערה לעבר תחנת המשטרה כאשר שניים מהם גרמו נזק לניידת. על נאשם  אחד נגזרו 3 שנות מאסר בפועל ועל הנאשם השני נגזרו 20 חודשי מאסר בפועל;</w:t>
      </w:r>
    </w:p>
    <w:p w14:paraId="39909075" w14:textId="77777777" w:rsidR="009F6B03" w:rsidRDefault="009F6B03" w:rsidP="00BF0F54">
      <w:pPr>
        <w:spacing w:line="360" w:lineRule="auto"/>
        <w:ind w:left="720"/>
        <w:jc w:val="both"/>
        <w:rPr>
          <w:rtl/>
        </w:rPr>
      </w:pPr>
      <w:r>
        <w:rPr>
          <w:rtl/>
        </w:rPr>
        <w:t>ב</w:t>
      </w:r>
      <w:hyperlink r:id="rId32" w:history="1">
        <w:r w:rsidR="001B125F" w:rsidRPr="001B125F">
          <w:rPr>
            <w:color w:val="0000FF"/>
            <w:u w:val="single"/>
            <w:rtl/>
          </w:rPr>
          <w:t>ת"פ 6435-01-13</w:t>
        </w:r>
      </w:hyperlink>
      <w:r>
        <w:rPr>
          <w:rtl/>
        </w:rPr>
        <w:t xml:space="preserve"> </w:t>
      </w:r>
      <w:r w:rsidRPr="005F1801">
        <w:rPr>
          <w:u w:val="single"/>
          <w:rtl/>
        </w:rPr>
        <w:t>מדינת ישראל נ' תאבת ג'בארין</w:t>
      </w:r>
      <w:r>
        <w:rPr>
          <w:rtl/>
        </w:rPr>
        <w:t xml:space="preserve"> </w:t>
      </w:r>
      <w:r w:rsidR="00C7183F" w:rsidRPr="00C7183F">
        <w:rPr>
          <w:sz w:val="22"/>
          <w:rtl/>
        </w:rPr>
        <w:t xml:space="preserve">[פורסם בנבו] </w:t>
      </w:r>
      <w:r>
        <w:rPr>
          <w:rtl/>
        </w:rPr>
        <w:t xml:space="preserve">(25.2.2015) נאשם שייצר בקבוקי תבערה ונכנס לישוב מי עמי והשליך אותו לעבר צובר גז בהזדמנות אחת ולאחר מספר ימים השליך בקבוקים נוספים לעבר ישוב, הורשע לאחר שמיעת ראיות. לחובתו עבר פלילי מכביד בגין עבירות דומות. הושתו 36 חודשי מאסר בפועל בגין כל האישומים (24 חודשי מאסר בפועל בגין כל אחד). בערעור לבית המשפט העליון זוכה הנאשם מעבירות של היזק בזדון ולכן הפחיתו 6 חודשים מעונש המאסר. </w:t>
      </w:r>
    </w:p>
    <w:p w14:paraId="7A02A05B" w14:textId="77777777" w:rsidR="009F6B03" w:rsidRDefault="009F6B03" w:rsidP="00BF0F54">
      <w:pPr>
        <w:spacing w:line="360" w:lineRule="auto"/>
        <w:ind w:left="720"/>
        <w:jc w:val="both"/>
        <w:rPr>
          <w:rtl/>
        </w:rPr>
      </w:pPr>
      <w:r>
        <w:rPr>
          <w:rtl/>
        </w:rPr>
        <w:t>ב</w:t>
      </w:r>
      <w:hyperlink r:id="rId33" w:history="1">
        <w:r w:rsidR="001B125F" w:rsidRPr="001B125F">
          <w:rPr>
            <w:color w:val="0000FF"/>
            <w:u w:val="single"/>
            <w:rtl/>
          </w:rPr>
          <w:t>ת"פ 52044-05-13</w:t>
        </w:r>
      </w:hyperlink>
      <w:r>
        <w:rPr>
          <w:rtl/>
        </w:rPr>
        <w:t xml:space="preserve"> </w:t>
      </w:r>
      <w:r w:rsidRPr="005F1801">
        <w:rPr>
          <w:u w:val="single"/>
          <w:rtl/>
        </w:rPr>
        <w:t>מדינת ישראל נ' מהאדי בצל</w:t>
      </w:r>
      <w:r>
        <w:rPr>
          <w:rtl/>
        </w:rPr>
        <w:t xml:space="preserve"> </w:t>
      </w:r>
      <w:r w:rsidR="00C7183F" w:rsidRPr="00C7183F">
        <w:rPr>
          <w:sz w:val="22"/>
          <w:rtl/>
        </w:rPr>
        <w:t xml:space="preserve">[פורסם בנבו] </w:t>
      </w:r>
      <w:r>
        <w:rPr>
          <w:rtl/>
        </w:rPr>
        <w:t xml:space="preserve">(4.2.2014) – נאשם הורשע על פי הודאתו יחד עם קטין בייצור בקבוקי תבערה והשלכתם בסמוך למכוניות בכביש המוביל לישוב טל אל ולאחר מכן הציתו צמיג והניחו אותו על הכביש. הושתו עליו 26 חודשי מאסר בפועל. </w:t>
      </w:r>
    </w:p>
    <w:p w14:paraId="51CECAAE" w14:textId="77777777" w:rsidR="009F6B03" w:rsidRDefault="009F6B03" w:rsidP="00BF0F54">
      <w:pPr>
        <w:spacing w:line="360" w:lineRule="auto"/>
        <w:ind w:left="720"/>
        <w:jc w:val="both"/>
        <w:rPr>
          <w:rtl/>
        </w:rPr>
      </w:pPr>
      <w:r>
        <w:rPr>
          <w:rtl/>
        </w:rPr>
        <w:t>ב</w:t>
      </w:r>
      <w:hyperlink r:id="rId34" w:history="1">
        <w:r w:rsidR="001B125F" w:rsidRPr="001B125F">
          <w:rPr>
            <w:color w:val="0000FF"/>
            <w:u w:val="single"/>
            <w:rtl/>
          </w:rPr>
          <w:t>ע"פ 2337/13</w:t>
        </w:r>
      </w:hyperlink>
      <w:r>
        <w:rPr>
          <w:rtl/>
        </w:rPr>
        <w:t xml:space="preserve"> </w:t>
      </w:r>
      <w:r w:rsidRPr="005F1801">
        <w:rPr>
          <w:u w:val="single"/>
          <w:rtl/>
        </w:rPr>
        <w:t>מהנד קוואסמה נ' מדינת ישראל</w:t>
      </w:r>
      <w:r>
        <w:rPr>
          <w:rtl/>
        </w:rPr>
        <w:t xml:space="preserve"> </w:t>
      </w:r>
      <w:r w:rsidR="00C7183F" w:rsidRPr="00C7183F">
        <w:rPr>
          <w:sz w:val="22"/>
          <w:rtl/>
        </w:rPr>
        <w:t xml:space="preserve">[פורסם בנבו] </w:t>
      </w:r>
      <w:r>
        <w:rPr>
          <w:rtl/>
        </w:rPr>
        <w:t xml:space="preserve">(16.9.2013) הורשעו המערערים בהשלכת בקבוקי תבערה במזרח ירושלים מתוך מטרה להביא לעזיבת משפחות יהודיות מהשכונה. הושתו על המערערים עונשים שנעו בין 6 עד 42 חודשי מאסר בפועל. ערעורם נדחה. </w:t>
      </w:r>
    </w:p>
    <w:p w14:paraId="0542465D" w14:textId="77777777" w:rsidR="009F6B03" w:rsidRDefault="009F6B03" w:rsidP="00BF0F54">
      <w:pPr>
        <w:spacing w:line="360" w:lineRule="auto"/>
        <w:ind w:left="720"/>
        <w:jc w:val="both"/>
        <w:rPr>
          <w:rtl/>
        </w:rPr>
      </w:pPr>
      <w:r>
        <w:rPr>
          <w:rtl/>
        </w:rPr>
        <w:t>ב</w:t>
      </w:r>
      <w:hyperlink r:id="rId35" w:history="1">
        <w:r w:rsidR="001B125F" w:rsidRPr="001B125F">
          <w:rPr>
            <w:color w:val="0000FF"/>
            <w:u w:val="single"/>
            <w:rtl/>
          </w:rPr>
          <w:t>ת"פ 4847-11-08</w:t>
        </w:r>
      </w:hyperlink>
      <w:r>
        <w:rPr>
          <w:rtl/>
        </w:rPr>
        <w:t xml:space="preserve"> </w:t>
      </w:r>
      <w:r w:rsidRPr="005F1801">
        <w:rPr>
          <w:u w:val="single"/>
          <w:rtl/>
        </w:rPr>
        <w:t>מדינת ישראל נ' אברהם ביומי</w:t>
      </w:r>
      <w:r>
        <w:rPr>
          <w:rtl/>
        </w:rPr>
        <w:t xml:space="preserve"> </w:t>
      </w:r>
      <w:r w:rsidR="00C7183F" w:rsidRPr="00C7183F">
        <w:rPr>
          <w:sz w:val="22"/>
          <w:rtl/>
        </w:rPr>
        <w:t xml:space="preserve">[פורסם בנבו] </w:t>
      </w:r>
      <w:r>
        <w:rPr>
          <w:rtl/>
        </w:rPr>
        <w:t xml:space="preserve">(13.5.2009) הורשעו הנאשמים על פי הודאתם בייצור בקבוק תבערה והשלכתו לעבר ישיבת הסדר בעכו כנקמה על התנהגות יהודים במהלך אירועים אלימים ביום הכיפורים. הנאשם 1 צרף עוד 3 תיקים שעניינם תקיפת שוטר, החזקת סכין והתפרצות והושתו עליו 3 שנות מאסר בפועל. על נאשם אחר הושתו 2.5 שנות מאסר בפועל ועל הנאשם השלישי עם נסיבות מקלות חריגות נדון ל- 6 חודשי מאסר לריצוי בעבודות שירות. ערעור על חומרת העונש נדחה. </w:t>
      </w:r>
    </w:p>
    <w:p w14:paraId="5A920665" w14:textId="77777777" w:rsidR="009F6B03" w:rsidRDefault="009F6B03" w:rsidP="00BF0F54">
      <w:pPr>
        <w:spacing w:line="360" w:lineRule="auto"/>
        <w:jc w:val="both"/>
        <w:rPr>
          <w:rtl/>
        </w:rPr>
      </w:pPr>
    </w:p>
    <w:p w14:paraId="2F0C3BC4" w14:textId="77777777" w:rsidR="009F6B03" w:rsidRDefault="009F6B03" w:rsidP="00BF0F54">
      <w:pPr>
        <w:numPr>
          <w:ilvl w:val="0"/>
          <w:numId w:val="3"/>
        </w:numPr>
        <w:spacing w:line="360" w:lineRule="auto"/>
        <w:jc w:val="both"/>
        <w:rPr>
          <w:rtl/>
        </w:rPr>
      </w:pPr>
      <w:r>
        <w:rPr>
          <w:rtl/>
        </w:rPr>
        <w:t xml:space="preserve">אוזכר שהנאשמים הודו בכתב אישום מתוקן לפני שנשמעו הראיות ונחסך זמן. נטען ששני הנאשמים הבינו היטב מעשיהם והשלכותיהם וכי אין הם קטינים או סובלים ממוגבלות. </w:t>
      </w:r>
    </w:p>
    <w:p w14:paraId="035D9756" w14:textId="77777777" w:rsidR="009F6B03" w:rsidRDefault="009F6B03" w:rsidP="00BF0F54">
      <w:pPr>
        <w:spacing w:line="360" w:lineRule="auto"/>
        <w:jc w:val="both"/>
        <w:rPr>
          <w:rtl/>
        </w:rPr>
      </w:pPr>
    </w:p>
    <w:p w14:paraId="38837C82" w14:textId="77777777" w:rsidR="009F6B03" w:rsidRDefault="009F6B03" w:rsidP="00BF0F54">
      <w:pPr>
        <w:numPr>
          <w:ilvl w:val="0"/>
          <w:numId w:val="3"/>
        </w:numPr>
        <w:spacing w:line="360" w:lineRule="auto"/>
        <w:jc w:val="both"/>
        <w:rPr>
          <w:rtl/>
        </w:rPr>
      </w:pPr>
      <w:r>
        <w:rPr>
          <w:rtl/>
        </w:rPr>
        <w:t xml:space="preserve">נטען שחלק מהותי מהתסקיר שהוגש בעניינו של הנאשם 1 לא היה חיובי ונקבע שאין הוא בשל להליך טיפולי. נטען שהמלצה על עבודות שירות אינה הולמת את חומרת העבירה. ביחס לנאשם 2 נטען שהתסקיר אינו חיובי וקיים סיכון בינוני-גבוה להישנות עבירות והסכמתו לטיפול נובעת בעיקר מחשש לעונש. </w:t>
      </w:r>
    </w:p>
    <w:p w14:paraId="274C5EE5" w14:textId="77777777" w:rsidR="009F6B03" w:rsidRDefault="009F6B03" w:rsidP="00BF0F54">
      <w:pPr>
        <w:spacing w:line="360" w:lineRule="auto"/>
        <w:jc w:val="both"/>
        <w:rPr>
          <w:rtl/>
        </w:rPr>
      </w:pPr>
    </w:p>
    <w:p w14:paraId="37E13E99" w14:textId="77777777" w:rsidR="009F6B03" w:rsidRDefault="009F6B03" w:rsidP="00BF0F54">
      <w:pPr>
        <w:numPr>
          <w:ilvl w:val="0"/>
          <w:numId w:val="3"/>
        </w:numPr>
        <w:spacing w:line="360" w:lineRule="auto"/>
        <w:jc w:val="both"/>
        <w:rPr>
          <w:rtl/>
        </w:rPr>
      </w:pPr>
      <w:r>
        <w:rPr>
          <w:rtl/>
        </w:rPr>
        <w:t xml:space="preserve">נטען שמתחם הענישה ההולם נמצא בין 3 עד 5 שנות מאסר בפועל ובשים לב לכך שמדובר בעבירות שנעברו על רקע אידיאולוגי, טענה המאשימה שיש לגזור את העונש ברף העליון של המתחם. </w:t>
      </w:r>
    </w:p>
    <w:p w14:paraId="572B5164" w14:textId="77777777" w:rsidR="009F6B03" w:rsidRDefault="009F6B03" w:rsidP="00BF0F54">
      <w:pPr>
        <w:spacing w:line="360" w:lineRule="auto"/>
        <w:jc w:val="both"/>
        <w:rPr>
          <w:rtl/>
        </w:rPr>
      </w:pPr>
    </w:p>
    <w:p w14:paraId="33DE530E" w14:textId="77777777" w:rsidR="009F6B03" w:rsidRDefault="009F6B03" w:rsidP="00BF0F54">
      <w:pPr>
        <w:spacing w:line="360" w:lineRule="auto"/>
        <w:ind w:left="360"/>
        <w:jc w:val="both"/>
        <w:rPr>
          <w:rtl/>
        </w:rPr>
      </w:pPr>
      <w:r>
        <w:rPr>
          <w:b/>
          <w:bCs/>
          <w:u w:val="single"/>
          <w:rtl/>
        </w:rPr>
        <w:t>טיעוני ב"כ הנאשם 1</w:t>
      </w:r>
    </w:p>
    <w:p w14:paraId="7324FEE0" w14:textId="77777777" w:rsidR="009F6B03" w:rsidRDefault="009F6B03" w:rsidP="00BF0F54">
      <w:pPr>
        <w:spacing w:line="360" w:lineRule="auto"/>
        <w:jc w:val="both"/>
        <w:rPr>
          <w:rtl/>
        </w:rPr>
      </w:pPr>
    </w:p>
    <w:p w14:paraId="6D52B974" w14:textId="77777777" w:rsidR="009F6B03" w:rsidRDefault="009F6B03" w:rsidP="00BF0F54">
      <w:pPr>
        <w:numPr>
          <w:ilvl w:val="0"/>
          <w:numId w:val="3"/>
        </w:numPr>
        <w:spacing w:line="360" w:lineRule="auto"/>
        <w:jc w:val="both"/>
        <w:rPr>
          <w:rtl/>
        </w:rPr>
      </w:pPr>
      <w:r>
        <w:rPr>
          <w:rtl/>
        </w:rPr>
        <w:t xml:space="preserve">נטען שהנאשם 1 הודה והורשע בכתב האישום המתוקן בשלב מוקדם. נטען שלא נפגע אדם כלשהו והעבירות אמנם פוגעות בסדר הציבורי אולם לא יותר מכך. נטען שהבקבוקים נזרקו לא בכדי באיזור פתוח וריק "כאקט פרובוקטיבי ותו לא". נטען שמבלי להקל ראש, מדובר במעשה שטות ילדותי המעיד על רמה קוגניטיבית נמוכה כפי שבאה לידי ביטוי בתסקיר. נטען שבקבוק תבערה אינו דומה לאקדח או רובה והינו פחות מסוכן מהם. נטען שנחסך זמן רב על ידי ההודאה המוקדמת. הסניגור הסכים שיש לראות את המעשים כאירוע אחד מתמשך. נטען שמתחם הענישה נע בין מאסר על תנאי למאסר שירוצה בעבודות שירות וכי יש לאמץ את הרף התחתון של המתחם. </w:t>
      </w:r>
    </w:p>
    <w:p w14:paraId="19A18E81" w14:textId="77777777" w:rsidR="009F6B03" w:rsidRDefault="009F6B03" w:rsidP="00BF0F54">
      <w:pPr>
        <w:spacing w:line="360" w:lineRule="auto"/>
        <w:jc w:val="both"/>
        <w:rPr>
          <w:rtl/>
        </w:rPr>
      </w:pPr>
    </w:p>
    <w:p w14:paraId="65E4ABF9" w14:textId="77777777" w:rsidR="009F6B03" w:rsidRDefault="009F6B03" w:rsidP="00C7183F">
      <w:pPr>
        <w:numPr>
          <w:ilvl w:val="0"/>
          <w:numId w:val="3"/>
        </w:numPr>
        <w:spacing w:line="360" w:lineRule="auto"/>
        <w:jc w:val="both"/>
        <w:rPr>
          <w:rtl/>
        </w:rPr>
      </w:pPr>
      <w:r>
        <w:rPr>
          <w:rtl/>
        </w:rPr>
        <w:t>הסניגור הפנה ל</w:t>
      </w:r>
      <w:hyperlink r:id="rId36" w:history="1">
        <w:r w:rsidR="001B125F" w:rsidRPr="001B125F">
          <w:rPr>
            <w:color w:val="0000FF"/>
            <w:u w:val="single"/>
            <w:rtl/>
          </w:rPr>
          <w:t>ע"פ 8641/12</w:t>
        </w:r>
      </w:hyperlink>
      <w:r>
        <w:rPr>
          <w:rtl/>
        </w:rPr>
        <w:t xml:space="preserve">, 8678/12  </w:t>
      </w:r>
      <w:r w:rsidRPr="00B52CC2">
        <w:rPr>
          <w:u w:val="single"/>
          <w:rtl/>
        </w:rPr>
        <w:t>מוחמד סעיד נ' מדינת ישראל</w:t>
      </w:r>
      <w:r w:rsidR="00C7183F">
        <w:rPr>
          <w:rFonts w:hint="cs"/>
          <w:u w:val="single"/>
          <w:rtl/>
        </w:rPr>
        <w:t xml:space="preserve"> </w:t>
      </w:r>
      <w:r w:rsidR="00C7183F" w:rsidRPr="00C7183F">
        <w:rPr>
          <w:sz w:val="22"/>
          <w:rtl/>
        </w:rPr>
        <w:t>[פורסם בנבו]</w:t>
      </w:r>
      <w:r>
        <w:rPr>
          <w:rtl/>
        </w:rPr>
        <w:t xml:space="preserve">. נטען שבסוג העבירות בהן הורשע הנאשם נפגע הערך החברתי של הגנה על הרכוש ושלומו של אדם יחד עם הסדר הציבורי אך שוב הודגש שכמעט ולא נגרם נזק. נטען שהנאשמים אף צעקו על מנת לוודא שלא נוכח אדם במקום כדי להמנע מפגיעה. נטען עוד שמדובר באדם בן 27, בן למשפחה נורמטיבית, שהתחתן לאחרונה ועובד. הסניגור טען שבתקופה שמאז ביצוע העבירה ושחרורו ממרבית התנאים המגבילים, הוא לא הסתבך במעשים דומים. נטען שבמסגרת התסקיר לא נדרש הנאשם כלל לשאלת אפשרות של טיפול והסניגור ביקש לאמץ את המלצות שירות המבחן או לחלופין לקבוע מאסר על תנאי. </w:t>
      </w:r>
    </w:p>
    <w:p w14:paraId="10A669BE" w14:textId="77777777" w:rsidR="009F6B03" w:rsidRDefault="009F6B03" w:rsidP="00BF0F54">
      <w:pPr>
        <w:spacing w:line="360" w:lineRule="auto"/>
        <w:jc w:val="both"/>
        <w:rPr>
          <w:rtl/>
        </w:rPr>
      </w:pPr>
    </w:p>
    <w:p w14:paraId="5B336248" w14:textId="77777777" w:rsidR="009F6B03" w:rsidRDefault="009F6B03" w:rsidP="00BF0F54">
      <w:pPr>
        <w:numPr>
          <w:ilvl w:val="0"/>
          <w:numId w:val="3"/>
        </w:numPr>
        <w:spacing w:line="360" w:lineRule="auto"/>
        <w:jc w:val="both"/>
      </w:pPr>
      <w:r>
        <w:rPr>
          <w:rtl/>
        </w:rPr>
        <w:t>אוזכרה פסיקה כדלקמן: ב</w:t>
      </w:r>
      <w:hyperlink r:id="rId37" w:history="1">
        <w:r w:rsidR="001B125F" w:rsidRPr="001B125F">
          <w:rPr>
            <w:color w:val="0000FF"/>
            <w:u w:val="single"/>
            <w:rtl/>
          </w:rPr>
          <w:t>ת"פ 48337-03-11</w:t>
        </w:r>
      </w:hyperlink>
      <w:r>
        <w:rPr>
          <w:rtl/>
        </w:rPr>
        <w:t xml:space="preserve"> </w:t>
      </w:r>
      <w:r w:rsidRPr="00A22142">
        <w:rPr>
          <w:u w:val="single"/>
          <w:rtl/>
        </w:rPr>
        <w:t>מדינת ישראל נ' מחמוד יוסף</w:t>
      </w:r>
      <w:r>
        <w:rPr>
          <w:rtl/>
        </w:rPr>
        <w:t xml:space="preserve"> </w:t>
      </w:r>
      <w:r w:rsidR="00C7183F" w:rsidRPr="00C7183F">
        <w:rPr>
          <w:sz w:val="22"/>
          <w:rtl/>
        </w:rPr>
        <w:t xml:space="preserve">[פורסם בנבו] </w:t>
      </w:r>
      <w:r>
        <w:rPr>
          <w:rtl/>
        </w:rPr>
        <w:t xml:space="preserve">(24.10.2011), הורשע נאשם על פי הודייתו בעבירות של ייצור נשק, החזקת נשק והחזקת סכין כאשר הוא יצר 2 בקבוקי תבערה בעקבות סכסוך עם משפחת גיסתו והתכוון להשתמש בהם נגד משפחת גיסתו. הוטל עליו עונש של 6 חודשי מאסר בפועל לריצוי בעבודות שירות. </w:t>
      </w:r>
    </w:p>
    <w:p w14:paraId="5D4E5034" w14:textId="77777777" w:rsidR="009F6B03" w:rsidRDefault="009F6B03" w:rsidP="00BF0F54">
      <w:pPr>
        <w:spacing w:line="360" w:lineRule="auto"/>
        <w:ind w:left="720"/>
        <w:jc w:val="both"/>
        <w:rPr>
          <w:rtl/>
        </w:rPr>
      </w:pPr>
    </w:p>
    <w:p w14:paraId="2067B1E2" w14:textId="77777777" w:rsidR="009F6B03" w:rsidRDefault="009F6B03" w:rsidP="00BF0F54">
      <w:pPr>
        <w:numPr>
          <w:ilvl w:val="0"/>
          <w:numId w:val="3"/>
        </w:numPr>
        <w:spacing w:line="360" w:lineRule="auto"/>
        <w:jc w:val="both"/>
        <w:rPr>
          <w:rtl/>
        </w:rPr>
      </w:pPr>
      <w:r>
        <w:rPr>
          <w:rtl/>
        </w:rPr>
        <w:t xml:space="preserve">למען הסדר יצויין כי הסניגור איזכר עוד 2 מקרים בהם הוטלו עונשים מקלים בגין עבירות נשק אך מכיוון שמדובר בעבירות בנשק תקני, לא נראה לי שיש מקום להסתמך על פסקי הדין ואולם אקח לתשומת לבי את העובדה שגם במקרים מסויימים ביחס לעבירות נשק תקני נפסקים עונשים קלים יחסית. </w:t>
      </w:r>
    </w:p>
    <w:p w14:paraId="45200085" w14:textId="77777777" w:rsidR="009F6B03" w:rsidRDefault="009F6B03" w:rsidP="00BF0F54">
      <w:pPr>
        <w:spacing w:line="360" w:lineRule="auto"/>
        <w:jc w:val="both"/>
        <w:rPr>
          <w:rtl/>
        </w:rPr>
      </w:pPr>
    </w:p>
    <w:p w14:paraId="77C0CADA" w14:textId="77777777" w:rsidR="009F6B03" w:rsidRDefault="009F6B03" w:rsidP="00BF0F54">
      <w:pPr>
        <w:spacing w:line="360" w:lineRule="auto"/>
        <w:ind w:left="360"/>
        <w:jc w:val="both"/>
        <w:rPr>
          <w:rtl/>
        </w:rPr>
      </w:pPr>
      <w:r>
        <w:rPr>
          <w:b/>
          <w:bCs/>
          <w:u w:val="single"/>
          <w:rtl/>
        </w:rPr>
        <w:t>טיעוני ב"כ הנאשם 2 לעונש</w:t>
      </w:r>
    </w:p>
    <w:p w14:paraId="3A32F38C" w14:textId="77777777" w:rsidR="009F6B03" w:rsidRDefault="009F6B03" w:rsidP="00BF0F54">
      <w:pPr>
        <w:spacing w:line="360" w:lineRule="auto"/>
        <w:jc w:val="both"/>
        <w:rPr>
          <w:rtl/>
        </w:rPr>
      </w:pPr>
    </w:p>
    <w:p w14:paraId="4FB6207E" w14:textId="77777777" w:rsidR="009F6B03" w:rsidRDefault="009F6B03" w:rsidP="00BF0F54">
      <w:pPr>
        <w:numPr>
          <w:ilvl w:val="0"/>
          <w:numId w:val="3"/>
        </w:numPr>
        <w:spacing w:line="360" w:lineRule="auto"/>
        <w:jc w:val="both"/>
        <w:rPr>
          <w:rtl/>
        </w:rPr>
      </w:pPr>
      <w:r>
        <w:rPr>
          <w:rtl/>
        </w:rPr>
        <w:t xml:space="preserve">נטען שמדובר באירוע קל יחסית. נטען שהנאשם 2 הודה מייד בתחילת חקירתו וצויין עוד שהאירוע לא חזר על עצמו למרות שהוא בוצע באוקטובר והמעצרים היו רק במאי לאחר מכן. נטען שמדובר באקט מחאה נקודתי וחד פעמי. נטען גם שמאז שחרורו לא נרשמו אירועים נוספים ונטען שהעבירות נעברו על רקע משבר אישי שעברו הנאשמים על רקע סרט שראו (של אותה אשה בתחנת האוטובוס). </w:t>
      </w:r>
    </w:p>
    <w:p w14:paraId="19096B6D" w14:textId="77777777" w:rsidR="009F6B03" w:rsidRDefault="009F6B03" w:rsidP="00BF0F54">
      <w:pPr>
        <w:spacing w:line="360" w:lineRule="auto"/>
        <w:jc w:val="both"/>
        <w:rPr>
          <w:rtl/>
        </w:rPr>
      </w:pPr>
    </w:p>
    <w:p w14:paraId="196AEC6C" w14:textId="77777777" w:rsidR="009F6B03" w:rsidRDefault="009F6B03" w:rsidP="00BF0F54">
      <w:pPr>
        <w:numPr>
          <w:ilvl w:val="0"/>
          <w:numId w:val="3"/>
        </w:numPr>
        <w:spacing w:line="360" w:lineRule="auto"/>
        <w:jc w:val="both"/>
        <w:rPr>
          <w:rtl/>
        </w:rPr>
      </w:pPr>
      <w:r>
        <w:rPr>
          <w:rtl/>
        </w:rPr>
        <w:t xml:space="preserve">ביחס לביצוע העבירה תוך כדי ניהול הליך קודם, נטען שהיה מדובר בעצם בסכסוך ולא עבירת שבל"ר קלאסית עם דפוס עברייני. הסניגור ביקש להתחשב בשינויים שחלו בכתב האישום. הסניגור לא התכחש לכך שעבירות הנשק חמורות ומסוכנות, אך נטען שבנסיבות המיוחדות של האישום כאשר מדובר בנשק פרימיטיבי לשימוש חד פעמי, כי הכוונה היתה לעשות "רעש" ולא יותר ולכן נטען שהפסיקה של המדינה אינה מתאימה למקרה. </w:t>
      </w:r>
    </w:p>
    <w:p w14:paraId="35FCAB13" w14:textId="77777777" w:rsidR="009F6B03" w:rsidRDefault="009F6B03" w:rsidP="00BF0F54">
      <w:pPr>
        <w:spacing w:line="360" w:lineRule="auto"/>
        <w:jc w:val="both"/>
        <w:rPr>
          <w:rtl/>
        </w:rPr>
      </w:pPr>
    </w:p>
    <w:p w14:paraId="393BC873" w14:textId="77777777" w:rsidR="009F6B03" w:rsidRDefault="009F6B03" w:rsidP="00BF0F54">
      <w:pPr>
        <w:numPr>
          <w:ilvl w:val="0"/>
          <w:numId w:val="3"/>
        </w:numPr>
        <w:spacing w:line="360" w:lineRule="auto"/>
        <w:jc w:val="both"/>
        <w:rPr>
          <w:rtl/>
        </w:rPr>
      </w:pPr>
      <w:r>
        <w:rPr>
          <w:rtl/>
        </w:rPr>
        <w:t>הסניגור הפנה ל</w:t>
      </w:r>
      <w:hyperlink r:id="rId38" w:history="1">
        <w:r w:rsidR="001B125F" w:rsidRPr="001B125F">
          <w:rPr>
            <w:color w:val="0000FF"/>
            <w:u w:val="single"/>
            <w:rtl/>
          </w:rPr>
          <w:t>ע"פ 3702/14</w:t>
        </w:r>
      </w:hyperlink>
      <w:r>
        <w:rPr>
          <w:rtl/>
        </w:rPr>
        <w:t xml:space="preserve"> </w:t>
      </w:r>
      <w:r w:rsidRPr="005B4ACC">
        <w:rPr>
          <w:u w:val="single"/>
          <w:rtl/>
        </w:rPr>
        <w:t>פלוני נ' מדינת ישראל</w:t>
      </w:r>
      <w:r>
        <w:rPr>
          <w:rtl/>
        </w:rPr>
        <w:t xml:space="preserve"> </w:t>
      </w:r>
      <w:r w:rsidR="00C7183F" w:rsidRPr="00C7183F">
        <w:rPr>
          <w:sz w:val="22"/>
          <w:rtl/>
        </w:rPr>
        <w:t xml:space="preserve">[פורסם בנבו] </w:t>
      </w:r>
      <w:r>
        <w:rPr>
          <w:rtl/>
        </w:rPr>
        <w:t xml:space="preserve">(28.9.2014) שם הוגש ערעור על העונש שנגזר על קטינים תושבי מזרח ירושלים בגין שלושה מקרים שונים של עבירות של ייצור נשק, חבלה בכוונה מחמירה, הצתה וניסיון הצתה בכך שייצרו בקבוקי תבערה ויידו אותם לעבר בסיס צה"ל בקרבת האוניברסיטה העברית ולעבר רכבים שחלפו במקום. העבירות בוצעו על רקע אידיאולוגי.  בית המשפט העליון דחה את הערעורים על חומרת העונש כאשר נגזרו בין 20  עד 22 חודשי מאסר בפועל. </w:t>
      </w:r>
    </w:p>
    <w:p w14:paraId="4585C7BB" w14:textId="77777777" w:rsidR="009F6B03" w:rsidRDefault="009F6B03" w:rsidP="00BF0F54">
      <w:pPr>
        <w:spacing w:line="360" w:lineRule="auto"/>
        <w:ind w:left="720"/>
        <w:jc w:val="both"/>
        <w:rPr>
          <w:rtl/>
        </w:rPr>
      </w:pPr>
      <w:r>
        <w:rPr>
          <w:rtl/>
        </w:rPr>
        <w:t xml:space="preserve">אוזכר בנוסף </w:t>
      </w:r>
      <w:hyperlink r:id="rId39" w:history="1">
        <w:r w:rsidR="001B125F" w:rsidRPr="001B125F">
          <w:rPr>
            <w:color w:val="0000FF"/>
            <w:u w:val="single"/>
            <w:rtl/>
          </w:rPr>
          <w:t>ע"פ 5559/16</w:t>
        </w:r>
      </w:hyperlink>
      <w:r>
        <w:rPr>
          <w:rtl/>
        </w:rPr>
        <w:t xml:space="preserve"> </w:t>
      </w:r>
      <w:r w:rsidRPr="00A22142">
        <w:rPr>
          <w:u w:val="single"/>
          <w:rtl/>
        </w:rPr>
        <w:t>מדינת ישראל נ' פלוני</w:t>
      </w:r>
      <w:r>
        <w:rPr>
          <w:rtl/>
        </w:rPr>
        <w:t xml:space="preserve"> </w:t>
      </w:r>
      <w:r w:rsidR="00C7183F" w:rsidRPr="00C7183F">
        <w:rPr>
          <w:sz w:val="22"/>
          <w:rtl/>
        </w:rPr>
        <w:t xml:space="preserve">[פורסם בנבו] </w:t>
      </w:r>
      <w:r>
        <w:rPr>
          <w:rtl/>
        </w:rPr>
        <w:t xml:space="preserve">(4.8.2016) כאשר הושתו על נאשמים-קטינים שיידו אבנים ובקבוקי תעברה לעבר כביש 6 – בשני אירועים נפרדים - ועם פגיעות קלות  בלבד ברכוש - 10 חודשי מאסר בפועל. נקבע שהעונשים לא סטו לקולא לאור שיקולים פרטניים ייחודיים שהתקיימו ובשים לב ביחס לענישת קטינים. נטען ששני המקרים האמורים חמורים יותר מאשר המקרה כאן. הסניגור עוד הדגיש כי במקרה האחרון שאוזכר לעיל, הוזכר שמקרים כאמור אינם שכיחים בקרב ערביי ישראל ולכן אין צורך בשיקול של הרתעת הרבים. </w:t>
      </w:r>
    </w:p>
    <w:p w14:paraId="384C369D" w14:textId="77777777" w:rsidR="009F6B03" w:rsidRDefault="009F6B03" w:rsidP="00BF0F54">
      <w:pPr>
        <w:spacing w:line="360" w:lineRule="auto"/>
        <w:jc w:val="both"/>
        <w:rPr>
          <w:rtl/>
        </w:rPr>
      </w:pPr>
    </w:p>
    <w:p w14:paraId="5ED7EB2B" w14:textId="77777777" w:rsidR="009F6B03" w:rsidRDefault="009F6B03" w:rsidP="00BF0F54">
      <w:pPr>
        <w:numPr>
          <w:ilvl w:val="0"/>
          <w:numId w:val="3"/>
        </w:numPr>
        <w:spacing w:line="360" w:lineRule="auto"/>
        <w:jc w:val="both"/>
        <w:rPr>
          <w:rtl/>
        </w:rPr>
      </w:pPr>
      <w:r>
        <w:rPr>
          <w:rtl/>
        </w:rPr>
        <w:t xml:space="preserve">מבחינת שיקולים אינדיבידואלים צויין כי הנאשם הינו חולה סכרת ושהה במעצר בסיווג בטחוני ובהמשך שהה במעצר בית באיזוק אלקטרוני רחוק ממשפחתו. הסניגור לא הכחיש שמדובר במעשים חמורים שאין להקל ראש בהם אך טען שמדובר בשני צעירים נורמטיביים בני משפחה מוכרת ולכן נטען למתחם ראוי של עונש מאסר בפועל לריצוי בעבודות שירות אף לתקופה שתפחת מ- 6 חודשים ועד לשנת מאסר אחת. </w:t>
      </w:r>
    </w:p>
    <w:p w14:paraId="1C65AB10" w14:textId="77777777" w:rsidR="009F6B03" w:rsidRDefault="009F6B03" w:rsidP="00BF0F54">
      <w:pPr>
        <w:spacing w:line="360" w:lineRule="auto"/>
        <w:jc w:val="both"/>
        <w:rPr>
          <w:rtl/>
        </w:rPr>
      </w:pPr>
    </w:p>
    <w:p w14:paraId="03604182" w14:textId="77777777" w:rsidR="009F6B03" w:rsidRPr="00ED6E15" w:rsidRDefault="009F6B03" w:rsidP="00BF0F54">
      <w:pPr>
        <w:numPr>
          <w:ilvl w:val="0"/>
          <w:numId w:val="3"/>
        </w:numPr>
        <w:spacing w:line="360" w:lineRule="auto"/>
        <w:jc w:val="both"/>
        <w:rPr>
          <w:rtl/>
        </w:rPr>
      </w:pPr>
      <w:r>
        <w:rPr>
          <w:rtl/>
        </w:rPr>
        <w:t xml:space="preserve">הנאשמים עצמם הביעו כל אחד חרטה על מעשיהם וביקשו הזדמנות לחזור למסלול חיים תקין. </w:t>
      </w:r>
    </w:p>
    <w:p w14:paraId="1EBDD0A6" w14:textId="77777777" w:rsidR="009F6B03" w:rsidRPr="00692E9A" w:rsidRDefault="009F6B03" w:rsidP="00BF0F54">
      <w:pPr>
        <w:spacing w:line="360" w:lineRule="auto"/>
        <w:jc w:val="both"/>
        <w:rPr>
          <w:rtl/>
        </w:rPr>
      </w:pPr>
    </w:p>
    <w:p w14:paraId="72FA4186" w14:textId="77777777" w:rsidR="009F6B03" w:rsidRDefault="009F6B03" w:rsidP="00BF0F54">
      <w:pPr>
        <w:spacing w:line="360" w:lineRule="auto"/>
        <w:ind w:left="360"/>
        <w:jc w:val="both"/>
        <w:rPr>
          <w:b/>
          <w:bCs/>
          <w:u w:val="single"/>
          <w:rtl/>
        </w:rPr>
      </w:pPr>
      <w:r>
        <w:rPr>
          <w:b/>
          <w:bCs/>
          <w:u w:val="single"/>
          <w:rtl/>
        </w:rPr>
        <w:t>דיון</w:t>
      </w:r>
      <w:r>
        <w:rPr>
          <w:rtl/>
        </w:rPr>
        <w:t xml:space="preserve"> </w:t>
      </w:r>
    </w:p>
    <w:p w14:paraId="05B0ADFD" w14:textId="77777777" w:rsidR="009F6B03" w:rsidRDefault="009F6B03" w:rsidP="00BF0F54">
      <w:pPr>
        <w:spacing w:line="360" w:lineRule="auto"/>
        <w:jc w:val="both"/>
        <w:rPr>
          <w:b/>
          <w:bCs/>
          <w:u w:val="single"/>
          <w:rtl/>
        </w:rPr>
      </w:pPr>
    </w:p>
    <w:p w14:paraId="660F8392" w14:textId="77777777" w:rsidR="009F6B03" w:rsidRDefault="009F6B03" w:rsidP="00BF0F54">
      <w:pPr>
        <w:numPr>
          <w:ilvl w:val="0"/>
          <w:numId w:val="3"/>
        </w:numPr>
        <w:spacing w:line="360" w:lineRule="auto"/>
        <w:jc w:val="both"/>
        <w:rPr>
          <w:rtl/>
        </w:rPr>
      </w:pPr>
      <w:r w:rsidRPr="00573847">
        <w:rPr>
          <w:rtl/>
        </w:rPr>
        <w:t>הנאשם 1 יליד 1989, בן 26 בעת ביצוע העבירות ללא הרשעות קודמות. הנאשם 2 ילי</w:t>
      </w:r>
      <w:r>
        <w:rPr>
          <w:rtl/>
        </w:rPr>
        <w:t>ד</w:t>
      </w:r>
      <w:r w:rsidRPr="00573847">
        <w:rPr>
          <w:rtl/>
        </w:rPr>
        <w:t xml:space="preserve"> 1990, בן 25 בעת ביצוע העבירות. לחובתו 2 הרשעות קודמות, הראשונה משנת 2013 </w:t>
      </w:r>
      <w:r>
        <w:rPr>
          <w:rtl/>
        </w:rPr>
        <w:t xml:space="preserve">בגין העסקת והסעת שב"ח והשניה משנת 2015 בגין שבל"ר ונטישה במקום אחר. </w:t>
      </w:r>
    </w:p>
    <w:p w14:paraId="7C376EDF" w14:textId="77777777" w:rsidR="009F6B03" w:rsidRDefault="009F6B03" w:rsidP="00BF0F54">
      <w:pPr>
        <w:spacing w:line="360" w:lineRule="auto"/>
        <w:ind w:left="720"/>
        <w:jc w:val="both"/>
        <w:rPr>
          <w:rtl/>
        </w:rPr>
      </w:pPr>
      <w:r>
        <w:rPr>
          <w:rtl/>
        </w:rPr>
        <w:t xml:space="preserve">הנאשם 1 נעצר ביום 15.5.16 עד ליום 23.6.16, אז שוחרר למעצר בית מלא. בסך הכל – 39 ימים. </w:t>
      </w:r>
    </w:p>
    <w:p w14:paraId="75A5645C" w14:textId="77777777" w:rsidR="009F6B03" w:rsidRDefault="009F6B03" w:rsidP="00BF0F54">
      <w:pPr>
        <w:spacing w:line="360" w:lineRule="auto"/>
        <w:ind w:left="720"/>
        <w:jc w:val="both"/>
        <w:rPr>
          <w:rtl/>
        </w:rPr>
      </w:pPr>
      <w:r>
        <w:rPr>
          <w:rtl/>
        </w:rPr>
        <w:t xml:space="preserve">הנאשם 2 נעצר ביום 23.5.16 עד ליום 27.6.16. בסך הכל – 35 ימים. ממועד זה הועבר למעצר בפיקוח אלקטרוני בבית דודו. </w:t>
      </w:r>
    </w:p>
    <w:p w14:paraId="6508074B" w14:textId="77777777" w:rsidR="009F6B03" w:rsidRDefault="009F6B03" w:rsidP="00BF0F54">
      <w:pPr>
        <w:spacing w:line="360" w:lineRule="auto"/>
        <w:ind w:left="360"/>
        <w:jc w:val="both"/>
        <w:rPr>
          <w:rtl/>
        </w:rPr>
      </w:pPr>
    </w:p>
    <w:p w14:paraId="000CBB6A" w14:textId="77777777" w:rsidR="009F6B03" w:rsidRDefault="009F6B03" w:rsidP="00BF0F54">
      <w:pPr>
        <w:spacing w:line="360" w:lineRule="auto"/>
        <w:ind w:left="360"/>
        <w:jc w:val="both"/>
        <w:rPr>
          <w:rtl/>
        </w:rPr>
      </w:pPr>
      <w:r>
        <w:rPr>
          <w:b/>
          <w:bCs/>
          <w:u w:val="single"/>
          <w:rtl/>
        </w:rPr>
        <w:t>תסקיר שירות המבחן בענין הנאשם 1</w:t>
      </w:r>
    </w:p>
    <w:p w14:paraId="037E8BF5" w14:textId="77777777" w:rsidR="009F6B03" w:rsidRDefault="009F6B03" w:rsidP="00BF0F54">
      <w:pPr>
        <w:spacing w:line="360" w:lineRule="auto"/>
        <w:jc w:val="both"/>
        <w:rPr>
          <w:rtl/>
        </w:rPr>
      </w:pPr>
    </w:p>
    <w:p w14:paraId="28CBDD32" w14:textId="77777777" w:rsidR="009F6B03" w:rsidRDefault="009F6B03" w:rsidP="00BF0F54">
      <w:pPr>
        <w:numPr>
          <w:ilvl w:val="0"/>
          <w:numId w:val="3"/>
        </w:numPr>
        <w:spacing w:line="360" w:lineRule="auto"/>
        <w:jc w:val="both"/>
        <w:rPr>
          <w:rtl/>
        </w:rPr>
      </w:pPr>
      <w:r>
        <w:rPr>
          <w:rtl/>
        </w:rPr>
        <w:t xml:space="preserve">צויין כי הנאשם 1 בן 27, סיים 12 שנות לימוד, השתלב בשוק העבודה בתחום השיפוצים ועובד מאז 2010, נשוי טרי, אין לחובתו עבירות קודמות. הוא טען שביצע את העבירות על רקע האירועים האלימים בין ערבים ויהודים והאוירה המתוחה ששררה ובעקבות הסרטון שראה באינטרנט שחווה כפוגעני. </w:t>
      </w:r>
    </w:p>
    <w:p w14:paraId="2FF18839" w14:textId="77777777" w:rsidR="009F6B03" w:rsidRDefault="009F6B03" w:rsidP="00BF0F54">
      <w:pPr>
        <w:spacing w:line="360" w:lineRule="auto"/>
        <w:jc w:val="both"/>
        <w:rPr>
          <w:rtl/>
        </w:rPr>
      </w:pPr>
    </w:p>
    <w:p w14:paraId="6003B7CA" w14:textId="77777777" w:rsidR="009F6B03" w:rsidRDefault="009F6B03" w:rsidP="00BF0F54">
      <w:pPr>
        <w:numPr>
          <w:ilvl w:val="0"/>
          <w:numId w:val="3"/>
        </w:numPr>
        <w:spacing w:line="360" w:lineRule="auto"/>
        <w:jc w:val="both"/>
        <w:rPr>
          <w:rtl/>
        </w:rPr>
      </w:pPr>
      <w:r>
        <w:rPr>
          <w:rtl/>
        </w:rPr>
        <w:t xml:space="preserve">שירות המבחן התרשם שטרם מעצרו הפגין תפקוד יציב. לא היתה התרשמות מאמפטיה אלא חרטה הנובעת מהשפעת האירוע על חייו והוערך סיכון לפריצת גבולות ברף בינוני. צויין שהוא חווה את ההליך המשפטי כמרתיע ומציב גבולות. לא היתה התרשמות מבשלות לכניסה להליך טיפולי אך הוערך שמאסר בפועל יקשה על השתלבותו בהמשך בחיים נורמטיביים ויפגע בו ולכן הומלץ שלא למצות את הדין ולהסתפק בעבודות שירות. </w:t>
      </w:r>
    </w:p>
    <w:p w14:paraId="09AEAC5C" w14:textId="77777777" w:rsidR="009F6B03" w:rsidRDefault="009F6B03" w:rsidP="00BF0F54">
      <w:pPr>
        <w:spacing w:line="360" w:lineRule="auto"/>
        <w:jc w:val="both"/>
        <w:rPr>
          <w:rtl/>
        </w:rPr>
      </w:pPr>
    </w:p>
    <w:p w14:paraId="0D16EF16" w14:textId="77777777" w:rsidR="009F6B03" w:rsidRDefault="009F6B03" w:rsidP="00BF0F54">
      <w:pPr>
        <w:spacing w:line="360" w:lineRule="auto"/>
        <w:ind w:left="360"/>
        <w:jc w:val="both"/>
        <w:rPr>
          <w:rtl/>
        </w:rPr>
      </w:pPr>
      <w:r>
        <w:rPr>
          <w:b/>
          <w:bCs/>
          <w:u w:val="single"/>
          <w:rtl/>
        </w:rPr>
        <w:t>תסקיר שירות המבחן בענין הנאשם 2</w:t>
      </w:r>
    </w:p>
    <w:p w14:paraId="43DED22B" w14:textId="77777777" w:rsidR="009F6B03" w:rsidRDefault="009F6B03" w:rsidP="00BF0F54">
      <w:pPr>
        <w:spacing w:line="360" w:lineRule="auto"/>
        <w:jc w:val="both"/>
        <w:rPr>
          <w:rtl/>
        </w:rPr>
      </w:pPr>
    </w:p>
    <w:p w14:paraId="563197C8" w14:textId="77777777" w:rsidR="009F6B03" w:rsidRDefault="009F6B03" w:rsidP="00BF0F54">
      <w:pPr>
        <w:numPr>
          <w:ilvl w:val="0"/>
          <w:numId w:val="3"/>
        </w:numPr>
        <w:spacing w:line="360" w:lineRule="auto"/>
        <w:jc w:val="both"/>
        <w:rPr>
          <w:rtl/>
        </w:rPr>
      </w:pPr>
      <w:r>
        <w:rPr>
          <w:rtl/>
        </w:rPr>
        <w:t xml:space="preserve">צויין שהנאשם 2 הינו בן 26 שנים, עסק בעבודות שיפוצים, התגורר עם משפחתו בסכנין ונמצא במעצר בית בכאוכב, אובחן כחולה סכרת, סיים 10 שנות לימוד, בהמשך השלים ל- 12 שנות לימוד. לחובתו הרשעות שתוארו לעיל. הוא קיבל אחריות בנוגע לביצוע העבירות במקרה דנן ותאר את הרקע לביצוען בעיקר על רקע קשרים חברתיים עם הנאשם 1. צויין שהנאשם 2 לא חווה תחושת רתיעה מההליכים המשפטיים שהתנהלו נגדו סמוך למעצרו והתקשה לראות הדרדרות בתפקודו בשנים האחרונות. תואר חוסר יציבות בדפוסים התנהגותיים פורצי גבולות. תוארה התרשמות מקושי לתפקד באופן יציב בחייו דבר המוביל להתנהלות פורצת גבולות. הוערך סיכון לפריצת גבולות עתידית  ברמה בינונית –גבוהה. לא היתה התרשמות ממודעות טיפולית או בשלות לעריכת שינוי באורחות חייו ונראה כי ההסכמה לטיפול נובעת מחשש לעונש ועל כן לא הובאה כל המלצה בענינו. </w:t>
      </w:r>
    </w:p>
    <w:p w14:paraId="4798BD88" w14:textId="77777777" w:rsidR="009F6B03" w:rsidRDefault="009F6B03" w:rsidP="00BF0F54">
      <w:pPr>
        <w:spacing w:line="360" w:lineRule="auto"/>
        <w:jc w:val="both"/>
        <w:rPr>
          <w:rtl/>
        </w:rPr>
      </w:pPr>
    </w:p>
    <w:p w14:paraId="49ABD722" w14:textId="77777777" w:rsidR="009F6B03" w:rsidRDefault="009F6B03" w:rsidP="00BF0F54">
      <w:pPr>
        <w:numPr>
          <w:ilvl w:val="0"/>
          <w:numId w:val="3"/>
        </w:numPr>
        <w:spacing w:line="360" w:lineRule="auto"/>
        <w:jc w:val="both"/>
      </w:pPr>
      <w:r w:rsidRPr="00DD0AC6">
        <w:rPr>
          <w:rtl/>
        </w:rPr>
        <w:t xml:space="preserve">הערכים החברתים שנפגעו </w:t>
      </w:r>
      <w:r>
        <w:rPr>
          <w:rtl/>
        </w:rPr>
        <w:t xml:space="preserve">הם שלום הציבור, בטחונו והשמירה על הקניין הפרטי. רמת הפגיעה בהם - למרות שנעשה שימוש בבקבוקי תבערה היתה נמוכה כפי שעלה מעדותו של מנהל  המקום. התקיים תכנון מוקדם על ידי הנאשמים שהחלו לפעול לאחר שנחשפו לאירוע בתחנת האוטובוסים. הנאשמים היו צריכים לדעת את הפסול במעשיהם. על חומרת עבירות הנשק ובין היתר החומר שבהכנת בקבוקי תבערה וזריקתם, אין צורך לחזור שהרי הדברים מפורטים בפסיקה המאוזכרת לעיל. עם זאת, במקרה דנן, עולה גם שהנאשמים לא חיפשו או היו מעונינים בפגיעה באדם ובכוונה זרקו את הבקבוקים במקום מרוחק ונטוש ואף הנזק התגלה רק מספר ימים לאחר האירוע לכן יש לשים את המעשים בפרופורציה המתאימה. בכך שונות הנסיבות תכלית השינוי מהמקרים שאוזכרו על ידי המדינה לרבות </w:t>
      </w:r>
      <w:hyperlink r:id="rId40" w:history="1">
        <w:r w:rsidR="001B125F" w:rsidRPr="001B125F">
          <w:rPr>
            <w:color w:val="0000FF"/>
            <w:u w:val="single"/>
            <w:rtl/>
          </w:rPr>
          <w:t>ע"פ 3063/12</w:t>
        </w:r>
      </w:hyperlink>
      <w:r>
        <w:rPr>
          <w:rtl/>
        </w:rPr>
        <w:t xml:space="preserve"> לעיל, שם הוכנו בקבוקי תבערה לשימוש נגד כוחות הביטחון לצורך ביצוע פיגוע שתוכנן להתבצע בשלבים. על רקע זה, הגעתי למסקנה שבנסיבות המקרה, מתחם הענישה ההולם נמצא בין 6 חודשי מאסר בפועל לבין שנה וחצי מאסר בפועל. מבחינת גזירת העונש בתוך המתחם על כל אחד מהנאשמים כאמור בתסקירים מדובר באנשים צעירים, כאשר לנאשם 1 אין כלל עבר פלילי ולנאשם 2 עבר פלילי לא מכביד. בהתחשב ביתר הדברים האמורים בתסקיר, הגעתי למסקנה שרצוי להימנע להטיל עונש שיביא לכך שהנאשמים ישהו בחברת עבריינים תקופה ארוכה. על  כן החלטתי שיש מקום לאמץ את המלצות שירות המבחן בנוגע לשני הנאשמים.</w:t>
      </w:r>
    </w:p>
    <w:p w14:paraId="60690D30" w14:textId="77777777" w:rsidR="009F6B03" w:rsidRDefault="009F6B03" w:rsidP="00BF0F54">
      <w:pPr>
        <w:numPr>
          <w:ilvl w:val="0"/>
          <w:numId w:val="3"/>
        </w:numPr>
        <w:spacing w:line="360" w:lineRule="auto"/>
        <w:jc w:val="both"/>
      </w:pPr>
      <w:r>
        <w:rPr>
          <w:rtl/>
        </w:rPr>
        <w:t>לאור כל האמור לעיל הנני משית על כל אחד מהנאשמים 1 ו- 2 עונשים כדלקמן:</w:t>
      </w:r>
    </w:p>
    <w:p w14:paraId="392BE279" w14:textId="77777777" w:rsidR="009F6B03" w:rsidRDefault="009F6B03" w:rsidP="00BF0F54">
      <w:pPr>
        <w:spacing w:line="360" w:lineRule="auto"/>
        <w:ind w:left="720"/>
        <w:jc w:val="both"/>
        <w:rPr>
          <w:rtl/>
        </w:rPr>
      </w:pPr>
      <w:r>
        <w:rPr>
          <w:rtl/>
        </w:rPr>
        <w:t xml:space="preserve"> 6 חודשי מאסר בפועל שירוצו בעבודות שירות בתנאי שתינתן חוות דעת מתאימה על ידי הממונה על עבודות השירות. </w:t>
      </w:r>
    </w:p>
    <w:p w14:paraId="639C1558" w14:textId="77777777" w:rsidR="009F6B03" w:rsidRDefault="009F6B03" w:rsidP="00BF0F54">
      <w:pPr>
        <w:spacing w:line="360" w:lineRule="auto"/>
        <w:ind w:left="720"/>
        <w:jc w:val="both"/>
        <w:rPr>
          <w:rtl/>
        </w:rPr>
      </w:pPr>
      <w:r>
        <w:rPr>
          <w:rtl/>
        </w:rPr>
        <w:t xml:space="preserve">9 חודשי מאסר על תנאי למשך 3 שנים שיופעלו בתנאי שכל אחד מן הנאשמים יבצע עבירות אלימות. </w:t>
      </w:r>
    </w:p>
    <w:p w14:paraId="75EBC58E" w14:textId="77777777" w:rsidR="009F6B03" w:rsidRDefault="009F6B03" w:rsidP="00BF0F54">
      <w:pPr>
        <w:spacing w:line="360" w:lineRule="auto"/>
        <w:ind w:left="720"/>
        <w:jc w:val="both"/>
        <w:rPr>
          <w:rtl/>
        </w:rPr>
      </w:pPr>
      <w:r>
        <w:rPr>
          <w:rtl/>
        </w:rPr>
        <w:t xml:space="preserve">קנס בסך 1,000 ₪ לתשלום עד ליום 14.4.17. </w:t>
      </w:r>
    </w:p>
    <w:p w14:paraId="7106CAB3" w14:textId="77777777" w:rsidR="009F6B03" w:rsidRPr="00DD0AC6" w:rsidRDefault="009F6B03" w:rsidP="00BF0F54">
      <w:pPr>
        <w:spacing w:line="360" w:lineRule="auto"/>
        <w:ind w:left="720"/>
        <w:jc w:val="both"/>
        <w:rPr>
          <w:rtl/>
        </w:rPr>
      </w:pPr>
      <w:r>
        <w:rPr>
          <w:rtl/>
        </w:rPr>
        <w:t xml:space="preserve">פיצוי בסך 1,000 ₪ לתשלום עד ליום 14.4.17 שישולם לקיבוץ אשבל. </w:t>
      </w:r>
    </w:p>
    <w:p w14:paraId="2C9B2772" w14:textId="77777777" w:rsidR="009F6B03" w:rsidRPr="00B05847" w:rsidRDefault="009F6B03">
      <w:pPr>
        <w:rPr>
          <w:rtl/>
        </w:rPr>
      </w:pPr>
    </w:p>
    <w:p w14:paraId="574501FA" w14:textId="77777777" w:rsidR="009F6B03" w:rsidRPr="001B125F" w:rsidRDefault="001B125F">
      <w:pPr>
        <w:rPr>
          <w:color w:val="FFFFFF"/>
          <w:sz w:val="2"/>
          <w:szCs w:val="2"/>
          <w:rtl/>
        </w:rPr>
      </w:pPr>
      <w:r w:rsidRPr="001B125F">
        <w:rPr>
          <w:color w:val="FFFFFF"/>
          <w:sz w:val="2"/>
          <w:szCs w:val="2"/>
          <w:rtl/>
        </w:rPr>
        <w:t>5129371</w:t>
      </w:r>
    </w:p>
    <w:p w14:paraId="0D69AB31" w14:textId="77777777" w:rsidR="009F6B03" w:rsidRPr="001B125F" w:rsidRDefault="001B125F">
      <w:pPr>
        <w:rPr>
          <w:color w:val="FFFFFF"/>
          <w:sz w:val="2"/>
          <w:szCs w:val="2"/>
          <w:rtl/>
        </w:rPr>
      </w:pPr>
      <w:r w:rsidRPr="001B125F">
        <w:rPr>
          <w:color w:val="FFFFFF"/>
          <w:sz w:val="2"/>
          <w:szCs w:val="2"/>
          <w:rtl/>
        </w:rPr>
        <w:t>54678313</w:t>
      </w:r>
    </w:p>
    <w:p w14:paraId="29D92256" w14:textId="77777777" w:rsidR="009F6B03" w:rsidRPr="00C7183F" w:rsidRDefault="001B125F">
      <w:pPr>
        <w:rPr>
          <w:rFonts w:cs="FrankRuehl"/>
          <w:b/>
          <w:bCs/>
          <w:sz w:val="28"/>
          <w:szCs w:val="28"/>
          <w:rtl/>
        </w:rPr>
      </w:pPr>
      <w:r w:rsidRPr="00C7183F">
        <w:rPr>
          <w:rFonts w:ascii="Arial" w:hAnsi="Arial"/>
          <w:b/>
          <w:bCs/>
          <w:rtl/>
        </w:rPr>
        <w:t xml:space="preserve">ניתן היום,  י"ט שבט תשע"ז, 15 פברואר 2017, בהעדר הצדדים. </w:t>
      </w:r>
    </w:p>
    <w:p w14:paraId="0A07052D" w14:textId="77777777" w:rsidR="009F6B03" w:rsidRDefault="009F6B03" w:rsidP="00B9432F">
      <w:pPr>
        <w:jc w:val="center"/>
      </w:pPr>
      <w:r>
        <w:rPr>
          <w:rtl/>
        </w:rPr>
        <w:t xml:space="preserve">   </w:t>
      </w:r>
      <w:r>
        <w:rPr>
          <w:rtl/>
        </w:rPr>
        <w:tab/>
      </w:r>
      <w:r>
        <w:rPr>
          <w:rtl/>
        </w:rPr>
        <w:tab/>
      </w:r>
      <w:r>
        <w:rPr>
          <w:rtl/>
        </w:rPr>
        <w:tab/>
      </w:r>
      <w:r>
        <w:rPr>
          <w:rtl/>
        </w:rPr>
        <w:tab/>
      </w:r>
      <w:r>
        <w:rPr>
          <w:rtl/>
        </w:rPr>
        <w:tab/>
      </w:r>
    </w:p>
    <w:p w14:paraId="4A5E5136" w14:textId="77777777" w:rsidR="009F6B03" w:rsidRDefault="009F6B03" w:rsidP="003E0C9F">
      <w:pPr>
        <w:jc w:val="center"/>
        <w:rPr>
          <w:rFonts w:ascii="Arial" w:hAnsi="Arial" w:cs="FrankRuehl"/>
          <w:sz w:val="28"/>
          <w:szCs w:val="28"/>
          <w:rtl/>
        </w:rPr>
      </w:pPr>
    </w:p>
    <w:p w14:paraId="1F5E517F" w14:textId="77777777" w:rsidR="009F6B03" w:rsidRDefault="009F6B03">
      <w:pPr>
        <w:rPr>
          <w:rFonts w:cs="FrankRuehl"/>
          <w:sz w:val="28"/>
          <w:szCs w:val="28"/>
          <w:rtl/>
        </w:rPr>
      </w:pPr>
    </w:p>
    <w:p w14:paraId="0069368E" w14:textId="77777777" w:rsidR="001B125F" w:rsidRPr="001B125F" w:rsidRDefault="001B125F" w:rsidP="001B125F">
      <w:pPr>
        <w:pStyle w:val="a3"/>
        <w:keepNext/>
        <w:rPr>
          <w:rFonts w:ascii="David" w:hAnsi="David"/>
          <w:color w:val="000000"/>
          <w:sz w:val="22"/>
          <w:szCs w:val="22"/>
          <w:rtl/>
        </w:rPr>
      </w:pPr>
    </w:p>
    <w:p w14:paraId="5F5E88A7" w14:textId="77777777" w:rsidR="001B125F" w:rsidRPr="001B125F" w:rsidRDefault="001B125F" w:rsidP="001B125F">
      <w:pPr>
        <w:pStyle w:val="a3"/>
        <w:keepNext/>
        <w:rPr>
          <w:rFonts w:ascii="David" w:hAnsi="David"/>
          <w:color w:val="000000"/>
          <w:sz w:val="22"/>
          <w:szCs w:val="22"/>
          <w:rtl/>
        </w:rPr>
      </w:pPr>
      <w:r w:rsidRPr="001B125F">
        <w:rPr>
          <w:rFonts w:ascii="David" w:hAnsi="David"/>
          <w:color w:val="000000"/>
          <w:sz w:val="22"/>
          <w:szCs w:val="22"/>
          <w:rtl/>
        </w:rPr>
        <w:t>דניאל פיש 54678313</w:t>
      </w:r>
    </w:p>
    <w:p w14:paraId="48AD48CF" w14:textId="77777777" w:rsidR="001B125F" w:rsidRDefault="001B125F" w:rsidP="001B125F">
      <w:pPr>
        <w:pStyle w:val="a3"/>
        <w:rPr>
          <w:rtl/>
        </w:rPr>
      </w:pPr>
      <w:r w:rsidRPr="001B125F">
        <w:rPr>
          <w:color w:val="000000"/>
          <w:rtl/>
        </w:rPr>
        <w:t>נוסח מסמך זה כפוף לשינויי ניסוח ועריכה</w:t>
      </w:r>
    </w:p>
    <w:p w14:paraId="3ACF02C5" w14:textId="77777777" w:rsidR="001B125F" w:rsidRDefault="001B125F" w:rsidP="001B125F">
      <w:pPr>
        <w:pStyle w:val="a3"/>
        <w:rPr>
          <w:rtl/>
        </w:rPr>
      </w:pPr>
    </w:p>
    <w:p w14:paraId="32AA03AD" w14:textId="77777777" w:rsidR="001B125F" w:rsidRDefault="001B125F" w:rsidP="001B125F">
      <w:pPr>
        <w:pStyle w:val="a3"/>
        <w:jc w:val="center"/>
        <w:rPr>
          <w:color w:val="0000FF"/>
          <w:u w:val="single"/>
          <w:rtl/>
        </w:rPr>
      </w:pPr>
      <w:hyperlink r:id="rId41" w:history="1">
        <w:r>
          <w:rPr>
            <w:color w:val="0000FF"/>
            <w:u w:val="single"/>
            <w:rtl/>
          </w:rPr>
          <w:t>בעניין עריכה ושינויים במסמכי פסיקה, חקיקה ועוד באתר נבו – הקש כאן</w:t>
        </w:r>
      </w:hyperlink>
    </w:p>
    <w:p w14:paraId="3F5BE1F5" w14:textId="77777777" w:rsidR="009F6B03" w:rsidRPr="001B125F" w:rsidRDefault="009F6B03" w:rsidP="001B125F">
      <w:pPr>
        <w:pStyle w:val="a3"/>
        <w:jc w:val="center"/>
        <w:rPr>
          <w:color w:val="0000FF"/>
          <w:u w:val="single"/>
          <w:rtl/>
        </w:rPr>
      </w:pPr>
    </w:p>
    <w:sectPr w:rsidR="009F6B03" w:rsidRPr="001B125F" w:rsidSect="001B125F">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9773C" w14:textId="77777777" w:rsidR="00F31BBD" w:rsidRDefault="00F31BBD">
      <w:r>
        <w:separator/>
      </w:r>
    </w:p>
  </w:endnote>
  <w:endnote w:type="continuationSeparator" w:id="0">
    <w:p w14:paraId="18C29A55" w14:textId="77777777" w:rsidR="00F31BBD" w:rsidRDefault="00F31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D2E2B" w14:textId="77777777" w:rsidR="001B125F" w:rsidRDefault="001B125F" w:rsidP="001B125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8810C19" w14:textId="77777777" w:rsidR="009F6B03" w:rsidRPr="001B125F" w:rsidRDefault="001B125F" w:rsidP="001B125F">
    <w:pPr>
      <w:pStyle w:val="a4"/>
      <w:pBdr>
        <w:top w:val="single" w:sz="4" w:space="1" w:color="auto"/>
        <w:between w:val="single" w:sz="4" w:space="0" w:color="auto"/>
      </w:pBdr>
      <w:spacing w:after="60"/>
      <w:jc w:val="center"/>
      <w:rPr>
        <w:rFonts w:ascii="FrankRuehl" w:hAnsi="FrankRuehl" w:cs="FrankRuehl"/>
        <w:color w:val="000000"/>
      </w:rPr>
    </w:pPr>
    <w:r w:rsidRPr="001B125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E6CDF" w14:textId="77777777" w:rsidR="001B125F" w:rsidRDefault="001B125F" w:rsidP="001B125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32D4D">
      <w:rPr>
        <w:rFonts w:ascii="FrankRuehl" w:hAnsi="FrankRuehl" w:cs="FrankRuehl"/>
        <w:noProof/>
        <w:rtl/>
      </w:rPr>
      <w:t>1</w:t>
    </w:r>
    <w:r>
      <w:rPr>
        <w:rFonts w:ascii="FrankRuehl" w:hAnsi="FrankRuehl" w:cs="FrankRuehl"/>
        <w:rtl/>
      </w:rPr>
      <w:fldChar w:fldCharType="end"/>
    </w:r>
  </w:p>
  <w:p w14:paraId="58B35996" w14:textId="77777777" w:rsidR="009F6B03" w:rsidRPr="001B125F" w:rsidRDefault="001B125F" w:rsidP="001B125F">
    <w:pPr>
      <w:pStyle w:val="a4"/>
      <w:pBdr>
        <w:top w:val="single" w:sz="4" w:space="1" w:color="auto"/>
        <w:between w:val="single" w:sz="4" w:space="0" w:color="auto"/>
      </w:pBdr>
      <w:spacing w:after="60"/>
      <w:jc w:val="center"/>
      <w:rPr>
        <w:rFonts w:ascii="FrankRuehl" w:hAnsi="FrankRuehl" w:cs="FrankRuehl"/>
        <w:color w:val="000000"/>
      </w:rPr>
    </w:pPr>
    <w:r w:rsidRPr="001B125F">
      <w:rPr>
        <w:rFonts w:ascii="FrankRuehl" w:hAnsi="FrankRuehl" w:cs="FrankRuehl"/>
        <w:color w:val="000000"/>
      </w:rPr>
      <w:pict w14:anchorId="79D2E5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E1FD4" w14:textId="77777777" w:rsidR="00F31BBD" w:rsidRDefault="00F31BBD">
      <w:r>
        <w:separator/>
      </w:r>
    </w:p>
  </w:footnote>
  <w:footnote w:type="continuationSeparator" w:id="0">
    <w:p w14:paraId="58560F6B" w14:textId="77777777" w:rsidR="00F31BBD" w:rsidRDefault="00F31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6B9C8" w14:textId="77777777" w:rsidR="001B125F" w:rsidRPr="001B125F" w:rsidRDefault="001B125F" w:rsidP="001B125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8684-06-16</w:t>
    </w:r>
    <w:r>
      <w:rPr>
        <w:rFonts w:ascii="David" w:hAnsi="David"/>
        <w:color w:val="000000"/>
        <w:sz w:val="22"/>
        <w:szCs w:val="22"/>
        <w:rtl/>
      </w:rPr>
      <w:tab/>
      <w:t xml:space="preserve"> מדינת ישראל נ' עומר אבו ריא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50039" w14:textId="77777777" w:rsidR="009F6B03" w:rsidRPr="001B125F" w:rsidRDefault="001B125F" w:rsidP="001B125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8684-06-16</w:t>
    </w:r>
    <w:r>
      <w:rPr>
        <w:rFonts w:ascii="David" w:hAnsi="David"/>
        <w:color w:val="000000"/>
        <w:sz w:val="22"/>
        <w:szCs w:val="22"/>
        <w:rtl/>
      </w:rPr>
      <w:tab/>
      <w:t xml:space="preserve"> מדינת ישראל נ' עומר אבו ריא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A017F5A"/>
    <w:multiLevelType w:val="hybridMultilevel"/>
    <w:tmpl w:val="78F0065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2066446178">
    <w:abstractNumId w:val="2"/>
  </w:num>
  <w:num w:numId="2" w16cid:durableId="1199780168">
    <w:abstractNumId w:val="0"/>
  </w:num>
  <w:num w:numId="3" w16cid:durableId="1459253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54FC4"/>
    <w:rsid w:val="0006726A"/>
    <w:rsid w:val="000A72A3"/>
    <w:rsid w:val="00100577"/>
    <w:rsid w:val="00141260"/>
    <w:rsid w:val="001434F7"/>
    <w:rsid w:val="00154AD2"/>
    <w:rsid w:val="001B125F"/>
    <w:rsid w:val="00212125"/>
    <w:rsid w:val="002336AA"/>
    <w:rsid w:val="00257F94"/>
    <w:rsid w:val="002D3057"/>
    <w:rsid w:val="002D6C61"/>
    <w:rsid w:val="00367565"/>
    <w:rsid w:val="003E0C9F"/>
    <w:rsid w:val="004215DC"/>
    <w:rsid w:val="00432D4D"/>
    <w:rsid w:val="004D1257"/>
    <w:rsid w:val="004D1D5E"/>
    <w:rsid w:val="00507694"/>
    <w:rsid w:val="00551A23"/>
    <w:rsid w:val="00573847"/>
    <w:rsid w:val="005B4ACC"/>
    <w:rsid w:val="005C7B0B"/>
    <w:rsid w:val="005F1801"/>
    <w:rsid w:val="00683ABD"/>
    <w:rsid w:val="00684E84"/>
    <w:rsid w:val="00692E9A"/>
    <w:rsid w:val="006C2095"/>
    <w:rsid w:val="007326B9"/>
    <w:rsid w:val="00736C58"/>
    <w:rsid w:val="00757983"/>
    <w:rsid w:val="007A3F26"/>
    <w:rsid w:val="007D46DD"/>
    <w:rsid w:val="00821F29"/>
    <w:rsid w:val="00832D73"/>
    <w:rsid w:val="008819B4"/>
    <w:rsid w:val="00936378"/>
    <w:rsid w:val="009E35A7"/>
    <w:rsid w:val="009E49A1"/>
    <w:rsid w:val="009F504D"/>
    <w:rsid w:val="009F6B03"/>
    <w:rsid w:val="00A22142"/>
    <w:rsid w:val="00A504C4"/>
    <w:rsid w:val="00B05847"/>
    <w:rsid w:val="00B22E0A"/>
    <w:rsid w:val="00B52CC2"/>
    <w:rsid w:val="00B9432F"/>
    <w:rsid w:val="00BD67E7"/>
    <w:rsid w:val="00BE0015"/>
    <w:rsid w:val="00BF0F54"/>
    <w:rsid w:val="00C02463"/>
    <w:rsid w:val="00C55E62"/>
    <w:rsid w:val="00C572E8"/>
    <w:rsid w:val="00C7183F"/>
    <w:rsid w:val="00D202F4"/>
    <w:rsid w:val="00D3203D"/>
    <w:rsid w:val="00DD0AC6"/>
    <w:rsid w:val="00E70F9C"/>
    <w:rsid w:val="00ED6E15"/>
    <w:rsid w:val="00F31BBD"/>
    <w:rsid w:val="00F75AFC"/>
    <w:rsid w:val="00FA026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4BCDBD"/>
  <w15:chartTrackingRefBased/>
  <w15:docId w15:val="{B3849717-6C1B-4A4F-B385-FA63FE84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basedOn w:val="a0"/>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rPr>
      <w:rFonts w:cs="Times New Roman"/>
    </w:rPr>
  </w:style>
  <w:style w:type="character" w:styleId="Hyperlink">
    <w:name w:val="Hyperlink"/>
    <w:basedOn w:val="a0"/>
    <w:rsid w:val="001B12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448.a"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6239953" TargetMode="External"/><Relationship Id="rId39" Type="http://schemas.openxmlformats.org/officeDocument/2006/relationships/hyperlink" Target="http://www.nevo.co.il/case/21477504" TargetMode="External"/><Relationship Id="rId21" Type="http://schemas.openxmlformats.org/officeDocument/2006/relationships/hyperlink" Target="http://www.nevo.co.il/law/70301/25" TargetMode="External"/><Relationship Id="rId34" Type="http://schemas.openxmlformats.org/officeDocument/2006/relationships/hyperlink" Target="http://www.nevo.co.il/case/6859579"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29" TargetMode="External"/><Relationship Id="rId29" Type="http://schemas.openxmlformats.org/officeDocument/2006/relationships/hyperlink" Target="http://www.nevo.co.il/case/5582859"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44.b" TargetMode="External"/><Relationship Id="rId24" Type="http://schemas.openxmlformats.org/officeDocument/2006/relationships/hyperlink" Target="http://www.nevo.co.il/law/70301/29" TargetMode="External"/><Relationship Id="rId32" Type="http://schemas.openxmlformats.org/officeDocument/2006/relationships/hyperlink" Target="http://www.nevo.co.il/case/4146802" TargetMode="External"/><Relationship Id="rId37" Type="http://schemas.openxmlformats.org/officeDocument/2006/relationships/hyperlink" Target="http://www.nevo.co.il/case/5052445" TargetMode="External"/><Relationship Id="rId40" Type="http://schemas.openxmlformats.org/officeDocument/2006/relationships/hyperlink" Target="http://www.nevo.co.il/case/5582859"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evo.co.il/law/70301/144.b2" TargetMode="External"/><Relationship Id="rId23" Type="http://schemas.openxmlformats.org/officeDocument/2006/relationships/hyperlink" Target="http://www.nevo.co.il/law/70301/452" TargetMode="External"/><Relationship Id="rId28" Type="http://schemas.openxmlformats.org/officeDocument/2006/relationships/hyperlink" Target="http://www.nevo.co.il/case/21044600" TargetMode="External"/><Relationship Id="rId36" Type="http://schemas.openxmlformats.org/officeDocument/2006/relationships/hyperlink" Target="http://www.nevo.co.il/case/5573417" TargetMode="External"/><Relationship Id="rId10" Type="http://schemas.openxmlformats.org/officeDocument/2006/relationships/hyperlink" Target="http://www.nevo.co.il/law/70301/29" TargetMode="External"/><Relationship Id="rId19" Type="http://schemas.openxmlformats.org/officeDocument/2006/relationships/hyperlink" Target="http://www.nevo.co.il/law/70301/29" TargetMode="External"/><Relationship Id="rId31" Type="http://schemas.openxmlformats.org/officeDocument/2006/relationships/hyperlink" Target="http://www.nevo.co.il/case/4669127"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70301/25" TargetMode="External"/><Relationship Id="rId14" Type="http://schemas.openxmlformats.org/officeDocument/2006/relationships/hyperlink" Target="http://www.nevo.co.il/law/70301/452" TargetMode="External"/><Relationship Id="rId22" Type="http://schemas.openxmlformats.org/officeDocument/2006/relationships/hyperlink" Target="http://www.nevo.co.il/law/70301/29" TargetMode="External"/><Relationship Id="rId27" Type="http://schemas.openxmlformats.org/officeDocument/2006/relationships/hyperlink" Target="http://www.nevo.co.il/case/6010862" TargetMode="External"/><Relationship Id="rId30" Type="http://schemas.openxmlformats.org/officeDocument/2006/relationships/hyperlink" Target="http://www.nevo.co.il/case/6188919" TargetMode="External"/><Relationship Id="rId35" Type="http://schemas.openxmlformats.org/officeDocument/2006/relationships/hyperlink" Target="http://www.nevo.co.il/case/5564595" TargetMode="External"/><Relationship Id="rId43" Type="http://schemas.openxmlformats.org/officeDocument/2006/relationships/header" Target="header2.xm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144.b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832660" TargetMode="External"/><Relationship Id="rId33" Type="http://schemas.openxmlformats.org/officeDocument/2006/relationships/hyperlink" Target="http://www.nevo.co.il/case/7019395" TargetMode="External"/><Relationship Id="rId38" Type="http://schemas.openxmlformats.org/officeDocument/2006/relationships/hyperlink" Target="http://www.nevo.co.il/case/18067750" TargetMode="External"/><Relationship Id="rId46" Type="http://schemas.openxmlformats.org/officeDocument/2006/relationships/fontTable" Target="fontTable.xml"/><Relationship Id="rId20" Type="http://schemas.openxmlformats.org/officeDocument/2006/relationships/hyperlink" Target="http://www.nevo.co.il/law/70301/448.a"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2782</Words>
  <Characters>13915</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16664</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3932278</vt:i4>
      </vt:variant>
      <vt:variant>
        <vt:i4>96</vt:i4>
      </vt:variant>
      <vt:variant>
        <vt:i4>0</vt:i4>
      </vt:variant>
      <vt:variant>
        <vt:i4>5</vt:i4>
      </vt:variant>
      <vt:variant>
        <vt:lpwstr>http://www.nevo.co.il/case/5582859</vt:lpwstr>
      </vt:variant>
      <vt:variant>
        <vt:lpwstr/>
      </vt:variant>
      <vt:variant>
        <vt:i4>3211383</vt:i4>
      </vt:variant>
      <vt:variant>
        <vt:i4>93</vt:i4>
      </vt:variant>
      <vt:variant>
        <vt:i4>0</vt:i4>
      </vt:variant>
      <vt:variant>
        <vt:i4>5</vt:i4>
      </vt:variant>
      <vt:variant>
        <vt:lpwstr>http://www.nevo.co.il/case/21477504</vt:lpwstr>
      </vt:variant>
      <vt:variant>
        <vt:lpwstr/>
      </vt:variant>
      <vt:variant>
        <vt:i4>3342461</vt:i4>
      </vt:variant>
      <vt:variant>
        <vt:i4>90</vt:i4>
      </vt:variant>
      <vt:variant>
        <vt:i4>0</vt:i4>
      </vt:variant>
      <vt:variant>
        <vt:i4>5</vt:i4>
      </vt:variant>
      <vt:variant>
        <vt:lpwstr>http://www.nevo.co.il/case/18067750</vt:lpwstr>
      </vt:variant>
      <vt:variant>
        <vt:lpwstr/>
      </vt:variant>
      <vt:variant>
        <vt:i4>3211378</vt:i4>
      </vt:variant>
      <vt:variant>
        <vt:i4>87</vt:i4>
      </vt:variant>
      <vt:variant>
        <vt:i4>0</vt:i4>
      </vt:variant>
      <vt:variant>
        <vt:i4>5</vt:i4>
      </vt:variant>
      <vt:variant>
        <vt:lpwstr>http://www.nevo.co.il/case/5052445</vt:lpwstr>
      </vt:variant>
      <vt:variant>
        <vt:lpwstr/>
      </vt:variant>
      <vt:variant>
        <vt:i4>3211379</vt:i4>
      </vt:variant>
      <vt:variant>
        <vt:i4>84</vt:i4>
      </vt:variant>
      <vt:variant>
        <vt:i4>0</vt:i4>
      </vt:variant>
      <vt:variant>
        <vt:i4>5</vt:i4>
      </vt:variant>
      <vt:variant>
        <vt:lpwstr>http://www.nevo.co.il/case/5573417</vt:lpwstr>
      </vt:variant>
      <vt:variant>
        <vt:lpwstr/>
      </vt:variant>
      <vt:variant>
        <vt:i4>3342460</vt:i4>
      </vt:variant>
      <vt:variant>
        <vt:i4>81</vt:i4>
      </vt:variant>
      <vt:variant>
        <vt:i4>0</vt:i4>
      </vt:variant>
      <vt:variant>
        <vt:i4>5</vt:i4>
      </vt:variant>
      <vt:variant>
        <vt:lpwstr>http://www.nevo.co.il/case/5564595</vt:lpwstr>
      </vt:variant>
      <vt:variant>
        <vt:lpwstr/>
      </vt:variant>
      <vt:variant>
        <vt:i4>4128882</vt:i4>
      </vt:variant>
      <vt:variant>
        <vt:i4>78</vt:i4>
      </vt:variant>
      <vt:variant>
        <vt:i4>0</vt:i4>
      </vt:variant>
      <vt:variant>
        <vt:i4>5</vt:i4>
      </vt:variant>
      <vt:variant>
        <vt:lpwstr>http://www.nevo.co.il/case/6859579</vt:lpwstr>
      </vt:variant>
      <vt:variant>
        <vt:lpwstr/>
      </vt:variant>
      <vt:variant>
        <vt:i4>3145844</vt:i4>
      </vt:variant>
      <vt:variant>
        <vt:i4>75</vt:i4>
      </vt:variant>
      <vt:variant>
        <vt:i4>0</vt:i4>
      </vt:variant>
      <vt:variant>
        <vt:i4>5</vt:i4>
      </vt:variant>
      <vt:variant>
        <vt:lpwstr>http://www.nevo.co.il/case/7019395</vt:lpwstr>
      </vt:variant>
      <vt:variant>
        <vt:lpwstr/>
      </vt:variant>
      <vt:variant>
        <vt:i4>3801203</vt:i4>
      </vt:variant>
      <vt:variant>
        <vt:i4>72</vt:i4>
      </vt:variant>
      <vt:variant>
        <vt:i4>0</vt:i4>
      </vt:variant>
      <vt:variant>
        <vt:i4>5</vt:i4>
      </vt:variant>
      <vt:variant>
        <vt:lpwstr>http://www.nevo.co.il/case/4146802</vt:lpwstr>
      </vt:variant>
      <vt:variant>
        <vt:lpwstr/>
      </vt:variant>
      <vt:variant>
        <vt:i4>3407993</vt:i4>
      </vt:variant>
      <vt:variant>
        <vt:i4>69</vt:i4>
      </vt:variant>
      <vt:variant>
        <vt:i4>0</vt:i4>
      </vt:variant>
      <vt:variant>
        <vt:i4>5</vt:i4>
      </vt:variant>
      <vt:variant>
        <vt:lpwstr>http://www.nevo.co.il/case/4669127</vt:lpwstr>
      </vt:variant>
      <vt:variant>
        <vt:lpwstr/>
      </vt:variant>
      <vt:variant>
        <vt:i4>4063356</vt:i4>
      </vt:variant>
      <vt:variant>
        <vt:i4>66</vt:i4>
      </vt:variant>
      <vt:variant>
        <vt:i4>0</vt:i4>
      </vt:variant>
      <vt:variant>
        <vt:i4>5</vt:i4>
      </vt:variant>
      <vt:variant>
        <vt:lpwstr>http://www.nevo.co.il/case/6188919</vt:lpwstr>
      </vt:variant>
      <vt:variant>
        <vt:lpwstr/>
      </vt:variant>
      <vt:variant>
        <vt:i4>3932278</vt:i4>
      </vt:variant>
      <vt:variant>
        <vt:i4>63</vt:i4>
      </vt:variant>
      <vt:variant>
        <vt:i4>0</vt:i4>
      </vt:variant>
      <vt:variant>
        <vt:i4>5</vt:i4>
      </vt:variant>
      <vt:variant>
        <vt:lpwstr>http://www.nevo.co.il/case/5582859</vt:lpwstr>
      </vt:variant>
      <vt:variant>
        <vt:lpwstr/>
      </vt:variant>
      <vt:variant>
        <vt:i4>3539063</vt:i4>
      </vt:variant>
      <vt:variant>
        <vt:i4>60</vt:i4>
      </vt:variant>
      <vt:variant>
        <vt:i4>0</vt:i4>
      </vt:variant>
      <vt:variant>
        <vt:i4>5</vt:i4>
      </vt:variant>
      <vt:variant>
        <vt:lpwstr>http://www.nevo.co.il/case/21044600</vt:lpwstr>
      </vt:variant>
      <vt:variant>
        <vt:lpwstr/>
      </vt:variant>
      <vt:variant>
        <vt:i4>3997810</vt:i4>
      </vt:variant>
      <vt:variant>
        <vt:i4>57</vt:i4>
      </vt:variant>
      <vt:variant>
        <vt:i4>0</vt:i4>
      </vt:variant>
      <vt:variant>
        <vt:i4>5</vt:i4>
      </vt:variant>
      <vt:variant>
        <vt:lpwstr>http://www.nevo.co.il/case/6010862</vt:lpwstr>
      </vt:variant>
      <vt:variant>
        <vt:lpwstr/>
      </vt:variant>
      <vt:variant>
        <vt:i4>4128890</vt:i4>
      </vt:variant>
      <vt:variant>
        <vt:i4>54</vt:i4>
      </vt:variant>
      <vt:variant>
        <vt:i4>0</vt:i4>
      </vt:variant>
      <vt:variant>
        <vt:i4>5</vt:i4>
      </vt:variant>
      <vt:variant>
        <vt:lpwstr>http://www.nevo.co.il/case/6239953</vt:lpwstr>
      </vt:variant>
      <vt:variant>
        <vt:lpwstr/>
      </vt:variant>
      <vt:variant>
        <vt:i4>4063345</vt:i4>
      </vt:variant>
      <vt:variant>
        <vt:i4>51</vt:i4>
      </vt:variant>
      <vt:variant>
        <vt:i4>0</vt:i4>
      </vt:variant>
      <vt:variant>
        <vt:i4>5</vt:i4>
      </vt:variant>
      <vt:variant>
        <vt:lpwstr>http://www.nevo.co.il/case/20832660</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6291553</vt:i4>
      </vt:variant>
      <vt:variant>
        <vt:i4>45</vt:i4>
      </vt:variant>
      <vt:variant>
        <vt:i4>0</vt:i4>
      </vt:variant>
      <vt:variant>
        <vt:i4>5</vt:i4>
      </vt:variant>
      <vt:variant>
        <vt:lpwstr>http://www.nevo.co.il/law/70301/452</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5177433</vt:i4>
      </vt:variant>
      <vt:variant>
        <vt:i4>36</vt:i4>
      </vt:variant>
      <vt:variant>
        <vt:i4>0</vt:i4>
      </vt:variant>
      <vt:variant>
        <vt:i4>5</vt:i4>
      </vt:variant>
      <vt:variant>
        <vt:lpwstr>http://www.nevo.co.il/law/70301/448.a</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5177433</vt:i4>
      </vt:variant>
      <vt:variant>
        <vt:i4>15</vt:i4>
      </vt:variant>
      <vt:variant>
        <vt:i4>0</vt:i4>
      </vt:variant>
      <vt:variant>
        <vt:i4>5</vt:i4>
      </vt:variant>
      <vt:variant>
        <vt:lpwstr>http://www.nevo.co.il/law/70301/448.a</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2025-04-25T10:39:00Z</dcterms:created>
  <dcterms:modified xsi:type="dcterms:W3CDTF">2025-04-25T10:39:00Z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8684</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עומר אבו ריא;מוחמד ריא</vt:lpwstr>
  </property>
  <property fmtid="{D5CDD505-2E9C-101B-9397-08002B2CF9AE}" pid="10" name="LAWYER">
    <vt:lpwstr>עותמאן סנונו;אברהם מנצור</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20170215</vt:lpwstr>
  </property>
  <property fmtid="{D5CDD505-2E9C-101B-9397-08002B2CF9AE}" pid="14" name="TYPE_N_DATE">
    <vt:lpwstr>39020170215</vt:lpwstr>
  </property>
  <property fmtid="{D5CDD505-2E9C-101B-9397-08002B2CF9AE}" pid="15" name="WORDNUMPAGES">
    <vt:lpwstr>9</vt:lpwstr>
  </property>
  <property fmtid="{D5CDD505-2E9C-101B-9397-08002B2CF9AE}" pid="16" name="TYPE_ABS_DATE">
    <vt:lpwstr>390120170215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20832660;6239953;6010862;21044600;5582859:2;6188919;4669127;4146802;7019395;6859579;5564595;5573417;5052445;18067750;21477504</vt:lpwstr>
  </property>
  <property fmtid="{D5CDD505-2E9C-101B-9397-08002B2CF9AE}" pid="36" name="LAWLISTTMP1">
    <vt:lpwstr>70301/025;029:4;144.b;144.b2;448.a;452</vt:lpwstr>
  </property>
  <property fmtid="{D5CDD505-2E9C-101B-9397-08002B2CF9AE}" pid="37" name="METAKZER">
    <vt:lpwstr>מיכל</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13800;15506</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שיקולי ענישה</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20170216</vt:lpwstr>
  </property>
</Properties>
</file>