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D007D" w:rsidRPr="00AD007D" w14:paraId="12E2E4CB" w14:textId="77777777">
        <w:trPr>
          <w:trHeight w:hRule="exact" w:val="418"/>
          <w:jc w:val="center"/>
        </w:trPr>
        <w:tc>
          <w:tcPr>
            <w:tcW w:w="8720" w:type="dxa"/>
            <w:gridSpan w:val="3"/>
          </w:tcPr>
          <w:p w14:paraId="6579F618" w14:textId="77777777" w:rsidR="00AD007D" w:rsidRPr="00AD007D" w:rsidRDefault="00AD007D" w:rsidP="00AD007D">
            <w:pPr>
              <w:pStyle w:val="a3"/>
              <w:tabs>
                <w:tab w:val="clear" w:pos="8306"/>
              </w:tabs>
              <w:jc w:val="center"/>
              <w:rPr>
                <w:rFonts w:ascii="Tahoma" w:hAnsi="Tahoma" w:cs="Tahoma"/>
                <w:b/>
                <w:bCs/>
                <w:color w:val="000080"/>
                <w:sz w:val="20"/>
                <w:szCs w:val="20"/>
                <w:rtl/>
              </w:rPr>
            </w:pPr>
            <w:bookmarkStart w:id="0" w:name="LastJudge"/>
            <w:r w:rsidRPr="00AD007D">
              <w:rPr>
                <w:rFonts w:ascii="Tahoma" w:hAnsi="Tahoma" w:cs="Tahoma"/>
                <w:b/>
                <w:bCs/>
                <w:color w:val="000080"/>
                <w:sz w:val="20"/>
                <w:szCs w:val="20"/>
                <w:rtl/>
              </w:rPr>
              <w:t>בית המשפט המחוזי בנצרת</w:t>
            </w:r>
          </w:p>
        </w:tc>
      </w:tr>
      <w:tr w:rsidR="00AD007D" w:rsidRPr="00AD007D" w14:paraId="0C6D4214" w14:textId="77777777">
        <w:trPr>
          <w:trHeight w:val="337"/>
          <w:jc w:val="center"/>
        </w:trPr>
        <w:tc>
          <w:tcPr>
            <w:tcW w:w="6396" w:type="dxa"/>
          </w:tcPr>
          <w:p w14:paraId="256FECB4" w14:textId="77777777" w:rsidR="00AD007D" w:rsidRPr="00AD007D" w:rsidRDefault="00AD007D" w:rsidP="00AD007D">
            <w:pPr>
              <w:spacing w:line="360" w:lineRule="auto"/>
              <w:rPr>
                <w:b/>
                <w:bCs/>
                <w:rtl/>
              </w:rPr>
            </w:pPr>
            <w:r w:rsidRPr="00AD007D">
              <w:rPr>
                <w:b/>
                <w:bCs/>
                <w:rtl/>
              </w:rPr>
              <w:t xml:space="preserve">ת"פ 15120-07-16 </w:t>
            </w:r>
          </w:p>
        </w:tc>
        <w:tc>
          <w:tcPr>
            <w:tcW w:w="236" w:type="dxa"/>
          </w:tcPr>
          <w:p w14:paraId="51D88EA1" w14:textId="77777777" w:rsidR="00AD007D" w:rsidRPr="00AD007D" w:rsidRDefault="00AD007D" w:rsidP="00AD007D">
            <w:pPr>
              <w:pStyle w:val="a3"/>
              <w:spacing w:line="360" w:lineRule="auto"/>
              <w:jc w:val="right"/>
              <w:rPr>
                <w:b/>
                <w:bCs/>
                <w:rtl/>
              </w:rPr>
            </w:pPr>
          </w:p>
        </w:tc>
        <w:tc>
          <w:tcPr>
            <w:tcW w:w="2088" w:type="dxa"/>
          </w:tcPr>
          <w:p w14:paraId="7BE49D23" w14:textId="77777777" w:rsidR="00AD007D" w:rsidRPr="00AD007D" w:rsidRDefault="00AD007D" w:rsidP="00AD007D">
            <w:pPr>
              <w:pStyle w:val="a3"/>
              <w:tabs>
                <w:tab w:val="clear" w:pos="4153"/>
              </w:tabs>
              <w:spacing w:line="360" w:lineRule="auto"/>
              <w:jc w:val="right"/>
              <w:rPr>
                <w:b/>
                <w:bCs/>
                <w:rtl/>
              </w:rPr>
            </w:pPr>
            <w:r w:rsidRPr="00AD007D">
              <w:rPr>
                <w:b/>
                <w:bCs/>
                <w:rtl/>
              </w:rPr>
              <w:t>21 נובמבר 2016</w:t>
            </w:r>
          </w:p>
        </w:tc>
      </w:tr>
    </w:tbl>
    <w:p w14:paraId="568C9E34" w14:textId="77777777" w:rsidR="00AD007D" w:rsidRPr="00AD007D" w:rsidRDefault="00AD007D" w:rsidP="00AD007D">
      <w:pPr>
        <w:pStyle w:val="a3"/>
        <w:spacing w:line="360" w:lineRule="auto"/>
        <w:jc w:val="center"/>
        <w:rPr>
          <w:rFonts w:ascii="Tahoma" w:hAnsi="Tahoma" w:cs="Tahoma"/>
          <w:b/>
          <w:bCs/>
          <w:color w:val="000080"/>
          <w:rtl/>
        </w:rPr>
      </w:pPr>
    </w:p>
    <w:p w14:paraId="6B9E1FC8" w14:textId="77777777" w:rsidR="00AD007D" w:rsidRPr="00AD007D" w:rsidRDefault="00AD007D" w:rsidP="009C193E">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AD007D" w:rsidRPr="00AD007D" w14:paraId="238D721A" w14:textId="77777777">
        <w:trPr>
          <w:gridAfter w:val="1"/>
          <w:wAfter w:w="56" w:type="dxa"/>
        </w:trPr>
        <w:tc>
          <w:tcPr>
            <w:tcW w:w="8718" w:type="dxa"/>
            <w:gridSpan w:val="2"/>
          </w:tcPr>
          <w:p w14:paraId="2C363544" w14:textId="77777777" w:rsidR="00AD007D" w:rsidRPr="00AD007D" w:rsidRDefault="00AD007D" w:rsidP="00AD007D">
            <w:pPr>
              <w:spacing w:line="360" w:lineRule="auto"/>
              <w:jc w:val="both"/>
              <w:rPr>
                <w:rFonts w:ascii="Times New Roman" w:hAnsi="Times New Roman"/>
                <w:b/>
                <w:bCs/>
                <w:rtl/>
              </w:rPr>
            </w:pPr>
            <w:r w:rsidRPr="00AD007D">
              <w:rPr>
                <w:rFonts w:ascii="Times New Roman" w:hAnsi="Times New Roman"/>
                <w:b/>
                <w:bCs/>
                <w:rtl/>
              </w:rPr>
              <w:t>כבוד השופטת הבכירה אסתר הלמן</w:t>
            </w:r>
            <w:r w:rsidRPr="00AD007D">
              <w:rPr>
                <w:rStyle w:val="TimesNewRomanTimesNewRoman"/>
                <w:rtl/>
              </w:rPr>
              <w:t xml:space="preserve"> </w:t>
            </w:r>
          </w:p>
          <w:p w14:paraId="36A6440D" w14:textId="77777777" w:rsidR="00AD007D" w:rsidRPr="00AD007D" w:rsidRDefault="00AD007D" w:rsidP="00AD007D">
            <w:pPr>
              <w:spacing w:line="360" w:lineRule="auto"/>
              <w:jc w:val="right"/>
              <w:rPr>
                <w:rFonts w:ascii="Times New Roman" w:hAnsi="Times New Roman"/>
                <w:b/>
                <w:bCs/>
                <w:rtl/>
              </w:rPr>
            </w:pPr>
          </w:p>
        </w:tc>
      </w:tr>
      <w:tr w:rsidR="00AD007D" w:rsidRPr="00AD007D" w14:paraId="7051D60B" w14:textId="77777777">
        <w:trPr>
          <w:cantSplit/>
          <w:trHeight w:val="724"/>
        </w:trPr>
        <w:tc>
          <w:tcPr>
            <w:tcW w:w="2880" w:type="dxa"/>
          </w:tcPr>
          <w:p w14:paraId="045F1EF3" w14:textId="77777777" w:rsidR="00AD007D" w:rsidRPr="00AD007D" w:rsidRDefault="00AD007D" w:rsidP="00AD007D">
            <w:pPr>
              <w:spacing w:line="360" w:lineRule="auto"/>
              <w:ind w:left="26"/>
              <w:rPr>
                <w:rFonts w:ascii="Times New Roman" w:hAnsi="Times New Roman"/>
                <w:b/>
                <w:bCs/>
                <w:rtl/>
              </w:rPr>
            </w:pPr>
            <w:bookmarkStart w:id="1" w:name="FirstAppellant"/>
            <w:r w:rsidRPr="00AD007D">
              <w:rPr>
                <w:rFonts w:ascii="Times New Roman" w:hAnsi="Times New Roman"/>
                <w:b/>
                <w:bCs/>
                <w:rtl/>
              </w:rPr>
              <w:t>המאשימה</w:t>
            </w:r>
          </w:p>
        </w:tc>
        <w:tc>
          <w:tcPr>
            <w:tcW w:w="5922" w:type="dxa"/>
            <w:gridSpan w:val="2"/>
          </w:tcPr>
          <w:p w14:paraId="5032F90A" w14:textId="77777777" w:rsidR="00AD007D" w:rsidRPr="00AD007D" w:rsidRDefault="00AD007D" w:rsidP="00AD007D">
            <w:pPr>
              <w:spacing w:line="360" w:lineRule="auto"/>
              <w:rPr>
                <w:rFonts w:ascii="Times New Roman" w:hAnsi="Times New Roman"/>
                <w:b/>
                <w:bCs/>
                <w:rtl/>
              </w:rPr>
            </w:pPr>
            <w:r w:rsidRPr="00AD007D">
              <w:rPr>
                <w:rFonts w:ascii="Times New Roman" w:hAnsi="Times New Roman"/>
                <w:b/>
                <w:bCs/>
                <w:rtl/>
              </w:rPr>
              <w:t>מדינת ישראל</w:t>
            </w:r>
          </w:p>
          <w:p w14:paraId="4E88C747" w14:textId="77777777" w:rsidR="00AD007D" w:rsidRPr="00AD007D" w:rsidRDefault="00AD007D" w:rsidP="00AD007D">
            <w:pPr>
              <w:spacing w:line="360" w:lineRule="auto"/>
              <w:jc w:val="right"/>
              <w:rPr>
                <w:rFonts w:ascii="Times New Roman" w:hAnsi="Times New Roman"/>
                <w:b/>
                <w:bCs/>
                <w:rtl/>
              </w:rPr>
            </w:pPr>
          </w:p>
        </w:tc>
      </w:tr>
      <w:bookmarkEnd w:id="1"/>
      <w:tr w:rsidR="00AD007D" w:rsidRPr="00AD007D" w14:paraId="3069AAEE" w14:textId="77777777">
        <w:tc>
          <w:tcPr>
            <w:tcW w:w="8802" w:type="dxa"/>
            <w:gridSpan w:val="3"/>
            <w:vAlign w:val="center"/>
          </w:tcPr>
          <w:p w14:paraId="0E8D4961" w14:textId="77777777" w:rsidR="00AD007D" w:rsidRPr="00AD007D" w:rsidRDefault="00AD007D" w:rsidP="00AD007D">
            <w:pPr>
              <w:spacing w:line="360" w:lineRule="auto"/>
              <w:jc w:val="center"/>
              <w:rPr>
                <w:rFonts w:ascii="Arial" w:hAnsi="Arial"/>
                <w:b/>
                <w:bCs/>
                <w:rtl/>
              </w:rPr>
            </w:pPr>
            <w:r w:rsidRPr="00AD007D">
              <w:rPr>
                <w:rFonts w:ascii="Arial" w:hAnsi="Arial"/>
                <w:b/>
                <w:bCs/>
                <w:rtl/>
              </w:rPr>
              <w:t>נגד</w:t>
            </w:r>
          </w:p>
          <w:p w14:paraId="5D44B892" w14:textId="77777777" w:rsidR="00AD007D" w:rsidRPr="00AD007D" w:rsidRDefault="00AD007D" w:rsidP="00AD007D">
            <w:pPr>
              <w:spacing w:line="360" w:lineRule="auto"/>
              <w:jc w:val="right"/>
              <w:rPr>
                <w:rFonts w:ascii="Arial" w:hAnsi="Arial"/>
                <w:b/>
                <w:bCs/>
                <w:rtl/>
              </w:rPr>
            </w:pPr>
          </w:p>
        </w:tc>
      </w:tr>
      <w:tr w:rsidR="00AD007D" w:rsidRPr="00AD007D" w14:paraId="751E1045" w14:textId="77777777">
        <w:tc>
          <w:tcPr>
            <w:tcW w:w="2880" w:type="dxa"/>
          </w:tcPr>
          <w:p w14:paraId="60CF49E5" w14:textId="77777777" w:rsidR="00AD007D" w:rsidRPr="00AD007D" w:rsidRDefault="00AD007D" w:rsidP="00AD007D">
            <w:pPr>
              <w:spacing w:line="360" w:lineRule="auto"/>
              <w:ind w:left="26"/>
              <w:rPr>
                <w:rFonts w:ascii="Times New Roman" w:hAnsi="Times New Roman"/>
                <w:b/>
                <w:bCs/>
                <w:rtl/>
              </w:rPr>
            </w:pPr>
            <w:r w:rsidRPr="00AD007D">
              <w:rPr>
                <w:rFonts w:ascii="Times New Roman" w:hAnsi="Times New Roman"/>
                <w:b/>
                <w:bCs/>
                <w:rtl/>
              </w:rPr>
              <w:t>הנאשמים</w:t>
            </w:r>
          </w:p>
        </w:tc>
        <w:tc>
          <w:tcPr>
            <w:tcW w:w="5922" w:type="dxa"/>
            <w:gridSpan w:val="2"/>
          </w:tcPr>
          <w:p w14:paraId="0B52C371" w14:textId="77777777" w:rsidR="00AD007D" w:rsidRPr="00AD007D" w:rsidRDefault="00AD007D" w:rsidP="00AD007D">
            <w:pPr>
              <w:spacing w:line="360" w:lineRule="auto"/>
              <w:rPr>
                <w:rFonts w:ascii="Times New Roman" w:hAnsi="Times New Roman"/>
                <w:b/>
                <w:bCs/>
                <w:rtl/>
              </w:rPr>
            </w:pPr>
            <w:r w:rsidRPr="00AD007D">
              <w:rPr>
                <w:rFonts w:ascii="Times New Roman" w:hAnsi="Times New Roman"/>
                <w:b/>
                <w:bCs/>
              </w:rPr>
              <w:t>.1</w:t>
            </w:r>
            <w:r w:rsidRPr="00AD007D">
              <w:rPr>
                <w:rFonts w:ascii="Times New Roman" w:hAnsi="Times New Roman" w:cs="Times New Roman"/>
                <w:rtl/>
              </w:rPr>
              <w:t xml:space="preserve"> </w:t>
            </w:r>
            <w:r w:rsidRPr="00AD007D">
              <w:rPr>
                <w:rFonts w:ascii="Times New Roman" w:hAnsi="Times New Roman"/>
                <w:b/>
                <w:bCs/>
                <w:rtl/>
              </w:rPr>
              <w:t xml:space="preserve">עימאד בן סלים סלימאן </w:t>
            </w:r>
          </w:p>
          <w:p w14:paraId="01207316" w14:textId="77777777" w:rsidR="00AD007D" w:rsidRPr="00AD007D" w:rsidRDefault="00AD007D" w:rsidP="002129DB">
            <w:pPr>
              <w:spacing w:line="360" w:lineRule="auto"/>
              <w:rPr>
                <w:rFonts w:ascii="Times New Roman" w:hAnsi="Times New Roman"/>
                <w:b/>
                <w:bCs/>
              </w:rPr>
            </w:pPr>
            <w:r w:rsidRPr="00AD007D">
              <w:rPr>
                <w:rFonts w:ascii="Times New Roman" w:hAnsi="Times New Roman"/>
                <w:b/>
                <w:bCs/>
              </w:rPr>
              <w:t>.2</w:t>
            </w:r>
            <w:r w:rsidRPr="00AD007D">
              <w:rPr>
                <w:rFonts w:ascii="Times New Roman" w:hAnsi="Times New Roman" w:cs="Times New Roman"/>
                <w:rtl/>
              </w:rPr>
              <w:t xml:space="preserve"> </w:t>
            </w:r>
            <w:r w:rsidR="002129DB">
              <w:rPr>
                <w:rFonts w:ascii="Times New Roman" w:hAnsi="Times New Roman" w:hint="cs"/>
                <w:b/>
                <w:bCs/>
                <w:rtl/>
              </w:rPr>
              <w:t>פלוני</w:t>
            </w:r>
            <w:r w:rsidRPr="00AD007D">
              <w:rPr>
                <w:rFonts w:ascii="Times New Roman" w:hAnsi="Times New Roman"/>
                <w:b/>
                <w:bCs/>
                <w:rtl/>
              </w:rPr>
              <w:t xml:space="preserve"> </w:t>
            </w:r>
          </w:p>
          <w:p w14:paraId="54EBCCD6" w14:textId="77777777" w:rsidR="00AD007D" w:rsidRPr="00AD007D" w:rsidRDefault="00AD007D" w:rsidP="00AD007D">
            <w:pPr>
              <w:spacing w:line="360" w:lineRule="auto"/>
              <w:rPr>
                <w:rFonts w:ascii="Times New Roman" w:hAnsi="Times New Roman"/>
                <w:b/>
                <w:bCs/>
                <w:rtl/>
              </w:rPr>
            </w:pPr>
            <w:r w:rsidRPr="00AD007D">
              <w:rPr>
                <w:rFonts w:ascii="Times New Roman" w:hAnsi="Times New Roman"/>
                <w:b/>
                <w:bCs/>
              </w:rPr>
              <w:t>.3</w:t>
            </w:r>
            <w:r w:rsidRPr="00AD007D">
              <w:rPr>
                <w:rFonts w:ascii="Times New Roman" w:hAnsi="Times New Roman" w:cs="Times New Roman"/>
                <w:rtl/>
              </w:rPr>
              <w:t xml:space="preserve"> </w:t>
            </w:r>
            <w:r w:rsidRPr="00AD007D">
              <w:rPr>
                <w:rFonts w:ascii="Times New Roman" w:hAnsi="Times New Roman"/>
                <w:b/>
                <w:bCs/>
                <w:rtl/>
              </w:rPr>
              <w:t xml:space="preserve">אליף בן באסם חשיבון </w:t>
            </w:r>
          </w:p>
        </w:tc>
      </w:tr>
    </w:tbl>
    <w:p w14:paraId="1D632D44" w14:textId="77777777" w:rsidR="00AE240F" w:rsidRPr="00AD007D" w:rsidRDefault="00AE240F" w:rsidP="009C193E">
      <w:pPr>
        <w:spacing w:line="360" w:lineRule="auto"/>
        <w:jc w:val="both"/>
        <w:rPr>
          <w:rtl/>
        </w:rPr>
      </w:pPr>
    </w:p>
    <w:p w14:paraId="00CC4979" w14:textId="77777777" w:rsidR="00AE240F" w:rsidRPr="00AD007D" w:rsidRDefault="00AE240F" w:rsidP="009C193E">
      <w:pPr>
        <w:spacing w:line="360" w:lineRule="auto"/>
        <w:jc w:val="both"/>
        <w:rPr>
          <w:b/>
          <w:bCs/>
          <w:rtl/>
        </w:rPr>
      </w:pPr>
      <w:r w:rsidRPr="00AD007D">
        <w:rPr>
          <w:b/>
          <w:bCs/>
          <w:rtl/>
        </w:rPr>
        <w:t xml:space="preserve">נוכחים: </w:t>
      </w:r>
      <w:r w:rsidRPr="00AD007D">
        <w:rPr>
          <w:b/>
          <w:bCs/>
          <w:rtl/>
        </w:rPr>
        <w:tab/>
      </w:r>
      <w:bookmarkStart w:id="2" w:name="FirstLawyer"/>
      <w:r w:rsidRPr="00AD007D">
        <w:rPr>
          <w:b/>
          <w:bCs/>
          <w:rtl/>
        </w:rPr>
        <w:t>בשם</w:t>
      </w:r>
      <w:bookmarkEnd w:id="2"/>
      <w:r w:rsidRPr="00AD007D">
        <w:rPr>
          <w:b/>
          <w:bCs/>
          <w:rtl/>
        </w:rPr>
        <w:t xml:space="preserve"> המאשימה עו"ד נטע פוניס. </w:t>
      </w:r>
    </w:p>
    <w:p w14:paraId="382B4A2D" w14:textId="77777777" w:rsidR="00AE240F" w:rsidRPr="00AD007D" w:rsidRDefault="00AE240F" w:rsidP="00F57054">
      <w:pPr>
        <w:spacing w:line="360" w:lineRule="auto"/>
        <w:jc w:val="both"/>
        <w:rPr>
          <w:b/>
          <w:bCs/>
          <w:rtl/>
        </w:rPr>
      </w:pPr>
      <w:r w:rsidRPr="00AD007D">
        <w:rPr>
          <w:b/>
          <w:bCs/>
          <w:rtl/>
        </w:rPr>
        <w:tab/>
      </w:r>
      <w:r w:rsidRPr="00AD007D">
        <w:rPr>
          <w:b/>
          <w:bCs/>
          <w:rtl/>
        </w:rPr>
        <w:tab/>
        <w:t xml:space="preserve">בשם הנאשם 2 עו"ד דן אסלנוב, ממשרד עו"ד כרמל. </w:t>
      </w:r>
    </w:p>
    <w:p w14:paraId="6FC9620F" w14:textId="77777777" w:rsidR="001C1FC0" w:rsidRDefault="00AE240F" w:rsidP="009C193E">
      <w:pPr>
        <w:spacing w:line="360" w:lineRule="auto"/>
        <w:jc w:val="both"/>
        <w:rPr>
          <w:rtl/>
        </w:rPr>
      </w:pPr>
      <w:r w:rsidRPr="00AD007D">
        <w:rPr>
          <w:b/>
          <w:bCs/>
          <w:rtl/>
        </w:rPr>
        <w:tab/>
      </w:r>
      <w:r w:rsidRPr="00AD007D">
        <w:rPr>
          <w:b/>
          <w:bCs/>
          <w:rtl/>
        </w:rPr>
        <w:tab/>
        <w:t xml:space="preserve">הנאשם 2 הובא על ידי הליווי. </w:t>
      </w:r>
      <w:bookmarkStart w:id="3" w:name="LawTable"/>
      <w:bookmarkEnd w:id="3"/>
    </w:p>
    <w:p w14:paraId="1BC3CA38" w14:textId="77777777" w:rsidR="001C1FC0" w:rsidRPr="001C1FC0" w:rsidRDefault="001C1FC0" w:rsidP="001C1FC0">
      <w:pPr>
        <w:spacing w:after="120" w:line="240" w:lineRule="exact"/>
        <w:ind w:left="283" w:hanging="283"/>
        <w:jc w:val="both"/>
        <w:rPr>
          <w:rFonts w:ascii="FrankRuehl" w:hAnsi="FrankRuehl" w:cs="FrankRuehl"/>
          <w:rtl/>
        </w:rPr>
      </w:pPr>
    </w:p>
    <w:p w14:paraId="4131880E" w14:textId="77777777" w:rsidR="001C1FC0" w:rsidRPr="001C1FC0" w:rsidRDefault="001C1FC0" w:rsidP="001C1FC0">
      <w:pPr>
        <w:spacing w:after="120" w:line="240" w:lineRule="exact"/>
        <w:ind w:left="283" w:hanging="283"/>
        <w:jc w:val="both"/>
        <w:rPr>
          <w:rFonts w:ascii="FrankRuehl" w:hAnsi="FrankRuehl" w:cs="FrankRuehl"/>
          <w:rtl/>
        </w:rPr>
      </w:pPr>
      <w:r w:rsidRPr="001C1FC0">
        <w:rPr>
          <w:rFonts w:ascii="FrankRuehl" w:hAnsi="FrankRuehl" w:cs="FrankRuehl"/>
          <w:rtl/>
        </w:rPr>
        <w:t xml:space="preserve">חקיקה שאוזכרה: </w:t>
      </w:r>
    </w:p>
    <w:p w14:paraId="243D6664" w14:textId="77777777" w:rsidR="001C1FC0" w:rsidRPr="001C1FC0" w:rsidRDefault="001C1FC0" w:rsidP="001C1FC0">
      <w:pPr>
        <w:spacing w:after="120" w:line="240" w:lineRule="exact"/>
        <w:ind w:left="283" w:hanging="283"/>
        <w:jc w:val="both"/>
        <w:rPr>
          <w:rFonts w:ascii="FrankRuehl" w:hAnsi="FrankRuehl" w:cs="FrankRuehl"/>
          <w:rtl/>
        </w:rPr>
      </w:pPr>
      <w:hyperlink r:id="rId8" w:history="1">
        <w:r w:rsidRPr="001C1FC0">
          <w:rPr>
            <w:rFonts w:ascii="FrankRuehl" w:hAnsi="FrankRuehl" w:cs="FrankRuehl"/>
            <w:color w:val="0000FF"/>
            <w:u w:val="single"/>
            <w:rtl/>
          </w:rPr>
          <w:t>חוק העונשין, תשל"ז-1977</w:t>
        </w:r>
      </w:hyperlink>
      <w:r w:rsidRPr="001C1FC0">
        <w:rPr>
          <w:rFonts w:ascii="FrankRuehl" w:hAnsi="FrankRuehl" w:cs="FrankRuehl"/>
          <w:rtl/>
        </w:rPr>
        <w:t xml:space="preserve">: סע'  </w:t>
      </w:r>
      <w:hyperlink r:id="rId9" w:history="1">
        <w:r w:rsidRPr="001C1FC0">
          <w:rPr>
            <w:rFonts w:ascii="FrankRuehl" w:hAnsi="FrankRuehl" w:cs="FrankRuehl"/>
            <w:color w:val="0000FF"/>
            <w:u w:val="single"/>
            <w:rtl/>
          </w:rPr>
          <w:t>25</w:t>
        </w:r>
      </w:hyperlink>
      <w:r w:rsidRPr="001C1FC0">
        <w:rPr>
          <w:rFonts w:ascii="FrankRuehl" w:hAnsi="FrankRuehl" w:cs="FrankRuehl"/>
          <w:rtl/>
        </w:rPr>
        <w:t xml:space="preserve">, </w:t>
      </w:r>
      <w:hyperlink r:id="rId10" w:history="1">
        <w:r w:rsidRPr="001C1FC0">
          <w:rPr>
            <w:rFonts w:ascii="FrankRuehl" w:hAnsi="FrankRuehl" w:cs="FrankRuehl"/>
            <w:color w:val="0000FF"/>
            <w:u w:val="single"/>
            <w:rtl/>
          </w:rPr>
          <w:t>40ב'</w:t>
        </w:r>
      </w:hyperlink>
      <w:r w:rsidRPr="001C1FC0">
        <w:rPr>
          <w:rFonts w:ascii="FrankRuehl" w:hAnsi="FrankRuehl" w:cs="FrankRuehl"/>
          <w:rtl/>
        </w:rPr>
        <w:t xml:space="preserve">, </w:t>
      </w:r>
      <w:hyperlink r:id="rId11" w:history="1">
        <w:r w:rsidRPr="001C1FC0">
          <w:rPr>
            <w:rFonts w:ascii="FrankRuehl" w:hAnsi="FrankRuehl" w:cs="FrankRuehl"/>
            <w:color w:val="0000FF"/>
            <w:u w:val="single"/>
            <w:rtl/>
          </w:rPr>
          <w:t>40ג'</w:t>
        </w:r>
      </w:hyperlink>
      <w:r w:rsidRPr="001C1FC0">
        <w:rPr>
          <w:rFonts w:ascii="FrankRuehl" w:hAnsi="FrankRuehl" w:cs="FrankRuehl"/>
          <w:rtl/>
        </w:rPr>
        <w:t xml:space="preserve">, </w:t>
      </w:r>
      <w:hyperlink r:id="rId12" w:history="1">
        <w:r w:rsidRPr="001C1FC0">
          <w:rPr>
            <w:rFonts w:ascii="FrankRuehl" w:hAnsi="FrankRuehl" w:cs="FrankRuehl"/>
            <w:color w:val="0000FF"/>
            <w:u w:val="single"/>
            <w:rtl/>
          </w:rPr>
          <w:t>40ד'</w:t>
        </w:r>
      </w:hyperlink>
      <w:r w:rsidRPr="001C1FC0">
        <w:rPr>
          <w:rFonts w:ascii="FrankRuehl" w:hAnsi="FrankRuehl" w:cs="FrankRuehl"/>
          <w:rtl/>
        </w:rPr>
        <w:t xml:space="preserve">, </w:t>
      </w:r>
      <w:hyperlink r:id="rId13" w:history="1">
        <w:r w:rsidRPr="001C1FC0">
          <w:rPr>
            <w:rFonts w:ascii="FrankRuehl" w:hAnsi="FrankRuehl" w:cs="FrankRuehl"/>
            <w:color w:val="0000FF"/>
            <w:u w:val="single"/>
            <w:rtl/>
          </w:rPr>
          <w:t>40ה'</w:t>
        </w:r>
      </w:hyperlink>
      <w:r w:rsidRPr="001C1FC0">
        <w:rPr>
          <w:rFonts w:ascii="FrankRuehl" w:hAnsi="FrankRuehl" w:cs="FrankRuehl"/>
          <w:rtl/>
        </w:rPr>
        <w:t xml:space="preserve">, </w:t>
      </w:r>
      <w:hyperlink r:id="rId14" w:history="1">
        <w:r w:rsidRPr="001C1FC0">
          <w:rPr>
            <w:rFonts w:ascii="FrankRuehl" w:hAnsi="FrankRuehl" w:cs="FrankRuehl"/>
            <w:color w:val="0000FF"/>
            <w:u w:val="single"/>
            <w:rtl/>
          </w:rPr>
          <w:t>40ט'</w:t>
        </w:r>
      </w:hyperlink>
      <w:r w:rsidRPr="001C1FC0">
        <w:rPr>
          <w:rFonts w:ascii="FrankRuehl" w:hAnsi="FrankRuehl" w:cs="FrankRuehl"/>
          <w:rtl/>
        </w:rPr>
        <w:t xml:space="preserve">, </w:t>
      </w:r>
      <w:hyperlink r:id="rId15" w:history="1">
        <w:r w:rsidRPr="001C1FC0">
          <w:rPr>
            <w:rFonts w:ascii="FrankRuehl" w:hAnsi="FrankRuehl" w:cs="FrankRuehl"/>
            <w:color w:val="0000FF"/>
            <w:u w:val="single"/>
            <w:rtl/>
          </w:rPr>
          <w:t>144(א)</w:t>
        </w:r>
      </w:hyperlink>
      <w:r w:rsidRPr="001C1FC0">
        <w:rPr>
          <w:rFonts w:ascii="FrankRuehl" w:hAnsi="FrankRuehl" w:cs="FrankRuehl"/>
          <w:rtl/>
        </w:rPr>
        <w:t xml:space="preserve">, </w:t>
      </w:r>
      <w:hyperlink r:id="rId16" w:history="1">
        <w:r w:rsidRPr="001C1FC0">
          <w:rPr>
            <w:rFonts w:ascii="FrankRuehl" w:hAnsi="FrankRuehl" w:cs="FrankRuehl"/>
            <w:color w:val="0000FF"/>
            <w:u w:val="single"/>
            <w:rtl/>
          </w:rPr>
          <w:t>40יא'</w:t>
        </w:r>
      </w:hyperlink>
      <w:r w:rsidRPr="001C1FC0">
        <w:rPr>
          <w:rFonts w:ascii="FrankRuehl" w:hAnsi="FrankRuehl" w:cs="FrankRuehl"/>
          <w:rtl/>
        </w:rPr>
        <w:t xml:space="preserve">, </w:t>
      </w:r>
      <w:hyperlink r:id="rId17" w:history="1">
        <w:r w:rsidRPr="001C1FC0">
          <w:rPr>
            <w:rFonts w:ascii="FrankRuehl" w:hAnsi="FrankRuehl" w:cs="FrankRuehl"/>
            <w:color w:val="0000FF"/>
            <w:u w:val="single"/>
            <w:rtl/>
          </w:rPr>
          <w:t>40יב'</w:t>
        </w:r>
      </w:hyperlink>
      <w:r w:rsidRPr="001C1FC0">
        <w:rPr>
          <w:rFonts w:ascii="FrankRuehl" w:hAnsi="FrankRuehl" w:cs="FrankRuehl"/>
          <w:rtl/>
        </w:rPr>
        <w:t xml:space="preserve">, </w:t>
      </w:r>
      <w:hyperlink r:id="rId18" w:history="1">
        <w:r w:rsidRPr="001C1FC0">
          <w:rPr>
            <w:rFonts w:ascii="FrankRuehl" w:hAnsi="FrankRuehl" w:cs="FrankRuehl"/>
            <w:color w:val="0000FF"/>
            <w:u w:val="single"/>
            <w:rtl/>
          </w:rPr>
          <w:t>40יג</w:t>
        </w:r>
      </w:hyperlink>
      <w:r w:rsidRPr="001C1FC0">
        <w:rPr>
          <w:rFonts w:ascii="FrankRuehl" w:hAnsi="FrankRuehl" w:cs="FrankRuehl"/>
          <w:rtl/>
        </w:rPr>
        <w:t xml:space="preserve">, </w:t>
      </w:r>
      <w:hyperlink r:id="rId19" w:history="1">
        <w:r w:rsidRPr="001C1FC0">
          <w:rPr>
            <w:rFonts w:ascii="FrankRuehl" w:hAnsi="FrankRuehl" w:cs="FrankRuehl"/>
            <w:color w:val="0000FF"/>
            <w:u w:val="single"/>
            <w:rtl/>
          </w:rPr>
          <w:t>499(א)(1)</w:t>
        </w:r>
      </w:hyperlink>
    </w:p>
    <w:p w14:paraId="628DD3FB" w14:textId="77777777" w:rsidR="001C1FC0" w:rsidRPr="001C1FC0" w:rsidRDefault="001C1FC0" w:rsidP="001C1FC0">
      <w:pPr>
        <w:spacing w:after="120" w:line="240" w:lineRule="exact"/>
        <w:ind w:left="283" w:hanging="283"/>
        <w:jc w:val="both"/>
        <w:rPr>
          <w:rFonts w:ascii="FrankRuehl" w:hAnsi="FrankRuehl" w:cs="FrankRuehl"/>
          <w:rtl/>
        </w:rPr>
      </w:pPr>
    </w:p>
    <w:p w14:paraId="760A3339" w14:textId="77777777" w:rsidR="001C1FC0" w:rsidRPr="001C1FC0" w:rsidRDefault="001C1FC0" w:rsidP="009C193E">
      <w:pPr>
        <w:spacing w:line="360" w:lineRule="auto"/>
        <w:jc w:val="both"/>
        <w:rPr>
          <w:rtl/>
        </w:rPr>
      </w:pPr>
      <w:bookmarkStart w:id="4" w:name="LawTable_End"/>
      <w:bookmarkEnd w:id="4"/>
    </w:p>
    <w:p w14:paraId="005C1942" w14:textId="77777777" w:rsidR="001C1FC0" w:rsidRPr="001C1FC0" w:rsidRDefault="001C1FC0" w:rsidP="009C193E">
      <w:pPr>
        <w:spacing w:line="360" w:lineRule="auto"/>
        <w:jc w:val="both"/>
        <w:rPr>
          <w:b/>
          <w:bCs/>
          <w:rtl/>
        </w:rPr>
      </w:pPr>
    </w:p>
    <w:p w14:paraId="68419CB7" w14:textId="77777777" w:rsidR="00AE240F" w:rsidRPr="001C1FC0" w:rsidRDefault="00AE240F" w:rsidP="009C193E">
      <w:pPr>
        <w:spacing w:line="360" w:lineRule="auto"/>
        <w:jc w:val="both"/>
        <w:rPr>
          <w:b/>
          <w:bCs/>
          <w:rtl/>
        </w:rPr>
      </w:pPr>
    </w:p>
    <w:p w14:paraId="38260AF9" w14:textId="77777777" w:rsidR="00AD007D" w:rsidRPr="00AD007D" w:rsidRDefault="00AD007D" w:rsidP="00AD007D">
      <w:pPr>
        <w:spacing w:line="360" w:lineRule="auto"/>
        <w:jc w:val="center"/>
        <w:rPr>
          <w:rFonts w:ascii="Arial" w:hAnsi="Arial"/>
          <w:b/>
          <w:bCs/>
          <w:sz w:val="28"/>
          <w:szCs w:val="28"/>
          <w:u w:val="single"/>
          <w:rtl/>
        </w:rPr>
      </w:pPr>
      <w:bookmarkStart w:id="5" w:name="PsakDin"/>
      <w:bookmarkEnd w:id="0"/>
      <w:r w:rsidRPr="00AD007D">
        <w:rPr>
          <w:rFonts w:ascii="Arial" w:hAnsi="Arial"/>
          <w:b/>
          <w:bCs/>
          <w:sz w:val="28"/>
          <w:szCs w:val="28"/>
          <w:u w:val="single"/>
          <w:rtl/>
        </w:rPr>
        <w:t>גזר דין</w:t>
      </w:r>
    </w:p>
    <w:bookmarkEnd w:id="5"/>
    <w:p w14:paraId="267FC94D" w14:textId="77777777" w:rsidR="00AE240F" w:rsidRPr="007B27DC" w:rsidRDefault="00AE240F">
      <w:pPr>
        <w:spacing w:line="360" w:lineRule="auto"/>
        <w:jc w:val="center"/>
        <w:rPr>
          <w:rFonts w:ascii="Arial" w:hAnsi="Arial"/>
          <w:b/>
          <w:bCs/>
          <w:rtl/>
        </w:rPr>
      </w:pPr>
      <w:r w:rsidRPr="007B27DC">
        <w:rPr>
          <w:rFonts w:ascii="Arial" w:hAnsi="Arial"/>
          <w:b/>
          <w:bCs/>
          <w:rtl/>
        </w:rPr>
        <w:t>ביחס לנאשם מס' 2</w:t>
      </w:r>
    </w:p>
    <w:p w14:paraId="0F5A5675" w14:textId="77777777" w:rsidR="00AE240F" w:rsidRDefault="00AE240F" w:rsidP="00964972">
      <w:pPr>
        <w:spacing w:line="360" w:lineRule="auto"/>
        <w:jc w:val="right"/>
        <w:rPr>
          <w:rtl/>
        </w:rPr>
      </w:pPr>
    </w:p>
    <w:p w14:paraId="17B384EC" w14:textId="77777777" w:rsidR="00AE240F" w:rsidRDefault="00AE240F" w:rsidP="00012E6A">
      <w:pPr>
        <w:spacing w:line="360" w:lineRule="auto"/>
        <w:ind w:left="720" w:hanging="720"/>
        <w:jc w:val="both"/>
      </w:pPr>
      <w:r>
        <w:rPr>
          <w:b/>
          <w:bCs/>
          <w:rtl/>
        </w:rPr>
        <w:t>1.</w:t>
      </w:r>
      <w:r>
        <w:rPr>
          <w:rtl/>
        </w:rPr>
        <w:tab/>
      </w:r>
      <w:bookmarkStart w:id="6" w:name="ABSTRACT_START"/>
      <w:bookmarkEnd w:id="6"/>
      <w:r>
        <w:rPr>
          <w:rtl/>
        </w:rPr>
        <w:t>הנאשם 2 (להלן: "</w:t>
      </w:r>
      <w:r>
        <w:rPr>
          <w:b/>
          <w:bCs/>
          <w:rtl/>
        </w:rPr>
        <w:t>הנאשם</w:t>
      </w:r>
      <w:r>
        <w:rPr>
          <w:rtl/>
        </w:rPr>
        <w:t xml:space="preserve">"), הורשע, על פי הודאתו ובמסגרת הסדר טיעון, בעבירות שיוחסו לו בכתב אישום מתוקן, שעניינן קשירת קשר לביצוע פשע - עבירה לפי </w:t>
      </w:r>
      <w:hyperlink r:id="rId20" w:history="1">
        <w:r w:rsidR="00EA587E" w:rsidRPr="00EA587E">
          <w:rPr>
            <w:color w:val="0000FF"/>
            <w:u w:val="single"/>
            <w:rtl/>
          </w:rPr>
          <w:t>סעיף 499(א)(1)</w:t>
        </w:r>
      </w:hyperlink>
      <w:r>
        <w:rPr>
          <w:rtl/>
        </w:rPr>
        <w:t xml:space="preserve"> ל</w:t>
      </w:r>
      <w:hyperlink r:id="rId21" w:history="1">
        <w:r w:rsidR="00AD007D" w:rsidRPr="00AD007D">
          <w:rPr>
            <w:color w:val="0000FF"/>
            <w:u w:val="single"/>
            <w:rtl/>
          </w:rPr>
          <w:t>חוק העונשין</w:t>
        </w:r>
      </w:hyperlink>
      <w:r>
        <w:rPr>
          <w:rtl/>
        </w:rPr>
        <w:t xml:space="preserve">, התשל"ז - 1977 </w:t>
      </w:r>
      <w:r>
        <w:rPr>
          <w:b/>
          <w:bCs/>
          <w:rtl/>
        </w:rPr>
        <w:t>(להלן: "חוק העונשין")</w:t>
      </w:r>
      <w:r>
        <w:rPr>
          <w:rtl/>
        </w:rPr>
        <w:t xml:space="preserve">, </w:t>
      </w:r>
      <w:bookmarkStart w:id="7" w:name="_GoBack"/>
      <w:r>
        <w:rPr>
          <w:rtl/>
        </w:rPr>
        <w:t xml:space="preserve">וניסיון לביצוע עבירות בנשק (החזקה ורכישה) </w:t>
      </w:r>
      <w:bookmarkEnd w:id="7"/>
      <w:r>
        <w:rPr>
          <w:rtl/>
        </w:rPr>
        <w:t xml:space="preserve">- עבירה לפי </w:t>
      </w:r>
      <w:hyperlink r:id="rId22" w:history="1">
        <w:r w:rsidR="00EA587E" w:rsidRPr="00EA587E">
          <w:rPr>
            <w:color w:val="0000FF"/>
            <w:u w:val="single"/>
            <w:rtl/>
          </w:rPr>
          <w:t>סעיף 144(א)</w:t>
        </w:r>
      </w:hyperlink>
      <w:r>
        <w:rPr>
          <w:rtl/>
        </w:rPr>
        <w:t xml:space="preserve"> לחוק העונשין בצירוף </w:t>
      </w:r>
      <w:hyperlink r:id="rId23" w:history="1">
        <w:r w:rsidR="00EA587E" w:rsidRPr="00EA587E">
          <w:rPr>
            <w:color w:val="0000FF"/>
            <w:u w:val="single"/>
            <w:rtl/>
          </w:rPr>
          <w:t>לסעיף 25</w:t>
        </w:r>
      </w:hyperlink>
      <w:r>
        <w:rPr>
          <w:rtl/>
        </w:rPr>
        <w:t xml:space="preserve"> לחוק הנ"ל.</w:t>
      </w:r>
    </w:p>
    <w:p w14:paraId="5CFF10F9" w14:textId="77777777" w:rsidR="00AE240F" w:rsidRDefault="00AE240F" w:rsidP="00012E6A">
      <w:pPr>
        <w:spacing w:line="360" w:lineRule="auto"/>
        <w:ind w:hanging="720"/>
        <w:jc w:val="both"/>
        <w:rPr>
          <w:rtl/>
        </w:rPr>
      </w:pPr>
      <w:bookmarkStart w:id="8" w:name="ABSTRACT_END"/>
      <w:bookmarkEnd w:id="8"/>
    </w:p>
    <w:p w14:paraId="403B05FC" w14:textId="77777777" w:rsidR="00AE240F" w:rsidRDefault="00AE240F" w:rsidP="00012E6A">
      <w:pPr>
        <w:spacing w:line="360" w:lineRule="auto"/>
        <w:ind w:left="720" w:hanging="720"/>
        <w:jc w:val="both"/>
        <w:rPr>
          <w:rtl/>
        </w:rPr>
      </w:pPr>
      <w:r>
        <w:rPr>
          <w:b/>
          <w:bCs/>
          <w:rtl/>
        </w:rPr>
        <w:t>2.</w:t>
      </w:r>
      <w:r>
        <w:rPr>
          <w:rtl/>
        </w:rPr>
        <w:tab/>
        <w:t>כתב  האישום הוגש כנגד הנאשם ושניים נוספים. על פי עובדות כתב האישום המתוקן ביחס לנאשם (</w:t>
      </w:r>
      <w:r>
        <w:rPr>
          <w:b/>
          <w:bCs/>
          <w:rtl/>
        </w:rPr>
        <w:t>כא/1</w:t>
      </w:r>
      <w:r>
        <w:rPr>
          <w:rtl/>
        </w:rPr>
        <w:t>), במועד שאינו ידוע למאשימה, מספר ימים קודם ליום 21/6/16, הצטייד הנאשם 3 (</w:t>
      </w:r>
      <w:r>
        <w:rPr>
          <w:b/>
          <w:bCs/>
          <w:rtl/>
        </w:rPr>
        <w:t>להלן: "חשיבון"</w:t>
      </w:r>
      <w:r>
        <w:rPr>
          <w:rtl/>
        </w:rPr>
        <w:t xml:space="preserve">), באקדח מסוג "וולטר" </w:t>
      </w:r>
      <w:r>
        <w:rPr>
          <w:b/>
          <w:bCs/>
          <w:rtl/>
        </w:rPr>
        <w:t>(להלן: "הנשק")</w:t>
      </w:r>
      <w:r>
        <w:rPr>
          <w:rtl/>
        </w:rPr>
        <w:t xml:space="preserve">. מספר ימים קודם </w:t>
      </w:r>
      <w:r>
        <w:rPr>
          <w:rtl/>
        </w:rPr>
        <w:lastRenderedPageBreak/>
        <w:t xml:space="preserve">לאותו היום קשר הנאשם 1 </w:t>
      </w:r>
      <w:r>
        <w:rPr>
          <w:b/>
          <w:bCs/>
          <w:rtl/>
        </w:rPr>
        <w:t>(להלן: "סלימאן")</w:t>
      </w:r>
      <w:r>
        <w:rPr>
          <w:rtl/>
        </w:rPr>
        <w:t>, קשר עם חשיבון, לפיו הוא יקבל ממנו את הנשק לצורך העברתו לאחר, ועם הנאשם  קשר קשר לפיו הוא יעביר לו את הנשק. בהתאם לקשר, הגיע חשיבון ביום 21/6/16, סמוך לשעה 20:50, ברכבו אל סמוך לבית אחותו של סלימאן שבנצרת, והעביר לו את הנשק. בהתאם לקשר ובסמוך לאחר מכן, תיאמו סלימאן והנאשם, שסלימאן יגיע לביתו של הנאשם וימסור לו את  הנשק או למי מטעמו.  סמוך לשעה 22:20 נהג סלימאן  ברכבו אל ביתו של הנאשם במטרה להעביר לו את הנשק בהתאם לתיאום ביניהם, אולם נעצר על ידי כוחות המשטרה סמוך לבית כשהנשק ברשותו.</w:t>
      </w:r>
    </w:p>
    <w:p w14:paraId="3361731C" w14:textId="77777777" w:rsidR="00AE240F" w:rsidRDefault="00AE240F" w:rsidP="00012E6A">
      <w:pPr>
        <w:spacing w:line="360" w:lineRule="auto"/>
        <w:ind w:hanging="720"/>
        <w:jc w:val="both"/>
        <w:rPr>
          <w:rtl/>
        </w:rPr>
      </w:pPr>
    </w:p>
    <w:p w14:paraId="3C89B57D" w14:textId="77777777" w:rsidR="00AE240F" w:rsidRDefault="00AE240F" w:rsidP="00012E6A">
      <w:pPr>
        <w:spacing w:line="360" w:lineRule="auto"/>
        <w:jc w:val="both"/>
        <w:rPr>
          <w:rtl/>
        </w:rPr>
      </w:pPr>
      <w:r>
        <w:rPr>
          <w:b/>
          <w:bCs/>
          <w:rtl/>
        </w:rPr>
        <w:t>3.</w:t>
      </w:r>
      <w:r>
        <w:rPr>
          <w:rtl/>
        </w:rPr>
        <w:tab/>
        <w:t xml:space="preserve">הסדר הטיעון, כלל תיקון כתב האישום, ולא כלל הסכמה לגבי העונש. </w:t>
      </w:r>
    </w:p>
    <w:p w14:paraId="0A045EB8" w14:textId="77777777" w:rsidR="00AE240F" w:rsidRDefault="00AE240F" w:rsidP="00012E6A">
      <w:pPr>
        <w:spacing w:line="360" w:lineRule="auto"/>
        <w:ind w:hanging="720"/>
        <w:jc w:val="both"/>
        <w:rPr>
          <w:rtl/>
        </w:rPr>
      </w:pPr>
    </w:p>
    <w:p w14:paraId="64B2784E" w14:textId="77777777" w:rsidR="00AE240F" w:rsidRDefault="00AE240F" w:rsidP="00012E6A">
      <w:pPr>
        <w:spacing w:line="360" w:lineRule="auto"/>
        <w:jc w:val="both"/>
        <w:rPr>
          <w:rFonts w:ascii="Calibri" w:hAnsi="Calibri" w:cs="Arial"/>
          <w:rtl/>
        </w:rPr>
      </w:pPr>
      <w:r>
        <w:rPr>
          <w:b/>
          <w:bCs/>
          <w:u w:val="single"/>
          <w:rtl/>
        </w:rPr>
        <w:t>הראיות לעונש</w:t>
      </w:r>
    </w:p>
    <w:p w14:paraId="2DBE42C5" w14:textId="77777777" w:rsidR="00AE240F" w:rsidRDefault="00AE240F" w:rsidP="00012E6A">
      <w:pPr>
        <w:spacing w:line="360" w:lineRule="auto"/>
        <w:ind w:hanging="720"/>
        <w:jc w:val="both"/>
        <w:rPr>
          <w:b/>
          <w:bCs/>
        </w:rPr>
      </w:pPr>
    </w:p>
    <w:p w14:paraId="771451C2" w14:textId="77777777" w:rsidR="00AE240F" w:rsidRDefault="00AE240F" w:rsidP="00012E6A">
      <w:pPr>
        <w:spacing w:line="360" w:lineRule="auto"/>
        <w:ind w:left="720" w:hanging="720"/>
        <w:jc w:val="both"/>
        <w:rPr>
          <w:rtl/>
        </w:rPr>
      </w:pPr>
      <w:r>
        <w:rPr>
          <w:b/>
          <w:bCs/>
          <w:rtl/>
        </w:rPr>
        <w:t>4.</w:t>
      </w:r>
      <w:r>
        <w:rPr>
          <w:b/>
          <w:bCs/>
          <w:rtl/>
        </w:rPr>
        <w:tab/>
      </w:r>
      <w:r>
        <w:rPr>
          <w:rtl/>
        </w:rPr>
        <w:t xml:space="preserve">המאשימה הגישה כראיות לעונש מטעמה, עותק מכתב האישום והכרעת דין בתיק </w:t>
      </w:r>
      <w:hyperlink r:id="rId24" w:history="1">
        <w:r w:rsidR="00AD007D" w:rsidRPr="00AD007D">
          <w:rPr>
            <w:color w:val="0000FF"/>
            <w:u w:val="single"/>
            <w:rtl/>
          </w:rPr>
          <w:t>ת"פ 21106-09-15</w:t>
        </w:r>
      </w:hyperlink>
      <w:r>
        <w:rPr>
          <w:rtl/>
        </w:rPr>
        <w:t>,(</w:t>
      </w:r>
      <w:r>
        <w:rPr>
          <w:b/>
          <w:bCs/>
          <w:rtl/>
        </w:rPr>
        <w:t>סומן עת/1</w:t>
      </w:r>
      <w:r>
        <w:rPr>
          <w:rtl/>
        </w:rPr>
        <w:t xml:space="preserve">), בו הורשע הנאשם יחד עם אחר, בעבירות של פגיעה בפרטיות, אחזקת סכין שלא כדין, תקיפת בת זוג ותקיפת בת זוג הגורמת חבלה של ממש.  </w:t>
      </w:r>
    </w:p>
    <w:p w14:paraId="619189A5" w14:textId="77777777" w:rsidR="00AE240F" w:rsidRDefault="00AE240F" w:rsidP="00012E6A">
      <w:pPr>
        <w:spacing w:line="360" w:lineRule="auto"/>
        <w:ind w:left="720"/>
        <w:jc w:val="both"/>
        <w:rPr>
          <w:rtl/>
        </w:rPr>
      </w:pPr>
      <w:r>
        <w:rPr>
          <w:rtl/>
        </w:rPr>
        <w:t xml:space="preserve">המאשימה ציינה, כי כיוון שטרם נגזר דינו באותו הליך, הרי שהרשעה זו אינה מצוינת ברישום הפלילי של הנאשם. </w:t>
      </w:r>
    </w:p>
    <w:p w14:paraId="275A56AF" w14:textId="77777777" w:rsidR="00AE240F" w:rsidRDefault="00AE240F" w:rsidP="00012E6A">
      <w:pPr>
        <w:spacing w:line="360" w:lineRule="auto"/>
        <w:ind w:hanging="720"/>
        <w:jc w:val="both"/>
        <w:rPr>
          <w:b/>
          <w:bCs/>
          <w:rtl/>
        </w:rPr>
      </w:pPr>
    </w:p>
    <w:p w14:paraId="4FBC45F3" w14:textId="77777777" w:rsidR="00AE240F" w:rsidRDefault="00AE240F" w:rsidP="00012E6A">
      <w:pPr>
        <w:spacing w:line="360" w:lineRule="auto"/>
        <w:ind w:left="720" w:hanging="720"/>
        <w:jc w:val="both"/>
        <w:rPr>
          <w:rtl/>
        </w:rPr>
      </w:pPr>
      <w:r>
        <w:rPr>
          <w:b/>
          <w:bCs/>
          <w:rtl/>
        </w:rPr>
        <w:t>5.</w:t>
      </w:r>
      <w:r>
        <w:rPr>
          <w:b/>
          <w:bCs/>
          <w:rtl/>
        </w:rPr>
        <w:tab/>
        <w:t xml:space="preserve">כראיות לעונש מטעם ההגנה </w:t>
      </w:r>
      <w:r>
        <w:rPr>
          <w:rtl/>
        </w:rPr>
        <w:t xml:space="preserve"> הוגשו מכתב מאת לשכת הרווחה של המועצה המקומית כפר כנא והעתק תעודת השחרור של הנאשם מצה"ל  (</w:t>
      </w:r>
      <w:r>
        <w:rPr>
          <w:b/>
          <w:bCs/>
          <w:rtl/>
        </w:rPr>
        <w:t>סומנו ענ/1</w:t>
      </w:r>
      <w:r>
        <w:rPr>
          <w:rtl/>
        </w:rPr>
        <w:t>).</w:t>
      </w:r>
      <w:r>
        <w:rPr>
          <w:b/>
          <w:bCs/>
          <w:rtl/>
        </w:rPr>
        <w:t xml:space="preserve"> </w:t>
      </w:r>
      <w:r>
        <w:rPr>
          <w:rtl/>
        </w:rPr>
        <w:t xml:space="preserve">במכתב שהוגש מטעם לשכת הרווחה, צוין, כי הנאשם מטופל במחלקת הרווחה מאז חודש 08/2015, וזאת על רקע שיבוש במהלך סדרי הראייה של ילדיו מגרושתו. המכתב מפרט את מצבו המשפחתי של הנאשם: נשוי בשנית לאישה תושבת השטחים, ומנישואין אלה יש לו בת. מנישואיו הראשונים נולדו לנאשם שני ילדים, המצויים במשמורת האם, ונפגשים עמו יומיים בשבוע, בהתאם להחלטת בית המשפט. עוד מפרטת לשכת הרווחה, את קשיי הפרנסה של המשפחה, בפרט לאחר מעצרו של הנאשם. עד המעצר השתכר הנאשם בקושי רב, מעבודתו כשכיר בשיפוצים. משכורתו הספיקה בקושי לצרכי המשפחה הבסיסיים, והוא נדרש לשלם גם דמי מזונות לילדיו מנישואיו הראשונים.  </w:t>
      </w:r>
    </w:p>
    <w:p w14:paraId="04D454F8" w14:textId="77777777" w:rsidR="00AE240F" w:rsidRDefault="00AE240F" w:rsidP="00012E6A">
      <w:pPr>
        <w:spacing w:line="360" w:lineRule="auto"/>
        <w:ind w:hanging="720"/>
        <w:jc w:val="both"/>
        <w:rPr>
          <w:rtl/>
        </w:rPr>
      </w:pPr>
    </w:p>
    <w:p w14:paraId="60CC71D4" w14:textId="77777777" w:rsidR="00AE240F" w:rsidRDefault="00AE240F" w:rsidP="00012E6A">
      <w:pPr>
        <w:spacing w:line="360" w:lineRule="auto"/>
        <w:jc w:val="both"/>
        <w:rPr>
          <w:rFonts w:ascii="Calibri" w:hAnsi="Calibri" w:cs="Arial"/>
          <w:rtl/>
        </w:rPr>
      </w:pPr>
      <w:r>
        <w:rPr>
          <w:b/>
          <w:bCs/>
          <w:u w:val="single"/>
          <w:rtl/>
        </w:rPr>
        <w:t>טיעוני הצדדים לעונש</w:t>
      </w:r>
      <w:r>
        <w:rPr>
          <w:rtl/>
        </w:rPr>
        <w:t xml:space="preserve">: </w:t>
      </w:r>
    </w:p>
    <w:p w14:paraId="1E37B3A6" w14:textId="77777777" w:rsidR="00AE240F" w:rsidRDefault="00AE240F" w:rsidP="00012E6A">
      <w:pPr>
        <w:spacing w:line="360" w:lineRule="auto"/>
        <w:jc w:val="both"/>
        <w:rPr>
          <w:rFonts w:ascii="Calibri" w:hAnsi="Calibri" w:cs="Arial"/>
        </w:rPr>
      </w:pPr>
      <w:r>
        <w:rPr>
          <w:b/>
          <w:bCs/>
          <w:rtl/>
        </w:rPr>
        <w:t>טיעוני המאשימה</w:t>
      </w:r>
      <w:r>
        <w:rPr>
          <w:rtl/>
        </w:rPr>
        <w:t xml:space="preserve">: </w:t>
      </w:r>
    </w:p>
    <w:p w14:paraId="59F3B4C7" w14:textId="77777777" w:rsidR="00AE240F" w:rsidRDefault="00AE240F" w:rsidP="00012E6A">
      <w:pPr>
        <w:spacing w:line="360" w:lineRule="auto"/>
        <w:jc w:val="both"/>
        <w:rPr>
          <w:rFonts w:ascii="Calibri" w:hAnsi="Calibri" w:cs="Arial"/>
          <w:rtl/>
        </w:rPr>
      </w:pPr>
    </w:p>
    <w:p w14:paraId="756B2F73" w14:textId="77777777" w:rsidR="00AE240F" w:rsidRDefault="00AE240F" w:rsidP="00012E6A">
      <w:pPr>
        <w:spacing w:line="360" w:lineRule="auto"/>
        <w:ind w:left="720" w:hanging="720"/>
        <w:jc w:val="both"/>
        <w:rPr>
          <w:rFonts w:ascii="Calibri" w:hAnsi="Calibri"/>
          <w:rtl/>
        </w:rPr>
      </w:pPr>
      <w:r>
        <w:rPr>
          <w:b/>
          <w:bCs/>
          <w:rtl/>
        </w:rPr>
        <w:t>6.</w:t>
      </w:r>
      <w:r>
        <w:rPr>
          <w:rtl/>
        </w:rPr>
        <w:tab/>
        <w:t>המאשימה סבורה כי מתחם העונש ההולם לעבירות שביצע הנאשם בנסיבותיהן, נע בין שנה לבין שלוש שנות מאסר בפועל</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לשיקולים</w:t>
      </w:r>
      <w:r>
        <w:rPr>
          <w:rFonts w:ascii="Calibri" w:hAnsi="Calibri"/>
          <w:rtl/>
        </w:rPr>
        <w:t xml:space="preserve"> </w:t>
      </w:r>
      <w:r>
        <w:rPr>
          <w:rFonts w:ascii="Calibri" w:hAnsi="Calibri" w:hint="eastAsia"/>
          <w:rtl/>
        </w:rPr>
        <w:t>הנוגעים</w:t>
      </w:r>
      <w:r>
        <w:rPr>
          <w:rFonts w:ascii="Calibri" w:hAnsi="Calibri"/>
          <w:rtl/>
        </w:rPr>
        <w:t xml:space="preserve"> </w:t>
      </w:r>
      <w:r>
        <w:rPr>
          <w:rFonts w:ascii="Calibri" w:hAnsi="Calibri" w:hint="eastAsia"/>
          <w:rtl/>
        </w:rPr>
        <w:t>לקביעת</w:t>
      </w:r>
      <w:r>
        <w:rPr>
          <w:rFonts w:ascii="Calibri" w:hAnsi="Calibri"/>
          <w:rtl/>
        </w:rPr>
        <w:t xml:space="preserve"> </w:t>
      </w:r>
      <w:r>
        <w:rPr>
          <w:rFonts w:ascii="Calibri" w:hAnsi="Calibri" w:hint="eastAsia"/>
          <w:rtl/>
        </w:rPr>
        <w:t>המתחם</w:t>
      </w:r>
      <w:r>
        <w:rPr>
          <w:rFonts w:ascii="Calibri" w:hAnsi="Calibri"/>
          <w:rtl/>
        </w:rPr>
        <w:t>:</w:t>
      </w:r>
    </w:p>
    <w:p w14:paraId="2C0843F7" w14:textId="77777777" w:rsidR="00AE240F" w:rsidRDefault="00AE240F" w:rsidP="00012E6A">
      <w:pPr>
        <w:spacing w:line="360" w:lineRule="auto"/>
        <w:ind w:hanging="720"/>
        <w:jc w:val="both"/>
        <w:rPr>
          <w:rFonts w:ascii="Calibri" w:hAnsi="Calibri" w:cs="Arial"/>
          <w:rtl/>
        </w:rPr>
      </w:pPr>
    </w:p>
    <w:p w14:paraId="542437DE" w14:textId="77777777" w:rsidR="00AE240F" w:rsidRDefault="00AE240F" w:rsidP="00012E6A">
      <w:pPr>
        <w:spacing w:line="360" w:lineRule="auto"/>
        <w:ind w:left="720"/>
        <w:jc w:val="both"/>
        <w:rPr>
          <w:rtl/>
        </w:rPr>
      </w:pPr>
      <w:r>
        <w:rPr>
          <w:rtl/>
        </w:rPr>
        <w:t xml:space="preserve">המאשימה טענה כי </w:t>
      </w:r>
      <w:r>
        <w:rPr>
          <w:b/>
          <w:bCs/>
          <w:rtl/>
        </w:rPr>
        <w:t>הערך החברתי המוגן</w:t>
      </w:r>
      <w:r>
        <w:rPr>
          <w:rtl/>
        </w:rPr>
        <w:t xml:space="preserve"> שנפגע כתוצאה מביצוע העבירות הינו שמירה על שלום הציבור וביטחונו. </w:t>
      </w:r>
    </w:p>
    <w:p w14:paraId="0C801106" w14:textId="77777777" w:rsidR="00AE240F" w:rsidRDefault="00AE240F" w:rsidP="00012E6A">
      <w:pPr>
        <w:spacing w:line="360" w:lineRule="auto"/>
        <w:ind w:hanging="720"/>
        <w:jc w:val="both"/>
        <w:rPr>
          <w:rtl/>
        </w:rPr>
      </w:pPr>
    </w:p>
    <w:p w14:paraId="2819D0B3" w14:textId="77777777" w:rsidR="00AE240F" w:rsidRDefault="00AE240F" w:rsidP="00012E6A">
      <w:pPr>
        <w:spacing w:line="360" w:lineRule="auto"/>
        <w:ind w:left="720"/>
        <w:jc w:val="both"/>
        <w:rPr>
          <w:rtl/>
        </w:rPr>
      </w:pPr>
      <w:r>
        <w:rPr>
          <w:b/>
          <w:bCs/>
          <w:rtl/>
        </w:rPr>
        <w:t>באשר לנסיבות הקשורות בביצוע העבירות,</w:t>
      </w:r>
      <w:r>
        <w:rPr>
          <w:rtl/>
        </w:rPr>
        <w:t xml:space="preserve"> נטען כי מדובר בעבירות שנעברו לאחר תכנון מוקדם והנאשם נושא במלוא האחריות לחלקו בקשירת הקשר. הנאשם הורשע בעבירת ניסיון להחזקה ורכישת נשק, ואולם, הסיבה בגינה העבירה לא שוכללה לכדי עבירה מושלמת היא סיכול של משטרת ישראל. עוד נטען, כי  העובדה שהנאשם קשר קשר עם אחרים לצורך ביצוע העבירה, מלמדת על התנהלות עבריינית חמורה.</w:t>
      </w:r>
    </w:p>
    <w:p w14:paraId="01681B61" w14:textId="77777777" w:rsidR="00AE240F" w:rsidRDefault="00AE240F" w:rsidP="00012E6A">
      <w:pPr>
        <w:spacing w:line="360" w:lineRule="auto"/>
        <w:ind w:hanging="720"/>
        <w:jc w:val="both"/>
        <w:rPr>
          <w:rtl/>
        </w:rPr>
      </w:pPr>
    </w:p>
    <w:p w14:paraId="11EEFC22" w14:textId="77777777" w:rsidR="00AE240F" w:rsidRDefault="00AE240F" w:rsidP="00012E6A">
      <w:pPr>
        <w:spacing w:line="360" w:lineRule="auto"/>
        <w:ind w:left="720"/>
        <w:jc w:val="both"/>
        <w:rPr>
          <w:rtl/>
        </w:rPr>
      </w:pPr>
      <w:r>
        <w:rPr>
          <w:rtl/>
        </w:rPr>
        <w:t>בהתייחס למדיניות הענישה הנהוגה, עמדה המאשימה על הסיכון הכרוך בעבירות נשק והפנתה לפסיקה התומכת בעמדתה, באשר למתחם העונש ההולם.</w:t>
      </w:r>
    </w:p>
    <w:p w14:paraId="184B580E" w14:textId="77777777" w:rsidR="00AE240F" w:rsidRDefault="00AE240F" w:rsidP="00012E6A">
      <w:pPr>
        <w:spacing w:line="360" w:lineRule="auto"/>
        <w:ind w:hanging="720"/>
        <w:jc w:val="both"/>
        <w:rPr>
          <w:rtl/>
        </w:rPr>
      </w:pPr>
    </w:p>
    <w:p w14:paraId="1D7DDCCE" w14:textId="77777777" w:rsidR="00AE240F" w:rsidRDefault="00AE240F" w:rsidP="00012E6A">
      <w:pPr>
        <w:spacing w:line="360" w:lineRule="auto"/>
        <w:ind w:left="720" w:hanging="660"/>
        <w:jc w:val="both"/>
        <w:rPr>
          <w:rtl/>
        </w:rPr>
      </w:pPr>
      <w:r>
        <w:rPr>
          <w:b/>
          <w:bCs/>
          <w:rtl/>
        </w:rPr>
        <w:t>7.</w:t>
      </w:r>
      <w:r>
        <w:rPr>
          <w:rtl/>
        </w:rPr>
        <w:tab/>
        <w:t>את העונש הראוי לנאשם, ביקשה המאשימה לגזור בתוך המתחם. בהתייחס לנסיבות שאינן קשורות בביצוע העבירות, ציינה המאשימה כי לחובת הנאשם עומדת העובדה, כי הורשע לאחרונה בעבירות של אלימות במשפחה. באותו מקרה, הנאשם עקב אחר מי שהייתה בת זוגו וניתפס כשהוא בדרכו אליה כשברשותו סכין. המאשימה סבורה כי עצם הרשעתו באותו תיק מלמדת על אופיו ומסוכנותו של הנאשם.</w:t>
      </w:r>
    </w:p>
    <w:p w14:paraId="008C8027" w14:textId="77777777" w:rsidR="00AE240F" w:rsidRDefault="00AE240F" w:rsidP="00012E6A">
      <w:pPr>
        <w:spacing w:line="360" w:lineRule="auto"/>
        <w:jc w:val="both"/>
        <w:rPr>
          <w:rtl/>
        </w:rPr>
      </w:pPr>
    </w:p>
    <w:p w14:paraId="291D0191" w14:textId="77777777" w:rsidR="00AE240F" w:rsidRDefault="00AE240F" w:rsidP="00012E6A">
      <w:pPr>
        <w:spacing w:line="360" w:lineRule="auto"/>
        <w:ind w:left="720"/>
        <w:jc w:val="both"/>
        <w:rPr>
          <w:rtl/>
        </w:rPr>
      </w:pPr>
      <w:r>
        <w:rPr>
          <w:rtl/>
        </w:rPr>
        <w:t>באשר לשיתוף הפעולה שלו עם גורמי אכיפת החוק, נטען כי הנאשם אמנם הודה, אך לא עשה זאת בהזדמנות הראשונה, בשלב החקירה, אלא בבית המשפט.</w:t>
      </w:r>
    </w:p>
    <w:p w14:paraId="58D1EC02" w14:textId="77777777" w:rsidR="00AE240F" w:rsidRDefault="00AE240F" w:rsidP="00012E6A">
      <w:pPr>
        <w:spacing w:line="360" w:lineRule="auto"/>
        <w:ind w:left="720"/>
        <w:jc w:val="both"/>
        <w:rPr>
          <w:rtl/>
        </w:rPr>
      </w:pPr>
      <w:r>
        <w:rPr>
          <w:rtl/>
        </w:rPr>
        <w:t>הנאשם בחר שלא לבקש תסקיר שירות המבחן, כך שכל טענה לעניין שיקומו תהא מוחלשת בנסיבות אלה.</w:t>
      </w:r>
    </w:p>
    <w:p w14:paraId="0857EBA3" w14:textId="77777777" w:rsidR="00AE240F" w:rsidRDefault="00AE240F" w:rsidP="00012E6A">
      <w:pPr>
        <w:spacing w:line="360" w:lineRule="auto"/>
        <w:ind w:hanging="720"/>
        <w:jc w:val="both"/>
        <w:rPr>
          <w:rtl/>
        </w:rPr>
      </w:pPr>
    </w:p>
    <w:p w14:paraId="2FF776B3" w14:textId="77777777" w:rsidR="00AE240F" w:rsidRDefault="00AE240F" w:rsidP="00012E6A">
      <w:pPr>
        <w:spacing w:line="360" w:lineRule="auto"/>
        <w:ind w:left="720" w:hanging="720"/>
        <w:jc w:val="both"/>
        <w:rPr>
          <w:rtl/>
        </w:rPr>
      </w:pPr>
      <w:r>
        <w:rPr>
          <w:b/>
          <w:bCs/>
          <w:rtl/>
        </w:rPr>
        <w:t>8.</w:t>
      </w:r>
      <w:r>
        <w:rPr>
          <w:rtl/>
        </w:rPr>
        <w:tab/>
        <w:t>לסיכום, את העונש הראוי לנאשם ביקשה המאשימה לקבוע באמצע מתחם העונש ההולם לו היא טוענת, בצירוף ענישה נלוות, בדמות מאסר על תנאי וקנס כספי.</w:t>
      </w:r>
    </w:p>
    <w:p w14:paraId="43918A7E" w14:textId="77777777" w:rsidR="00AE240F" w:rsidRDefault="00AE240F" w:rsidP="00012E6A">
      <w:pPr>
        <w:spacing w:line="360" w:lineRule="auto"/>
        <w:ind w:hanging="720"/>
        <w:jc w:val="both"/>
        <w:rPr>
          <w:rtl/>
        </w:rPr>
      </w:pPr>
    </w:p>
    <w:p w14:paraId="417AD8F8" w14:textId="77777777" w:rsidR="00AE240F" w:rsidRDefault="00AE240F" w:rsidP="00012E6A">
      <w:pPr>
        <w:spacing w:line="360" w:lineRule="auto"/>
        <w:ind w:firstLine="720"/>
        <w:jc w:val="both"/>
        <w:rPr>
          <w:rFonts w:ascii="Calibri" w:hAnsi="Calibri" w:cs="Arial"/>
          <w:rtl/>
        </w:rPr>
      </w:pPr>
      <w:r>
        <w:rPr>
          <w:b/>
          <w:bCs/>
          <w:rtl/>
        </w:rPr>
        <w:t xml:space="preserve">טיעוני ההגנה: </w:t>
      </w:r>
    </w:p>
    <w:p w14:paraId="20E269BA" w14:textId="77777777" w:rsidR="00AE240F" w:rsidRDefault="00AE240F" w:rsidP="00012E6A">
      <w:pPr>
        <w:spacing w:line="360" w:lineRule="auto"/>
        <w:ind w:hanging="720"/>
        <w:jc w:val="both"/>
        <w:rPr>
          <w:rFonts w:ascii="Calibri" w:hAnsi="Calibri"/>
          <w:rtl/>
        </w:rPr>
      </w:pPr>
    </w:p>
    <w:p w14:paraId="28FED0ED" w14:textId="77777777" w:rsidR="00AE240F" w:rsidRDefault="00AE240F" w:rsidP="00012E6A">
      <w:pPr>
        <w:spacing w:line="360" w:lineRule="auto"/>
        <w:ind w:left="720" w:hanging="720"/>
        <w:jc w:val="both"/>
        <w:rPr>
          <w:rtl/>
        </w:rPr>
      </w:pPr>
      <w:r>
        <w:rPr>
          <w:b/>
          <w:bCs/>
          <w:rtl/>
        </w:rPr>
        <w:t>9.</w:t>
      </w:r>
      <w:r>
        <w:rPr>
          <w:rtl/>
        </w:rPr>
        <w:tab/>
        <w:t>לעמדת הסנגור מתחם העונש ההולם לעבירות שביצע הנאשם בנסיבותיהן, נע בין 6 חודשי מאסר בפועל, שיכול וירוצו בעבודות שירות, לבין 12 חודשי מאסר בפועל.</w:t>
      </w:r>
    </w:p>
    <w:p w14:paraId="52A1CB18" w14:textId="77777777" w:rsidR="00AE240F" w:rsidRDefault="00AE240F" w:rsidP="00012E6A">
      <w:pPr>
        <w:spacing w:line="360" w:lineRule="auto"/>
        <w:ind w:hanging="720"/>
        <w:jc w:val="both"/>
        <w:rPr>
          <w:rtl/>
        </w:rPr>
      </w:pPr>
    </w:p>
    <w:p w14:paraId="23F93DFF" w14:textId="77777777" w:rsidR="00AE240F" w:rsidRDefault="00AE240F" w:rsidP="00012E6A">
      <w:pPr>
        <w:spacing w:line="360" w:lineRule="auto"/>
        <w:ind w:left="720" w:hanging="720"/>
        <w:jc w:val="both"/>
        <w:rPr>
          <w:rtl/>
        </w:rPr>
      </w:pPr>
      <w:r>
        <w:rPr>
          <w:b/>
          <w:bCs/>
          <w:rtl/>
        </w:rPr>
        <w:t>10.</w:t>
      </w:r>
      <w:r>
        <w:rPr>
          <w:rtl/>
        </w:rPr>
        <w:tab/>
        <w:t>הסניגור איננו מתעלם מן הערכים המוגנים שנפגעו מביצוע העבירה, אולם לעמדתו, בכל הנוגע למידת הפגיעה בהם, במקרה שלפנינו, יש לקחת בחשבון את העובדה שהנאשם איננו "הרוח החיה" מאחורי כתב האישום ולא היה מי שהניע את גלגלי הקשר. יתרה מכך, הוא מדגיש, כי הנאשם מעולם לא נחשף לנשק קודם לכן, לא בחן אותו ולא דרש נשק ספציפי וכן כי אין כל אינדיקציה לכוונותיו לעשות שימוש כלשהו בנשק או לאופי השימוש העתידי. עוד הוא מציין, כי לא נמצאה על גופו של הנאשם או בביתו כל תחמושת. הואיל ומדובר בנשק ללא תחמושת, בניסיון להחזקה בלבד וכן במקרה בו לא הוכח כי היו לנאשם מטרות פליליות כלשהן, הרי שרמת הפגיעה באינטרס החברתי על ידי הנאשם הינה הנמוכה ביותר.</w:t>
      </w:r>
    </w:p>
    <w:p w14:paraId="2BCC3728" w14:textId="77777777" w:rsidR="00AE240F" w:rsidRDefault="00AE240F" w:rsidP="00012E6A">
      <w:pPr>
        <w:spacing w:line="360" w:lineRule="auto"/>
        <w:ind w:hanging="720"/>
        <w:jc w:val="both"/>
        <w:rPr>
          <w:rtl/>
        </w:rPr>
      </w:pPr>
    </w:p>
    <w:p w14:paraId="546CB300" w14:textId="77777777" w:rsidR="00AE240F" w:rsidRDefault="00AE240F" w:rsidP="00012E6A">
      <w:pPr>
        <w:spacing w:line="360" w:lineRule="auto"/>
        <w:ind w:left="720" w:hanging="720"/>
        <w:jc w:val="both"/>
        <w:rPr>
          <w:rtl/>
        </w:rPr>
      </w:pPr>
      <w:r>
        <w:rPr>
          <w:b/>
          <w:bCs/>
          <w:rtl/>
        </w:rPr>
        <w:t>11.</w:t>
      </w:r>
      <w:r>
        <w:rPr>
          <w:rtl/>
        </w:rPr>
        <w:tab/>
        <w:t>באשר לבחינת הנסיבות הקשורות בביצוע העבירה, מפנה הסניגור לפסיקה, לפיה על בית המשפט ליתן דעתו, בין היתר, לסוג הנשק שבו מדובר, לכמותו, לתכלית לשמה הוחזק וכן לשאלה עד כמה מוחשית היא הסכנה שייעשה בו שימוש (</w:t>
      </w:r>
      <w:hyperlink r:id="rId25" w:history="1">
        <w:r w:rsidR="00AD007D" w:rsidRPr="00AD007D">
          <w:rPr>
            <w:color w:val="0000FF"/>
            <w:u w:val="single"/>
            <w:rtl/>
          </w:rPr>
          <w:t>ע"פ 8899/06</w:t>
        </w:r>
      </w:hyperlink>
      <w:r>
        <w:rPr>
          <w:rtl/>
        </w:rPr>
        <w:t xml:space="preserve"> </w:t>
      </w:r>
      <w:r>
        <w:rPr>
          <w:b/>
          <w:bCs/>
          <w:rtl/>
        </w:rPr>
        <w:t>ארמין נ' מדינת ישראל</w:t>
      </w:r>
      <w:r>
        <w:rPr>
          <w:rtl/>
        </w:rPr>
        <w:t xml:space="preserve"> (29/7/07)). בענייננו, כך נטען, המדובר בנשק בודד, התכלית אינה ברורה ואין בחומר הראיות כל מידע המרמז על כוונה לעשות בנשק שימוש כלפי אדם ספציפי או באופן כללי. לפיכך נטען, כי מידת הסכנה אשר נשקפה מהנאשם היא מהרף הנמוך ביותר. הסניגור מציין כי בגזירת העונש יש לתת את הדעת לעובדה כי לא נגרם כל נזק לרכוש או לגוף וכי אין כל ראיה כי עתיד היה להיגרם נזק כלשהו.</w:t>
      </w:r>
    </w:p>
    <w:p w14:paraId="691BED0D" w14:textId="77777777" w:rsidR="00AE240F" w:rsidRDefault="00AE240F" w:rsidP="00012E6A">
      <w:pPr>
        <w:spacing w:line="360" w:lineRule="auto"/>
        <w:ind w:hanging="720"/>
        <w:jc w:val="both"/>
        <w:rPr>
          <w:b/>
          <w:bCs/>
          <w:rtl/>
        </w:rPr>
      </w:pPr>
    </w:p>
    <w:p w14:paraId="6F61F4B2" w14:textId="77777777" w:rsidR="00AE240F" w:rsidRDefault="00AE240F" w:rsidP="00012E6A">
      <w:pPr>
        <w:spacing w:line="360" w:lineRule="auto"/>
        <w:ind w:left="720" w:hanging="720"/>
        <w:jc w:val="both"/>
        <w:rPr>
          <w:rtl/>
        </w:rPr>
      </w:pPr>
      <w:r>
        <w:rPr>
          <w:b/>
          <w:bCs/>
          <w:rtl/>
        </w:rPr>
        <w:t>12.</w:t>
      </w:r>
      <w:r>
        <w:rPr>
          <w:rtl/>
        </w:rPr>
        <w:tab/>
        <w:t>עוד הפנה הסניגור לאסופת פסיקה העוסקת בעבירות נשק, כשהוא מציין כי המדובר בפסקי דין שעוסקים בעבירות בדרגת חומרה גבוהה יותר מדרגת החומרה בעניינו של הנאשם. לטענתו, יש לאבחן את עניינו של הנאשם מאותם מקרים ולקבוע מתחם נמוך יותר בהתאם.</w:t>
      </w:r>
    </w:p>
    <w:p w14:paraId="1BF53CDD" w14:textId="77777777" w:rsidR="00AE240F" w:rsidRDefault="00AE240F" w:rsidP="00012E6A">
      <w:pPr>
        <w:spacing w:line="360" w:lineRule="auto"/>
        <w:ind w:hanging="720"/>
        <w:jc w:val="both"/>
        <w:rPr>
          <w:rtl/>
        </w:rPr>
      </w:pPr>
    </w:p>
    <w:p w14:paraId="2A2CA8DA" w14:textId="77777777" w:rsidR="00AE240F" w:rsidRDefault="00AE240F" w:rsidP="00012E6A">
      <w:pPr>
        <w:spacing w:line="360" w:lineRule="auto"/>
        <w:ind w:left="720" w:hanging="720"/>
        <w:jc w:val="both"/>
        <w:rPr>
          <w:rtl/>
        </w:rPr>
      </w:pPr>
      <w:r>
        <w:rPr>
          <w:b/>
          <w:bCs/>
          <w:rtl/>
        </w:rPr>
        <w:t>13.</w:t>
      </w:r>
      <w:r>
        <w:rPr>
          <w:rtl/>
        </w:rPr>
        <w:t xml:space="preserve"> </w:t>
      </w:r>
      <w:r>
        <w:rPr>
          <w:rtl/>
        </w:rPr>
        <w:tab/>
        <w:t>באשר לעונש הראוי לנאשם, על פי הנסיבות שאינן קשורות בביצוע העבירה, טוען הסנגור, כי יש לקחת בחשבון, כנסיבה מקלה את נסיבותיו האישיות של הנאשם. הנאשם נשוי בשנית, אב לשלושה ילדים. שניים מילדיו (בני 7 ו-4) מתגוררים עם גרושתו בבית הוריה בדבוריה. הוא מתגורר עם אשתו הנוכחית ובנם התינוק בכפר כנא. עוד ציין כי הנאשם התנדב לצבא ושירת שנתיים כטכנאי רכב. לאחר שחרורו עבד בעבודות שונות והכל לפרנסת המשפחה. הסניגור מפנה לכך כי הנאשם נעדר הרשעות קודמות, כי אורח החיים העברייני זר לו וכי שליחתו למאסר מאחורי סורג ובריח תפגע קשות בסיכויי השיקום שלו ותקטע רצף תעסוקתי יעיל. עוד צויין, כי הנאשם הודה, חסך הבאתם של עדים רבים. הנאשם הביע צער וחרטה על מעשיו ומסר כי הפיק את הלקח מהסתבכותו בהליך זה. הסניגור מפנה לעובדה כי הנאשם מצוי במעצר מיום 27/06/2016, קרי קרוב לחמישה חודשים מאחורי סורג ובריח.</w:t>
      </w:r>
    </w:p>
    <w:p w14:paraId="0E568060" w14:textId="77777777" w:rsidR="00AE240F" w:rsidRDefault="00AE240F" w:rsidP="00012E6A">
      <w:pPr>
        <w:spacing w:line="360" w:lineRule="auto"/>
        <w:ind w:hanging="720"/>
        <w:jc w:val="both"/>
        <w:rPr>
          <w:rtl/>
        </w:rPr>
      </w:pPr>
    </w:p>
    <w:p w14:paraId="278799CD" w14:textId="77777777" w:rsidR="00AE240F" w:rsidRDefault="00AE240F" w:rsidP="00012E6A">
      <w:pPr>
        <w:spacing w:line="360" w:lineRule="auto"/>
        <w:ind w:left="720"/>
        <w:jc w:val="both"/>
        <w:rPr>
          <w:rtl/>
        </w:rPr>
      </w:pPr>
      <w:r>
        <w:rPr>
          <w:rtl/>
        </w:rPr>
        <w:t>בטיעוניו בפני הוסיף הסנגור כי עקב מעצרו של הנאשם בשל מעורבותו בעבירות הנוכחיות הופסק הליך טיפולי, בו החל הנאשם, במסגרת שירות המבחן בהליך המקביל. הנאשם נעצר בתיק זה עד תום ההליכים כנגדו, בשל חומרת העבירות שיוחסו לו באישום המקורי וכן בשל הסתבכותו בתיק המקביל, ולא היה  טעם לבקש תסקיר עדכני, תוך דחיית הדיון לכמה חודשים, בפרט שבהסדר הטיעון הופחתו האישומים לעבירות המצויות בסמכותו של בית משפט השלום.</w:t>
      </w:r>
    </w:p>
    <w:p w14:paraId="1824066C" w14:textId="77777777" w:rsidR="00AE240F" w:rsidRDefault="00AE240F" w:rsidP="00012E6A">
      <w:pPr>
        <w:spacing w:line="360" w:lineRule="auto"/>
        <w:jc w:val="both"/>
        <w:rPr>
          <w:rtl/>
        </w:rPr>
      </w:pPr>
    </w:p>
    <w:p w14:paraId="39171282" w14:textId="77777777" w:rsidR="00AE240F" w:rsidRDefault="00AE240F" w:rsidP="00012E6A">
      <w:pPr>
        <w:spacing w:line="360" w:lineRule="auto"/>
        <w:ind w:left="720"/>
        <w:jc w:val="both"/>
        <w:rPr>
          <w:rtl/>
        </w:rPr>
      </w:pPr>
      <w:r>
        <w:rPr>
          <w:rtl/>
        </w:rPr>
        <w:t xml:space="preserve">בהתייחס להרשעה באישום המקביל, ציין הסנגור כי מדובר בעבירה משנת 2011. אף שהיא נוגעת, בין היתר, להחזקת סכין, לא נאמר בכתב האישום שהייתה לו כוונה לעשות שימוש בסכין ונאשם נוסף באותו הליך כבר נדון ל- חודשיים מאסר בעבודות שירות. </w:t>
      </w:r>
    </w:p>
    <w:p w14:paraId="452DE4AF" w14:textId="77777777" w:rsidR="00AE240F" w:rsidRDefault="00AE240F" w:rsidP="00012E6A">
      <w:pPr>
        <w:spacing w:line="360" w:lineRule="auto"/>
        <w:ind w:hanging="720"/>
        <w:jc w:val="both"/>
        <w:rPr>
          <w:rtl/>
        </w:rPr>
      </w:pPr>
      <w:r>
        <w:rPr>
          <w:rtl/>
        </w:rPr>
        <w:t xml:space="preserve"> </w:t>
      </w:r>
    </w:p>
    <w:p w14:paraId="0CAAF727" w14:textId="77777777" w:rsidR="00AE240F" w:rsidRDefault="00AE240F" w:rsidP="00012E6A">
      <w:pPr>
        <w:spacing w:line="360" w:lineRule="auto"/>
        <w:ind w:left="720" w:hanging="720"/>
        <w:jc w:val="both"/>
        <w:rPr>
          <w:rtl/>
        </w:rPr>
      </w:pPr>
      <w:r>
        <w:rPr>
          <w:b/>
          <w:bCs/>
          <w:rtl/>
        </w:rPr>
        <w:t>14.</w:t>
      </w:r>
      <w:r>
        <w:rPr>
          <w:rtl/>
        </w:rPr>
        <w:tab/>
        <w:t xml:space="preserve">לאור כל טיעוניו, כמפורט לעיל, ביקש הסניגור לקבוע את עונשו של הנאשם ברף התחתון של מתחם העונש הראוי, אליו כיוון. </w:t>
      </w:r>
    </w:p>
    <w:p w14:paraId="15D84406" w14:textId="77777777" w:rsidR="00AE240F" w:rsidRDefault="00AE240F" w:rsidP="00012E6A">
      <w:pPr>
        <w:spacing w:line="360" w:lineRule="auto"/>
        <w:ind w:hanging="720"/>
        <w:jc w:val="both"/>
        <w:rPr>
          <w:b/>
          <w:bCs/>
          <w:rtl/>
        </w:rPr>
      </w:pPr>
    </w:p>
    <w:p w14:paraId="24B65E24" w14:textId="77777777" w:rsidR="00AE240F" w:rsidRDefault="00AE240F" w:rsidP="00012E6A">
      <w:pPr>
        <w:spacing w:line="360" w:lineRule="auto"/>
        <w:jc w:val="both"/>
        <w:rPr>
          <w:rtl/>
        </w:rPr>
      </w:pPr>
      <w:r>
        <w:rPr>
          <w:b/>
          <w:bCs/>
          <w:rtl/>
        </w:rPr>
        <w:t>15.</w:t>
      </w:r>
      <w:r>
        <w:rPr>
          <w:rtl/>
        </w:rPr>
        <w:tab/>
        <w:t xml:space="preserve">הנאשם, בדבריו לעונש, הביע צער על מעשיו וביקש רחמיי בית המשפט. </w:t>
      </w:r>
    </w:p>
    <w:p w14:paraId="03465B41" w14:textId="77777777" w:rsidR="00AE240F" w:rsidRDefault="00AE240F" w:rsidP="00012E6A">
      <w:pPr>
        <w:spacing w:line="360" w:lineRule="auto"/>
        <w:ind w:hanging="720"/>
        <w:jc w:val="both"/>
        <w:rPr>
          <w:rtl/>
        </w:rPr>
      </w:pPr>
    </w:p>
    <w:p w14:paraId="3D278DBA" w14:textId="77777777" w:rsidR="00AE240F" w:rsidRDefault="00AE240F" w:rsidP="00012E6A">
      <w:pPr>
        <w:spacing w:line="360" w:lineRule="auto"/>
        <w:jc w:val="both"/>
        <w:rPr>
          <w:rFonts w:ascii="Calibri" w:hAnsi="Calibri" w:cs="Arial"/>
          <w:rtl/>
        </w:rPr>
      </w:pPr>
      <w:r>
        <w:rPr>
          <w:b/>
          <w:bCs/>
          <w:u w:val="single"/>
          <w:rtl/>
        </w:rPr>
        <w:t>דיון והכרעה</w:t>
      </w:r>
      <w:r>
        <w:rPr>
          <w:rtl/>
        </w:rPr>
        <w:t xml:space="preserve">: </w:t>
      </w:r>
    </w:p>
    <w:p w14:paraId="3174EC7E" w14:textId="77777777" w:rsidR="00AE240F" w:rsidRDefault="00AE240F" w:rsidP="00012E6A">
      <w:pPr>
        <w:spacing w:line="360" w:lineRule="auto"/>
        <w:rPr>
          <w:rFonts w:ascii="Calibri" w:hAnsi="Calibri"/>
          <w:rtl/>
        </w:rPr>
      </w:pPr>
    </w:p>
    <w:p w14:paraId="6DA17909" w14:textId="77777777" w:rsidR="00AE240F" w:rsidRDefault="00AE240F" w:rsidP="00E65EDF">
      <w:pPr>
        <w:spacing w:line="360" w:lineRule="auto"/>
        <w:ind w:left="720" w:hanging="720"/>
        <w:jc w:val="both"/>
        <w:rPr>
          <w:rFonts w:ascii="Calibri" w:hAnsi="Calibri"/>
          <w:rtl/>
        </w:rPr>
      </w:pPr>
      <w:r>
        <w:rPr>
          <w:rFonts w:ascii="Calibri" w:hAnsi="Calibri"/>
          <w:b/>
          <w:bCs/>
          <w:rtl/>
        </w:rPr>
        <w:t>16</w:t>
      </w:r>
      <w:r>
        <w:rPr>
          <w:rFonts w:ascii="Calibri" w:hAnsi="Calibri"/>
          <w:rtl/>
        </w:rPr>
        <w:t>.</w:t>
      </w:r>
      <w:r>
        <w:rPr>
          <w:rFonts w:ascii="Calibri" w:hAnsi="Calibri"/>
          <w:rtl/>
        </w:rPr>
        <w:tab/>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hyperlink r:id="rId26" w:history="1">
        <w:r w:rsidR="00EA587E" w:rsidRPr="00EA587E">
          <w:rPr>
            <w:rFonts w:ascii="Calibri" w:hAnsi="Calibri" w:hint="eastAsia"/>
            <w:color w:val="0000FF"/>
            <w:u w:val="single"/>
            <w:rtl/>
          </w:rPr>
          <w:t>סעיף</w:t>
        </w:r>
        <w:r w:rsidR="00EA587E" w:rsidRPr="00EA587E">
          <w:rPr>
            <w:rFonts w:ascii="Calibri" w:hAnsi="Calibri"/>
            <w:color w:val="0000FF"/>
            <w:u w:val="single"/>
            <w:rtl/>
          </w:rPr>
          <w:t xml:space="preserve"> 40</w:t>
        </w:r>
        <w:r w:rsidR="00EA587E" w:rsidRPr="00EA587E">
          <w:rPr>
            <w:rFonts w:ascii="Calibri" w:hAnsi="Calibri" w:hint="eastAsia"/>
            <w:color w:val="0000FF"/>
            <w:u w:val="single"/>
            <w:rtl/>
          </w:rPr>
          <w:t>ב</w:t>
        </w:r>
        <w:r w:rsidR="00EA587E" w:rsidRPr="00EA587E">
          <w:rPr>
            <w:rFonts w:ascii="Calibri" w:hAnsi="Calibri"/>
            <w:color w:val="0000FF"/>
            <w:u w:val="single"/>
            <w:rtl/>
          </w:rPr>
          <w:t>'</w:t>
        </w:r>
      </w:hyperlink>
      <w:r>
        <w:rPr>
          <w:rFonts w:ascii="Calibri" w:hAnsi="Calibri"/>
          <w:rtl/>
        </w:rPr>
        <w:t xml:space="preserve"> </w:t>
      </w:r>
      <w:r>
        <w:rPr>
          <w:rFonts w:ascii="Calibri" w:hAnsi="Calibri" w:hint="eastAsia"/>
          <w:rtl/>
        </w:rPr>
        <w:t>ל</w:t>
      </w:r>
      <w:hyperlink r:id="rId27" w:history="1">
        <w:r w:rsidR="00AD007D" w:rsidRPr="00AD007D">
          <w:rPr>
            <w:rFonts w:ascii="Calibri" w:hAnsi="Calibri" w:hint="eastAsia"/>
            <w:color w:val="0000FF"/>
            <w:u w:val="single"/>
            <w:rtl/>
          </w:rPr>
          <w:t>חוק</w:t>
        </w:r>
        <w:r w:rsidR="00AD007D" w:rsidRPr="00AD007D">
          <w:rPr>
            <w:rFonts w:ascii="Calibri" w:hAnsi="Calibri"/>
            <w:color w:val="0000FF"/>
            <w:u w:val="single"/>
            <w:rtl/>
          </w:rPr>
          <w:t xml:space="preserve"> </w:t>
        </w:r>
        <w:r w:rsidR="00AD007D" w:rsidRPr="00AD007D">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עיקרון</w:t>
      </w:r>
      <w:r>
        <w:rPr>
          <w:rFonts w:ascii="Calibri" w:hAnsi="Calibri"/>
          <w:rtl/>
        </w:rPr>
        <w:t xml:space="preserve"> </w:t>
      </w:r>
      <w:r>
        <w:rPr>
          <w:rFonts w:ascii="Calibri" w:hAnsi="Calibri" w:hint="eastAsia"/>
          <w:rtl/>
        </w:rPr>
        <w:t>ההלימה</w:t>
      </w:r>
      <w:r>
        <w:rPr>
          <w:rFonts w:ascii="Calibri" w:hAnsi="Calibri"/>
          <w:rtl/>
        </w:rPr>
        <w:t xml:space="preserve">, </w:t>
      </w:r>
      <w:r>
        <w:rPr>
          <w:rFonts w:ascii="Calibri" w:hAnsi="Calibri" w:hint="eastAsia"/>
          <w:rtl/>
        </w:rPr>
        <w:t>שמשמעו</w:t>
      </w:r>
      <w:r>
        <w:rPr>
          <w:rFonts w:ascii="Calibri" w:hAnsi="Calibri"/>
          <w:rtl/>
        </w:rPr>
        <w:t xml:space="preserve"> </w:t>
      </w:r>
      <w:r>
        <w:rPr>
          <w:rFonts w:ascii="Calibri" w:hAnsi="Calibri" w:hint="eastAsia"/>
          <w:rtl/>
        </w:rPr>
        <w:t>קיומו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p>
    <w:p w14:paraId="66AD313F" w14:textId="77777777" w:rsidR="00AE240F" w:rsidRDefault="00AE240F" w:rsidP="00012E6A">
      <w:pPr>
        <w:spacing w:line="360" w:lineRule="auto"/>
        <w:ind w:hanging="720"/>
        <w:jc w:val="both"/>
        <w:rPr>
          <w:rFonts w:ascii="Calibri" w:hAnsi="Calibri"/>
          <w:b/>
          <w:bCs/>
          <w:rtl/>
        </w:rPr>
      </w:pPr>
    </w:p>
    <w:p w14:paraId="1D473C25" w14:textId="77777777" w:rsidR="00AE240F" w:rsidRDefault="00AE240F" w:rsidP="00012E6A">
      <w:pPr>
        <w:spacing w:line="360" w:lineRule="auto"/>
        <w:ind w:left="720" w:hanging="720"/>
        <w:jc w:val="both"/>
        <w:rPr>
          <w:rFonts w:ascii="Calibri" w:hAnsi="Calibri"/>
          <w:rtl/>
        </w:rPr>
      </w:pPr>
      <w:r>
        <w:rPr>
          <w:rFonts w:ascii="Calibri" w:hAnsi="Calibri"/>
          <w:b/>
          <w:bCs/>
          <w:rtl/>
        </w:rPr>
        <w:t>17.</w:t>
      </w:r>
      <w:r>
        <w:rPr>
          <w:rFonts w:ascii="Calibri" w:hAnsi="Calibri"/>
          <w:b/>
          <w:bCs/>
          <w:rtl/>
        </w:rPr>
        <w:tab/>
      </w:r>
      <w:r>
        <w:rPr>
          <w:rFonts w:ascii="Calibri" w:hAnsi="Calibri" w:hint="eastAsia"/>
          <w:rtl/>
        </w:rPr>
        <w:t>גזירת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בגיר</w:t>
      </w:r>
      <w:r>
        <w:rPr>
          <w:rFonts w:ascii="Calibri" w:hAnsi="Calibri"/>
          <w:rtl/>
        </w:rPr>
        <w:t xml:space="preserve"> </w:t>
      </w:r>
      <w:r>
        <w:rPr>
          <w:rFonts w:ascii="Calibri" w:hAnsi="Calibri" w:hint="eastAsia"/>
          <w:rtl/>
        </w:rPr>
        <w:t>מחייבת</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וקביעת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יוצאי</w:t>
      </w:r>
      <w:r>
        <w:rPr>
          <w:rFonts w:ascii="Calibri" w:hAnsi="Calibri"/>
          <w:rtl/>
        </w:rPr>
        <w:t xml:space="preserve"> </w:t>
      </w:r>
      <w:r>
        <w:rPr>
          <w:rFonts w:ascii="Calibri" w:hAnsi="Calibri" w:hint="eastAsia"/>
          <w:rtl/>
        </w:rPr>
        <w:t>דופן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בהסתמך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שיקום</w:t>
      </w:r>
      <w:r>
        <w:rPr>
          <w:rFonts w:ascii="Calibri" w:hAnsi="Calibri"/>
          <w:rtl/>
        </w:rPr>
        <w:t xml:space="preserve"> (</w:t>
      </w:r>
      <w:hyperlink r:id="rId28" w:history="1">
        <w:r w:rsidR="00EA587E" w:rsidRPr="00EA587E">
          <w:rPr>
            <w:rFonts w:ascii="Calibri" w:hAnsi="Calibri" w:hint="eastAsia"/>
            <w:color w:val="0000FF"/>
            <w:u w:val="single"/>
            <w:rtl/>
          </w:rPr>
          <w:t>סעיף</w:t>
        </w:r>
        <w:r w:rsidR="00EA587E" w:rsidRPr="00EA587E">
          <w:rPr>
            <w:rFonts w:ascii="Calibri" w:hAnsi="Calibri"/>
            <w:color w:val="0000FF"/>
            <w:u w:val="single"/>
            <w:rtl/>
          </w:rPr>
          <w:t xml:space="preserve"> 40</w:t>
        </w:r>
        <w:r w:rsidR="00EA587E" w:rsidRPr="00EA587E">
          <w:rPr>
            <w:rFonts w:ascii="Calibri" w:hAnsi="Calibri" w:hint="eastAsia"/>
            <w:color w:val="0000FF"/>
            <w:u w:val="single"/>
            <w:rtl/>
          </w:rPr>
          <w:t>ד</w:t>
        </w:r>
        <w:r w:rsidR="00EA587E" w:rsidRPr="00EA587E">
          <w:rPr>
            <w:rFonts w:ascii="Calibri" w:hAnsi="Calibri"/>
            <w:color w:val="0000FF"/>
            <w:u w:val="single"/>
            <w:rtl/>
          </w:rPr>
          <w:t>'</w:t>
        </w:r>
      </w:hyperlink>
      <w:r>
        <w:rPr>
          <w:rFonts w:ascii="Calibri" w:hAnsi="Calibri"/>
          <w:rtl/>
        </w:rPr>
        <w:t xml:space="preserve"> </w:t>
      </w:r>
      <w:r>
        <w:rPr>
          <w:rFonts w:ascii="Calibri" w:hAnsi="Calibri" w:hint="eastAsia"/>
          <w:rtl/>
        </w:rPr>
        <w:t>ל</w:t>
      </w:r>
      <w:hyperlink r:id="rId29" w:history="1">
        <w:r w:rsidR="00AD007D" w:rsidRPr="00AD007D">
          <w:rPr>
            <w:rFonts w:ascii="Calibri" w:hAnsi="Calibri" w:hint="eastAsia"/>
            <w:color w:val="0000FF"/>
            <w:u w:val="single"/>
            <w:rtl/>
          </w:rPr>
          <w:t>חוק</w:t>
        </w:r>
        <w:r w:rsidR="00AD007D" w:rsidRPr="00AD007D">
          <w:rPr>
            <w:rFonts w:ascii="Calibri" w:hAnsi="Calibri"/>
            <w:color w:val="0000FF"/>
            <w:u w:val="single"/>
            <w:rtl/>
          </w:rPr>
          <w:t xml:space="preserve"> </w:t>
        </w:r>
        <w:r w:rsidR="00AD007D" w:rsidRPr="00AD007D">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לחומרא</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hyperlink r:id="rId30" w:history="1">
        <w:r w:rsidR="00EA587E" w:rsidRPr="00EA587E">
          <w:rPr>
            <w:rFonts w:ascii="Calibri" w:hAnsi="Calibri" w:hint="eastAsia"/>
            <w:color w:val="0000FF"/>
            <w:u w:val="single"/>
            <w:rtl/>
          </w:rPr>
          <w:t>סעיף</w:t>
        </w:r>
        <w:r w:rsidR="00EA587E" w:rsidRPr="00EA587E">
          <w:rPr>
            <w:rFonts w:ascii="Calibri" w:hAnsi="Calibri"/>
            <w:color w:val="0000FF"/>
            <w:u w:val="single"/>
            <w:rtl/>
          </w:rPr>
          <w:t xml:space="preserve"> 40</w:t>
        </w:r>
        <w:r w:rsidR="00EA587E" w:rsidRPr="00EA587E">
          <w:rPr>
            <w:rFonts w:ascii="Calibri" w:hAnsi="Calibri" w:hint="eastAsia"/>
            <w:color w:val="0000FF"/>
            <w:u w:val="single"/>
            <w:rtl/>
          </w:rPr>
          <w:t>ה</w:t>
        </w:r>
        <w:r w:rsidR="00EA587E" w:rsidRPr="00EA587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p>
    <w:p w14:paraId="50DB0D64" w14:textId="77777777" w:rsidR="00AE240F" w:rsidRDefault="00AE240F" w:rsidP="00012E6A">
      <w:pPr>
        <w:spacing w:line="360" w:lineRule="auto"/>
        <w:ind w:hanging="720"/>
        <w:rPr>
          <w:rFonts w:ascii="Calibri" w:hAnsi="Calibri"/>
          <w:rtl/>
        </w:rPr>
      </w:pPr>
    </w:p>
    <w:p w14:paraId="7E9D86C6" w14:textId="77777777" w:rsidR="00AE240F" w:rsidRDefault="00AE240F" w:rsidP="00012E6A">
      <w:pPr>
        <w:spacing w:line="360" w:lineRule="auto"/>
        <w:ind w:left="720" w:hanging="720"/>
        <w:jc w:val="both"/>
        <w:rPr>
          <w:rFonts w:ascii="Calibri" w:hAnsi="Calibri"/>
          <w:rtl/>
        </w:rPr>
      </w:pPr>
      <w:r>
        <w:rPr>
          <w:rFonts w:ascii="Calibri" w:hAnsi="Calibri"/>
          <w:b/>
          <w:bCs/>
          <w:rtl/>
        </w:rPr>
        <w:t>18.</w:t>
      </w:r>
      <w:r>
        <w:rPr>
          <w:rFonts w:ascii="Calibri" w:hAnsi="Calibri"/>
          <w:rtl/>
        </w:rPr>
        <w:tab/>
      </w:r>
      <w:r>
        <w:rPr>
          <w:rFonts w:ascii="Calibri" w:hAnsi="Calibri" w:hint="eastAsia"/>
          <w:rtl/>
        </w:rPr>
        <w:t>כשמדובר</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בריבוי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שלבים</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בהתאם</w:t>
      </w:r>
      <w:r>
        <w:rPr>
          <w:rFonts w:ascii="Calibri" w:hAnsi="Calibri"/>
          <w:rtl/>
        </w:rPr>
        <w:t xml:space="preserve"> </w:t>
      </w:r>
      <w:hyperlink r:id="rId31" w:history="1">
        <w:r w:rsidR="00EA587E" w:rsidRPr="00EA587E">
          <w:rPr>
            <w:color w:val="0000FF"/>
            <w:u w:val="single"/>
            <w:rtl/>
          </w:rPr>
          <w:t>לסעיף 40יג</w:t>
        </w:r>
      </w:hyperlink>
      <w:r>
        <w:rPr>
          <w:rtl/>
        </w:rPr>
        <w:t xml:space="preserve"> ל</w:t>
      </w:r>
      <w:hyperlink r:id="rId32" w:history="1">
        <w:r w:rsidR="00AD007D" w:rsidRPr="00AD007D">
          <w:rPr>
            <w:color w:val="0000FF"/>
            <w:u w:val="single"/>
            <w:rtl/>
          </w:rPr>
          <w:t>חוק העונשין</w:t>
        </w:r>
      </w:hyperlink>
      <w:r>
        <w:rPr>
          <w:rtl/>
        </w:rPr>
        <w:t>, האם עבירות אלה מהוות אירוע אחד או כמה אירועים, על פי מבחן "הקשר ההדוק" שהתפתח בפסיקה (</w:t>
      </w:r>
      <w:hyperlink r:id="rId33" w:history="1">
        <w:r w:rsidR="00AD007D" w:rsidRPr="00AD007D">
          <w:rPr>
            <w:rFonts w:ascii="Calibri" w:hAnsi="Calibri" w:hint="eastAsia"/>
            <w:color w:val="0000FF"/>
            <w:u w:val="single"/>
            <w:rtl/>
          </w:rPr>
          <w:t>ע</w:t>
        </w:r>
        <w:r w:rsidR="00AD007D" w:rsidRPr="00AD007D">
          <w:rPr>
            <w:rFonts w:ascii="Calibri" w:hAnsi="Calibri"/>
            <w:color w:val="0000FF"/>
            <w:u w:val="single"/>
            <w:rtl/>
          </w:rPr>
          <w:t>"</w:t>
        </w:r>
        <w:r w:rsidR="00AD007D" w:rsidRPr="00AD007D">
          <w:rPr>
            <w:rFonts w:ascii="Calibri" w:hAnsi="Calibri" w:hint="eastAsia"/>
            <w:color w:val="0000FF"/>
            <w:u w:val="single"/>
            <w:rtl/>
          </w:rPr>
          <w:t>פ</w:t>
        </w:r>
        <w:r w:rsidR="00AD007D" w:rsidRPr="00AD007D">
          <w:rPr>
            <w:rFonts w:ascii="Calibri" w:hAnsi="Calibri"/>
            <w:color w:val="0000FF"/>
            <w:u w:val="single"/>
            <w:rtl/>
          </w:rPr>
          <w:t xml:space="preserve"> 4910/13</w:t>
        </w:r>
      </w:hyperlink>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(29.10.2014) </w:t>
      </w:r>
      <w:r>
        <w:rPr>
          <w:rFonts w:ascii="Calibri" w:hAnsi="Calibri" w:hint="eastAsia"/>
          <w:rtl/>
        </w:rPr>
        <w:t>וכן</w:t>
      </w:r>
      <w:r>
        <w:rPr>
          <w:rFonts w:ascii="Calibri" w:hAnsi="Calibri"/>
          <w:rtl/>
        </w:rPr>
        <w:t xml:space="preserve"> </w:t>
      </w:r>
      <w:hyperlink r:id="rId34" w:history="1">
        <w:r w:rsidR="00AD007D" w:rsidRPr="00AD007D">
          <w:rPr>
            <w:b/>
            <w:bCs/>
            <w:color w:val="0000FF"/>
            <w:u w:val="single"/>
            <w:rtl/>
          </w:rPr>
          <w:t>ע"פ 1127/13</w:t>
        </w:r>
      </w:hyperlink>
      <w:r>
        <w:rPr>
          <w:b/>
          <w:bCs/>
          <w:rtl/>
        </w:rPr>
        <w:t xml:space="preserve"> גברזגיי נ. מדינת ישראל  (15.01.2014) ו</w:t>
      </w:r>
      <w:hyperlink r:id="rId35" w:history="1">
        <w:r w:rsidR="00AD007D" w:rsidRPr="00AD007D">
          <w:rPr>
            <w:b/>
            <w:bCs/>
            <w:color w:val="0000FF"/>
            <w:u w:val="single"/>
            <w:rtl/>
          </w:rPr>
          <w:t>ע"פ 4702/15</w:t>
        </w:r>
      </w:hyperlink>
      <w:r>
        <w:rPr>
          <w:b/>
          <w:bCs/>
          <w:rtl/>
        </w:rPr>
        <w:t xml:space="preserve"> עביד נ. מדינת ישראל (</w:t>
      </w:r>
      <w:r>
        <w:rPr>
          <w:rtl/>
        </w:rPr>
        <w:t>20.04.2016)).</w:t>
      </w:r>
      <w:r>
        <w:rPr>
          <w:b/>
          <w:bCs/>
          <w:rtl/>
        </w:rPr>
        <w:t xml:space="preserve"> </w:t>
      </w:r>
      <w:r>
        <w:rPr>
          <w:rtl/>
        </w:rPr>
        <w:t>אם מדובר בכמה</w:t>
      </w:r>
      <w:r>
        <w:t xml:space="preserve"> </w:t>
      </w:r>
      <w:r>
        <w:rPr>
          <w:rtl/>
        </w:rPr>
        <w:t>עבירות</w:t>
      </w:r>
      <w:r>
        <w:t xml:space="preserve"> </w:t>
      </w:r>
      <w:r>
        <w:rPr>
          <w:rtl/>
        </w:rPr>
        <w:t>המהוות</w:t>
      </w:r>
      <w:r>
        <w:t xml:space="preserve"> </w:t>
      </w:r>
      <w:r>
        <w:rPr>
          <w:rtl/>
        </w:rPr>
        <w:t>אירוע</w:t>
      </w:r>
      <w:r>
        <w:t xml:space="preserve"> </w:t>
      </w:r>
      <w:r>
        <w:rPr>
          <w:rtl/>
        </w:rPr>
        <w:t>אחד, יקבע</w:t>
      </w:r>
      <w:r>
        <w:t xml:space="preserve"> </w:t>
      </w:r>
      <w:r>
        <w:rPr>
          <w:rtl/>
        </w:rPr>
        <w:t>בית המשפט מתחם</w:t>
      </w:r>
      <w:r>
        <w:t xml:space="preserve"> </w:t>
      </w:r>
      <w:r>
        <w:rPr>
          <w:rtl/>
        </w:rPr>
        <w:t>עונש</w:t>
      </w:r>
      <w:r>
        <w:t xml:space="preserve"> </w:t>
      </w:r>
      <w:r>
        <w:rPr>
          <w:rtl/>
        </w:rPr>
        <w:t>הולם</w:t>
      </w:r>
      <w:r>
        <w:t xml:space="preserve"> </w:t>
      </w:r>
      <w:r>
        <w:rPr>
          <w:rtl/>
        </w:rPr>
        <w:t>לאירוע</w:t>
      </w:r>
      <w:r>
        <w:t xml:space="preserve"> </w:t>
      </w:r>
      <w:r>
        <w:rPr>
          <w:rtl/>
        </w:rPr>
        <w:t>כולו</w:t>
      </w:r>
      <w:r>
        <w:t xml:space="preserve"> </w:t>
      </w:r>
      <w:r>
        <w:rPr>
          <w:rtl/>
        </w:rPr>
        <w:t>ויגזור</w:t>
      </w:r>
      <w:r>
        <w:t xml:space="preserve"> </w:t>
      </w:r>
      <w:r>
        <w:rPr>
          <w:rtl/>
        </w:rPr>
        <w:t>עונש</w:t>
      </w:r>
      <w:r>
        <w:t xml:space="preserve"> </w:t>
      </w:r>
      <w:r>
        <w:rPr>
          <w:rtl/>
        </w:rPr>
        <w:t>כולל</w:t>
      </w:r>
      <w:r>
        <w:t xml:space="preserve"> </w:t>
      </w:r>
      <w:r>
        <w:rPr>
          <w:rtl/>
        </w:rPr>
        <w:t>לכל</w:t>
      </w:r>
      <w:r>
        <w:t xml:space="preserve"> </w:t>
      </w:r>
      <w:r>
        <w:rPr>
          <w:rtl/>
        </w:rPr>
        <w:t>העבירות</w:t>
      </w:r>
      <w:r>
        <w:t xml:space="preserve"> </w:t>
      </w:r>
      <w:r>
        <w:rPr>
          <w:rtl/>
        </w:rPr>
        <w:t>בשל</w:t>
      </w:r>
      <w:r>
        <w:t xml:space="preserve"> </w:t>
      </w:r>
      <w:r>
        <w:rPr>
          <w:rtl/>
        </w:rPr>
        <w:t>אותו</w:t>
      </w:r>
      <w:r>
        <w:t xml:space="preserve"> </w:t>
      </w:r>
      <w:r>
        <w:rPr>
          <w:rtl/>
        </w:rPr>
        <w:t>אירוע</w:t>
      </w:r>
      <w:r>
        <w:t>.</w:t>
      </w:r>
    </w:p>
    <w:p w14:paraId="7C4844C6" w14:textId="77777777" w:rsidR="00AE240F" w:rsidRDefault="00AE240F" w:rsidP="00012E6A">
      <w:pPr>
        <w:spacing w:line="360" w:lineRule="auto"/>
        <w:ind w:hanging="720"/>
        <w:rPr>
          <w:rtl/>
        </w:rPr>
      </w:pPr>
    </w:p>
    <w:p w14:paraId="7B836107" w14:textId="77777777" w:rsidR="00AE240F" w:rsidRDefault="00AE240F" w:rsidP="00012E6A">
      <w:pPr>
        <w:spacing w:line="360" w:lineRule="auto"/>
        <w:ind w:left="720" w:hanging="720"/>
        <w:jc w:val="both"/>
        <w:rPr>
          <w:rtl/>
        </w:rPr>
      </w:pPr>
      <w:r>
        <w:rPr>
          <w:b/>
          <w:bCs/>
          <w:rtl/>
        </w:rPr>
        <w:t>19.</w:t>
      </w:r>
      <w:r>
        <w:rPr>
          <w:rtl/>
        </w:rPr>
        <w:tab/>
        <w:t>במקרה שלפני, אין חולק כי המעשים שביצע הנאשם מהווים אירוע אחד, לצורך קביעת המתחם, בהתאם ל"מבחן הקשר ההדוק" שאומץ בפסיקה (</w:t>
      </w:r>
      <w:hyperlink r:id="rId36" w:history="1">
        <w:r w:rsidR="00AD007D" w:rsidRPr="00AD007D">
          <w:rPr>
            <w:color w:val="0000FF"/>
            <w:u w:val="single"/>
            <w:rtl/>
          </w:rPr>
          <w:t>ע"פ 4910/13</w:t>
        </w:r>
      </w:hyperlink>
      <w:r>
        <w:rPr>
          <w:rtl/>
        </w:rPr>
        <w:t xml:space="preserve"> </w:t>
      </w:r>
      <w:r>
        <w:rPr>
          <w:b/>
          <w:bCs/>
          <w:rtl/>
        </w:rPr>
        <w:t>ג'אבר נ. מדינת ישראל</w:t>
      </w:r>
      <w:r>
        <w:rPr>
          <w:rtl/>
        </w:rPr>
        <w:t xml:space="preserve"> (29/10/2014)). </w:t>
      </w:r>
    </w:p>
    <w:p w14:paraId="7A2E488B" w14:textId="77777777" w:rsidR="00AE240F" w:rsidRDefault="00AE240F" w:rsidP="00012E6A">
      <w:pPr>
        <w:spacing w:line="360" w:lineRule="auto"/>
        <w:ind w:hanging="720"/>
        <w:jc w:val="both"/>
        <w:rPr>
          <w:rtl/>
        </w:rPr>
      </w:pPr>
    </w:p>
    <w:p w14:paraId="5CA1F834" w14:textId="77777777" w:rsidR="00AE240F" w:rsidRDefault="00AE240F" w:rsidP="00E65EDF">
      <w:pPr>
        <w:spacing w:line="360" w:lineRule="auto"/>
        <w:ind w:left="720" w:hanging="720"/>
        <w:jc w:val="both"/>
        <w:rPr>
          <w:rFonts w:ascii="Calibri" w:hAnsi="Calibri"/>
          <w:rtl/>
        </w:rPr>
      </w:pPr>
      <w:r>
        <w:rPr>
          <w:rFonts w:ascii="Calibri" w:hAnsi="Calibri"/>
          <w:b/>
          <w:bCs/>
          <w:rtl/>
        </w:rPr>
        <w:t>20</w:t>
      </w:r>
      <w:r>
        <w:rPr>
          <w:rFonts w:ascii="Calibri" w:hAnsi="Calibri"/>
          <w:rtl/>
        </w:rPr>
        <w:t>.</w:t>
      </w:r>
      <w:r>
        <w:rPr>
          <w:rFonts w:ascii="Calibri" w:hAnsi="Calibri"/>
          <w:rtl/>
        </w:rPr>
        <w:tab/>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אמות</w:t>
      </w:r>
      <w:r>
        <w:rPr>
          <w:rFonts w:ascii="Calibri" w:hAnsi="Calibri"/>
          <w:rtl/>
        </w:rPr>
        <w:t xml:space="preserve"> </w:t>
      </w:r>
      <w:r>
        <w:rPr>
          <w:rFonts w:ascii="Calibri" w:hAnsi="Calibri" w:hint="eastAsia"/>
          <w:rtl/>
        </w:rPr>
        <w:t>המידה</w:t>
      </w:r>
      <w:r>
        <w:rPr>
          <w:rFonts w:ascii="Calibri" w:hAnsi="Calibri"/>
          <w:rtl/>
        </w:rPr>
        <w:t xml:space="preserve"> </w:t>
      </w:r>
      <w:r>
        <w:rPr>
          <w:rFonts w:ascii="Calibri" w:hAnsi="Calibri" w:hint="eastAsia"/>
          <w:rtl/>
        </w:rPr>
        <w:t>שנקבעו</w:t>
      </w:r>
      <w:r>
        <w:rPr>
          <w:rFonts w:ascii="Calibri" w:hAnsi="Calibri"/>
          <w:rtl/>
        </w:rPr>
        <w:t xml:space="preserve"> </w:t>
      </w:r>
      <w:hyperlink r:id="rId37" w:history="1">
        <w:r w:rsidR="00EA587E" w:rsidRPr="00EA587E">
          <w:rPr>
            <w:rFonts w:ascii="Calibri" w:hAnsi="Calibri" w:hint="eastAsia"/>
            <w:color w:val="0000FF"/>
            <w:u w:val="single"/>
            <w:rtl/>
          </w:rPr>
          <w:t>בסעיף</w:t>
        </w:r>
        <w:r w:rsidR="00EA587E" w:rsidRPr="00EA587E">
          <w:rPr>
            <w:rFonts w:ascii="Calibri" w:hAnsi="Calibri"/>
            <w:color w:val="0000FF"/>
            <w:u w:val="single"/>
            <w:rtl/>
          </w:rPr>
          <w:t xml:space="preserve"> 40</w:t>
        </w:r>
        <w:r w:rsidR="00EA587E" w:rsidRPr="00EA587E">
          <w:rPr>
            <w:rFonts w:ascii="Calibri" w:hAnsi="Calibri" w:hint="eastAsia"/>
            <w:color w:val="0000FF"/>
            <w:u w:val="single"/>
            <w:rtl/>
          </w:rPr>
          <w:t>ג</w:t>
        </w:r>
        <w:r w:rsidR="00EA587E" w:rsidRPr="00EA587E">
          <w:rPr>
            <w:rFonts w:ascii="Calibri" w:hAnsi="Calibri"/>
            <w:color w:val="0000FF"/>
            <w:u w:val="single"/>
            <w:rtl/>
          </w:rPr>
          <w:t>'</w:t>
        </w:r>
      </w:hyperlink>
      <w:r>
        <w:rPr>
          <w:rFonts w:ascii="Calibri" w:hAnsi="Calibri"/>
          <w:rtl/>
        </w:rPr>
        <w:t xml:space="preserve"> </w:t>
      </w:r>
      <w:r>
        <w:rPr>
          <w:rFonts w:ascii="Calibri" w:hAnsi="Calibri" w:hint="eastAsia"/>
          <w:rtl/>
        </w:rPr>
        <w:t>ל</w:t>
      </w:r>
      <w:hyperlink r:id="rId38" w:history="1">
        <w:r w:rsidR="00AD007D" w:rsidRPr="00AD007D">
          <w:rPr>
            <w:rFonts w:ascii="Calibri" w:hAnsi="Calibri" w:hint="eastAsia"/>
            <w:color w:val="0000FF"/>
            <w:u w:val="single"/>
            <w:rtl/>
          </w:rPr>
          <w:t>חוק</w:t>
        </w:r>
        <w:r w:rsidR="00AD007D" w:rsidRPr="00AD007D">
          <w:rPr>
            <w:rFonts w:ascii="Calibri" w:hAnsi="Calibri"/>
            <w:color w:val="0000FF"/>
            <w:u w:val="single"/>
            <w:rtl/>
          </w:rPr>
          <w:t xml:space="preserve"> </w:t>
        </w:r>
        <w:r w:rsidR="00AD007D" w:rsidRPr="00AD007D">
          <w:rPr>
            <w:rFonts w:ascii="Calibri" w:hAnsi="Calibri" w:hint="eastAsia"/>
            <w:color w:val="0000FF"/>
            <w:u w:val="single"/>
            <w:rtl/>
          </w:rPr>
          <w:t>העונשין</w:t>
        </w:r>
      </w:hyperlink>
      <w:r w:rsidRPr="00E65EDF">
        <w:rPr>
          <w:rFonts w:ascii="Calibri" w:hAnsi="Calibri"/>
          <w:rtl/>
        </w:rPr>
        <w:t>,</w:t>
      </w:r>
      <w:r>
        <w:rPr>
          <w:rFonts w:ascii="Calibri" w:hAnsi="Calibri"/>
          <w:rtl/>
        </w:rPr>
        <w:t xml:space="preserve"> </w:t>
      </w:r>
      <w:r>
        <w:rPr>
          <w:rFonts w:ascii="Calibri" w:hAnsi="Calibri" w:hint="eastAsia"/>
          <w:rtl/>
        </w:rPr>
        <w:t>שהן</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המפורט</w:t>
      </w:r>
      <w:r>
        <w:rPr>
          <w:rFonts w:ascii="Calibri" w:hAnsi="Calibri"/>
          <w:rtl/>
        </w:rPr>
        <w:t xml:space="preserve"> </w:t>
      </w:r>
      <w:hyperlink r:id="rId39" w:history="1">
        <w:r w:rsidR="00EA587E" w:rsidRPr="00EA587E">
          <w:rPr>
            <w:rFonts w:ascii="Calibri" w:hAnsi="Calibri" w:hint="eastAsia"/>
            <w:color w:val="0000FF"/>
            <w:u w:val="single"/>
            <w:rtl/>
          </w:rPr>
          <w:t>בסעיף</w:t>
        </w:r>
        <w:r w:rsidR="00EA587E" w:rsidRPr="00EA587E">
          <w:rPr>
            <w:rFonts w:ascii="Calibri" w:hAnsi="Calibri"/>
            <w:color w:val="0000FF"/>
            <w:u w:val="single"/>
            <w:rtl/>
          </w:rPr>
          <w:t xml:space="preserve"> 40</w:t>
        </w:r>
        <w:r w:rsidR="00EA587E" w:rsidRPr="00EA587E">
          <w:rPr>
            <w:rFonts w:ascii="Calibri" w:hAnsi="Calibri" w:hint="eastAsia"/>
            <w:color w:val="0000FF"/>
            <w:u w:val="single"/>
            <w:rtl/>
          </w:rPr>
          <w:t>ט</w:t>
        </w:r>
        <w:r w:rsidR="00EA587E" w:rsidRPr="00EA587E">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גוזר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כמפורט</w:t>
      </w:r>
      <w:r>
        <w:rPr>
          <w:rFonts w:ascii="Calibri" w:hAnsi="Calibri"/>
          <w:rtl/>
        </w:rPr>
        <w:t xml:space="preserve"> </w:t>
      </w:r>
      <w:hyperlink r:id="rId40" w:history="1">
        <w:r w:rsidR="00EA587E" w:rsidRPr="00EA587E">
          <w:rPr>
            <w:rFonts w:ascii="Calibri" w:hAnsi="Calibri" w:hint="eastAsia"/>
            <w:color w:val="0000FF"/>
            <w:u w:val="single"/>
            <w:rtl/>
          </w:rPr>
          <w:t>בסעיף</w:t>
        </w:r>
        <w:r w:rsidR="00EA587E" w:rsidRPr="00EA587E">
          <w:rPr>
            <w:rFonts w:ascii="Calibri" w:hAnsi="Calibri"/>
            <w:color w:val="0000FF"/>
            <w:u w:val="single"/>
            <w:rtl/>
          </w:rPr>
          <w:t xml:space="preserve"> 40</w:t>
        </w:r>
        <w:r w:rsidR="00EA587E" w:rsidRPr="00EA587E">
          <w:rPr>
            <w:rFonts w:ascii="Calibri" w:hAnsi="Calibri" w:hint="eastAsia"/>
            <w:color w:val="0000FF"/>
            <w:u w:val="single"/>
            <w:rtl/>
          </w:rPr>
          <w:t>יא</w:t>
        </w:r>
        <w:r w:rsidR="00EA587E" w:rsidRPr="00EA587E">
          <w:rPr>
            <w:rFonts w:ascii="Calibri" w:hAnsi="Calibri"/>
            <w:color w:val="0000FF"/>
            <w:u w:val="single"/>
            <w:rtl/>
          </w:rPr>
          <w:t>'</w:t>
        </w:r>
      </w:hyperlink>
      <w:r>
        <w:rPr>
          <w:rFonts w:ascii="Calibri" w:hAnsi="Calibri"/>
          <w:rtl/>
        </w:rPr>
        <w:t xml:space="preserve"> </w:t>
      </w:r>
      <w:r>
        <w:rPr>
          <w:rFonts w:ascii="Calibri" w:hAnsi="Calibri" w:hint="eastAsia"/>
          <w:rtl/>
        </w:rPr>
        <w:t>ל</w:t>
      </w:r>
      <w:hyperlink r:id="rId41" w:history="1">
        <w:r w:rsidR="00AD007D" w:rsidRPr="00AD007D">
          <w:rPr>
            <w:rFonts w:ascii="Calibri" w:hAnsi="Calibri" w:hint="eastAsia"/>
            <w:color w:val="0000FF"/>
            <w:u w:val="single"/>
            <w:rtl/>
          </w:rPr>
          <w:t>חוק</w:t>
        </w:r>
        <w:r w:rsidR="00AD007D" w:rsidRPr="00AD007D">
          <w:rPr>
            <w:rFonts w:ascii="Calibri" w:hAnsi="Calibri"/>
            <w:color w:val="0000FF"/>
            <w:u w:val="single"/>
            <w:rtl/>
          </w:rPr>
          <w:t xml:space="preserve"> </w:t>
        </w:r>
        <w:r w:rsidR="00AD007D" w:rsidRPr="00AD007D">
          <w:rPr>
            <w:rFonts w:ascii="Calibri" w:hAnsi="Calibri" w:hint="eastAsia"/>
            <w:color w:val="0000FF"/>
            <w:u w:val="single"/>
            <w:rtl/>
          </w:rPr>
          <w:t>העונשין</w:t>
        </w:r>
      </w:hyperlink>
      <w:r>
        <w:rPr>
          <w:rFonts w:ascii="Calibri" w:hAnsi="Calibri"/>
          <w:rtl/>
        </w:rPr>
        <w:t>.</w:t>
      </w:r>
    </w:p>
    <w:p w14:paraId="4CBBB889" w14:textId="77777777" w:rsidR="00AE240F" w:rsidRDefault="00AE240F" w:rsidP="00012E6A">
      <w:pPr>
        <w:spacing w:line="360" w:lineRule="auto"/>
        <w:rPr>
          <w:rFonts w:ascii="Calibri" w:hAnsi="Calibri"/>
          <w:rtl/>
        </w:rPr>
      </w:pPr>
    </w:p>
    <w:p w14:paraId="58A32AD9" w14:textId="77777777" w:rsidR="00AE240F" w:rsidRPr="00E65EDF" w:rsidRDefault="00AE240F" w:rsidP="00012E6A">
      <w:pPr>
        <w:spacing w:line="360" w:lineRule="auto"/>
        <w:ind w:left="720"/>
        <w:jc w:val="both"/>
        <w:rPr>
          <w:rFonts w:ascii="Calibri" w:hAnsi="Calibri"/>
          <w:rtl/>
        </w:rPr>
      </w:pPr>
      <w:r>
        <w:rPr>
          <w:rFonts w:ascii="Calibri" w:hAnsi="Calibri" w:hint="eastAsia"/>
          <w:rtl/>
        </w:rPr>
        <w:t>האמור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גורע</w:t>
      </w:r>
      <w:r>
        <w:rPr>
          <w:rFonts w:ascii="Calibri" w:hAnsi="Calibri"/>
          <w:rtl/>
        </w:rPr>
        <w:t xml:space="preserve"> </w:t>
      </w:r>
      <w:r>
        <w:rPr>
          <w:rFonts w:ascii="Calibri" w:hAnsi="Calibri" w:hint="eastAsia"/>
          <w:rtl/>
        </w:rPr>
        <w:t>מסמכותו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hyperlink r:id="rId42" w:history="1">
        <w:r w:rsidR="00EA587E" w:rsidRPr="00EA587E">
          <w:rPr>
            <w:rFonts w:ascii="Calibri" w:hAnsi="Calibri" w:hint="eastAsia"/>
            <w:color w:val="0000FF"/>
            <w:u w:val="single"/>
            <w:rtl/>
          </w:rPr>
          <w:t>סעיף</w:t>
        </w:r>
        <w:r w:rsidR="00EA587E" w:rsidRPr="00EA587E">
          <w:rPr>
            <w:rFonts w:ascii="Calibri" w:hAnsi="Calibri"/>
            <w:color w:val="0000FF"/>
            <w:u w:val="single"/>
            <w:rtl/>
          </w:rPr>
          <w:t xml:space="preserve"> 40</w:t>
        </w:r>
        <w:r w:rsidR="00EA587E" w:rsidRPr="00EA587E">
          <w:rPr>
            <w:rFonts w:ascii="Calibri" w:hAnsi="Calibri" w:hint="eastAsia"/>
            <w:color w:val="0000FF"/>
            <w:u w:val="single"/>
            <w:rtl/>
          </w:rPr>
          <w:t>יב</w:t>
        </w:r>
        <w:r w:rsidR="00EA587E" w:rsidRPr="00EA587E">
          <w:rPr>
            <w:rFonts w:ascii="Calibri" w:hAnsi="Calibri"/>
            <w:color w:val="0000FF"/>
            <w:u w:val="single"/>
            <w:rtl/>
          </w:rPr>
          <w:t>'</w:t>
        </w:r>
      </w:hyperlink>
      <w:r w:rsidRPr="00E65EDF">
        <w:rPr>
          <w:rFonts w:ascii="Calibri" w:hAnsi="Calibri"/>
          <w:rtl/>
        </w:rPr>
        <w:t xml:space="preserve"> </w:t>
      </w:r>
      <w:r w:rsidRPr="00E65EDF">
        <w:rPr>
          <w:rFonts w:ascii="Calibri" w:hAnsi="Calibri" w:hint="eastAsia"/>
          <w:rtl/>
        </w:rPr>
        <w:t>ל</w:t>
      </w:r>
      <w:hyperlink r:id="rId43" w:history="1">
        <w:r w:rsidR="00AD007D" w:rsidRPr="00AD007D">
          <w:rPr>
            <w:rFonts w:ascii="Calibri" w:hAnsi="Calibri" w:hint="eastAsia"/>
            <w:color w:val="0000FF"/>
            <w:u w:val="single"/>
            <w:rtl/>
          </w:rPr>
          <w:t>חוק</w:t>
        </w:r>
        <w:r w:rsidR="00AD007D" w:rsidRPr="00AD007D">
          <w:rPr>
            <w:rFonts w:ascii="Calibri" w:hAnsi="Calibri"/>
            <w:color w:val="0000FF"/>
            <w:u w:val="single"/>
            <w:rtl/>
          </w:rPr>
          <w:t xml:space="preserve"> </w:t>
        </w:r>
        <w:r w:rsidR="00AD007D" w:rsidRPr="00AD007D">
          <w:rPr>
            <w:rFonts w:ascii="Calibri" w:hAnsi="Calibri" w:hint="eastAsia"/>
            <w:color w:val="0000FF"/>
            <w:u w:val="single"/>
            <w:rtl/>
          </w:rPr>
          <w:t>העונשין</w:t>
        </w:r>
      </w:hyperlink>
      <w:r w:rsidRPr="00E65EDF">
        <w:rPr>
          <w:rFonts w:ascii="Calibri" w:hAnsi="Calibri"/>
          <w:rtl/>
        </w:rPr>
        <w:t>).</w:t>
      </w:r>
    </w:p>
    <w:p w14:paraId="06AFA0D3" w14:textId="77777777" w:rsidR="00AE240F" w:rsidRDefault="00AE240F" w:rsidP="00012E6A">
      <w:pPr>
        <w:spacing w:line="360" w:lineRule="auto"/>
        <w:rPr>
          <w:rFonts w:ascii="Calibri" w:hAnsi="Calibri"/>
          <w:rtl/>
        </w:rPr>
      </w:pPr>
    </w:p>
    <w:p w14:paraId="1AB977E6" w14:textId="77777777" w:rsidR="00AE240F" w:rsidRDefault="00AE240F" w:rsidP="00012E6A">
      <w:pPr>
        <w:keepNext/>
        <w:spacing w:line="360" w:lineRule="auto"/>
        <w:rPr>
          <w:rFonts w:ascii="Calibri" w:hAnsi="Calibri"/>
          <w:bCs/>
          <w:u w:val="single"/>
          <w:rtl/>
        </w:rPr>
      </w:pPr>
      <w:r>
        <w:rPr>
          <w:bCs/>
          <w:u w:val="single"/>
          <w:rtl/>
        </w:rPr>
        <w:t>מתחם העונש ההולם</w:t>
      </w:r>
    </w:p>
    <w:p w14:paraId="583983B3" w14:textId="77777777" w:rsidR="00AE240F" w:rsidRDefault="00AE240F" w:rsidP="00012E6A">
      <w:pPr>
        <w:keepNext/>
        <w:spacing w:line="360" w:lineRule="auto"/>
        <w:rPr>
          <w:b/>
          <w:rtl/>
        </w:rPr>
      </w:pPr>
    </w:p>
    <w:p w14:paraId="317E5F5E" w14:textId="77777777" w:rsidR="00AE240F" w:rsidRDefault="00AE240F" w:rsidP="00012E6A">
      <w:pPr>
        <w:spacing w:line="360" w:lineRule="auto"/>
        <w:ind w:left="720" w:hanging="720"/>
      </w:pPr>
      <w:r>
        <w:rPr>
          <w:b/>
          <w:bCs/>
          <w:rtl/>
        </w:rPr>
        <w:t>21.</w:t>
      </w:r>
      <w:r>
        <w:rPr>
          <w:b/>
          <w:bCs/>
          <w:rtl/>
        </w:rPr>
        <w:tab/>
      </w:r>
      <w:r>
        <w:rPr>
          <w:rtl/>
        </w:rPr>
        <w:t>מתחם העונש ההולם נקבע על פי הערך החברתי המוגן באמצעות העבירה ומידת הפגיעה בו, מדיניות הענישה הנהוגה והנסיבות הקשורות בביצוע העבירה.</w:t>
      </w:r>
    </w:p>
    <w:p w14:paraId="581D5DDB" w14:textId="77777777" w:rsidR="00AE240F" w:rsidRDefault="00AE240F" w:rsidP="00012E6A">
      <w:pPr>
        <w:spacing w:line="360" w:lineRule="auto"/>
        <w:jc w:val="both"/>
        <w:rPr>
          <w:rtl/>
        </w:rPr>
      </w:pPr>
    </w:p>
    <w:p w14:paraId="79A68A0C" w14:textId="77777777" w:rsidR="00AE240F" w:rsidRDefault="00AE240F" w:rsidP="00012E6A">
      <w:pPr>
        <w:spacing w:line="360" w:lineRule="auto"/>
        <w:ind w:left="720" w:hanging="720"/>
        <w:jc w:val="both"/>
        <w:rPr>
          <w:rFonts w:ascii="Calibri" w:hAnsi="Calibri"/>
          <w:rtl/>
        </w:rPr>
      </w:pPr>
      <w:r>
        <w:rPr>
          <w:b/>
          <w:bCs/>
          <w:rtl/>
        </w:rPr>
        <w:t>22.</w:t>
      </w:r>
      <w:r>
        <w:rPr>
          <w:b/>
          <w:bCs/>
          <w:rtl/>
        </w:rPr>
        <w:tab/>
        <w:t>הערך המוגן ומידת הפגיעה בו</w:t>
      </w:r>
      <w:r>
        <w:rPr>
          <w:rtl/>
        </w:rPr>
        <w:t xml:space="preserve"> - רבות דובר בפסיקה על חומרתן של עבירות בנשק, בשל מידת הפגיעה שלהן בביטחון הציבור ובשלומו. עבירות בנשק, הינן מטבען, בעלות פוטנציאל גבוה לסיכון שלומו של הציבור, פגיעה בערך קדושת החיים ושלמות הגוף. כלי נשק המוחזקים באופן לא חוקי  עלולים להגיע, בנקל, לידיים עוינות או לשמש לפעילות עבריינית, פעילות טרור וכד' ועצם החזקתם, על ידי מי שאיננו מורשה ומיומן לעשות כן, טומנת בחובה סכנה, כפי שהדברים באו ליידי ביטוי </w:t>
      </w:r>
      <w:r>
        <w:rPr>
          <w:rFonts w:ascii="Calibri" w:hAnsi="Calibri" w:hint="eastAsia"/>
          <w:rtl/>
        </w:rPr>
        <w:t>ב</w:t>
      </w:r>
      <w:hyperlink r:id="rId44" w:history="1">
        <w:r w:rsidR="00AD007D" w:rsidRPr="00AD007D">
          <w:rPr>
            <w:rFonts w:ascii="Calibri" w:hAnsi="Calibri" w:hint="eastAsia"/>
            <w:color w:val="0000FF"/>
            <w:u w:val="single"/>
            <w:rtl/>
          </w:rPr>
          <w:t>ע</w:t>
        </w:r>
        <w:r w:rsidR="00AD007D" w:rsidRPr="00AD007D">
          <w:rPr>
            <w:rFonts w:ascii="Calibri" w:hAnsi="Calibri"/>
            <w:color w:val="0000FF"/>
            <w:u w:val="single"/>
            <w:rtl/>
          </w:rPr>
          <w:t>"</w:t>
        </w:r>
        <w:r w:rsidR="00AD007D" w:rsidRPr="00AD007D">
          <w:rPr>
            <w:rFonts w:ascii="Calibri" w:hAnsi="Calibri" w:hint="eastAsia"/>
            <w:color w:val="0000FF"/>
            <w:u w:val="single"/>
            <w:rtl/>
          </w:rPr>
          <w:t>פ</w:t>
        </w:r>
        <w:r w:rsidR="00AD007D" w:rsidRPr="00AD007D">
          <w:rPr>
            <w:rFonts w:ascii="Calibri" w:hAnsi="Calibri"/>
            <w:color w:val="0000FF"/>
            <w:u w:val="single"/>
            <w:rtl/>
          </w:rPr>
          <w:t xml:space="preserve"> 4945/13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סלימאן</w:t>
      </w:r>
      <w:r>
        <w:rPr>
          <w:rFonts w:ascii="Calibri" w:hAnsi="Calibri"/>
          <w:rtl/>
        </w:rPr>
        <w:t xml:space="preserve"> (</w:t>
      </w:r>
      <w:r>
        <w:rPr>
          <w:rFonts w:ascii="Arial" w:hAnsi="Arial"/>
          <w:rtl/>
        </w:rPr>
        <w:t>19/01/2014)</w:t>
      </w:r>
      <w:r>
        <w:rPr>
          <w:rFonts w:ascii="Calibri" w:hAnsi="Calibri"/>
          <w:rtl/>
        </w:rPr>
        <w:t xml:space="preserve">: </w:t>
      </w:r>
    </w:p>
    <w:p w14:paraId="050AF95B" w14:textId="77777777" w:rsidR="00AE240F" w:rsidRDefault="00AE240F" w:rsidP="00012E6A">
      <w:pPr>
        <w:spacing w:line="360" w:lineRule="auto"/>
        <w:jc w:val="both"/>
        <w:rPr>
          <w:rFonts w:ascii="Calibri" w:hAnsi="Calibri"/>
          <w:b/>
          <w:bCs/>
          <w:rtl/>
        </w:rPr>
      </w:pPr>
    </w:p>
    <w:p w14:paraId="110CC971" w14:textId="77777777" w:rsidR="00AE240F" w:rsidRDefault="00AE240F" w:rsidP="00012E6A">
      <w:pPr>
        <w:spacing w:line="360" w:lineRule="auto"/>
        <w:ind w:left="1440" w:right="993"/>
        <w:jc w:val="both"/>
        <w:rPr>
          <w:rFonts w:ascii="Calibri" w:hAnsi="Calibri"/>
          <w:b/>
          <w:bCs/>
          <w:rtl/>
        </w:rPr>
      </w:pPr>
      <w:r>
        <w:rPr>
          <w:rFonts w:ascii="Calibri" w:hAnsi="Calibri"/>
          <w:b/>
          <w:bCs/>
          <w:rtl/>
        </w:rPr>
        <w:t>"</w:t>
      </w:r>
      <w:r>
        <w:rPr>
          <w:rFonts w:ascii="Calibri" w:hAnsi="Calibri" w:hint="eastAsia"/>
          <w:b/>
          <w:bCs/>
          <w:rtl/>
        </w:rPr>
        <w:t>עבירות</w:t>
      </w:r>
      <w:r>
        <w:rPr>
          <w:rFonts w:ascii="Calibri" w:hAnsi="Calibri"/>
          <w:b/>
          <w:bCs/>
          <w:rtl/>
        </w:rPr>
        <w:t xml:space="preserve"> </w:t>
      </w:r>
      <w:r>
        <w:rPr>
          <w:rFonts w:ascii="Calibri" w:hAnsi="Calibri" w:hint="eastAsia"/>
          <w:b/>
          <w:bCs/>
          <w:rtl/>
        </w:rPr>
        <w:t>המבוצעות</w:t>
      </w:r>
      <w:r>
        <w:rPr>
          <w:rFonts w:ascii="Calibri" w:hAnsi="Calibri"/>
          <w:b/>
          <w:bCs/>
          <w:rtl/>
        </w:rPr>
        <w:t xml:space="preserve"> </w:t>
      </w:r>
      <w:r>
        <w:rPr>
          <w:rFonts w:ascii="Calibri" w:hAnsi="Calibri" w:hint="eastAsia"/>
          <w:b/>
          <w:bCs/>
          <w:rtl/>
        </w:rPr>
        <w:t>בנשק</w:t>
      </w:r>
      <w:r>
        <w:rPr>
          <w:rFonts w:ascii="Calibri" w:hAnsi="Calibri"/>
          <w:b/>
          <w:bCs/>
          <w:rtl/>
        </w:rPr>
        <w:t xml:space="preserve"> - </w:t>
      </w:r>
      <w:r>
        <w:rPr>
          <w:rFonts w:ascii="Calibri" w:hAnsi="Calibri" w:hint="eastAsia"/>
          <w:b/>
          <w:bCs/>
          <w:rtl/>
        </w:rPr>
        <w:t>לרבות</w:t>
      </w:r>
      <w:r>
        <w:rPr>
          <w:rFonts w:ascii="Calibri" w:hAnsi="Calibri"/>
          <w:b/>
          <w:bCs/>
          <w:rtl/>
        </w:rPr>
        <w:t xml:space="preserve"> </w:t>
      </w:r>
      <w:r>
        <w:rPr>
          <w:rFonts w:ascii="Calibri" w:hAnsi="Calibri" w:hint="eastAsia"/>
          <w:b/>
          <w:bCs/>
          <w:rtl/>
        </w:rPr>
        <w:t>רכישה</w:t>
      </w:r>
      <w:r>
        <w:rPr>
          <w:rFonts w:ascii="Calibri" w:hAnsi="Calibri"/>
          <w:b/>
          <w:bCs/>
          <w:rtl/>
        </w:rPr>
        <w:t xml:space="preserve">, </w:t>
      </w:r>
      <w:r>
        <w:rPr>
          <w:rFonts w:ascii="Calibri" w:hAnsi="Calibri" w:hint="eastAsia"/>
          <w:b/>
          <w:bCs/>
          <w:rtl/>
        </w:rPr>
        <w:t>החזקה</w:t>
      </w:r>
      <w:r>
        <w:rPr>
          <w:rFonts w:ascii="Calibri" w:hAnsi="Calibri"/>
          <w:b/>
          <w:bCs/>
          <w:rtl/>
        </w:rPr>
        <w:t xml:space="preserve"> </w:t>
      </w:r>
      <w:r>
        <w:rPr>
          <w:rFonts w:ascii="Calibri" w:hAnsi="Calibri" w:hint="eastAsia"/>
          <w:b/>
          <w:bCs/>
          <w:rtl/>
        </w:rPr>
        <w:t>ונשיאת</w:t>
      </w:r>
      <w:r>
        <w:rPr>
          <w:rFonts w:ascii="Calibri" w:hAnsi="Calibri"/>
          <w:b/>
          <w:bCs/>
          <w:rtl/>
        </w:rPr>
        <w:t xml:space="preserve"> </w:t>
      </w:r>
      <w:r>
        <w:rPr>
          <w:rFonts w:ascii="Calibri" w:hAnsi="Calibri" w:hint="eastAsia"/>
          <w:b/>
          <w:bCs/>
          <w:rtl/>
        </w:rPr>
        <w:t>נשק</w:t>
      </w:r>
      <w:r>
        <w:rPr>
          <w:rFonts w:ascii="Calibri" w:hAnsi="Calibri"/>
          <w:b/>
          <w:bCs/>
          <w:rtl/>
        </w:rPr>
        <w:t xml:space="preserve"> - </w:t>
      </w:r>
      <w:r>
        <w:rPr>
          <w:rFonts w:ascii="Calibri" w:hAnsi="Calibri" w:hint="eastAsia"/>
          <w:b/>
          <w:bCs/>
          <w:rtl/>
        </w:rPr>
        <w:t>טומנות</w:t>
      </w:r>
      <w:r>
        <w:rPr>
          <w:rFonts w:ascii="Calibri" w:hAnsi="Calibri"/>
          <w:b/>
          <w:bCs/>
          <w:rtl/>
        </w:rPr>
        <w:t xml:space="preserve"> </w:t>
      </w:r>
      <w:r>
        <w:rPr>
          <w:rFonts w:ascii="Calibri" w:hAnsi="Calibri" w:hint="eastAsia"/>
          <w:b/>
          <w:bCs/>
          <w:rtl/>
        </w:rPr>
        <w:t>בחובן</w:t>
      </w:r>
      <w:r>
        <w:rPr>
          <w:rFonts w:ascii="Calibri" w:hAnsi="Calibri"/>
          <w:b/>
          <w:bCs/>
          <w:rtl/>
        </w:rPr>
        <w:t xml:space="preserve"> </w:t>
      </w:r>
      <w:r>
        <w:rPr>
          <w:rFonts w:ascii="Calibri" w:hAnsi="Calibri" w:hint="eastAsia"/>
          <w:b/>
          <w:bCs/>
          <w:rtl/>
        </w:rPr>
        <w:t>פוטנציאל</w:t>
      </w:r>
      <w:r>
        <w:rPr>
          <w:rFonts w:ascii="Calibri" w:hAnsi="Calibri"/>
          <w:b/>
          <w:bCs/>
          <w:rtl/>
        </w:rPr>
        <w:t xml:space="preserve"> </w:t>
      </w:r>
      <w:r>
        <w:rPr>
          <w:rFonts w:ascii="Calibri" w:hAnsi="Calibri" w:hint="eastAsia"/>
          <w:b/>
          <w:bCs/>
          <w:rtl/>
        </w:rPr>
        <w:t>סיכון</w:t>
      </w:r>
      <w:r>
        <w:rPr>
          <w:rFonts w:ascii="Calibri" w:hAnsi="Calibri"/>
          <w:b/>
          <w:bCs/>
          <w:rtl/>
        </w:rPr>
        <w:t xml:space="preserve"> </w:t>
      </w:r>
      <w:r>
        <w:rPr>
          <w:rFonts w:ascii="Calibri" w:hAnsi="Calibri" w:hint="eastAsia"/>
          <w:b/>
          <w:bCs/>
          <w:rtl/>
        </w:rPr>
        <w:t>הרסני</w:t>
      </w:r>
      <w:r>
        <w:rPr>
          <w:rFonts w:ascii="Calibri" w:hAnsi="Calibri"/>
          <w:b/>
          <w:bCs/>
          <w:rtl/>
        </w:rPr>
        <w:t xml:space="preserve"> </w:t>
      </w:r>
      <w:r>
        <w:rPr>
          <w:rFonts w:ascii="Calibri" w:hAnsi="Calibri" w:hint="eastAsia"/>
          <w:b/>
          <w:bCs/>
          <w:rtl/>
        </w:rPr>
        <w:t>לפגיעה</w:t>
      </w:r>
      <w:r>
        <w:rPr>
          <w:rFonts w:ascii="Calibri" w:hAnsi="Calibri"/>
          <w:b/>
          <w:bCs/>
          <w:rtl/>
        </w:rPr>
        <w:t xml:space="preserve"> </w:t>
      </w:r>
      <w:r>
        <w:rPr>
          <w:rFonts w:ascii="Calibri" w:hAnsi="Calibri" w:hint="eastAsia"/>
          <w:b/>
          <w:bCs/>
          <w:rtl/>
        </w:rPr>
        <w:t>בשלום</w:t>
      </w:r>
      <w:r>
        <w:rPr>
          <w:rFonts w:ascii="Calibri" w:hAnsi="Calibri"/>
          <w:b/>
          <w:bCs/>
          <w:rtl/>
        </w:rPr>
        <w:t xml:space="preserve"> </w:t>
      </w:r>
      <w:r>
        <w:rPr>
          <w:rFonts w:ascii="Calibri" w:hAnsi="Calibri" w:hint="eastAsia"/>
          <w:b/>
          <w:bCs/>
          <w:rtl/>
        </w:rPr>
        <w:t>הציבור</w:t>
      </w:r>
      <w:r>
        <w:rPr>
          <w:rFonts w:ascii="Calibri" w:hAnsi="Calibri"/>
          <w:b/>
          <w:bCs/>
          <w:rtl/>
        </w:rPr>
        <w:t xml:space="preserve"> </w:t>
      </w:r>
      <w:r>
        <w:rPr>
          <w:rFonts w:ascii="Calibri" w:hAnsi="Calibri" w:hint="eastAsia"/>
          <w:b/>
          <w:bCs/>
          <w:rtl/>
        </w:rPr>
        <w:t>וביטחונו</w:t>
      </w:r>
      <w:r>
        <w:rPr>
          <w:rFonts w:ascii="Calibri" w:hAnsi="Calibri"/>
          <w:b/>
          <w:bCs/>
          <w:rtl/>
        </w:rPr>
        <w:t xml:space="preserve">. </w:t>
      </w:r>
      <w:r>
        <w:rPr>
          <w:rFonts w:ascii="Calibri" w:hAnsi="Calibri" w:hint="eastAsia"/>
          <w:b/>
          <w:bCs/>
          <w:rtl/>
        </w:rPr>
        <w:t>החשש</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המוחזק</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כדין</w:t>
      </w:r>
      <w:r>
        <w:rPr>
          <w:rFonts w:ascii="Calibri" w:hAnsi="Calibri"/>
          <w:b/>
          <w:bCs/>
          <w:rtl/>
        </w:rPr>
        <w:t xml:space="preserve"> </w:t>
      </w:r>
      <w:r>
        <w:rPr>
          <w:rFonts w:ascii="Calibri" w:hAnsi="Calibri" w:hint="eastAsia"/>
          <w:b/>
          <w:bCs/>
          <w:rtl/>
        </w:rPr>
        <w:t>ישמש</w:t>
      </w:r>
      <w:r>
        <w:rPr>
          <w:rFonts w:ascii="Calibri" w:hAnsi="Calibri"/>
          <w:b/>
          <w:bCs/>
          <w:rtl/>
        </w:rPr>
        <w:t xml:space="preserve"> </w:t>
      </w:r>
      <w:r>
        <w:rPr>
          <w:rFonts w:ascii="Calibri" w:hAnsi="Calibri" w:hint="eastAsia"/>
          <w:b/>
          <w:bCs/>
          <w:rtl/>
        </w:rPr>
        <w:t>לפעילות</w:t>
      </w:r>
      <w:r>
        <w:rPr>
          <w:rFonts w:ascii="Calibri" w:hAnsi="Calibri"/>
          <w:b/>
          <w:bCs/>
          <w:rtl/>
        </w:rPr>
        <w:t xml:space="preserve"> </w:t>
      </w:r>
      <w:r>
        <w:rPr>
          <w:rFonts w:ascii="Calibri" w:hAnsi="Calibri" w:hint="eastAsia"/>
          <w:b/>
          <w:bCs/>
          <w:rtl/>
        </w:rPr>
        <w:t>עבריינית</w:t>
      </w:r>
      <w:r>
        <w:rPr>
          <w:rFonts w:ascii="Calibri" w:hAnsi="Calibri"/>
          <w:b/>
          <w:bCs/>
          <w:rtl/>
        </w:rPr>
        <w:t xml:space="preserve"> </w:t>
      </w:r>
      <w:r>
        <w:rPr>
          <w:rFonts w:ascii="Calibri" w:hAnsi="Calibri" w:hint="eastAsia"/>
          <w:b/>
          <w:bCs/>
          <w:rtl/>
        </w:rPr>
        <w:t>העלולה</w:t>
      </w:r>
      <w:r>
        <w:rPr>
          <w:rFonts w:ascii="Calibri" w:hAnsi="Calibri"/>
          <w:b/>
          <w:bCs/>
          <w:rtl/>
        </w:rPr>
        <w:t xml:space="preserve"> </w:t>
      </w:r>
      <w:r>
        <w:rPr>
          <w:rFonts w:ascii="Calibri" w:hAnsi="Calibri" w:hint="eastAsia"/>
          <w:b/>
          <w:bCs/>
          <w:rtl/>
        </w:rPr>
        <w:t>להביא</w:t>
      </w:r>
      <w:r>
        <w:rPr>
          <w:rFonts w:ascii="Calibri" w:hAnsi="Calibri"/>
          <w:b/>
          <w:bCs/>
          <w:rtl/>
        </w:rPr>
        <w:t xml:space="preserve"> </w:t>
      </w:r>
      <w:r>
        <w:rPr>
          <w:rFonts w:ascii="Calibri" w:hAnsi="Calibri" w:hint="eastAsia"/>
          <w:b/>
          <w:bCs/>
          <w:rtl/>
        </w:rPr>
        <w:t>לפגיעה</w:t>
      </w:r>
      <w:r>
        <w:rPr>
          <w:rFonts w:ascii="Calibri" w:hAnsi="Calibri"/>
          <w:b/>
          <w:bCs/>
          <w:rtl/>
        </w:rPr>
        <w:t xml:space="preserve"> </w:t>
      </w:r>
      <w:r>
        <w:rPr>
          <w:rFonts w:ascii="Calibri" w:hAnsi="Calibri" w:hint="eastAsia"/>
          <w:b/>
          <w:bCs/>
          <w:rtl/>
        </w:rPr>
        <w:t>ואף</w:t>
      </w:r>
      <w:r>
        <w:rPr>
          <w:rFonts w:ascii="Calibri" w:hAnsi="Calibri"/>
          <w:b/>
          <w:bCs/>
          <w:rtl/>
        </w:rPr>
        <w:t xml:space="preserve"> </w:t>
      </w:r>
      <w:r>
        <w:rPr>
          <w:rFonts w:ascii="Calibri" w:hAnsi="Calibri" w:hint="eastAsia"/>
          <w:b/>
          <w:bCs/>
          <w:rtl/>
        </w:rPr>
        <w:t>לקיפוח</w:t>
      </w:r>
      <w:r>
        <w:rPr>
          <w:rFonts w:ascii="Calibri" w:hAnsi="Calibri"/>
          <w:b/>
          <w:bCs/>
          <w:rtl/>
        </w:rPr>
        <w:t xml:space="preserve"> </w:t>
      </w:r>
      <w:r>
        <w:rPr>
          <w:rFonts w:ascii="Calibri" w:hAnsi="Calibri" w:hint="eastAsia"/>
          <w:b/>
          <w:bCs/>
          <w:rtl/>
        </w:rPr>
        <w:t>חייהם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אזרחים</w:t>
      </w:r>
      <w:r>
        <w:rPr>
          <w:rFonts w:ascii="Calibri" w:hAnsi="Calibri"/>
          <w:b/>
          <w:bCs/>
          <w:rtl/>
        </w:rPr>
        <w:t xml:space="preserve"> </w:t>
      </w:r>
      <w:r>
        <w:rPr>
          <w:rFonts w:ascii="Calibri" w:hAnsi="Calibri" w:hint="eastAsia"/>
          <w:b/>
          <w:bCs/>
          <w:rtl/>
        </w:rPr>
        <w:t>תמימים</w:t>
      </w:r>
      <w:r>
        <w:rPr>
          <w:rFonts w:ascii="Calibri" w:hAnsi="Calibri"/>
          <w:b/>
          <w:bCs/>
          <w:rtl/>
        </w:rPr>
        <w:t xml:space="preserve">. </w:t>
      </w:r>
      <w:r>
        <w:rPr>
          <w:rFonts w:ascii="Calibri" w:hAnsi="Calibri" w:hint="eastAsia"/>
          <w:b/>
          <w:bCs/>
          <w:rtl/>
        </w:rPr>
        <w:t>אכן</w:t>
      </w:r>
      <w:r>
        <w:rPr>
          <w:rFonts w:ascii="Calibri" w:hAnsi="Calibri"/>
          <w:b/>
          <w:bCs/>
          <w:rtl/>
        </w:rPr>
        <w:t>, '</w:t>
      </w:r>
      <w:r>
        <w:rPr>
          <w:rFonts w:ascii="Calibri" w:hAnsi="Calibri" w:hint="eastAsia"/>
          <w:b/>
          <w:bCs/>
          <w:rtl/>
        </w:rPr>
        <w:t>התגלגלותם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כלי</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מיד</w:t>
      </w:r>
      <w:r>
        <w:rPr>
          <w:rFonts w:ascii="Calibri" w:hAnsi="Calibri"/>
          <w:b/>
          <w:bCs/>
          <w:rtl/>
        </w:rPr>
        <w:t xml:space="preserve"> </w:t>
      </w:r>
      <w:r>
        <w:rPr>
          <w:rFonts w:ascii="Calibri" w:hAnsi="Calibri" w:hint="eastAsia"/>
          <w:b/>
          <w:bCs/>
          <w:rtl/>
        </w:rPr>
        <w:t>ליד</w:t>
      </w:r>
      <w:r>
        <w:rPr>
          <w:rFonts w:ascii="Calibri" w:hAnsi="Calibri"/>
          <w:b/>
          <w:bCs/>
          <w:rtl/>
        </w:rPr>
        <w:t xml:space="preserve"> </w:t>
      </w:r>
      <w:r>
        <w:rPr>
          <w:rFonts w:ascii="Calibri" w:hAnsi="Calibri" w:hint="eastAsia"/>
          <w:b/>
          <w:bCs/>
          <w:rtl/>
        </w:rPr>
        <w:t>ללא</w:t>
      </w:r>
      <w:r>
        <w:rPr>
          <w:rFonts w:ascii="Calibri" w:hAnsi="Calibri"/>
          <w:b/>
          <w:bCs/>
          <w:rtl/>
        </w:rPr>
        <w:t xml:space="preserve"> </w:t>
      </w:r>
      <w:r>
        <w:rPr>
          <w:rFonts w:ascii="Calibri" w:hAnsi="Calibri" w:hint="eastAsia"/>
          <w:b/>
          <w:bCs/>
          <w:rtl/>
        </w:rPr>
        <w:t>פיקוח</w:t>
      </w:r>
      <w:r>
        <w:rPr>
          <w:rFonts w:ascii="Calibri" w:hAnsi="Calibri"/>
          <w:b/>
          <w:bCs/>
          <w:rtl/>
        </w:rPr>
        <w:t xml:space="preserve"> </w:t>
      </w:r>
      <w:r>
        <w:rPr>
          <w:rFonts w:ascii="Calibri" w:hAnsi="Calibri" w:hint="eastAsia"/>
          <w:b/>
          <w:bCs/>
          <w:rtl/>
        </w:rPr>
        <w:t>עלול</w:t>
      </w:r>
      <w:r>
        <w:rPr>
          <w:rFonts w:ascii="Calibri" w:hAnsi="Calibri"/>
          <w:b/>
          <w:bCs/>
          <w:rtl/>
        </w:rPr>
        <w:t xml:space="preserve"> </w:t>
      </w:r>
      <w:r>
        <w:rPr>
          <w:rFonts w:ascii="Calibri" w:hAnsi="Calibri" w:hint="eastAsia"/>
          <w:b/>
          <w:bCs/>
          <w:rtl/>
        </w:rPr>
        <w:t>להוביל</w:t>
      </w:r>
      <w:r>
        <w:rPr>
          <w:rFonts w:ascii="Calibri" w:hAnsi="Calibri"/>
          <w:b/>
          <w:bCs/>
          <w:rtl/>
        </w:rPr>
        <w:t xml:space="preserve"> </w:t>
      </w:r>
      <w:r>
        <w:rPr>
          <w:rFonts w:ascii="Calibri" w:hAnsi="Calibri" w:hint="eastAsia"/>
          <w:b/>
          <w:bCs/>
          <w:rtl/>
        </w:rPr>
        <w:t>להגעתם</w:t>
      </w:r>
      <w:r>
        <w:rPr>
          <w:rFonts w:ascii="Calibri" w:hAnsi="Calibri"/>
          <w:b/>
          <w:bCs/>
          <w:rtl/>
        </w:rPr>
        <w:t xml:space="preserve"> </w:t>
      </w:r>
      <w:r>
        <w:rPr>
          <w:rFonts w:ascii="Calibri" w:hAnsi="Calibri" w:hint="eastAsia"/>
          <w:b/>
          <w:bCs/>
          <w:rtl/>
        </w:rPr>
        <w:t>בדרך</w:t>
      </w:r>
      <w:r>
        <w:rPr>
          <w:rFonts w:ascii="Calibri" w:hAnsi="Calibri"/>
          <w:b/>
          <w:bCs/>
          <w:rtl/>
        </w:rPr>
        <w:t xml:space="preserve"> </w:t>
      </w:r>
      <w:r>
        <w:rPr>
          <w:rFonts w:ascii="Calibri" w:hAnsi="Calibri" w:hint="eastAsia"/>
          <w:b/>
          <w:bCs/>
          <w:rtl/>
        </w:rPr>
        <w:t>לא</w:t>
      </w:r>
      <w:r>
        <w:rPr>
          <w:rFonts w:ascii="Calibri" w:hAnsi="Calibri"/>
          <w:b/>
          <w:bCs/>
          <w:rtl/>
        </w:rPr>
        <w:t xml:space="preserve"> </w:t>
      </w:r>
      <w:r>
        <w:rPr>
          <w:rFonts w:ascii="Calibri" w:hAnsi="Calibri" w:hint="eastAsia"/>
          <w:b/>
          <w:bCs/>
          <w:rtl/>
        </w:rPr>
        <w:t>דרך</w:t>
      </w:r>
      <w:r>
        <w:rPr>
          <w:rFonts w:ascii="Calibri" w:hAnsi="Calibri"/>
          <w:b/>
          <w:bCs/>
          <w:rtl/>
        </w:rPr>
        <w:t xml:space="preserve"> </w:t>
      </w:r>
      <w:r>
        <w:rPr>
          <w:rFonts w:ascii="Calibri" w:hAnsi="Calibri" w:hint="eastAsia"/>
          <w:b/>
          <w:bCs/>
          <w:rtl/>
        </w:rPr>
        <w:t>לגורמים</w:t>
      </w:r>
      <w:r>
        <w:rPr>
          <w:rFonts w:ascii="Calibri" w:hAnsi="Calibri"/>
          <w:b/>
          <w:bCs/>
          <w:rtl/>
        </w:rPr>
        <w:t xml:space="preserve"> </w:t>
      </w:r>
      <w:r>
        <w:rPr>
          <w:rFonts w:ascii="Calibri" w:hAnsi="Calibri" w:hint="eastAsia"/>
          <w:b/>
          <w:bCs/>
          <w:rtl/>
        </w:rPr>
        <w:t>פליליים</w:t>
      </w:r>
      <w:r>
        <w:rPr>
          <w:rFonts w:ascii="Calibri" w:hAnsi="Calibri"/>
          <w:b/>
          <w:bCs/>
          <w:rtl/>
        </w:rPr>
        <w:t xml:space="preserve"> </w:t>
      </w:r>
      <w:r>
        <w:rPr>
          <w:rFonts w:ascii="Calibri" w:hAnsi="Calibri" w:hint="eastAsia"/>
          <w:b/>
          <w:bCs/>
          <w:rtl/>
        </w:rPr>
        <w:t>ועוינים</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לדעת</w:t>
      </w:r>
      <w:r>
        <w:rPr>
          <w:rFonts w:ascii="Calibri" w:hAnsi="Calibri"/>
          <w:b/>
          <w:bCs/>
          <w:rtl/>
        </w:rPr>
        <w:t xml:space="preserve"> </w:t>
      </w:r>
      <w:r>
        <w:rPr>
          <w:rFonts w:ascii="Calibri" w:hAnsi="Calibri" w:hint="eastAsia"/>
          <w:b/>
          <w:bCs/>
          <w:rtl/>
        </w:rPr>
        <w:t>מה</w:t>
      </w:r>
      <w:r>
        <w:rPr>
          <w:rFonts w:ascii="Calibri" w:hAnsi="Calibri"/>
          <w:b/>
          <w:bCs/>
          <w:rtl/>
        </w:rPr>
        <w:t xml:space="preserve"> </w:t>
      </w:r>
      <w:r>
        <w:rPr>
          <w:rFonts w:ascii="Calibri" w:hAnsi="Calibri" w:hint="eastAsia"/>
          <w:b/>
          <w:bCs/>
          <w:rtl/>
        </w:rPr>
        <w:t>יעלה</w:t>
      </w:r>
      <w:r>
        <w:rPr>
          <w:rFonts w:ascii="Calibri" w:hAnsi="Calibri"/>
          <w:b/>
          <w:bCs/>
          <w:rtl/>
        </w:rPr>
        <w:t xml:space="preserve"> </w:t>
      </w:r>
      <w:r>
        <w:rPr>
          <w:rFonts w:ascii="Calibri" w:hAnsi="Calibri" w:hint="eastAsia"/>
          <w:b/>
          <w:bCs/>
          <w:rtl/>
        </w:rPr>
        <w:t>בגורלם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כלי</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אלה</w:t>
      </w:r>
      <w:r>
        <w:rPr>
          <w:rFonts w:ascii="Calibri" w:hAnsi="Calibri"/>
          <w:b/>
          <w:bCs/>
          <w:rtl/>
        </w:rPr>
        <w:t xml:space="preserve"> </w:t>
      </w:r>
      <w:r>
        <w:rPr>
          <w:rFonts w:ascii="Calibri" w:hAnsi="Calibri" w:hint="eastAsia"/>
          <w:b/>
          <w:bCs/>
          <w:rtl/>
        </w:rPr>
        <w:t>ולאילו</w:t>
      </w:r>
      <w:r>
        <w:rPr>
          <w:rFonts w:ascii="Calibri" w:hAnsi="Calibri"/>
          <w:b/>
          <w:bCs/>
          <w:rtl/>
        </w:rPr>
        <w:t xml:space="preserve"> </w:t>
      </w:r>
      <w:r>
        <w:rPr>
          <w:rFonts w:ascii="Calibri" w:hAnsi="Calibri" w:hint="eastAsia"/>
          <w:b/>
          <w:bCs/>
          <w:rtl/>
        </w:rPr>
        <w:t>תוצאות</w:t>
      </w:r>
      <w:r>
        <w:rPr>
          <w:rFonts w:ascii="Calibri" w:hAnsi="Calibri"/>
          <w:b/>
          <w:bCs/>
          <w:rtl/>
        </w:rPr>
        <w:t xml:space="preserve"> </w:t>
      </w:r>
      <w:r>
        <w:rPr>
          <w:rFonts w:ascii="Calibri" w:hAnsi="Calibri" w:hint="eastAsia"/>
          <w:b/>
          <w:bCs/>
          <w:rtl/>
        </w:rPr>
        <w:t>הרסניות</w:t>
      </w:r>
      <w:r>
        <w:rPr>
          <w:rFonts w:ascii="Calibri" w:hAnsi="Calibri"/>
          <w:b/>
          <w:bCs/>
          <w:rtl/>
        </w:rPr>
        <w:t xml:space="preserve"> </w:t>
      </w:r>
      <w:r>
        <w:rPr>
          <w:rFonts w:ascii="Calibri" w:hAnsi="Calibri" w:hint="eastAsia"/>
          <w:b/>
          <w:bCs/>
          <w:rtl/>
        </w:rPr>
        <w:t>יובילו</w:t>
      </w:r>
      <w:r>
        <w:rPr>
          <w:rFonts w:ascii="Calibri" w:hAnsi="Calibri"/>
          <w:b/>
          <w:bCs/>
          <w:rtl/>
        </w:rPr>
        <w:t xml:space="preserve">. </w:t>
      </w:r>
      <w:r>
        <w:rPr>
          <w:rFonts w:ascii="Calibri" w:hAnsi="Calibri" w:hint="eastAsia"/>
          <w:b/>
          <w:bCs/>
          <w:rtl/>
        </w:rPr>
        <w:t>ודוק</w:t>
      </w:r>
      <w:r>
        <w:rPr>
          <w:rFonts w:ascii="Calibri" w:hAnsi="Calibri"/>
          <w:b/>
          <w:bCs/>
          <w:rtl/>
        </w:rPr>
        <w:t xml:space="preserve">: </w:t>
      </w:r>
      <w:r>
        <w:rPr>
          <w:rFonts w:ascii="Calibri" w:hAnsi="Calibri" w:hint="eastAsia"/>
          <w:b/>
          <w:bCs/>
          <w:rtl/>
        </w:rPr>
        <w:t>הסיכון</w:t>
      </w:r>
      <w:r>
        <w:rPr>
          <w:rFonts w:ascii="Calibri" w:hAnsi="Calibri"/>
          <w:b/>
          <w:bCs/>
          <w:rtl/>
        </w:rPr>
        <w:t xml:space="preserve"> </w:t>
      </w:r>
      <w:r>
        <w:rPr>
          <w:rFonts w:ascii="Calibri" w:hAnsi="Calibri" w:hint="eastAsia"/>
          <w:b/>
          <w:bCs/>
          <w:rtl/>
        </w:rPr>
        <w:t>שנשקף</w:t>
      </w:r>
      <w:r>
        <w:rPr>
          <w:rFonts w:ascii="Calibri" w:hAnsi="Calibri"/>
          <w:b/>
          <w:bCs/>
          <w:rtl/>
        </w:rPr>
        <w:t xml:space="preserve"> </w:t>
      </w:r>
      <w:r>
        <w:rPr>
          <w:rFonts w:ascii="Calibri" w:hAnsi="Calibri" w:hint="eastAsia"/>
          <w:b/>
          <w:bCs/>
          <w:rtl/>
        </w:rPr>
        <w:t>לשלום</w:t>
      </w:r>
      <w:r>
        <w:rPr>
          <w:rFonts w:ascii="Calibri" w:hAnsi="Calibri"/>
          <w:b/>
          <w:bCs/>
          <w:rtl/>
        </w:rPr>
        <w:t xml:space="preserve"> </w:t>
      </w:r>
      <w:r>
        <w:rPr>
          <w:rFonts w:ascii="Calibri" w:hAnsi="Calibri" w:hint="eastAsia"/>
          <w:b/>
          <w:bCs/>
          <w:rtl/>
        </w:rPr>
        <w:t>הציבור</w:t>
      </w:r>
      <w:r>
        <w:rPr>
          <w:rFonts w:ascii="Calibri" w:hAnsi="Calibri"/>
          <w:b/>
          <w:bCs/>
          <w:rtl/>
        </w:rPr>
        <w:t xml:space="preserve"> </w:t>
      </w:r>
      <w:r>
        <w:rPr>
          <w:rFonts w:ascii="Calibri" w:hAnsi="Calibri" w:hint="eastAsia"/>
          <w:b/>
          <w:bCs/>
          <w:rtl/>
        </w:rPr>
        <w:t>צריך</w:t>
      </w:r>
      <w:r>
        <w:rPr>
          <w:rFonts w:ascii="Calibri" w:hAnsi="Calibri"/>
          <w:b/>
          <w:bCs/>
          <w:rtl/>
        </w:rPr>
        <w:t xml:space="preserve"> </w:t>
      </w:r>
      <w:r>
        <w:rPr>
          <w:rFonts w:ascii="Calibri" w:hAnsi="Calibri" w:hint="eastAsia"/>
          <w:b/>
          <w:bCs/>
          <w:rtl/>
        </w:rPr>
        <w:t>להילקח</w:t>
      </w:r>
      <w:r>
        <w:rPr>
          <w:rFonts w:ascii="Calibri" w:hAnsi="Calibri"/>
          <w:b/>
          <w:bCs/>
          <w:rtl/>
        </w:rPr>
        <w:t xml:space="preserve"> </w:t>
      </w:r>
      <w:r>
        <w:rPr>
          <w:rFonts w:ascii="Calibri" w:hAnsi="Calibri" w:hint="eastAsia"/>
          <w:b/>
          <w:bCs/>
          <w:rtl/>
        </w:rPr>
        <w:t>בחשבון</w:t>
      </w:r>
      <w:r>
        <w:rPr>
          <w:rFonts w:ascii="Calibri" w:hAnsi="Calibri"/>
          <w:b/>
          <w:bCs/>
          <w:rtl/>
        </w:rPr>
        <w:t xml:space="preserve"> </w:t>
      </w:r>
      <w:r>
        <w:rPr>
          <w:rFonts w:ascii="Calibri" w:hAnsi="Calibri" w:hint="eastAsia"/>
          <w:b/>
          <w:bCs/>
          <w:rtl/>
        </w:rPr>
        <w:t>על</w:t>
      </w:r>
      <w:r>
        <w:rPr>
          <w:rFonts w:ascii="Calibri" w:hAnsi="Calibri"/>
          <w:b/>
          <w:bCs/>
          <w:rtl/>
        </w:rPr>
        <w:t>-</w:t>
      </w:r>
      <w:r>
        <w:rPr>
          <w:rFonts w:ascii="Calibri" w:hAnsi="Calibri" w:hint="eastAsia"/>
          <w:b/>
          <w:bCs/>
          <w:rtl/>
        </w:rPr>
        <w:t>ידי</w:t>
      </w:r>
      <w:r>
        <w:rPr>
          <w:rFonts w:ascii="Calibri" w:hAnsi="Calibri"/>
          <w:b/>
          <w:bCs/>
          <w:rtl/>
        </w:rPr>
        <w:t xml:space="preserve"> </w:t>
      </w:r>
      <w:r>
        <w:rPr>
          <w:rFonts w:ascii="Calibri" w:hAnsi="Calibri" w:hint="eastAsia"/>
          <w:b/>
          <w:bCs/>
          <w:rtl/>
        </w:rPr>
        <w:t>כל</w:t>
      </w:r>
      <w:r>
        <w:rPr>
          <w:rFonts w:ascii="Calibri" w:hAnsi="Calibri"/>
          <w:b/>
          <w:bCs/>
          <w:rtl/>
        </w:rPr>
        <w:t xml:space="preserve"> </w:t>
      </w:r>
      <w:r>
        <w:rPr>
          <w:rFonts w:ascii="Calibri" w:hAnsi="Calibri" w:hint="eastAsia"/>
          <w:b/>
          <w:bCs/>
          <w:rtl/>
        </w:rPr>
        <w:t>מי</w:t>
      </w:r>
      <w:r>
        <w:rPr>
          <w:rFonts w:ascii="Calibri" w:hAnsi="Calibri"/>
          <w:b/>
          <w:bCs/>
          <w:rtl/>
        </w:rPr>
        <w:t xml:space="preserve"> </w:t>
      </w:r>
      <w:r>
        <w:rPr>
          <w:rFonts w:ascii="Calibri" w:hAnsi="Calibri" w:hint="eastAsia"/>
          <w:b/>
          <w:bCs/>
          <w:rtl/>
        </w:rPr>
        <w:t>שמחזיק</w:t>
      </w:r>
      <w:r>
        <w:rPr>
          <w:rFonts w:ascii="Calibri" w:hAnsi="Calibri"/>
          <w:b/>
          <w:bCs/>
          <w:rtl/>
        </w:rPr>
        <w:t xml:space="preserve"> </w:t>
      </w:r>
      <w:r>
        <w:rPr>
          <w:rFonts w:ascii="Calibri" w:hAnsi="Calibri" w:hint="eastAsia"/>
          <w:b/>
          <w:bCs/>
          <w:rtl/>
        </w:rPr>
        <w:t>בידו</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כדין</w:t>
      </w:r>
      <w:r>
        <w:rPr>
          <w:rFonts w:ascii="Calibri" w:hAnsi="Calibri"/>
          <w:b/>
          <w:bCs/>
          <w:rtl/>
        </w:rPr>
        <w:t xml:space="preserve"> - </w:t>
      </w:r>
      <w:r>
        <w:rPr>
          <w:rFonts w:ascii="Calibri" w:hAnsi="Calibri" w:hint="eastAsia"/>
          <w:b/>
          <w:bCs/>
          <w:rtl/>
        </w:rPr>
        <w:t>גם</w:t>
      </w:r>
      <w:r>
        <w:rPr>
          <w:rFonts w:ascii="Calibri" w:hAnsi="Calibri"/>
          <w:b/>
          <w:bCs/>
          <w:rtl/>
        </w:rPr>
        <w:t xml:space="preserve"> </w:t>
      </w:r>
      <w:r>
        <w:rPr>
          <w:rFonts w:ascii="Calibri" w:hAnsi="Calibri" w:hint="eastAsia"/>
          <w:b/>
          <w:bCs/>
          <w:rtl/>
        </w:rPr>
        <w:t>אם</w:t>
      </w:r>
      <w:r>
        <w:rPr>
          <w:rFonts w:ascii="Calibri" w:hAnsi="Calibri"/>
          <w:b/>
          <w:bCs/>
          <w:rtl/>
        </w:rPr>
        <w:t xml:space="preserve"> </w:t>
      </w:r>
      <w:r>
        <w:rPr>
          <w:rFonts w:ascii="Calibri" w:hAnsi="Calibri" w:hint="eastAsia"/>
          <w:b/>
          <w:bCs/>
          <w:rtl/>
        </w:rPr>
        <w:t>אינו</w:t>
      </w:r>
      <w:r>
        <w:rPr>
          <w:rFonts w:ascii="Calibri" w:hAnsi="Calibri"/>
          <w:b/>
          <w:bCs/>
          <w:rtl/>
        </w:rPr>
        <w:t xml:space="preserve"> </w:t>
      </w:r>
      <w:r>
        <w:rPr>
          <w:rFonts w:ascii="Calibri" w:hAnsi="Calibri" w:hint="eastAsia"/>
          <w:b/>
          <w:bCs/>
          <w:rtl/>
        </w:rPr>
        <w:t>מחזיק</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למטרת</w:t>
      </w:r>
      <w:r>
        <w:rPr>
          <w:rFonts w:ascii="Calibri" w:hAnsi="Calibri"/>
          <w:b/>
          <w:bCs/>
          <w:rtl/>
        </w:rPr>
        <w:t xml:space="preserve"> </w:t>
      </w:r>
      <w:r>
        <w:rPr>
          <w:rFonts w:ascii="Calibri" w:hAnsi="Calibri" w:hint="eastAsia"/>
          <w:b/>
          <w:bCs/>
          <w:rtl/>
        </w:rPr>
        <w:t>ביצוען</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אחרות</w:t>
      </w:r>
      <w:r>
        <w:rPr>
          <w:rFonts w:ascii="Calibri" w:hAnsi="Calibri"/>
          <w:b/>
          <w:bCs/>
          <w:rtl/>
        </w:rPr>
        <w:t xml:space="preserve">. </w:t>
      </w:r>
      <w:r>
        <w:rPr>
          <w:rFonts w:ascii="Calibri" w:hAnsi="Calibri" w:hint="eastAsia"/>
          <w:b/>
          <w:bCs/>
          <w:rtl/>
        </w:rPr>
        <w:t>עצם</w:t>
      </w:r>
      <w:r>
        <w:rPr>
          <w:rFonts w:ascii="Calibri" w:hAnsi="Calibri"/>
          <w:b/>
          <w:bCs/>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בעל</w:t>
      </w:r>
      <w:r>
        <w:rPr>
          <w:rFonts w:ascii="Calibri" w:hAnsi="Calibri"/>
          <w:b/>
          <w:bCs/>
          <w:rtl/>
        </w:rPr>
        <w:t xml:space="preserve"> </w:t>
      </w:r>
      <w:r>
        <w:rPr>
          <w:rFonts w:ascii="Calibri" w:hAnsi="Calibri" w:hint="eastAsia"/>
          <w:b/>
          <w:bCs/>
          <w:rtl/>
        </w:rPr>
        <w:t>פוטנציאל</w:t>
      </w:r>
      <w:r>
        <w:rPr>
          <w:rFonts w:ascii="Calibri" w:hAnsi="Calibri"/>
          <w:b/>
          <w:bCs/>
          <w:rtl/>
        </w:rPr>
        <w:t xml:space="preserve"> </w:t>
      </w:r>
      <w:r>
        <w:rPr>
          <w:rFonts w:ascii="Calibri" w:hAnsi="Calibri" w:hint="eastAsia"/>
          <w:b/>
          <w:bCs/>
          <w:rtl/>
        </w:rPr>
        <w:t>קטילה</w:t>
      </w:r>
      <w:r>
        <w:rPr>
          <w:rFonts w:ascii="Calibri" w:hAnsi="Calibri"/>
          <w:b/>
          <w:bCs/>
          <w:rtl/>
        </w:rPr>
        <w:t xml:space="preserve"> </w:t>
      </w:r>
      <w:r>
        <w:rPr>
          <w:rFonts w:ascii="Calibri" w:hAnsi="Calibri" w:hint="eastAsia"/>
          <w:b/>
          <w:bCs/>
          <w:rtl/>
        </w:rPr>
        <w:t>מבלי</w:t>
      </w:r>
      <w:r>
        <w:rPr>
          <w:rFonts w:ascii="Calibri" w:hAnsi="Calibri"/>
          <w:b/>
          <w:bCs/>
          <w:rtl/>
        </w:rPr>
        <w:t xml:space="preserve"> </w:t>
      </w:r>
      <w:r>
        <w:rPr>
          <w:rFonts w:ascii="Calibri" w:hAnsi="Calibri" w:hint="eastAsia"/>
          <w:b/>
          <w:bCs/>
          <w:rtl/>
        </w:rPr>
        <w:t>שיש</w:t>
      </w:r>
      <w:r>
        <w:rPr>
          <w:rFonts w:ascii="Calibri" w:hAnsi="Calibri"/>
          <w:b/>
          <w:bCs/>
          <w:rtl/>
        </w:rPr>
        <w:t xml:space="preserve"> </w:t>
      </w:r>
      <w:r>
        <w:rPr>
          <w:rFonts w:ascii="Calibri" w:hAnsi="Calibri" w:hint="eastAsia"/>
          <w:b/>
          <w:bCs/>
          <w:rtl/>
        </w:rPr>
        <w:t>עליו</w:t>
      </w:r>
      <w:r>
        <w:rPr>
          <w:rFonts w:ascii="Calibri" w:hAnsi="Calibri"/>
          <w:b/>
          <w:bCs/>
          <w:rtl/>
        </w:rPr>
        <w:t xml:space="preserve"> </w:t>
      </w:r>
      <w:r>
        <w:rPr>
          <w:rFonts w:ascii="Calibri" w:hAnsi="Calibri" w:hint="eastAsia"/>
          <w:b/>
          <w:bCs/>
          <w:rtl/>
        </w:rPr>
        <w:t>ועל</w:t>
      </w:r>
      <w:r>
        <w:rPr>
          <w:rFonts w:ascii="Calibri" w:hAnsi="Calibri"/>
          <w:b/>
          <w:bCs/>
          <w:rtl/>
        </w:rPr>
        <w:t xml:space="preserve"> </w:t>
      </w:r>
      <w:r>
        <w:rPr>
          <w:rFonts w:ascii="Calibri" w:hAnsi="Calibri" w:hint="eastAsia"/>
          <w:b/>
          <w:bCs/>
          <w:rtl/>
        </w:rPr>
        <w:t>בעליו</w:t>
      </w:r>
      <w:r>
        <w:rPr>
          <w:rFonts w:ascii="Calibri" w:hAnsi="Calibri"/>
          <w:b/>
          <w:bCs/>
          <w:rtl/>
        </w:rPr>
        <w:t xml:space="preserve"> </w:t>
      </w:r>
      <w:r>
        <w:rPr>
          <w:rFonts w:ascii="Calibri" w:hAnsi="Calibri" w:hint="eastAsia"/>
          <w:b/>
          <w:bCs/>
          <w:rtl/>
        </w:rPr>
        <w:t>פיקוח</w:t>
      </w:r>
      <w:r>
        <w:rPr>
          <w:rFonts w:ascii="Calibri" w:hAnsi="Calibri"/>
          <w:b/>
          <w:bCs/>
          <w:rtl/>
        </w:rPr>
        <w:t xml:space="preserve"> </w:t>
      </w:r>
      <w:r>
        <w:rPr>
          <w:rFonts w:ascii="Calibri" w:hAnsi="Calibri" w:hint="eastAsia"/>
          <w:b/>
          <w:bCs/>
          <w:rtl/>
        </w:rPr>
        <w:t>מוסדר</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הרשויות</w:t>
      </w:r>
      <w:r>
        <w:rPr>
          <w:rFonts w:ascii="Calibri" w:hAnsi="Calibri"/>
          <w:b/>
          <w:bCs/>
          <w:rtl/>
        </w:rPr>
        <w:t xml:space="preserve"> </w:t>
      </w:r>
      <w:r>
        <w:rPr>
          <w:rFonts w:ascii="Calibri" w:hAnsi="Calibri" w:hint="eastAsia"/>
          <w:b/>
          <w:bCs/>
          <w:rtl/>
        </w:rPr>
        <w:t>טומן</w:t>
      </w:r>
      <w:r>
        <w:rPr>
          <w:rFonts w:ascii="Calibri" w:hAnsi="Calibri"/>
          <w:b/>
          <w:bCs/>
          <w:rtl/>
        </w:rPr>
        <w:t xml:space="preserve"> </w:t>
      </w:r>
      <w:r>
        <w:rPr>
          <w:rFonts w:ascii="Calibri" w:hAnsi="Calibri" w:hint="eastAsia"/>
          <w:b/>
          <w:bCs/>
          <w:rtl/>
        </w:rPr>
        <w:t>בחובו</w:t>
      </w:r>
      <w:r>
        <w:rPr>
          <w:rFonts w:ascii="Calibri" w:hAnsi="Calibri"/>
          <w:b/>
          <w:bCs/>
          <w:rtl/>
        </w:rPr>
        <w:t xml:space="preserve"> </w:t>
      </w:r>
      <w:r>
        <w:rPr>
          <w:rFonts w:ascii="Calibri" w:hAnsi="Calibri" w:hint="eastAsia"/>
          <w:b/>
          <w:bCs/>
          <w:rtl/>
        </w:rPr>
        <w:t>סיכון</w:t>
      </w:r>
      <w:r>
        <w:rPr>
          <w:rFonts w:ascii="Calibri" w:hAnsi="Calibri"/>
          <w:b/>
          <w:bCs/>
          <w:rtl/>
        </w:rPr>
        <w:t xml:space="preserve">, </w:t>
      </w:r>
      <w:r>
        <w:rPr>
          <w:rFonts w:ascii="Calibri" w:hAnsi="Calibri" w:hint="eastAsia"/>
          <w:b/>
          <w:bCs/>
          <w:rtl/>
        </w:rPr>
        <w:t>באשר</w:t>
      </w:r>
      <w:r>
        <w:rPr>
          <w:rFonts w:ascii="Calibri" w:hAnsi="Calibri"/>
          <w:b/>
          <w:bCs/>
          <w:rtl/>
        </w:rPr>
        <w:t xml:space="preserve"> </w:t>
      </w:r>
      <w:r>
        <w:rPr>
          <w:rFonts w:ascii="Calibri" w:hAnsi="Calibri" w:hint="eastAsia"/>
          <w:b/>
          <w:bCs/>
          <w:rtl/>
        </w:rPr>
        <w:t>המחזיק</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נתון</w:t>
      </w:r>
      <w:r>
        <w:rPr>
          <w:rFonts w:ascii="Calibri" w:hAnsi="Calibri"/>
          <w:b/>
          <w:bCs/>
          <w:rtl/>
        </w:rPr>
        <w:t xml:space="preserve"> </w:t>
      </w:r>
      <w:r>
        <w:rPr>
          <w:rFonts w:ascii="Calibri" w:hAnsi="Calibri" w:hint="eastAsia"/>
          <w:b/>
          <w:bCs/>
          <w:rtl/>
        </w:rPr>
        <w:t>תמיד</w:t>
      </w:r>
      <w:r>
        <w:rPr>
          <w:rFonts w:ascii="Calibri" w:hAnsi="Calibri"/>
          <w:b/>
          <w:bCs/>
          <w:rtl/>
        </w:rPr>
        <w:t xml:space="preserve"> </w:t>
      </w:r>
      <w:r>
        <w:rPr>
          <w:rFonts w:ascii="Calibri" w:hAnsi="Calibri" w:hint="eastAsia"/>
          <w:b/>
          <w:bCs/>
          <w:rtl/>
        </w:rPr>
        <w:t>לחשש</w:t>
      </w:r>
      <w:r>
        <w:rPr>
          <w:rFonts w:ascii="Calibri" w:hAnsi="Calibri"/>
          <w:b/>
          <w:bCs/>
          <w:rtl/>
        </w:rPr>
        <w:t xml:space="preserve"> </w:t>
      </w:r>
      <w:r>
        <w:rPr>
          <w:rFonts w:ascii="Calibri" w:hAnsi="Calibri" w:hint="eastAsia"/>
          <w:b/>
          <w:bCs/>
          <w:rtl/>
        </w:rPr>
        <w:t>שיתפתה</w:t>
      </w:r>
      <w:r>
        <w:rPr>
          <w:rFonts w:ascii="Calibri" w:hAnsi="Calibri"/>
          <w:b/>
          <w:bCs/>
          <w:rtl/>
        </w:rPr>
        <w:t xml:space="preserve"> </w:t>
      </w:r>
      <w:r>
        <w:rPr>
          <w:rFonts w:ascii="Calibri" w:hAnsi="Calibri" w:hint="eastAsia"/>
          <w:b/>
          <w:bCs/>
          <w:rtl/>
        </w:rPr>
        <w:t>לעשות</w:t>
      </w:r>
      <w:r>
        <w:rPr>
          <w:rFonts w:ascii="Calibri" w:hAnsi="Calibri"/>
          <w:b/>
          <w:bCs/>
          <w:rtl/>
        </w:rPr>
        <w:t xml:space="preserve"> </w:t>
      </w:r>
      <w:r>
        <w:rPr>
          <w:rFonts w:ascii="Calibri" w:hAnsi="Calibri" w:hint="eastAsia"/>
          <w:b/>
          <w:bCs/>
          <w:rtl/>
        </w:rPr>
        <w:t>בו</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ולו</w:t>
      </w:r>
      <w:r>
        <w:rPr>
          <w:rFonts w:ascii="Calibri" w:hAnsi="Calibri"/>
          <w:b/>
          <w:bCs/>
          <w:rtl/>
        </w:rPr>
        <w:t xml:space="preserve"> </w:t>
      </w:r>
      <w:r>
        <w:rPr>
          <w:rFonts w:ascii="Calibri" w:hAnsi="Calibri" w:hint="eastAsia"/>
          <w:b/>
          <w:bCs/>
          <w:rtl/>
        </w:rPr>
        <w:t>ברגעי</w:t>
      </w:r>
      <w:r>
        <w:rPr>
          <w:rFonts w:ascii="Calibri" w:hAnsi="Calibri"/>
          <w:b/>
          <w:bCs/>
          <w:rtl/>
        </w:rPr>
        <w:t xml:space="preserve"> </w:t>
      </w:r>
      <w:r>
        <w:rPr>
          <w:rFonts w:ascii="Calibri" w:hAnsi="Calibri" w:hint="eastAsia"/>
          <w:b/>
          <w:bCs/>
          <w:rtl/>
        </w:rPr>
        <w:t>לחץ</w:t>
      </w:r>
      <w:r>
        <w:rPr>
          <w:rFonts w:ascii="Calibri" w:hAnsi="Calibri"/>
          <w:b/>
          <w:bCs/>
          <w:rtl/>
        </w:rPr>
        <w:t xml:space="preserve"> </w:t>
      </w:r>
      <w:r>
        <w:rPr>
          <w:rFonts w:ascii="Calibri" w:hAnsi="Calibri" w:hint="eastAsia"/>
          <w:b/>
          <w:bCs/>
          <w:rtl/>
        </w:rPr>
        <w:t>ופחד</w:t>
      </w:r>
      <w:r>
        <w:rPr>
          <w:rFonts w:ascii="Calibri" w:hAnsi="Calibri"/>
          <w:b/>
          <w:bCs/>
          <w:rtl/>
        </w:rPr>
        <w:t>".</w:t>
      </w:r>
    </w:p>
    <w:p w14:paraId="32989C10" w14:textId="77777777" w:rsidR="00AE240F" w:rsidRDefault="00AE240F" w:rsidP="00012E6A">
      <w:pPr>
        <w:spacing w:line="360" w:lineRule="auto"/>
        <w:ind w:firstLine="720"/>
        <w:jc w:val="both"/>
        <w:rPr>
          <w:rtl/>
        </w:rPr>
      </w:pPr>
    </w:p>
    <w:p w14:paraId="23A7EB81" w14:textId="77777777" w:rsidR="00AE240F" w:rsidRDefault="00AE240F" w:rsidP="00012E6A">
      <w:pPr>
        <w:spacing w:line="360" w:lineRule="auto"/>
        <w:ind w:firstLine="720"/>
        <w:jc w:val="both"/>
        <w:rPr>
          <w:rtl/>
        </w:rPr>
      </w:pPr>
      <w:r>
        <w:rPr>
          <w:rtl/>
        </w:rPr>
        <w:t xml:space="preserve">כן ראו </w:t>
      </w:r>
      <w:hyperlink r:id="rId45" w:history="1">
        <w:r w:rsidR="00AD007D" w:rsidRPr="00AD007D">
          <w:rPr>
            <w:color w:val="0000FF"/>
            <w:u w:val="single"/>
            <w:rtl/>
          </w:rPr>
          <w:t>ע"פ 8473/13</w:t>
        </w:r>
      </w:hyperlink>
      <w:r>
        <w:rPr>
          <w:rtl/>
        </w:rPr>
        <w:t xml:space="preserve"> </w:t>
      </w:r>
      <w:r>
        <w:rPr>
          <w:b/>
          <w:bCs/>
          <w:rtl/>
        </w:rPr>
        <w:t>חוסיין נ' מדינת ישראל</w:t>
      </w:r>
      <w:r>
        <w:rPr>
          <w:rtl/>
        </w:rPr>
        <w:t xml:space="preserve"> (22.07.2014)</w:t>
      </w:r>
    </w:p>
    <w:p w14:paraId="7C027798" w14:textId="77777777" w:rsidR="00AE240F" w:rsidRDefault="00AE240F" w:rsidP="00012E6A">
      <w:pPr>
        <w:spacing w:line="360" w:lineRule="auto"/>
        <w:jc w:val="both"/>
        <w:rPr>
          <w:b/>
          <w:bCs/>
          <w:rtl/>
        </w:rPr>
      </w:pPr>
    </w:p>
    <w:p w14:paraId="05B30A38" w14:textId="77777777" w:rsidR="00AE240F" w:rsidRDefault="00AE240F" w:rsidP="00012E6A">
      <w:pPr>
        <w:spacing w:line="360" w:lineRule="auto"/>
        <w:ind w:left="1440" w:right="993"/>
        <w:jc w:val="both"/>
        <w:rPr>
          <w:b/>
          <w:bCs/>
          <w:rtl/>
        </w:rPr>
      </w:pPr>
      <w:r>
        <w:rPr>
          <w:b/>
          <w:bCs/>
          <w:rtl/>
        </w:rPr>
        <w:t>"עבירות נשק, וביניהן עבירה של החזקת נשק, חמורות הן. אלו טומנות בחובן פוטנציאל נזק משמעותי. החזקה של כלי נשק בידי אדם שאינו מורשה לכך עלולה להוביל לתוצאות קשות, הן באירוע בו יהא מעורב מחזיק הנשק והן במקרה בו הנשק יתגלגל לידיים אחרות, אשר לרוב אינן מקבלות את הנשק על מנת להכניסו למגירה."</w:t>
      </w:r>
    </w:p>
    <w:p w14:paraId="409BAD88" w14:textId="77777777" w:rsidR="00AE240F" w:rsidRDefault="00AE240F" w:rsidP="00012E6A">
      <w:pPr>
        <w:spacing w:line="360" w:lineRule="auto"/>
        <w:jc w:val="both"/>
        <w:rPr>
          <w:b/>
          <w:bCs/>
          <w:rtl/>
        </w:rPr>
      </w:pPr>
    </w:p>
    <w:p w14:paraId="2F5D142C" w14:textId="77777777" w:rsidR="00AE240F" w:rsidRDefault="00AE240F" w:rsidP="00012E6A">
      <w:pPr>
        <w:spacing w:line="360" w:lineRule="auto"/>
        <w:ind w:left="720"/>
        <w:jc w:val="both"/>
        <w:rPr>
          <w:rtl/>
        </w:rPr>
      </w:pPr>
      <w:r>
        <w:rPr>
          <w:rtl/>
        </w:rPr>
        <w:t>עוד נקבע בהקשר זה, ב</w:t>
      </w:r>
      <w:hyperlink r:id="rId46" w:history="1">
        <w:r w:rsidR="00AD007D" w:rsidRPr="00AD007D">
          <w:rPr>
            <w:color w:val="0000FF"/>
            <w:u w:val="single"/>
            <w:rtl/>
          </w:rPr>
          <w:t>ע"פ 8416/09</w:t>
        </w:r>
      </w:hyperlink>
      <w:r>
        <w:rPr>
          <w:rtl/>
        </w:rPr>
        <w:t xml:space="preserve"> </w:t>
      </w:r>
      <w:r>
        <w:rPr>
          <w:b/>
          <w:bCs/>
          <w:rtl/>
        </w:rPr>
        <w:t>מדינת ישראל נ' חרבוש ואח'</w:t>
      </w:r>
      <w:r>
        <w:rPr>
          <w:rtl/>
        </w:rPr>
        <w:t xml:space="preserve"> (9/6/10) מפי כב' השופט פוגלמן כי:</w:t>
      </w:r>
    </w:p>
    <w:p w14:paraId="20DBA6B1" w14:textId="77777777" w:rsidR="00AE240F" w:rsidRDefault="00AE240F" w:rsidP="00012E6A">
      <w:pPr>
        <w:spacing w:line="360" w:lineRule="auto"/>
        <w:jc w:val="both"/>
        <w:rPr>
          <w:rtl/>
        </w:rPr>
      </w:pPr>
    </w:p>
    <w:p w14:paraId="25968B73" w14:textId="77777777" w:rsidR="00AE240F" w:rsidRDefault="00AE240F" w:rsidP="00012E6A">
      <w:pPr>
        <w:pStyle w:val="10"/>
        <w:spacing w:before="0" w:after="0" w:line="360" w:lineRule="auto"/>
        <w:ind w:left="1440" w:right="851"/>
        <w:jc w:val="both"/>
        <w:rPr>
          <w:b/>
          <w:bCs/>
          <w:sz w:val="24"/>
        </w:rPr>
      </w:pPr>
      <w:r>
        <w:rPr>
          <w:b/>
          <w:bCs/>
          <w:sz w:val="24"/>
          <w:rtl/>
        </w:rPr>
        <w:t>"</w:t>
      </w:r>
      <w:r>
        <w:rPr>
          <w:rFonts w:hint="eastAsia"/>
          <w:b/>
          <w:bCs/>
          <w:sz w:val="24"/>
          <w:rtl/>
        </w:rPr>
        <w:t>חומרתה</w:t>
      </w:r>
      <w:r>
        <w:rPr>
          <w:b/>
          <w:bCs/>
          <w:sz w:val="24"/>
          <w:rtl/>
        </w:rPr>
        <w:t xml:space="preserve"> </w:t>
      </w:r>
      <w:r>
        <w:rPr>
          <w:rFonts w:hint="eastAsia"/>
          <w:b/>
          <w:bCs/>
          <w:sz w:val="24"/>
          <w:rtl/>
        </w:rPr>
        <w:t>של</w:t>
      </w:r>
      <w:r>
        <w:rPr>
          <w:b/>
          <w:bCs/>
          <w:sz w:val="24"/>
          <w:rtl/>
        </w:rPr>
        <w:t xml:space="preserve"> </w:t>
      </w:r>
      <w:r>
        <w:rPr>
          <w:rFonts w:hint="eastAsia"/>
          <w:b/>
          <w:bCs/>
          <w:sz w:val="24"/>
          <w:rtl/>
        </w:rPr>
        <w:t>עבירת</w:t>
      </w:r>
      <w:r>
        <w:rPr>
          <w:b/>
          <w:bCs/>
          <w:sz w:val="24"/>
          <w:rtl/>
        </w:rPr>
        <w:t xml:space="preserve"> </w:t>
      </w:r>
      <w:r>
        <w:rPr>
          <w:rFonts w:hint="eastAsia"/>
          <w:b/>
          <w:bCs/>
          <w:sz w:val="24"/>
          <w:rtl/>
        </w:rPr>
        <w:t>החזקת</w:t>
      </w:r>
      <w:r>
        <w:rPr>
          <w:b/>
          <w:bCs/>
          <w:sz w:val="24"/>
          <w:rtl/>
        </w:rPr>
        <w:t xml:space="preserve"> </w:t>
      </w:r>
      <w:r>
        <w:rPr>
          <w:rFonts w:hint="eastAsia"/>
          <w:b/>
          <w:bCs/>
          <w:sz w:val="24"/>
          <w:rtl/>
        </w:rPr>
        <w:t>הנשק</w:t>
      </w:r>
      <w:r>
        <w:rPr>
          <w:b/>
          <w:bCs/>
          <w:sz w:val="24"/>
          <w:rtl/>
        </w:rPr>
        <w:t xml:space="preserve">, </w:t>
      </w:r>
      <w:r>
        <w:rPr>
          <w:rFonts w:hint="eastAsia"/>
          <w:b/>
          <w:bCs/>
          <w:sz w:val="24"/>
          <w:rtl/>
        </w:rPr>
        <w:t>מקורה</w:t>
      </w:r>
      <w:r>
        <w:rPr>
          <w:b/>
          <w:bCs/>
          <w:sz w:val="24"/>
          <w:rtl/>
        </w:rPr>
        <w:t xml:space="preserve"> </w:t>
      </w:r>
      <w:r>
        <w:rPr>
          <w:rFonts w:hint="eastAsia"/>
          <w:b/>
          <w:bCs/>
          <w:sz w:val="24"/>
          <w:rtl/>
        </w:rPr>
        <w:t>בכך</w:t>
      </w:r>
      <w:r>
        <w:rPr>
          <w:b/>
          <w:bCs/>
          <w:sz w:val="24"/>
          <w:rtl/>
        </w:rPr>
        <w:t xml:space="preserve"> </w:t>
      </w:r>
      <w:r>
        <w:rPr>
          <w:rFonts w:hint="eastAsia"/>
          <w:b/>
          <w:bCs/>
          <w:sz w:val="24"/>
          <w:rtl/>
        </w:rPr>
        <w:t>שעבירה</w:t>
      </w:r>
      <w:r>
        <w:rPr>
          <w:b/>
          <w:bCs/>
          <w:sz w:val="24"/>
          <w:rtl/>
        </w:rPr>
        <w:t xml:space="preserve"> </w:t>
      </w:r>
      <w:r>
        <w:rPr>
          <w:rFonts w:hint="eastAsia"/>
          <w:b/>
          <w:bCs/>
          <w:sz w:val="24"/>
          <w:rtl/>
        </w:rPr>
        <w:t>זאת</w:t>
      </w:r>
      <w:r>
        <w:rPr>
          <w:b/>
          <w:bCs/>
          <w:sz w:val="24"/>
          <w:rtl/>
        </w:rPr>
        <w:t xml:space="preserve"> </w:t>
      </w:r>
      <w:r>
        <w:rPr>
          <w:rFonts w:hint="eastAsia"/>
          <w:b/>
          <w:bCs/>
          <w:sz w:val="24"/>
          <w:rtl/>
        </w:rPr>
        <w:t>אינה</w:t>
      </w:r>
      <w:r>
        <w:rPr>
          <w:b/>
          <w:bCs/>
          <w:sz w:val="24"/>
          <w:rtl/>
        </w:rPr>
        <w:t xml:space="preserve"> </w:t>
      </w:r>
      <w:r>
        <w:rPr>
          <w:rFonts w:hint="eastAsia"/>
          <w:b/>
          <w:bCs/>
          <w:sz w:val="24"/>
          <w:rtl/>
        </w:rPr>
        <w:t>נעשית</w:t>
      </w:r>
      <w:r>
        <w:rPr>
          <w:b/>
          <w:bCs/>
          <w:sz w:val="24"/>
          <w:rtl/>
        </w:rPr>
        <w:t xml:space="preserve"> </w:t>
      </w:r>
      <w:r>
        <w:rPr>
          <w:rFonts w:hint="eastAsia"/>
          <w:b/>
          <w:bCs/>
          <w:sz w:val="24"/>
          <w:rtl/>
        </w:rPr>
        <w:t>לרוב</w:t>
      </w:r>
      <w:r>
        <w:rPr>
          <w:b/>
          <w:bCs/>
          <w:sz w:val="24"/>
          <w:rtl/>
        </w:rPr>
        <w:t xml:space="preserve"> </w:t>
      </w:r>
      <w:r>
        <w:rPr>
          <w:rFonts w:hint="eastAsia"/>
          <w:b/>
          <w:bCs/>
          <w:sz w:val="24"/>
          <w:rtl/>
        </w:rPr>
        <w:t>אלא</w:t>
      </w:r>
      <w:r>
        <w:rPr>
          <w:b/>
          <w:bCs/>
          <w:sz w:val="24"/>
          <w:rtl/>
        </w:rPr>
        <w:t xml:space="preserve"> </w:t>
      </w:r>
      <w:r>
        <w:rPr>
          <w:rFonts w:hint="eastAsia"/>
          <w:b/>
          <w:bCs/>
          <w:sz w:val="24"/>
          <w:rtl/>
        </w:rPr>
        <w:t>כדי</w:t>
      </w:r>
      <w:r>
        <w:rPr>
          <w:b/>
          <w:bCs/>
          <w:sz w:val="24"/>
          <w:rtl/>
        </w:rPr>
        <w:t xml:space="preserve"> </w:t>
      </w:r>
      <w:r>
        <w:rPr>
          <w:rFonts w:hint="eastAsia"/>
          <w:b/>
          <w:bCs/>
          <w:sz w:val="24"/>
          <w:rtl/>
        </w:rPr>
        <w:t>לאפשר</w:t>
      </w:r>
      <w:r>
        <w:rPr>
          <w:b/>
          <w:bCs/>
          <w:sz w:val="24"/>
          <w:rtl/>
        </w:rPr>
        <w:t xml:space="preserve"> </w:t>
      </w:r>
      <w:r>
        <w:rPr>
          <w:rFonts w:hint="eastAsia"/>
          <w:b/>
          <w:bCs/>
          <w:sz w:val="24"/>
          <w:rtl/>
        </w:rPr>
        <w:t>ביצוען</w:t>
      </w:r>
      <w:r>
        <w:rPr>
          <w:b/>
          <w:bCs/>
          <w:sz w:val="24"/>
          <w:rtl/>
        </w:rPr>
        <w:t xml:space="preserve"> </w:t>
      </w:r>
      <w:r>
        <w:rPr>
          <w:rFonts w:hint="eastAsia"/>
          <w:b/>
          <w:bCs/>
          <w:sz w:val="24"/>
          <w:rtl/>
        </w:rPr>
        <w:t>של</w:t>
      </w:r>
      <w:r>
        <w:rPr>
          <w:b/>
          <w:bCs/>
          <w:sz w:val="24"/>
          <w:rtl/>
        </w:rPr>
        <w:t xml:space="preserve"> </w:t>
      </w:r>
      <w:r>
        <w:rPr>
          <w:rFonts w:hint="eastAsia"/>
          <w:b/>
          <w:bCs/>
          <w:sz w:val="24"/>
          <w:rtl/>
        </w:rPr>
        <w:t>עבירות</w:t>
      </w:r>
      <w:r>
        <w:rPr>
          <w:b/>
          <w:bCs/>
          <w:sz w:val="24"/>
          <w:rtl/>
        </w:rPr>
        <w:t xml:space="preserve"> </w:t>
      </w:r>
      <w:r>
        <w:rPr>
          <w:rFonts w:hint="eastAsia"/>
          <w:b/>
          <w:bCs/>
          <w:sz w:val="24"/>
          <w:rtl/>
        </w:rPr>
        <w:t>אחרות</w:t>
      </w:r>
      <w:r>
        <w:rPr>
          <w:b/>
          <w:bCs/>
          <w:sz w:val="24"/>
          <w:rtl/>
        </w:rPr>
        <w:t xml:space="preserve">, </w:t>
      </w:r>
      <w:r>
        <w:rPr>
          <w:rFonts w:hint="eastAsia"/>
          <w:b/>
          <w:bCs/>
          <w:sz w:val="24"/>
          <w:rtl/>
        </w:rPr>
        <w:t>שמעצם</w:t>
      </w:r>
      <w:r>
        <w:rPr>
          <w:b/>
          <w:bCs/>
          <w:sz w:val="24"/>
          <w:rtl/>
        </w:rPr>
        <w:t xml:space="preserve"> </w:t>
      </w:r>
      <w:r>
        <w:rPr>
          <w:rFonts w:hint="eastAsia"/>
          <w:b/>
          <w:bCs/>
          <w:sz w:val="24"/>
          <w:rtl/>
        </w:rPr>
        <w:t>טבעו</w:t>
      </w:r>
      <w:r>
        <w:rPr>
          <w:b/>
          <w:bCs/>
          <w:sz w:val="24"/>
          <w:rtl/>
        </w:rPr>
        <w:t xml:space="preserve"> </w:t>
      </w:r>
      <w:r>
        <w:rPr>
          <w:rFonts w:hint="eastAsia"/>
          <w:b/>
          <w:bCs/>
          <w:sz w:val="24"/>
          <w:rtl/>
        </w:rPr>
        <w:t>של</w:t>
      </w:r>
      <w:r>
        <w:rPr>
          <w:b/>
          <w:bCs/>
          <w:sz w:val="24"/>
          <w:rtl/>
        </w:rPr>
        <w:t xml:space="preserve"> </w:t>
      </w:r>
      <w:r>
        <w:rPr>
          <w:rFonts w:hint="eastAsia"/>
          <w:b/>
          <w:bCs/>
          <w:sz w:val="24"/>
          <w:rtl/>
        </w:rPr>
        <w:t>הנשק</w:t>
      </w:r>
      <w:r>
        <w:rPr>
          <w:b/>
          <w:bCs/>
          <w:sz w:val="24"/>
          <w:rtl/>
        </w:rPr>
        <w:t xml:space="preserve">, </w:t>
      </w:r>
      <w:r>
        <w:rPr>
          <w:rFonts w:hint="eastAsia"/>
          <w:b/>
          <w:bCs/>
          <w:sz w:val="24"/>
          <w:rtl/>
        </w:rPr>
        <w:t>כרוכות</w:t>
      </w:r>
      <w:r>
        <w:rPr>
          <w:b/>
          <w:bCs/>
          <w:sz w:val="24"/>
          <w:rtl/>
        </w:rPr>
        <w:t xml:space="preserve"> </w:t>
      </w:r>
      <w:r>
        <w:rPr>
          <w:rFonts w:hint="eastAsia"/>
          <w:b/>
          <w:bCs/>
          <w:sz w:val="24"/>
          <w:rtl/>
        </w:rPr>
        <w:t>באלימות</w:t>
      </w:r>
      <w:r>
        <w:rPr>
          <w:b/>
          <w:bCs/>
          <w:sz w:val="24"/>
          <w:rtl/>
        </w:rPr>
        <w:t xml:space="preserve"> </w:t>
      </w:r>
      <w:r>
        <w:rPr>
          <w:rFonts w:hint="eastAsia"/>
          <w:b/>
          <w:bCs/>
          <w:sz w:val="24"/>
          <w:rtl/>
        </w:rPr>
        <w:t>או</w:t>
      </w:r>
      <w:r>
        <w:rPr>
          <w:b/>
          <w:bCs/>
          <w:sz w:val="24"/>
          <w:rtl/>
        </w:rPr>
        <w:t xml:space="preserve"> </w:t>
      </w:r>
      <w:r>
        <w:rPr>
          <w:rFonts w:hint="eastAsia"/>
          <w:b/>
          <w:bCs/>
          <w:sz w:val="24"/>
          <w:rtl/>
        </w:rPr>
        <w:t>בהפחדה</w:t>
      </w:r>
      <w:r>
        <w:rPr>
          <w:b/>
          <w:bCs/>
          <w:sz w:val="24"/>
          <w:rtl/>
        </w:rPr>
        <w:t>."</w:t>
      </w:r>
    </w:p>
    <w:p w14:paraId="1B7088A1" w14:textId="77777777" w:rsidR="00AE240F" w:rsidRDefault="00AE240F" w:rsidP="00012E6A">
      <w:pPr>
        <w:spacing w:line="360" w:lineRule="auto"/>
        <w:rPr>
          <w:rFonts w:ascii="Calibri" w:hAnsi="Calibri"/>
          <w:rtl/>
        </w:rPr>
      </w:pPr>
    </w:p>
    <w:p w14:paraId="473657C3" w14:textId="77777777" w:rsidR="00AE240F" w:rsidRDefault="00AE240F" w:rsidP="00012E6A">
      <w:pPr>
        <w:spacing w:line="360" w:lineRule="auto"/>
        <w:ind w:left="720" w:hanging="720"/>
        <w:jc w:val="both"/>
        <w:rPr>
          <w:rFonts w:ascii="Calibri" w:hAnsi="Calibri"/>
          <w:rtl/>
        </w:rPr>
      </w:pPr>
      <w:r>
        <w:rPr>
          <w:rFonts w:ascii="Calibri" w:hAnsi="Calibri"/>
          <w:b/>
          <w:bCs/>
          <w:rtl/>
        </w:rPr>
        <w:t>23.</w:t>
      </w:r>
      <w:r>
        <w:rPr>
          <w:rFonts w:ascii="Calibri" w:hAnsi="Calibri"/>
          <w:rtl/>
        </w:rPr>
        <w:tab/>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יחסית</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b/>
          <w:bCs/>
          <w:rtl/>
        </w:rPr>
        <w:t>ניסיון</w:t>
      </w:r>
      <w:r>
        <w:rPr>
          <w:rFonts w:ascii="Calibri" w:hAnsi="Calibri"/>
          <w:rtl/>
        </w:rPr>
        <w:t xml:space="preserve"> </w:t>
      </w:r>
      <w:r>
        <w:rPr>
          <w:rFonts w:ascii="Calibri" w:hAnsi="Calibri" w:hint="eastAsia"/>
          <w:rtl/>
        </w:rPr>
        <w:t>לרכישה</w:t>
      </w:r>
      <w:r>
        <w:rPr>
          <w:rFonts w:ascii="Calibri" w:hAnsi="Calibri"/>
          <w:rtl/>
        </w:rPr>
        <w:t xml:space="preserve"> </w:t>
      </w:r>
      <w:r>
        <w:rPr>
          <w:rFonts w:ascii="Calibri" w:hAnsi="Calibri" w:hint="eastAsia"/>
          <w:rtl/>
        </w:rPr>
        <w:t>והחזקה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הועבר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שנלוותה</w:t>
      </w:r>
      <w:r>
        <w:rPr>
          <w:rFonts w:ascii="Calibri" w:hAnsi="Calibri"/>
          <w:rtl/>
        </w:rPr>
        <w:t xml:space="preserve"> </w:t>
      </w:r>
      <w:r>
        <w:rPr>
          <w:rFonts w:ascii="Calibri" w:hAnsi="Calibri" w:hint="eastAsia"/>
          <w:rtl/>
        </w:rPr>
        <w:t>להחזקתו</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תחמושת</w:t>
      </w:r>
      <w:r>
        <w:rPr>
          <w:rFonts w:ascii="Calibri" w:hAnsi="Calibri"/>
          <w:rtl/>
        </w:rPr>
        <w:t>.</w:t>
      </w:r>
      <w:r>
        <w:rPr>
          <w:rtl/>
        </w:rPr>
        <w:t xml:space="preserve"> קרי, על פי הקשר, אמור היה הנאשם לקבל לידיו את האקדח בלבד, ללא תחמושת.</w:t>
      </w:r>
    </w:p>
    <w:p w14:paraId="0AD1B46D" w14:textId="77777777" w:rsidR="00AE240F" w:rsidRDefault="00AE240F" w:rsidP="00012E6A">
      <w:pPr>
        <w:spacing w:line="360" w:lineRule="auto"/>
        <w:ind w:hanging="600"/>
        <w:jc w:val="both"/>
        <w:rPr>
          <w:rFonts w:cs="Arial"/>
          <w:rtl/>
        </w:rPr>
      </w:pPr>
    </w:p>
    <w:p w14:paraId="2A03723F" w14:textId="77777777" w:rsidR="00AE240F" w:rsidRDefault="00AE240F" w:rsidP="00E65EDF">
      <w:pPr>
        <w:spacing w:line="360" w:lineRule="auto"/>
        <w:ind w:left="719" w:hanging="720"/>
        <w:jc w:val="both"/>
        <w:rPr>
          <w:rtl/>
        </w:rPr>
      </w:pPr>
      <w:r>
        <w:rPr>
          <w:b/>
          <w:bCs/>
          <w:rtl/>
        </w:rPr>
        <w:t>24.</w:t>
      </w:r>
      <w:r>
        <w:rPr>
          <w:b/>
          <w:bCs/>
          <w:rtl/>
        </w:rPr>
        <w:tab/>
        <w:t>הנסיבות הקשורות בביצוע העבירות</w:t>
      </w:r>
      <w:r>
        <w:rPr>
          <w:rtl/>
        </w:rPr>
        <w:t xml:space="preserve"> - בין הנסיבות הקשורות בביצוע העבירות, יש לקחת בחשבון, את הנסיבות הבאות:</w:t>
      </w:r>
    </w:p>
    <w:p w14:paraId="61429AA6" w14:textId="77777777" w:rsidR="00AE240F" w:rsidRDefault="00AE240F" w:rsidP="00012E6A">
      <w:pPr>
        <w:spacing w:line="360" w:lineRule="auto"/>
        <w:ind w:hanging="1"/>
        <w:jc w:val="both"/>
        <w:rPr>
          <w:rtl/>
        </w:rPr>
      </w:pPr>
    </w:p>
    <w:p w14:paraId="5333C23F" w14:textId="77777777" w:rsidR="00AE240F" w:rsidRDefault="00AE240F" w:rsidP="00012E6A">
      <w:pPr>
        <w:spacing w:line="360" w:lineRule="auto"/>
        <w:ind w:left="719"/>
        <w:jc w:val="both"/>
        <w:rPr>
          <w:rtl/>
        </w:rPr>
      </w:pPr>
      <w:r>
        <w:rPr>
          <w:rtl/>
        </w:rPr>
        <w:t xml:space="preserve">הנאשם הורשע בעבירה של ניסיון לביצוע עבירות בנשק. יחד עם זאת, ביצוע העבירה המושלמת סוכל בשל פעילות יזומה של המשטרה, שסיכלה אותה. </w:t>
      </w:r>
    </w:p>
    <w:p w14:paraId="03AFD2F7" w14:textId="77777777" w:rsidR="00AE240F" w:rsidRDefault="00AE240F" w:rsidP="00012E6A">
      <w:pPr>
        <w:spacing w:line="360" w:lineRule="auto"/>
        <w:ind w:hanging="1"/>
        <w:jc w:val="both"/>
        <w:rPr>
          <w:rtl/>
        </w:rPr>
      </w:pPr>
    </w:p>
    <w:p w14:paraId="0B3D0CAC" w14:textId="77777777" w:rsidR="00AE240F" w:rsidRDefault="00AE240F" w:rsidP="00012E6A">
      <w:pPr>
        <w:spacing w:line="360" w:lineRule="auto"/>
        <w:ind w:firstLine="719"/>
        <w:jc w:val="both"/>
        <w:rPr>
          <w:rtl/>
        </w:rPr>
      </w:pPr>
      <w:r>
        <w:rPr>
          <w:rtl/>
        </w:rPr>
        <w:t xml:space="preserve">המדובר בנשק בודד, מסוג אקדח. לא נתפסה תחמושת כלשהי. </w:t>
      </w:r>
    </w:p>
    <w:p w14:paraId="401BEC24" w14:textId="77777777" w:rsidR="00AE240F" w:rsidRDefault="00AE240F" w:rsidP="00012E6A">
      <w:pPr>
        <w:spacing w:line="360" w:lineRule="auto"/>
        <w:ind w:hanging="1"/>
        <w:jc w:val="both"/>
        <w:rPr>
          <w:rtl/>
        </w:rPr>
      </w:pPr>
    </w:p>
    <w:p w14:paraId="0A3EE9C3" w14:textId="77777777" w:rsidR="00AE240F" w:rsidRDefault="00AE240F" w:rsidP="00012E6A">
      <w:pPr>
        <w:spacing w:line="360" w:lineRule="auto"/>
        <w:ind w:left="719"/>
        <w:jc w:val="both"/>
        <w:rPr>
          <w:rtl/>
        </w:rPr>
      </w:pPr>
      <w:r>
        <w:rPr>
          <w:rtl/>
        </w:rPr>
        <w:t xml:space="preserve">לחומרא, יש לזקוף את העובדה שהעבירות בוצעו תוך תכנון מוקדם, תוך קשירת קשר ובצוותא עם אחרים. </w:t>
      </w:r>
    </w:p>
    <w:p w14:paraId="2A9A98A9" w14:textId="77777777" w:rsidR="00AE240F" w:rsidRDefault="00AE240F" w:rsidP="00012E6A">
      <w:pPr>
        <w:spacing w:line="360" w:lineRule="auto"/>
        <w:ind w:hanging="1"/>
        <w:jc w:val="both"/>
        <w:rPr>
          <w:rtl/>
        </w:rPr>
      </w:pPr>
    </w:p>
    <w:p w14:paraId="07DF556D" w14:textId="77777777" w:rsidR="00AE240F" w:rsidRDefault="00AE240F" w:rsidP="00012E6A">
      <w:pPr>
        <w:spacing w:line="360" w:lineRule="auto"/>
        <w:ind w:left="719"/>
        <w:jc w:val="both"/>
        <w:rPr>
          <w:rtl/>
        </w:rPr>
      </w:pPr>
      <w:r>
        <w:rPr>
          <w:rtl/>
        </w:rPr>
        <w:t>יחד עם זאת, מתוך עובדות כתב האישום עולה כי הנאשם אינו "הרוח החיה" של התכנית העבריינית, ואיננו היוזם שלה.</w:t>
      </w:r>
    </w:p>
    <w:p w14:paraId="1DDCFBC2" w14:textId="77777777" w:rsidR="00AE240F" w:rsidRDefault="00AE240F" w:rsidP="00012E6A">
      <w:pPr>
        <w:spacing w:line="360" w:lineRule="auto"/>
        <w:ind w:left="719"/>
        <w:jc w:val="both"/>
        <w:rPr>
          <w:rtl/>
        </w:rPr>
      </w:pPr>
    </w:p>
    <w:p w14:paraId="41B30E0E" w14:textId="77777777" w:rsidR="00AE240F" w:rsidRDefault="00AE240F" w:rsidP="00012E6A">
      <w:pPr>
        <w:spacing w:line="360" w:lineRule="auto"/>
        <w:ind w:left="719"/>
        <w:jc w:val="both"/>
        <w:rPr>
          <w:rtl/>
        </w:rPr>
      </w:pPr>
      <w:r>
        <w:rPr>
          <w:rtl/>
        </w:rPr>
        <w:t>בהתייחס לנזק שנגרם מביצוע העבירה – הנשק, שאמור היה להיות מועבר לנאשם אמנם נתפס על ידי המשטרה בטרם הגיע לידיים עוינות ולפני שהושלמה העסקה, אך עם זאת, אין להתעלם מהנזק הפוטנציאלי שעלול היה להיגרם, במידה והייתה העסקה מושלמת.</w:t>
      </w:r>
    </w:p>
    <w:p w14:paraId="0D2EFAFE" w14:textId="77777777" w:rsidR="00AE240F" w:rsidRDefault="00AE240F" w:rsidP="00012E6A">
      <w:pPr>
        <w:spacing w:line="360" w:lineRule="auto"/>
        <w:ind w:hanging="601"/>
        <w:jc w:val="both"/>
        <w:rPr>
          <w:rtl/>
        </w:rPr>
      </w:pPr>
    </w:p>
    <w:p w14:paraId="5E5F95D3" w14:textId="77777777" w:rsidR="00AE240F" w:rsidRDefault="00AE240F" w:rsidP="00012E6A">
      <w:pPr>
        <w:spacing w:line="360" w:lineRule="auto"/>
        <w:ind w:left="719" w:hanging="719"/>
        <w:jc w:val="both"/>
        <w:rPr>
          <w:rtl/>
        </w:rPr>
      </w:pPr>
      <w:r>
        <w:rPr>
          <w:b/>
          <w:bCs/>
          <w:rtl/>
        </w:rPr>
        <w:t>25.</w:t>
      </w:r>
      <w:r>
        <w:rPr>
          <w:b/>
          <w:bCs/>
          <w:rtl/>
        </w:rPr>
        <w:tab/>
        <w:t>מדיניות הענישה הנהוגה בעבירות שביצע הנאשם בנסיבותיהן</w:t>
      </w:r>
      <w:r>
        <w:rPr>
          <w:rtl/>
        </w:rPr>
        <w:t xml:space="preserve"> – כפי שהובא לעיל, בית המשפט העליון עמד לא אחת, על הצורך להחמיר בענישתם של מי שמבצעים עבירות בנשק, וזאת על מנת למגר את התופעה הקשה והמסוכנת. כך, למשל, נקבע ב</w:t>
      </w:r>
      <w:bookmarkStart w:id="9" w:name="Text1"/>
      <w:r w:rsidR="00AD007D" w:rsidRPr="00AD007D">
        <w:rPr>
          <w:rFonts w:ascii="FrankRuehl" w:hAnsi="FrankRuehl"/>
          <w:color w:val="0000FF"/>
          <w:u w:val="single"/>
          <w:rtl/>
        </w:rPr>
        <w:fldChar w:fldCharType="begin"/>
      </w:r>
      <w:r w:rsidR="00AD007D" w:rsidRPr="00AD007D">
        <w:rPr>
          <w:rFonts w:ascii="FrankRuehl" w:hAnsi="FrankRuehl"/>
          <w:color w:val="0000FF"/>
          <w:u w:val="single"/>
          <w:rtl/>
        </w:rPr>
        <w:instrText xml:space="preserve"> </w:instrText>
      </w:r>
      <w:r w:rsidR="00AD007D" w:rsidRPr="00AD007D">
        <w:rPr>
          <w:rFonts w:ascii="FrankRuehl" w:hAnsi="FrankRuehl"/>
          <w:color w:val="0000FF"/>
          <w:u w:val="single"/>
        </w:rPr>
        <w:instrText>HYPERLINK</w:instrText>
      </w:r>
      <w:r w:rsidR="00AD007D" w:rsidRPr="00AD007D">
        <w:rPr>
          <w:rFonts w:ascii="FrankRuehl" w:hAnsi="FrankRuehl"/>
          <w:color w:val="0000FF"/>
          <w:u w:val="single"/>
          <w:rtl/>
        </w:rPr>
        <w:instrText xml:space="preserve"> "</w:instrText>
      </w:r>
      <w:r w:rsidR="00AD007D" w:rsidRPr="00AD007D">
        <w:rPr>
          <w:rFonts w:ascii="FrankRuehl" w:hAnsi="FrankRuehl"/>
          <w:color w:val="0000FF"/>
          <w:u w:val="single"/>
        </w:rPr>
        <w:instrText>http://www.nevo.co.il/case/5581144</w:instrText>
      </w:r>
      <w:r w:rsidR="00AD007D" w:rsidRPr="00AD007D">
        <w:rPr>
          <w:rFonts w:ascii="FrankRuehl" w:hAnsi="FrankRuehl"/>
          <w:color w:val="0000FF"/>
          <w:u w:val="single"/>
          <w:rtl/>
        </w:rPr>
        <w:instrText xml:space="preserve">" </w:instrText>
      </w:r>
      <w:r w:rsidR="00AD007D" w:rsidRPr="00AD007D">
        <w:rPr>
          <w:rFonts w:ascii="FrankRuehl" w:hAnsi="FrankRuehl"/>
          <w:color w:val="0000FF"/>
          <w:u w:val="single"/>
        </w:rPr>
      </w:r>
      <w:r w:rsidR="00AD007D" w:rsidRPr="00AD007D">
        <w:rPr>
          <w:rFonts w:ascii="FrankRuehl" w:hAnsi="FrankRuehl"/>
          <w:color w:val="0000FF"/>
          <w:u w:val="single"/>
          <w:rtl/>
        </w:rPr>
        <w:fldChar w:fldCharType="separate"/>
      </w:r>
      <w:r w:rsidR="00AD007D" w:rsidRPr="00AD007D">
        <w:rPr>
          <w:rFonts w:ascii="FrankRuehl" w:hAnsi="FrankRuehl"/>
          <w:color w:val="0000FF"/>
          <w:u w:val="single"/>
          <w:rtl/>
        </w:rPr>
        <w:t>ע"פ 3790/11</w:t>
      </w:r>
      <w:r w:rsidR="00AD007D" w:rsidRPr="00AD007D">
        <w:rPr>
          <w:rFonts w:ascii="FrankRuehl" w:hAnsi="FrankRuehl"/>
          <w:color w:val="0000FF"/>
          <w:u w:val="single"/>
          <w:rtl/>
        </w:rPr>
        <w:fldChar w:fldCharType="end"/>
      </w:r>
      <w:r>
        <w:rPr>
          <w:rFonts w:ascii="FrankRuehl" w:hAnsi="FrankRuehl"/>
          <w:bCs/>
          <w:color w:val="000000"/>
          <w:rtl/>
        </w:rPr>
        <w:t xml:space="preserve"> משעל נ' מדינת ישראל</w:t>
      </w:r>
      <w:bookmarkEnd w:id="9"/>
      <w:r>
        <w:rPr>
          <w:rFonts w:ascii="FrankRuehl" w:hAnsi="FrankRuehl"/>
          <w:bCs/>
          <w:color w:val="000000"/>
          <w:rtl/>
        </w:rPr>
        <w:t xml:space="preserve"> </w:t>
      </w:r>
      <w:r>
        <w:rPr>
          <w:rFonts w:ascii="FrankRuehl" w:hAnsi="FrankRuehl"/>
          <w:b/>
          <w:color w:val="000000"/>
          <w:rtl/>
        </w:rPr>
        <w:t>(23/2/2012)</w:t>
      </w:r>
      <w:r>
        <w:rPr>
          <w:b/>
          <w:rtl/>
        </w:rPr>
        <w:t>:</w:t>
      </w:r>
    </w:p>
    <w:p w14:paraId="1403984C" w14:textId="77777777" w:rsidR="00AE240F" w:rsidRDefault="00AE240F" w:rsidP="00012E6A">
      <w:pPr>
        <w:pStyle w:val="ruller4"/>
        <w:bidi/>
        <w:spacing w:before="0" w:beforeAutospacing="0" w:after="0" w:afterAutospacing="0" w:line="360" w:lineRule="auto"/>
        <w:jc w:val="both"/>
        <w:rPr>
          <w:rFonts w:cs="David"/>
          <w:b/>
          <w:bCs/>
          <w:rtl/>
        </w:rPr>
      </w:pPr>
    </w:p>
    <w:p w14:paraId="68F64A83" w14:textId="77777777" w:rsidR="00AE240F" w:rsidRDefault="00AE240F" w:rsidP="00012E6A">
      <w:pPr>
        <w:pStyle w:val="ruller4"/>
        <w:bidi/>
        <w:spacing w:before="0" w:beforeAutospacing="0" w:after="0" w:afterAutospacing="0" w:line="360" w:lineRule="auto"/>
        <w:ind w:left="1440" w:right="851"/>
        <w:jc w:val="both"/>
        <w:rPr>
          <w:rFonts w:cs="David"/>
          <w:b/>
          <w:bCs/>
          <w:rtl/>
        </w:rPr>
      </w:pPr>
      <w:r>
        <w:rPr>
          <w:rFonts w:cs="David"/>
          <w:b/>
          <w:bCs/>
          <w:rtl/>
        </w:rPr>
        <w:t xml:space="preserve">"... עבירות בנשק הפכו לחזון נפרץ במחוזותינו, בבחינת "מכת מדינה". העבירות הללו יוצרות פוטנציאל לסכסוכים אלימים, ומקימות סיכון ממשי וחמור לחיי אדם, לשלום הציבור ולביטחונו. לפיכך, בשורה של פסקי דין שניתנו בבית משפט זה, חלקם מן העת האחרונה, נקבע כי יש </w:t>
      </w:r>
    </w:p>
    <w:p w14:paraId="4B95788D" w14:textId="77777777" w:rsidR="00AE240F" w:rsidRDefault="00AE240F" w:rsidP="00012E6A">
      <w:pPr>
        <w:pStyle w:val="ruller4"/>
        <w:bidi/>
        <w:spacing w:before="0" w:beforeAutospacing="0" w:after="0" w:afterAutospacing="0" w:line="360" w:lineRule="auto"/>
        <w:ind w:left="1440" w:right="851"/>
        <w:jc w:val="both"/>
        <w:rPr>
          <w:rFonts w:cs="David"/>
        </w:rPr>
      </w:pPr>
      <w:r>
        <w:rPr>
          <w:rFonts w:cs="David"/>
          <w:b/>
          <w:bCs/>
          <w:rtl/>
        </w:rPr>
        <w:t xml:space="preserve">לשדר מסר עונשי אשר ירתיע מפני ביצוע העבירות, וזאת בדרך של החמרה בענישה (ראו למשל: </w:t>
      </w:r>
      <w:hyperlink r:id="rId47" w:history="1">
        <w:r w:rsidR="00AD007D" w:rsidRPr="00AD007D">
          <w:rPr>
            <w:rFonts w:cs="David"/>
            <w:b/>
            <w:bCs/>
            <w:color w:val="0000FF"/>
            <w:u w:val="single"/>
            <w:rtl/>
          </w:rPr>
          <w:t>ע"פ 761/07</w:t>
        </w:r>
      </w:hyperlink>
      <w:r>
        <w:rPr>
          <w:rFonts w:cs="David"/>
          <w:b/>
          <w:bCs/>
          <w:rtl/>
        </w:rPr>
        <w:t xml:space="preserve"> מדינת ישראל נ' אדרי (לא פורסם, 22.2.07); </w:t>
      </w:r>
      <w:hyperlink r:id="rId48" w:history="1">
        <w:r w:rsidR="00AD007D" w:rsidRPr="00AD007D">
          <w:rPr>
            <w:rFonts w:cs="David"/>
            <w:b/>
            <w:bCs/>
            <w:color w:val="0000FF"/>
            <w:u w:val="single"/>
            <w:rtl/>
          </w:rPr>
          <w:t>ע"פ 4329/10</w:t>
        </w:r>
      </w:hyperlink>
      <w:r>
        <w:rPr>
          <w:rFonts w:cs="David"/>
          <w:b/>
          <w:bCs/>
          <w:rtl/>
        </w:rPr>
        <w:t xml:space="preserve"> אסמאעיל נ' מדינת ישראל (לא פורסם, 25.10.10); </w:t>
      </w:r>
      <w:hyperlink r:id="rId49" w:history="1">
        <w:r w:rsidR="00AD007D" w:rsidRPr="00AD007D">
          <w:rPr>
            <w:rFonts w:cs="David"/>
            <w:b/>
            <w:bCs/>
            <w:color w:val="0000FF"/>
            <w:u w:val="single"/>
            <w:rtl/>
          </w:rPr>
          <w:t>ע"פ 4460/11</w:t>
        </w:r>
      </w:hyperlink>
      <w:r>
        <w:rPr>
          <w:rFonts w:cs="David"/>
          <w:b/>
          <w:bCs/>
          <w:rtl/>
        </w:rPr>
        <w:t xml:space="preserve"> מדינת ישראל נ' פאיד (לא פורסם, 28.11.11); </w:t>
      </w:r>
      <w:hyperlink r:id="rId50" w:history="1">
        <w:r w:rsidR="00AD007D" w:rsidRPr="00AD007D">
          <w:rPr>
            <w:rFonts w:cs="David"/>
            <w:b/>
            <w:bCs/>
            <w:color w:val="0000FF"/>
            <w:u w:val="single"/>
            <w:rtl/>
          </w:rPr>
          <w:t>ע"פ 5120/11</w:t>
        </w:r>
      </w:hyperlink>
      <w:r>
        <w:rPr>
          <w:rFonts w:cs="David"/>
          <w:b/>
          <w:bCs/>
          <w:rtl/>
        </w:rPr>
        <w:t xml:space="preserve"> שתיווי נ' מדינת ישראל (לא פורסם, 18.12.11))." </w:t>
      </w:r>
    </w:p>
    <w:p w14:paraId="403EA7D1" w14:textId="77777777" w:rsidR="00AE240F" w:rsidRDefault="00AE240F" w:rsidP="00012E6A">
      <w:pPr>
        <w:spacing w:line="360" w:lineRule="auto"/>
        <w:jc w:val="both"/>
        <w:rPr>
          <w:rtl/>
        </w:rPr>
      </w:pPr>
    </w:p>
    <w:p w14:paraId="3EB8DAA9" w14:textId="77777777" w:rsidR="00AE240F" w:rsidRDefault="00AE240F" w:rsidP="00012E6A">
      <w:pPr>
        <w:spacing w:line="360" w:lineRule="auto"/>
        <w:ind w:left="720" w:hanging="720"/>
        <w:jc w:val="both"/>
        <w:rPr>
          <w:rtl/>
        </w:rPr>
      </w:pPr>
      <w:r>
        <w:rPr>
          <w:b/>
          <w:bCs/>
          <w:rtl/>
        </w:rPr>
        <w:t>26</w:t>
      </w:r>
      <w:r>
        <w:rPr>
          <w:rtl/>
        </w:rPr>
        <w:t>.</w:t>
      </w:r>
      <w:r>
        <w:rPr>
          <w:rtl/>
        </w:rPr>
        <w:tab/>
        <w:t xml:space="preserve">מדובר בתופעה שלמרבה הצער, הינה נפוצה. למרות מדיניות הענישה הנהוגה מזה שנים, לא מוגרה והיא פוגעת בשלומם של אזרחים תמימים, כאשר כלי הנשק הללו משמשים לפעילות עבריינית, בתחום הרכוש והאלימות, ואף לפעילות טרור. </w:t>
      </w:r>
    </w:p>
    <w:p w14:paraId="54A96826" w14:textId="77777777" w:rsidR="00AE240F" w:rsidRDefault="00AE240F" w:rsidP="00012E6A">
      <w:pPr>
        <w:spacing w:line="360" w:lineRule="auto"/>
        <w:ind w:hanging="720"/>
        <w:jc w:val="both"/>
        <w:rPr>
          <w:rtl/>
        </w:rPr>
      </w:pPr>
    </w:p>
    <w:p w14:paraId="020D6315" w14:textId="77777777" w:rsidR="00AE240F" w:rsidRDefault="00AE240F" w:rsidP="00012E6A">
      <w:pPr>
        <w:spacing w:line="360" w:lineRule="auto"/>
        <w:ind w:left="720" w:hanging="720"/>
        <w:jc w:val="both"/>
        <w:rPr>
          <w:rtl/>
        </w:rPr>
      </w:pPr>
      <w:r>
        <w:rPr>
          <w:b/>
          <w:bCs/>
          <w:rtl/>
        </w:rPr>
        <w:t>27</w:t>
      </w:r>
      <w:r>
        <w:rPr>
          <w:rtl/>
        </w:rPr>
        <w:t>.</w:t>
      </w:r>
      <w:r>
        <w:rPr>
          <w:rtl/>
        </w:rPr>
        <w:tab/>
        <w:t>כל צד בתורו הפנה לפסיקה, ממנה הוא מבקש ללמוד מהי מדיניות הענישה הנהוגה. חלק מפסקי הדין, אליהם הפנו הצדדים, נגזרו טרם כניסתו לתוקף של תיקון 113 ל</w:t>
      </w:r>
      <w:hyperlink r:id="rId51" w:history="1">
        <w:r w:rsidR="00AD007D" w:rsidRPr="00AD007D">
          <w:rPr>
            <w:color w:val="0000FF"/>
            <w:u w:val="single"/>
            <w:rtl/>
          </w:rPr>
          <w:t>חוק העונשין</w:t>
        </w:r>
      </w:hyperlink>
      <w:r>
        <w:rPr>
          <w:rtl/>
        </w:rPr>
        <w:t>, כך שהעונשים שהוטלו בהם מגלמים בתוכם כבר גם את הפן האינדיבידואלי, הקשור לנסיבות העושה, קרי, לנסיבות שאינן קשורות בביצוע העבירות, לכן, קשה ללמוד מהם אודות המתחם הראוי.</w:t>
      </w:r>
    </w:p>
    <w:p w14:paraId="569ED7F9" w14:textId="77777777" w:rsidR="00AE240F" w:rsidRDefault="00AE240F" w:rsidP="00012E6A">
      <w:pPr>
        <w:spacing w:line="360" w:lineRule="auto"/>
        <w:ind w:hanging="720"/>
        <w:jc w:val="both"/>
        <w:rPr>
          <w:rtl/>
        </w:rPr>
      </w:pPr>
    </w:p>
    <w:p w14:paraId="26D03FE8" w14:textId="77777777" w:rsidR="00AE240F" w:rsidRDefault="00AE240F" w:rsidP="00012E6A">
      <w:pPr>
        <w:spacing w:line="360" w:lineRule="auto"/>
        <w:ind w:left="720"/>
        <w:jc w:val="both"/>
        <w:rPr>
          <w:rtl/>
        </w:rPr>
      </w:pPr>
      <w:r>
        <w:rPr>
          <w:rtl/>
        </w:rPr>
        <w:t>המאשימה מפנה לפסיקה מחמירה, המתווה רף ענישה גבוה. עיון בפסקי הדין אליהם הפנתה המאשימה מעלה כי באותם מקרים ביצעו הנאשמים עבירות נשק חמורות יותר או ביצעו עבירות נוספות. כך לדוגמא, ב</w:t>
      </w:r>
      <w:hyperlink r:id="rId52" w:history="1">
        <w:r w:rsidR="00AD007D" w:rsidRPr="00AD007D">
          <w:rPr>
            <w:color w:val="0000FF"/>
            <w:u w:val="single"/>
            <w:rtl/>
          </w:rPr>
          <w:t>ע"פ 9373/10</w:t>
        </w:r>
      </w:hyperlink>
      <w:r>
        <w:rPr>
          <w:rtl/>
        </w:rPr>
        <w:t xml:space="preserve"> </w:t>
      </w:r>
      <w:r>
        <w:rPr>
          <w:b/>
          <w:bCs/>
          <w:rtl/>
        </w:rPr>
        <w:t>ותד נ' מדינת ישראל</w:t>
      </w:r>
      <w:r>
        <w:rPr>
          <w:rtl/>
        </w:rPr>
        <w:t xml:space="preserve"> (14/9/2011) נדון עניינו של נאשם אשר הורשע בהחזקה ונשיאה של נשק ותחמושת רבה, ונדון ל- 50 חודשי מאסר בפועל. בית המשפט העליון קבע כי אכן הגיעה העת להחמיר בעונשיהם של מבצעי עבירות בנשק, אולם בהדרגה, לכן הופחת עונשו ל – 30 חודשי מאסר בפועל. </w:t>
      </w:r>
    </w:p>
    <w:p w14:paraId="1E306699" w14:textId="77777777" w:rsidR="00AE240F" w:rsidRDefault="00AE240F" w:rsidP="00012E6A">
      <w:pPr>
        <w:spacing w:line="360" w:lineRule="auto"/>
        <w:jc w:val="both"/>
        <w:rPr>
          <w:rtl/>
        </w:rPr>
      </w:pPr>
    </w:p>
    <w:p w14:paraId="41DCC1B7" w14:textId="77777777" w:rsidR="00AE240F" w:rsidRDefault="00AE240F" w:rsidP="00012E6A">
      <w:pPr>
        <w:spacing w:line="360" w:lineRule="auto"/>
        <w:ind w:left="720"/>
        <w:jc w:val="both"/>
        <w:rPr>
          <w:rtl/>
        </w:rPr>
      </w:pPr>
      <w:r>
        <w:rPr>
          <w:rtl/>
        </w:rPr>
        <w:t>ב</w:t>
      </w:r>
      <w:hyperlink r:id="rId53" w:history="1">
        <w:r w:rsidR="00AD007D" w:rsidRPr="00AD007D">
          <w:rPr>
            <w:color w:val="0000FF"/>
            <w:u w:val="single"/>
            <w:rtl/>
          </w:rPr>
          <w:t>ע"פ 8488/11</w:t>
        </w:r>
      </w:hyperlink>
      <w:r>
        <w:rPr>
          <w:rtl/>
        </w:rPr>
        <w:t xml:space="preserve"> </w:t>
      </w:r>
      <w:r>
        <w:rPr>
          <w:b/>
          <w:bCs/>
          <w:rtl/>
        </w:rPr>
        <w:t>חליל נ' מדינת ישראל</w:t>
      </w:r>
      <w:r>
        <w:rPr>
          <w:rtl/>
        </w:rPr>
        <w:t xml:space="preserve"> ( 5/11/2012) נדון עניינו של נאשם אשר נשא אקדח עם מחסנית בתוך אולם אירועים. הוא נדון ל- 50 חודשי מאסר בפועל, בגין עבירות הנשק ובנוסף הוטלו עליו עונשי מאסר בגין הפרעה לשוטר במילוי תפקידו וניסיון לבריחה ממשמורת, וכן הופעלו מאסרים מותנים. בית המשפט העליון הקל בעונשו והפחית את תקופות המאסר שהוטלו עליו בגין העבירות בהן הורשע ל- 36 חודשים.</w:t>
      </w:r>
    </w:p>
    <w:p w14:paraId="4D0063EB" w14:textId="77777777" w:rsidR="00AE240F" w:rsidRDefault="00AE240F" w:rsidP="00012E6A">
      <w:pPr>
        <w:spacing w:line="360" w:lineRule="auto"/>
        <w:jc w:val="both"/>
        <w:rPr>
          <w:rtl/>
        </w:rPr>
      </w:pPr>
    </w:p>
    <w:p w14:paraId="2306116E" w14:textId="77777777" w:rsidR="00AE240F" w:rsidRDefault="00AE240F" w:rsidP="00012E6A">
      <w:pPr>
        <w:spacing w:line="360" w:lineRule="auto"/>
        <w:ind w:left="720"/>
        <w:jc w:val="both"/>
        <w:rPr>
          <w:rtl/>
        </w:rPr>
      </w:pPr>
      <w:r>
        <w:rPr>
          <w:rtl/>
        </w:rPr>
        <w:t xml:space="preserve">מנגד, הפנה הסניגור לאסופת פסקי דין, בהם נדונו עבירות חמורות מהמקרה שבפניי, ואשר בחלקם נגזרו עונשים אשר ניתן לרצותם בעבודות שירות או נקבעו מתחמי ענישה שהרף הנמוך שלהם הוא 6 חודשי מאסר בפועל. </w:t>
      </w:r>
    </w:p>
    <w:p w14:paraId="3AD76162" w14:textId="77777777" w:rsidR="00AE240F" w:rsidRDefault="00AE240F" w:rsidP="00012E6A">
      <w:pPr>
        <w:spacing w:line="360" w:lineRule="auto"/>
        <w:jc w:val="both"/>
        <w:rPr>
          <w:rtl/>
        </w:rPr>
      </w:pPr>
    </w:p>
    <w:p w14:paraId="73BFBDD2" w14:textId="77777777" w:rsidR="00AE240F" w:rsidRDefault="00AE240F" w:rsidP="00012E6A">
      <w:pPr>
        <w:spacing w:line="360" w:lineRule="auto"/>
        <w:ind w:left="720"/>
        <w:jc w:val="both"/>
        <w:rPr>
          <w:rtl/>
        </w:rPr>
      </w:pPr>
      <w:r>
        <w:rPr>
          <w:rtl/>
        </w:rPr>
        <w:t>בין היתר הפנה ל</w:t>
      </w:r>
      <w:hyperlink r:id="rId54" w:history="1">
        <w:r w:rsidR="00AD007D" w:rsidRPr="00AD007D">
          <w:rPr>
            <w:color w:val="0000FF"/>
            <w:u w:val="single"/>
            <w:rtl/>
          </w:rPr>
          <w:t>ע"פ 4945/13</w:t>
        </w:r>
      </w:hyperlink>
      <w:r>
        <w:rPr>
          <w:rtl/>
        </w:rPr>
        <w:t xml:space="preserve"> </w:t>
      </w:r>
      <w:r>
        <w:rPr>
          <w:b/>
          <w:bCs/>
          <w:rtl/>
        </w:rPr>
        <w:t>מדינת ישראל נ' סלימאן</w:t>
      </w:r>
      <w:r>
        <w:rPr>
          <w:rtl/>
        </w:rPr>
        <w:t xml:space="preserve"> (19/1/2014) בו הורשע נאשם בעבירות של רכישה,  החזקה, נשיאה והובלת נשק ותחמושת וכן עבירות נוספות. מתחם העונש שקבע בית המשפט העליון עמד על 12 עד 36 חודשי מאסר בפועל, יחד עם זאת, עונשו של הנאשם שם נקבע תוך סטייה מן המתחם, בשל  פוטנציאל השיקום הגבוה והועמד על 6 חודשי מאסר בעבודות שירות; </w:t>
      </w:r>
    </w:p>
    <w:p w14:paraId="1DE21D99" w14:textId="77777777" w:rsidR="00AE240F" w:rsidRDefault="00AE240F" w:rsidP="00012E6A">
      <w:pPr>
        <w:spacing w:line="360" w:lineRule="auto"/>
        <w:jc w:val="both"/>
        <w:rPr>
          <w:rtl/>
        </w:rPr>
      </w:pPr>
    </w:p>
    <w:p w14:paraId="06963740" w14:textId="77777777" w:rsidR="00AE240F" w:rsidRDefault="00AE240F" w:rsidP="00012E6A">
      <w:pPr>
        <w:spacing w:line="360" w:lineRule="auto"/>
        <w:ind w:left="720"/>
        <w:jc w:val="both"/>
        <w:rPr>
          <w:rtl/>
        </w:rPr>
      </w:pPr>
      <w:r>
        <w:rPr>
          <w:rtl/>
        </w:rPr>
        <w:t>ב</w:t>
      </w:r>
      <w:hyperlink r:id="rId55" w:history="1">
        <w:r w:rsidR="00AD007D" w:rsidRPr="00AD007D">
          <w:rPr>
            <w:color w:val="0000FF"/>
            <w:u w:val="single"/>
            <w:rtl/>
          </w:rPr>
          <w:t>ע"פ (מחוזי נצרת)  5888-04-12</w:t>
        </w:r>
      </w:hyperlink>
      <w:r>
        <w:rPr>
          <w:rtl/>
        </w:rPr>
        <w:t xml:space="preserve"> </w:t>
      </w:r>
      <w:r>
        <w:rPr>
          <w:b/>
          <w:bCs/>
          <w:rtl/>
        </w:rPr>
        <w:t>עואודה נ' מדינת ישראל</w:t>
      </w:r>
      <w:r>
        <w:rPr>
          <w:rtl/>
        </w:rPr>
        <w:t>, נדחה ערעורו של נאשם, שהורשע בעבירות  של החזקת נשק ושיבוש מהלכי משפט, לאחר שהחזיק אקדח ותחמושת, על חמורת העונש שהוטל עליו (8 חודשי מאסר בפועל ועונשים נלווים).</w:t>
      </w:r>
    </w:p>
    <w:p w14:paraId="4BD23C5C" w14:textId="77777777" w:rsidR="00AE240F" w:rsidRDefault="00AE240F" w:rsidP="00012E6A">
      <w:pPr>
        <w:spacing w:line="360" w:lineRule="auto"/>
        <w:jc w:val="both"/>
        <w:rPr>
          <w:rtl/>
        </w:rPr>
      </w:pPr>
    </w:p>
    <w:p w14:paraId="5B627268" w14:textId="77777777" w:rsidR="00AE240F" w:rsidRDefault="00AE240F" w:rsidP="00012E6A">
      <w:pPr>
        <w:spacing w:line="360" w:lineRule="auto"/>
        <w:ind w:left="720"/>
        <w:jc w:val="both"/>
        <w:rPr>
          <w:rtl/>
        </w:rPr>
      </w:pPr>
      <w:r>
        <w:rPr>
          <w:rtl/>
        </w:rPr>
        <w:t>ב</w:t>
      </w:r>
      <w:hyperlink r:id="rId56" w:history="1">
        <w:r w:rsidR="00AD007D" w:rsidRPr="00AD007D">
          <w:rPr>
            <w:color w:val="0000FF"/>
            <w:u w:val="single"/>
            <w:rtl/>
          </w:rPr>
          <w:t>ע"פ (מחוזי נצרת)  57853-03-14</w:t>
        </w:r>
      </w:hyperlink>
      <w:r>
        <w:rPr>
          <w:rtl/>
        </w:rPr>
        <w:t xml:space="preserve"> </w:t>
      </w:r>
      <w:r>
        <w:rPr>
          <w:b/>
          <w:bCs/>
          <w:rtl/>
        </w:rPr>
        <w:t>טאהא נ' מדינת ישראל</w:t>
      </w:r>
      <w:r>
        <w:rPr>
          <w:rtl/>
        </w:rPr>
        <w:t xml:space="preserve"> (27/5/2014) נדחה ערעורו של נאשם שהורשע בעבירה של החזקת נשק ותחמושת, ואשר נדון ל- 9 חודשי מאסר בפועל, לאחר שנקבע כי מתחם העונש ההולם נע בין 6 חודשי מאסר בפועל ל-20 חודשי מאסר בפועל. </w:t>
      </w:r>
    </w:p>
    <w:p w14:paraId="6ACBE994" w14:textId="77777777" w:rsidR="00AE240F" w:rsidRDefault="00AE240F" w:rsidP="00012E6A">
      <w:pPr>
        <w:spacing w:line="360" w:lineRule="auto"/>
        <w:jc w:val="both"/>
        <w:rPr>
          <w:rtl/>
        </w:rPr>
      </w:pPr>
    </w:p>
    <w:p w14:paraId="2BCCBEE4" w14:textId="77777777" w:rsidR="00AE240F" w:rsidRDefault="00AE240F" w:rsidP="00012E6A">
      <w:pPr>
        <w:spacing w:line="360" w:lineRule="auto"/>
        <w:ind w:left="720" w:hanging="720"/>
        <w:jc w:val="both"/>
        <w:rPr>
          <w:rFonts w:ascii="FrankRuehl" w:hAnsi="FrankRuehl"/>
          <w:color w:val="000000"/>
          <w:rtl/>
        </w:rPr>
      </w:pPr>
      <w:r>
        <w:rPr>
          <w:b/>
          <w:bCs/>
          <w:rtl/>
        </w:rPr>
        <w:t>28</w:t>
      </w:r>
      <w:r>
        <w:rPr>
          <w:rtl/>
        </w:rPr>
        <w:t>.</w:t>
      </w:r>
      <w:r>
        <w:rPr>
          <w:color w:val="FF0000"/>
          <w:rtl/>
        </w:rPr>
        <w:tab/>
      </w:r>
      <w:r>
        <w:rPr>
          <w:rtl/>
        </w:rPr>
        <w:t xml:space="preserve">בחינת מדיניות הענישה הנוהגת בעבירות נשק מעלה כי קיימת מגמה של החמרה, כאשר בית המשפט העליון קבע לא אחת, כי </w:t>
      </w:r>
      <w:r>
        <w:rPr>
          <w:rFonts w:ascii="FrankRuehl" w:hAnsi="FrankRuehl" w:hint="eastAsia"/>
          <w:rtl/>
        </w:rPr>
        <w:t>יש</w:t>
      </w:r>
      <w:r>
        <w:rPr>
          <w:rFonts w:ascii="FrankRuehl" w:hAnsi="FrankRuehl"/>
          <w:rtl/>
        </w:rPr>
        <w:t xml:space="preserve"> צורך להרתיע מפני ביצוע עבירות כאלו בדרך של הטלת עונשי מאסר מאחורי סורג ובריח, גם כאשר מדובר בנאשמים נורמטיביים ו</w:t>
      </w:r>
      <w:r>
        <w:rPr>
          <w:rFonts w:ascii="FrankRuehl" w:hAnsi="FrankRuehl" w:hint="eastAsia"/>
          <w:rtl/>
        </w:rPr>
        <w:t>נעדרי</w:t>
      </w:r>
      <w:r>
        <w:rPr>
          <w:rFonts w:ascii="FrankRuehl" w:hAnsi="FrankRuehl"/>
          <w:rtl/>
        </w:rPr>
        <w:t xml:space="preserve"> עבר פלילי  (ראה לדוגמא: </w:t>
      </w:r>
      <w:hyperlink r:id="rId57" w:history="1">
        <w:r w:rsidR="00AD007D" w:rsidRPr="00AD007D">
          <w:rPr>
            <w:rFonts w:ascii="FrankRuehl" w:hAnsi="FrankRuehl"/>
            <w:color w:val="0000FF"/>
            <w:u w:val="single"/>
            <w:rtl/>
          </w:rPr>
          <w:t>ע"פ 8846/15</w:t>
        </w:r>
      </w:hyperlink>
      <w:r w:rsidR="00AD007D">
        <w:rPr>
          <w:rStyle w:val="apple-converted-space"/>
          <w:rFonts w:ascii="FrankRuehl" w:hAnsi="FrankRuehl" w:cs="David"/>
          <w:rtl/>
        </w:rPr>
        <w:t xml:space="preserve"> </w:t>
      </w:r>
      <w:r>
        <w:rPr>
          <w:rFonts w:ascii="Miriam" w:hAnsi="Miriam" w:hint="eastAsia"/>
          <w:b/>
          <w:bCs/>
          <w:rtl/>
        </w:rPr>
        <w:t>דראז</w:t>
      </w:r>
      <w:r>
        <w:rPr>
          <w:rFonts w:ascii="Miriam" w:hAnsi="Miriam"/>
          <w:b/>
          <w:bCs/>
          <w:rtl/>
        </w:rPr>
        <w:t xml:space="preserve"> נגד מדינת ישראל</w:t>
      </w:r>
      <w:r w:rsidR="00AD007D">
        <w:rPr>
          <w:rStyle w:val="apple-converted-space"/>
          <w:rFonts w:ascii="FrankRuehl" w:hAnsi="FrankRuehl" w:cs="David"/>
          <w:rtl/>
        </w:rPr>
        <w:t xml:space="preserve"> </w:t>
      </w:r>
      <w:r>
        <w:rPr>
          <w:rFonts w:ascii="FrankRuehl" w:hAnsi="FrankRuehl"/>
          <w:rtl/>
        </w:rPr>
        <w:t xml:space="preserve">(13/3/2016)), ובאשרו מתחמי בין 6 או 7 חודשי מאסר בפועל עד 20 חודשים, על עבירות החזקה של נשק ותחמושת. </w:t>
      </w:r>
    </w:p>
    <w:p w14:paraId="68C3E87F" w14:textId="77777777" w:rsidR="00AE240F" w:rsidRDefault="00AE240F" w:rsidP="00012E6A">
      <w:pPr>
        <w:spacing w:line="360" w:lineRule="auto"/>
        <w:jc w:val="both"/>
        <w:rPr>
          <w:rFonts w:ascii="FrankRuehl" w:hAnsi="FrankRuehl"/>
          <w:b/>
          <w:bCs/>
          <w:color w:val="000000"/>
        </w:rPr>
      </w:pPr>
    </w:p>
    <w:p w14:paraId="3EBB4EC4" w14:textId="77777777" w:rsidR="00AE240F" w:rsidRDefault="00AE240F" w:rsidP="00012E6A">
      <w:pPr>
        <w:spacing w:line="360" w:lineRule="auto"/>
        <w:ind w:left="720" w:hanging="720"/>
        <w:jc w:val="both"/>
        <w:rPr>
          <w:rtl/>
        </w:rPr>
      </w:pPr>
      <w:r>
        <w:rPr>
          <w:b/>
          <w:bCs/>
          <w:rtl/>
        </w:rPr>
        <w:t>29</w:t>
      </w:r>
      <w:r>
        <w:rPr>
          <w:rtl/>
        </w:rPr>
        <w:t>.</w:t>
      </w:r>
      <w:r>
        <w:rPr>
          <w:rtl/>
        </w:rPr>
        <w:tab/>
        <w:t xml:space="preserve">לאחר שבחנתי את מדיניות הענישה הנהוגה, כפי שהיא משתקפת בפסקי הדין אליהם הפנו הצדדים ובפסיקה נוספת, ולאחר שעמדתי על הערכים המוגנים אשר נפגעו ומידת הפגיעה בהם, והנסיבות הקשורות בביצוען של העבירות, אני סבורה כי מתחם העונש ההולם לעבירות שביצע הנאשם בנסיבותיהן, </w:t>
      </w:r>
      <w:r>
        <w:rPr>
          <w:b/>
          <w:bCs/>
          <w:rtl/>
        </w:rPr>
        <w:t>נע בין 6 חודשי מאסר בפועל לבין 20 חודשי מאסר בפועל</w:t>
      </w:r>
      <w:r>
        <w:rPr>
          <w:rtl/>
        </w:rPr>
        <w:t xml:space="preserve">. </w:t>
      </w:r>
    </w:p>
    <w:p w14:paraId="32C98DFF" w14:textId="77777777" w:rsidR="00AE240F" w:rsidRDefault="00AE240F" w:rsidP="00012E6A">
      <w:pPr>
        <w:spacing w:line="360" w:lineRule="auto"/>
        <w:ind w:hanging="720"/>
        <w:rPr>
          <w:rtl/>
        </w:rPr>
      </w:pPr>
    </w:p>
    <w:p w14:paraId="79592C7A" w14:textId="77777777" w:rsidR="00AE240F" w:rsidRDefault="00AE240F" w:rsidP="00012E6A">
      <w:pPr>
        <w:spacing w:line="360" w:lineRule="auto"/>
        <w:rPr>
          <w:b/>
          <w:bCs/>
          <w:u w:val="single"/>
          <w:rtl/>
        </w:rPr>
      </w:pPr>
    </w:p>
    <w:p w14:paraId="6D0C310A" w14:textId="77777777" w:rsidR="00AE240F" w:rsidRDefault="00AE240F" w:rsidP="00012E6A">
      <w:pPr>
        <w:spacing w:line="360" w:lineRule="auto"/>
        <w:rPr>
          <w:b/>
          <w:bCs/>
          <w:u w:val="single"/>
          <w:rtl/>
        </w:rPr>
      </w:pPr>
    </w:p>
    <w:p w14:paraId="07C23C0E" w14:textId="77777777" w:rsidR="00AE240F" w:rsidRDefault="00AE240F" w:rsidP="00012E6A">
      <w:pPr>
        <w:spacing w:line="360" w:lineRule="auto"/>
        <w:rPr>
          <w:b/>
          <w:bCs/>
          <w:u w:val="single"/>
          <w:rtl/>
        </w:rPr>
      </w:pPr>
    </w:p>
    <w:p w14:paraId="41869C75" w14:textId="77777777" w:rsidR="00AE240F" w:rsidRDefault="00AE240F" w:rsidP="00012E6A">
      <w:pPr>
        <w:spacing w:line="360" w:lineRule="auto"/>
        <w:rPr>
          <w:b/>
          <w:bCs/>
          <w:u w:val="single"/>
          <w:rtl/>
        </w:rPr>
      </w:pPr>
    </w:p>
    <w:p w14:paraId="642D1742" w14:textId="77777777" w:rsidR="00AE240F" w:rsidRDefault="00AE240F" w:rsidP="00012E6A">
      <w:pPr>
        <w:spacing w:line="360" w:lineRule="auto"/>
        <w:rPr>
          <w:b/>
          <w:bCs/>
          <w:rtl/>
        </w:rPr>
      </w:pPr>
      <w:r>
        <w:rPr>
          <w:b/>
          <w:bCs/>
          <w:u w:val="single"/>
          <w:rtl/>
        </w:rPr>
        <w:t>קביעת העונש הראוי לנאשם</w:t>
      </w:r>
      <w:r>
        <w:rPr>
          <w:b/>
          <w:bCs/>
          <w:rtl/>
        </w:rPr>
        <w:t>:</w:t>
      </w:r>
    </w:p>
    <w:p w14:paraId="30E22841" w14:textId="77777777" w:rsidR="00AE240F" w:rsidRDefault="00AE240F" w:rsidP="00012E6A">
      <w:pPr>
        <w:spacing w:line="360" w:lineRule="auto"/>
        <w:ind w:hanging="720"/>
        <w:rPr>
          <w:rtl/>
        </w:rPr>
      </w:pPr>
    </w:p>
    <w:p w14:paraId="6F2F00F4" w14:textId="77777777" w:rsidR="00AE240F" w:rsidRDefault="00AE240F" w:rsidP="00012E6A">
      <w:pPr>
        <w:spacing w:line="360" w:lineRule="auto"/>
        <w:ind w:left="720" w:hanging="720"/>
        <w:rPr>
          <w:rtl/>
        </w:rPr>
      </w:pPr>
      <w:r>
        <w:rPr>
          <w:b/>
          <w:bCs/>
          <w:rtl/>
        </w:rPr>
        <w:t>30</w:t>
      </w:r>
      <w:r>
        <w:rPr>
          <w:rtl/>
        </w:rPr>
        <w:t>.</w:t>
      </w:r>
      <w:r>
        <w:rPr>
          <w:rtl/>
        </w:rPr>
        <w:tab/>
        <w:t>קביעת עונשו של הנאשם תעשה בתוך המתחם, אלא אם ישנן נסיבות המצדיקות חריגה ממתחם זה. במקרה דנן, בהיעדר נסיבות שכאלה, יש לגזור את העונש בתוך המתחם.</w:t>
      </w:r>
    </w:p>
    <w:p w14:paraId="79448B72" w14:textId="77777777" w:rsidR="00AE240F" w:rsidRDefault="00AE240F" w:rsidP="00012E6A">
      <w:pPr>
        <w:spacing w:line="360" w:lineRule="auto"/>
        <w:ind w:hanging="720"/>
        <w:rPr>
          <w:rtl/>
        </w:rPr>
      </w:pPr>
    </w:p>
    <w:p w14:paraId="55A68987" w14:textId="77777777" w:rsidR="00AE240F" w:rsidRDefault="00AE240F" w:rsidP="00012E6A">
      <w:pPr>
        <w:spacing w:line="360" w:lineRule="auto"/>
        <w:jc w:val="both"/>
        <w:rPr>
          <w:rtl/>
        </w:rPr>
      </w:pPr>
      <w:r>
        <w:rPr>
          <w:b/>
          <w:bCs/>
          <w:rtl/>
        </w:rPr>
        <w:t>31</w:t>
      </w:r>
      <w:r>
        <w:rPr>
          <w:rtl/>
        </w:rPr>
        <w:t xml:space="preserve">. </w:t>
      </w:r>
      <w:r>
        <w:rPr>
          <w:rtl/>
        </w:rPr>
        <w:tab/>
        <w:t>העונש הראוי לנאשם נקבע על פי הנסיבות שאינן קשורות בביצוע העבירות.</w:t>
      </w:r>
    </w:p>
    <w:p w14:paraId="70F6D648" w14:textId="77777777" w:rsidR="00AE240F" w:rsidRDefault="00AE240F" w:rsidP="00012E6A">
      <w:pPr>
        <w:spacing w:line="360" w:lineRule="auto"/>
        <w:ind w:hanging="720"/>
        <w:jc w:val="both"/>
        <w:rPr>
          <w:rtl/>
        </w:rPr>
      </w:pPr>
      <w:r>
        <w:rPr>
          <w:rtl/>
        </w:rPr>
        <w:tab/>
      </w:r>
    </w:p>
    <w:p w14:paraId="48878AFB" w14:textId="77777777" w:rsidR="00AE240F" w:rsidRDefault="00AE240F" w:rsidP="00012E6A">
      <w:pPr>
        <w:spacing w:line="360" w:lineRule="auto"/>
        <w:ind w:left="720"/>
        <w:jc w:val="both"/>
        <w:rPr>
          <w:rtl/>
        </w:rPr>
      </w:pPr>
      <w:r>
        <w:rPr>
          <w:rtl/>
        </w:rPr>
        <w:t xml:space="preserve">בענייננו, מדובר בנאשם צעיר, כבן 28 , נשוי בשנית ואב לשלושה ילדים. שניים מהם מצויים במשמורת אימם, גרושתו של הנאשם. הנאשם הוא אב לתינוק, בנו מהאישה השנייה. הנאשם התנדב לשירות צבאי ושירת בצבא במשך כשנתיים. בנוסף, לטענת בא כוחו, שמר על רצף תעסוקתי במהלך השנים מאז סיים את שירותו. </w:t>
      </w:r>
    </w:p>
    <w:p w14:paraId="12EB9EB8" w14:textId="77777777" w:rsidR="00AE240F" w:rsidRDefault="00AE240F" w:rsidP="00012E6A">
      <w:pPr>
        <w:spacing w:line="360" w:lineRule="auto"/>
        <w:jc w:val="both"/>
        <w:rPr>
          <w:rtl/>
        </w:rPr>
      </w:pPr>
    </w:p>
    <w:p w14:paraId="7434C305" w14:textId="77777777" w:rsidR="00AE240F" w:rsidRDefault="00AE240F" w:rsidP="00012E6A">
      <w:pPr>
        <w:spacing w:line="360" w:lineRule="auto"/>
        <w:ind w:left="720"/>
        <w:jc w:val="both"/>
        <w:rPr>
          <w:rtl/>
        </w:rPr>
      </w:pPr>
      <w:r>
        <w:rPr>
          <w:rtl/>
        </w:rPr>
        <w:t xml:space="preserve">נתתי דעתי לפגיעה הצפויה לנאשם ולמשפחה כולה כתוצאה מן הענישה, לרבות בהיבט הכלכלי, עקב אובדן מקור הפרנסה, כפי שהדברים באו לידי ביטוי בטיעוני בא כוחו ובמכתב מטעם מחלקת הרווחה של כפר כנא. </w:t>
      </w:r>
    </w:p>
    <w:p w14:paraId="272A9047" w14:textId="77777777" w:rsidR="00AE240F" w:rsidRDefault="00AE240F" w:rsidP="00012E6A">
      <w:pPr>
        <w:spacing w:line="360" w:lineRule="auto"/>
        <w:ind w:hanging="720"/>
        <w:jc w:val="both"/>
        <w:rPr>
          <w:rtl/>
        </w:rPr>
      </w:pPr>
    </w:p>
    <w:p w14:paraId="26EDB834" w14:textId="77777777" w:rsidR="00AE240F" w:rsidRDefault="00AE240F" w:rsidP="00012E6A">
      <w:pPr>
        <w:spacing w:line="360" w:lineRule="auto"/>
        <w:ind w:left="720" w:firstLine="60"/>
        <w:jc w:val="both"/>
        <w:rPr>
          <w:rtl/>
        </w:rPr>
      </w:pPr>
      <w:r>
        <w:rPr>
          <w:rtl/>
        </w:rPr>
        <w:t>הנאשם הודה בביצוע העבירות בשלב מוקדם מאוד של ההליך ובכך חסך זמן שיפוטי. הנאשם הביע חרטה על מעשיו והוא מבקש לשקם את חייו ולשוב לדרך הישר.</w:t>
      </w:r>
    </w:p>
    <w:p w14:paraId="08C07684" w14:textId="77777777" w:rsidR="00AE240F" w:rsidRDefault="00AE240F" w:rsidP="00012E6A">
      <w:pPr>
        <w:spacing w:line="360" w:lineRule="auto"/>
        <w:ind w:hanging="720"/>
        <w:jc w:val="both"/>
        <w:rPr>
          <w:rtl/>
        </w:rPr>
      </w:pPr>
    </w:p>
    <w:p w14:paraId="5A8F4E57" w14:textId="77777777" w:rsidR="00AE240F" w:rsidRDefault="00AE240F" w:rsidP="00012E6A">
      <w:pPr>
        <w:spacing w:line="360" w:lineRule="auto"/>
        <w:ind w:left="720"/>
        <w:jc w:val="both"/>
        <w:rPr>
          <w:rtl/>
        </w:rPr>
      </w:pPr>
      <w:r>
        <w:rPr>
          <w:rtl/>
        </w:rPr>
        <w:t>אין בעברו של הנאשם הרשעות קודמות. עם זאת, הוא הורשע לאחרונה  בעבירות אלימות כלפי גרושתו (מעשים שנמשכו לאורך תקופת נישואיהם) ובפגיעה בפרטיותה. בעת שנעצר, (27.8.15) נתפסה ברכבו סכין, לכן הורשע גם בעבירה של אחזקת סכין שלא כדין. כתב האישום בהליך הנ"ל הוגש בספטמבר 2015, כך שאת העבירות בתיק הנוכחי ביצע בעת המתנהל כנגדו הליך שיפוטי אחר.</w:t>
      </w:r>
    </w:p>
    <w:p w14:paraId="46BD35C6" w14:textId="77777777" w:rsidR="00AE240F" w:rsidRDefault="00AE240F" w:rsidP="00012E6A">
      <w:pPr>
        <w:spacing w:line="360" w:lineRule="auto"/>
        <w:ind w:hanging="720"/>
        <w:jc w:val="both"/>
        <w:rPr>
          <w:rtl/>
        </w:rPr>
      </w:pPr>
    </w:p>
    <w:p w14:paraId="63C4C26C" w14:textId="77777777" w:rsidR="00AE240F" w:rsidRDefault="00AE240F" w:rsidP="00012E6A">
      <w:pPr>
        <w:spacing w:line="360" w:lineRule="auto"/>
        <w:ind w:left="720"/>
        <w:jc w:val="both"/>
        <w:rPr>
          <w:rtl/>
        </w:rPr>
      </w:pPr>
      <w:r>
        <w:rPr>
          <w:rtl/>
        </w:rPr>
        <w:t xml:space="preserve">עוד יש לקחת בחשבון את העובדה שהנאשם נתון במעצר מיום 27.6.16, וזהו לו מעצרו הראשון. </w:t>
      </w:r>
    </w:p>
    <w:p w14:paraId="0E638CBE" w14:textId="77777777" w:rsidR="00AE240F" w:rsidRDefault="00AE240F" w:rsidP="00012E6A">
      <w:pPr>
        <w:spacing w:line="360" w:lineRule="auto"/>
        <w:ind w:hanging="720"/>
        <w:jc w:val="both"/>
        <w:rPr>
          <w:rtl/>
        </w:rPr>
      </w:pPr>
    </w:p>
    <w:p w14:paraId="1C1B10E5" w14:textId="77777777" w:rsidR="00AE240F" w:rsidRDefault="00AE240F" w:rsidP="00012E6A">
      <w:pPr>
        <w:spacing w:line="360" w:lineRule="auto"/>
        <w:ind w:left="720" w:firstLine="60"/>
        <w:jc w:val="both"/>
        <w:rPr>
          <w:rtl/>
        </w:rPr>
      </w:pPr>
      <w:r>
        <w:rPr>
          <w:rtl/>
        </w:rPr>
        <w:t xml:space="preserve">הנאשם לא ביקש להורות על הזמנת תסקיר מטעם שירות המבחן ומכאן שלא ניתן ללמוד על הליך טיפולי-שיקומי שעשוי להפחית ממסוכנותו. </w:t>
      </w:r>
    </w:p>
    <w:p w14:paraId="5563D9B0" w14:textId="77777777" w:rsidR="00AE240F" w:rsidRDefault="00AE240F" w:rsidP="00012E6A">
      <w:pPr>
        <w:spacing w:line="360" w:lineRule="auto"/>
        <w:jc w:val="both"/>
        <w:rPr>
          <w:rtl/>
        </w:rPr>
      </w:pPr>
    </w:p>
    <w:p w14:paraId="72A30D20" w14:textId="77777777" w:rsidR="00AE240F" w:rsidRDefault="00AE240F" w:rsidP="00012E6A">
      <w:pPr>
        <w:spacing w:line="360" w:lineRule="auto"/>
        <w:ind w:left="720" w:hanging="720"/>
        <w:jc w:val="both"/>
        <w:rPr>
          <w:b/>
          <w:bCs/>
          <w:rtl/>
        </w:rPr>
      </w:pPr>
    </w:p>
    <w:p w14:paraId="743B7CCF" w14:textId="77777777" w:rsidR="00AE240F" w:rsidRDefault="00AE240F" w:rsidP="00012E6A">
      <w:pPr>
        <w:spacing w:line="360" w:lineRule="auto"/>
        <w:ind w:left="720" w:hanging="720"/>
        <w:jc w:val="both"/>
        <w:rPr>
          <w:rtl/>
        </w:rPr>
      </w:pPr>
      <w:r>
        <w:rPr>
          <w:b/>
          <w:bCs/>
          <w:rtl/>
        </w:rPr>
        <w:t>32</w:t>
      </w:r>
      <w:r>
        <w:rPr>
          <w:rtl/>
        </w:rPr>
        <w:t>.</w:t>
      </w:r>
      <w:r>
        <w:rPr>
          <w:rtl/>
        </w:rPr>
        <w:tab/>
        <w:t>בנסיבות המפורטות אני סבורה כי יש למקם את עונשו של הנאשם בחלקו הנמוך עד בינוני של המתחם.</w:t>
      </w:r>
    </w:p>
    <w:p w14:paraId="292FF887" w14:textId="77777777" w:rsidR="00AE240F" w:rsidRDefault="00AE240F" w:rsidP="00012E6A">
      <w:pPr>
        <w:spacing w:line="360" w:lineRule="auto"/>
        <w:ind w:hanging="720"/>
        <w:jc w:val="both"/>
        <w:rPr>
          <w:rtl/>
        </w:rPr>
      </w:pPr>
    </w:p>
    <w:p w14:paraId="305E191A" w14:textId="77777777" w:rsidR="00AE240F" w:rsidRDefault="00AE240F" w:rsidP="00012E6A">
      <w:pPr>
        <w:spacing w:line="360" w:lineRule="auto"/>
        <w:jc w:val="both"/>
        <w:rPr>
          <w:rtl/>
        </w:rPr>
      </w:pPr>
      <w:r>
        <w:rPr>
          <w:b/>
          <w:bCs/>
          <w:rtl/>
        </w:rPr>
        <w:t>33</w:t>
      </w:r>
      <w:r>
        <w:rPr>
          <w:rtl/>
        </w:rPr>
        <w:t>.</w:t>
      </w:r>
      <w:r>
        <w:rPr>
          <w:rtl/>
        </w:rPr>
        <w:tab/>
      </w:r>
      <w:r>
        <w:rPr>
          <w:b/>
          <w:bCs/>
          <w:u w:val="single"/>
          <w:rtl/>
        </w:rPr>
        <w:t>אשר על כן אני גוזרת על הנאשם את העונשים הבאים</w:t>
      </w:r>
      <w:r>
        <w:rPr>
          <w:rtl/>
        </w:rPr>
        <w:t>:</w:t>
      </w:r>
    </w:p>
    <w:p w14:paraId="24F5CDEB" w14:textId="77777777" w:rsidR="00AE240F" w:rsidRDefault="00AE240F" w:rsidP="00012E6A">
      <w:pPr>
        <w:spacing w:line="360" w:lineRule="auto"/>
        <w:jc w:val="both"/>
        <w:rPr>
          <w:rtl/>
        </w:rPr>
      </w:pPr>
    </w:p>
    <w:p w14:paraId="04E97130" w14:textId="77777777" w:rsidR="00AE240F" w:rsidRPr="00E65EDF" w:rsidRDefault="00AE240F" w:rsidP="00E65EDF">
      <w:pPr>
        <w:spacing w:line="360" w:lineRule="auto"/>
        <w:ind w:left="1440" w:hanging="720"/>
        <w:jc w:val="both"/>
        <w:rPr>
          <w:rtl/>
        </w:rPr>
      </w:pPr>
      <w:r w:rsidRPr="00E65EDF">
        <w:rPr>
          <w:b/>
          <w:bCs/>
          <w:rtl/>
        </w:rPr>
        <w:t>א</w:t>
      </w:r>
      <w:r w:rsidRPr="00E65EDF">
        <w:rPr>
          <w:rtl/>
        </w:rPr>
        <w:t>.</w:t>
      </w:r>
      <w:r w:rsidRPr="00E65EDF">
        <w:rPr>
          <w:rtl/>
        </w:rPr>
        <w:tab/>
        <w:t xml:space="preserve">9   חודשים מאסר בפועל, בניכוי ימי מעצרו מיום </w:t>
      </w:r>
      <w:r w:rsidRPr="00E65EDF">
        <w:rPr>
          <w:b/>
          <w:bCs/>
          <w:rtl/>
        </w:rPr>
        <w:t xml:space="preserve">27.6.16 עד היום. עונש זה יצטבר לעונש המאסר שמרצה הנאשם היום בגין תיק אחר. </w:t>
      </w:r>
    </w:p>
    <w:p w14:paraId="0AA7F67D" w14:textId="77777777" w:rsidR="00AE240F" w:rsidRPr="00E65EDF" w:rsidRDefault="00AE240F" w:rsidP="00E65EDF">
      <w:pPr>
        <w:spacing w:line="360" w:lineRule="auto"/>
        <w:ind w:firstLine="720"/>
        <w:jc w:val="both"/>
        <w:rPr>
          <w:rtl/>
        </w:rPr>
      </w:pPr>
    </w:p>
    <w:p w14:paraId="68A7C7CA" w14:textId="77777777" w:rsidR="00AE240F" w:rsidRPr="00E65EDF" w:rsidRDefault="00AE240F" w:rsidP="00E65EDF">
      <w:pPr>
        <w:spacing w:line="360" w:lineRule="auto"/>
        <w:ind w:left="1440" w:hanging="720"/>
        <w:jc w:val="both"/>
      </w:pPr>
      <w:r w:rsidRPr="00E65EDF">
        <w:rPr>
          <w:b/>
          <w:bCs/>
          <w:rtl/>
        </w:rPr>
        <w:t>ב</w:t>
      </w:r>
      <w:r w:rsidRPr="00E65EDF">
        <w:rPr>
          <w:rtl/>
        </w:rPr>
        <w:t>.</w:t>
      </w:r>
      <w:r w:rsidRPr="00E65EDF">
        <w:rPr>
          <w:rtl/>
        </w:rPr>
        <w:tab/>
      </w:r>
      <w:r w:rsidRPr="00E65EDF">
        <w:rPr>
          <w:rFonts w:ascii="Calibri" w:hAnsi="Calibri"/>
          <w:rtl/>
        </w:rPr>
        <w:t xml:space="preserve">8 </w:t>
      </w:r>
      <w:r w:rsidRPr="00E65EDF">
        <w:rPr>
          <w:rFonts w:ascii="Calibri" w:hAnsi="Calibri" w:hint="eastAsia"/>
          <w:rtl/>
        </w:rPr>
        <w:t>חודשי</w:t>
      </w:r>
      <w:r w:rsidRPr="00E65EDF">
        <w:rPr>
          <w:rFonts w:ascii="Calibri" w:hAnsi="Calibri"/>
          <w:rtl/>
        </w:rPr>
        <w:t xml:space="preserve"> </w:t>
      </w:r>
      <w:r w:rsidRPr="00E65EDF">
        <w:rPr>
          <w:rFonts w:ascii="Calibri" w:hAnsi="Calibri" w:hint="eastAsia"/>
          <w:rtl/>
        </w:rPr>
        <w:t>מאסר</w:t>
      </w:r>
      <w:r w:rsidRPr="00E65EDF">
        <w:rPr>
          <w:rFonts w:ascii="Calibri" w:hAnsi="Calibri"/>
          <w:rtl/>
        </w:rPr>
        <w:t xml:space="preserve"> </w:t>
      </w:r>
      <w:r w:rsidRPr="00E65EDF">
        <w:rPr>
          <w:rFonts w:ascii="Calibri" w:hAnsi="Calibri" w:hint="eastAsia"/>
          <w:rtl/>
        </w:rPr>
        <w:t>על</w:t>
      </w:r>
      <w:r w:rsidRPr="00E65EDF">
        <w:rPr>
          <w:rFonts w:ascii="Calibri" w:hAnsi="Calibri"/>
          <w:rtl/>
        </w:rPr>
        <w:t xml:space="preserve"> </w:t>
      </w:r>
      <w:r w:rsidRPr="00E65EDF">
        <w:rPr>
          <w:rFonts w:ascii="Calibri" w:hAnsi="Calibri" w:hint="eastAsia"/>
          <w:rtl/>
        </w:rPr>
        <w:t>תנאי</w:t>
      </w:r>
      <w:r w:rsidRPr="00E65EDF">
        <w:rPr>
          <w:rFonts w:ascii="Calibri" w:hAnsi="Calibri"/>
          <w:rtl/>
        </w:rPr>
        <w:t xml:space="preserve">, </w:t>
      </w:r>
      <w:r w:rsidRPr="00E65EDF">
        <w:rPr>
          <w:rFonts w:ascii="Calibri" w:hAnsi="Calibri" w:hint="eastAsia"/>
          <w:rtl/>
        </w:rPr>
        <w:t>למשך</w:t>
      </w:r>
      <w:r w:rsidRPr="00E65EDF">
        <w:rPr>
          <w:rFonts w:ascii="Calibri" w:hAnsi="Calibri"/>
          <w:rtl/>
        </w:rPr>
        <w:t xml:space="preserve"> 3 </w:t>
      </w:r>
      <w:r w:rsidRPr="00E65EDF">
        <w:rPr>
          <w:rFonts w:ascii="Calibri" w:hAnsi="Calibri" w:hint="eastAsia"/>
          <w:rtl/>
        </w:rPr>
        <w:t>שנים</w:t>
      </w:r>
      <w:r w:rsidRPr="00E65EDF">
        <w:rPr>
          <w:rFonts w:ascii="Calibri" w:hAnsi="Calibri"/>
          <w:rtl/>
        </w:rPr>
        <w:t xml:space="preserve">, </w:t>
      </w:r>
      <w:r w:rsidRPr="00E65EDF">
        <w:rPr>
          <w:rFonts w:ascii="Calibri" w:hAnsi="Calibri" w:hint="eastAsia"/>
          <w:rtl/>
        </w:rPr>
        <w:t>והתנאי</w:t>
      </w:r>
      <w:r w:rsidRPr="00E65EDF">
        <w:rPr>
          <w:rFonts w:ascii="Calibri" w:hAnsi="Calibri"/>
          <w:rtl/>
        </w:rPr>
        <w:t xml:space="preserve"> </w:t>
      </w:r>
      <w:r w:rsidRPr="00E65EDF">
        <w:rPr>
          <w:rFonts w:ascii="Calibri" w:hAnsi="Calibri" w:hint="eastAsia"/>
          <w:rtl/>
        </w:rPr>
        <w:t>הוא</w:t>
      </w:r>
      <w:r w:rsidRPr="00E65EDF">
        <w:rPr>
          <w:rFonts w:ascii="Calibri" w:hAnsi="Calibri"/>
          <w:rtl/>
        </w:rPr>
        <w:t xml:space="preserve"> </w:t>
      </w:r>
      <w:r w:rsidRPr="00E65EDF">
        <w:rPr>
          <w:rFonts w:ascii="Calibri" w:hAnsi="Calibri" w:hint="eastAsia"/>
          <w:rtl/>
        </w:rPr>
        <w:t>שלא</w:t>
      </w:r>
      <w:r w:rsidRPr="00E65EDF">
        <w:rPr>
          <w:rFonts w:ascii="Calibri" w:hAnsi="Calibri"/>
          <w:rtl/>
        </w:rPr>
        <w:t xml:space="preserve"> </w:t>
      </w:r>
      <w:r w:rsidRPr="00E65EDF">
        <w:rPr>
          <w:rFonts w:ascii="Calibri" w:hAnsi="Calibri" w:hint="eastAsia"/>
          <w:rtl/>
        </w:rPr>
        <w:t>יעבור</w:t>
      </w:r>
      <w:r w:rsidRPr="00E65EDF">
        <w:rPr>
          <w:rFonts w:ascii="Calibri" w:hAnsi="Calibri"/>
          <w:rtl/>
        </w:rPr>
        <w:t xml:space="preserve"> </w:t>
      </w:r>
      <w:r w:rsidRPr="00E65EDF">
        <w:rPr>
          <w:rFonts w:ascii="Calibri" w:hAnsi="Calibri" w:hint="eastAsia"/>
          <w:rtl/>
        </w:rPr>
        <w:t>במהלך</w:t>
      </w:r>
      <w:r w:rsidRPr="00E65EDF">
        <w:rPr>
          <w:rFonts w:ascii="Calibri" w:hAnsi="Calibri"/>
          <w:rtl/>
        </w:rPr>
        <w:t xml:space="preserve"> </w:t>
      </w:r>
      <w:r w:rsidRPr="00E65EDF">
        <w:rPr>
          <w:rFonts w:ascii="Calibri" w:hAnsi="Calibri" w:hint="eastAsia"/>
          <w:rtl/>
        </w:rPr>
        <w:t>תקופה</w:t>
      </w:r>
      <w:r w:rsidRPr="00E65EDF">
        <w:rPr>
          <w:rFonts w:ascii="Calibri" w:hAnsi="Calibri"/>
          <w:rtl/>
        </w:rPr>
        <w:t xml:space="preserve"> </w:t>
      </w:r>
      <w:r w:rsidRPr="00E65EDF">
        <w:rPr>
          <w:rFonts w:ascii="Calibri" w:hAnsi="Calibri" w:hint="eastAsia"/>
          <w:rtl/>
        </w:rPr>
        <w:t>זו</w:t>
      </w:r>
      <w:r w:rsidRPr="00E65EDF">
        <w:rPr>
          <w:rFonts w:ascii="Calibri" w:hAnsi="Calibri"/>
          <w:rtl/>
        </w:rPr>
        <w:t xml:space="preserve"> </w:t>
      </w:r>
      <w:r w:rsidRPr="00E65EDF">
        <w:rPr>
          <w:rFonts w:ascii="Calibri" w:hAnsi="Calibri" w:hint="eastAsia"/>
          <w:rtl/>
        </w:rPr>
        <w:t>כל</w:t>
      </w:r>
      <w:r w:rsidRPr="00E65EDF">
        <w:rPr>
          <w:rFonts w:ascii="Calibri" w:hAnsi="Calibri"/>
          <w:rtl/>
        </w:rPr>
        <w:t xml:space="preserve"> </w:t>
      </w:r>
      <w:r w:rsidRPr="00E65EDF">
        <w:rPr>
          <w:rFonts w:ascii="Calibri" w:hAnsi="Calibri" w:hint="eastAsia"/>
          <w:rtl/>
        </w:rPr>
        <w:t>עבירת</w:t>
      </w:r>
      <w:r w:rsidRPr="00E65EDF">
        <w:rPr>
          <w:rFonts w:ascii="Calibri" w:hAnsi="Calibri"/>
          <w:rtl/>
        </w:rPr>
        <w:t xml:space="preserve"> </w:t>
      </w:r>
      <w:r w:rsidRPr="00E65EDF">
        <w:rPr>
          <w:rFonts w:ascii="Calibri" w:hAnsi="Calibri" w:hint="eastAsia"/>
          <w:rtl/>
        </w:rPr>
        <w:t>נשק</w:t>
      </w:r>
      <w:r w:rsidRPr="00E65EDF">
        <w:rPr>
          <w:rFonts w:ascii="Calibri" w:hAnsi="Calibri"/>
          <w:rtl/>
        </w:rPr>
        <w:t>.</w:t>
      </w:r>
    </w:p>
    <w:p w14:paraId="07A87AEF" w14:textId="77777777" w:rsidR="00AE240F" w:rsidRPr="00E65EDF" w:rsidRDefault="00AE240F" w:rsidP="00E65EDF">
      <w:pPr>
        <w:spacing w:line="360" w:lineRule="auto"/>
        <w:contextualSpacing/>
        <w:jc w:val="both"/>
        <w:rPr>
          <w:rFonts w:ascii="Calibri" w:hAnsi="Calibri"/>
          <w:rtl/>
        </w:rPr>
      </w:pPr>
    </w:p>
    <w:p w14:paraId="6580E18A" w14:textId="77777777" w:rsidR="00AE240F" w:rsidRPr="00E65EDF" w:rsidRDefault="00AE240F" w:rsidP="00E65EDF">
      <w:pPr>
        <w:spacing w:line="360" w:lineRule="auto"/>
        <w:ind w:firstLine="720"/>
        <w:contextualSpacing/>
        <w:jc w:val="both"/>
        <w:rPr>
          <w:rFonts w:ascii="Calibri" w:hAnsi="Calibri"/>
        </w:rPr>
      </w:pPr>
      <w:r w:rsidRPr="00E65EDF">
        <w:rPr>
          <w:rFonts w:ascii="Calibri" w:hAnsi="Calibri" w:hint="eastAsia"/>
          <w:b/>
          <w:bCs/>
          <w:rtl/>
        </w:rPr>
        <w:t>ג</w:t>
      </w:r>
      <w:r w:rsidRPr="00E65EDF">
        <w:rPr>
          <w:rFonts w:ascii="Calibri" w:hAnsi="Calibri"/>
          <w:b/>
          <w:bCs/>
          <w:rtl/>
        </w:rPr>
        <w:t>.</w:t>
      </w:r>
      <w:r w:rsidRPr="00E65EDF">
        <w:rPr>
          <w:rFonts w:ascii="Calibri" w:hAnsi="Calibri"/>
          <w:rtl/>
        </w:rPr>
        <w:tab/>
      </w:r>
      <w:r w:rsidRPr="00E65EDF">
        <w:rPr>
          <w:rFonts w:ascii="Calibri" w:hAnsi="Calibri" w:hint="eastAsia"/>
          <w:rtl/>
        </w:rPr>
        <w:t>קנס</w:t>
      </w:r>
      <w:r w:rsidRPr="00E65EDF">
        <w:rPr>
          <w:rFonts w:ascii="Calibri" w:hAnsi="Calibri"/>
          <w:rtl/>
        </w:rPr>
        <w:t xml:space="preserve"> </w:t>
      </w:r>
      <w:r w:rsidRPr="00E65EDF">
        <w:rPr>
          <w:rFonts w:ascii="Calibri" w:hAnsi="Calibri" w:hint="eastAsia"/>
          <w:rtl/>
        </w:rPr>
        <w:t>בסך</w:t>
      </w:r>
      <w:r w:rsidRPr="00E65EDF">
        <w:rPr>
          <w:rFonts w:ascii="Calibri" w:hAnsi="Calibri"/>
          <w:rtl/>
        </w:rPr>
        <w:t xml:space="preserve"> 5,000 </w:t>
      </w:r>
      <w:r w:rsidRPr="00E65EDF">
        <w:rPr>
          <w:rFonts w:ascii="Calibri" w:hAnsi="Calibri" w:hint="eastAsia"/>
          <w:rtl/>
        </w:rPr>
        <w:t>₪</w:t>
      </w:r>
      <w:r w:rsidRPr="00E65EDF">
        <w:rPr>
          <w:rFonts w:ascii="Calibri" w:hAnsi="Calibri"/>
          <w:rtl/>
        </w:rPr>
        <w:t xml:space="preserve">, </w:t>
      </w:r>
      <w:r w:rsidRPr="00E65EDF">
        <w:rPr>
          <w:rFonts w:ascii="Calibri" w:hAnsi="Calibri" w:hint="eastAsia"/>
          <w:rtl/>
        </w:rPr>
        <w:t>או</w:t>
      </w:r>
      <w:r w:rsidRPr="00E65EDF">
        <w:rPr>
          <w:rFonts w:ascii="Calibri" w:hAnsi="Calibri"/>
          <w:rtl/>
        </w:rPr>
        <w:t xml:space="preserve"> 30 </w:t>
      </w:r>
      <w:r w:rsidRPr="00E65EDF">
        <w:rPr>
          <w:rFonts w:ascii="Calibri" w:hAnsi="Calibri" w:hint="eastAsia"/>
          <w:rtl/>
        </w:rPr>
        <w:t>ימי</w:t>
      </w:r>
      <w:r w:rsidRPr="00E65EDF">
        <w:rPr>
          <w:rFonts w:ascii="Calibri" w:hAnsi="Calibri"/>
          <w:rtl/>
        </w:rPr>
        <w:t xml:space="preserve"> </w:t>
      </w:r>
      <w:r w:rsidRPr="00E65EDF">
        <w:rPr>
          <w:rFonts w:ascii="Calibri" w:hAnsi="Calibri" w:hint="eastAsia"/>
          <w:rtl/>
        </w:rPr>
        <w:t>מאסר</w:t>
      </w:r>
      <w:r w:rsidRPr="00E65EDF">
        <w:rPr>
          <w:rFonts w:ascii="Calibri" w:hAnsi="Calibri"/>
          <w:rtl/>
        </w:rPr>
        <w:t xml:space="preserve"> </w:t>
      </w:r>
      <w:r w:rsidRPr="00E65EDF">
        <w:rPr>
          <w:rFonts w:ascii="Calibri" w:hAnsi="Calibri" w:hint="eastAsia"/>
          <w:rtl/>
        </w:rPr>
        <w:t>כנגדו</w:t>
      </w:r>
      <w:r w:rsidRPr="00E65EDF">
        <w:rPr>
          <w:rFonts w:ascii="Calibri" w:hAnsi="Calibri"/>
          <w:rtl/>
        </w:rPr>
        <w:t>.</w:t>
      </w:r>
    </w:p>
    <w:p w14:paraId="1C594640" w14:textId="77777777" w:rsidR="00AE240F" w:rsidRPr="00E65EDF" w:rsidRDefault="00AE240F" w:rsidP="00E65EDF">
      <w:pPr>
        <w:spacing w:line="360" w:lineRule="auto"/>
        <w:ind w:left="1440"/>
        <w:contextualSpacing/>
        <w:jc w:val="both"/>
        <w:rPr>
          <w:rFonts w:ascii="Calibri" w:hAnsi="Calibri"/>
          <w:rtl/>
        </w:rPr>
      </w:pPr>
      <w:r w:rsidRPr="00E65EDF">
        <w:rPr>
          <w:rFonts w:ascii="Calibri" w:hAnsi="Calibri" w:hint="eastAsia"/>
          <w:rtl/>
        </w:rPr>
        <w:t>הקנס</w:t>
      </w:r>
      <w:r w:rsidRPr="00E65EDF">
        <w:rPr>
          <w:rFonts w:ascii="Calibri" w:hAnsi="Calibri"/>
          <w:rtl/>
        </w:rPr>
        <w:t xml:space="preserve"> </w:t>
      </w:r>
      <w:r w:rsidRPr="00E65EDF">
        <w:rPr>
          <w:rFonts w:ascii="Calibri" w:hAnsi="Calibri" w:hint="eastAsia"/>
          <w:rtl/>
        </w:rPr>
        <w:t>ישולם</w:t>
      </w:r>
      <w:r w:rsidRPr="00E65EDF">
        <w:rPr>
          <w:rFonts w:ascii="Calibri" w:hAnsi="Calibri"/>
          <w:rtl/>
        </w:rPr>
        <w:t xml:space="preserve"> </w:t>
      </w:r>
      <w:r w:rsidRPr="00E65EDF">
        <w:rPr>
          <w:rFonts w:ascii="Calibri" w:hAnsi="Calibri" w:hint="eastAsia"/>
          <w:rtl/>
        </w:rPr>
        <w:t>ב</w:t>
      </w:r>
      <w:r w:rsidRPr="00E65EDF">
        <w:rPr>
          <w:rFonts w:ascii="Calibri" w:hAnsi="Calibri"/>
          <w:rtl/>
        </w:rPr>
        <w:t xml:space="preserve">-10 </w:t>
      </w:r>
      <w:r w:rsidRPr="00E65EDF">
        <w:rPr>
          <w:rFonts w:ascii="Calibri" w:hAnsi="Calibri" w:hint="eastAsia"/>
          <w:rtl/>
        </w:rPr>
        <w:t>תשלומים</w:t>
      </w:r>
      <w:r w:rsidRPr="00E65EDF">
        <w:rPr>
          <w:rFonts w:ascii="Calibri" w:hAnsi="Calibri"/>
          <w:rtl/>
        </w:rPr>
        <w:t xml:space="preserve"> </w:t>
      </w:r>
      <w:r w:rsidRPr="00E65EDF">
        <w:rPr>
          <w:rFonts w:ascii="Calibri" w:hAnsi="Calibri" w:hint="eastAsia"/>
          <w:rtl/>
        </w:rPr>
        <w:t>חודשיים</w:t>
      </w:r>
      <w:r w:rsidRPr="00E65EDF">
        <w:rPr>
          <w:rFonts w:ascii="Calibri" w:hAnsi="Calibri"/>
          <w:rtl/>
        </w:rPr>
        <w:t xml:space="preserve"> </w:t>
      </w:r>
      <w:r w:rsidRPr="00E65EDF">
        <w:rPr>
          <w:rFonts w:ascii="Calibri" w:hAnsi="Calibri" w:hint="eastAsia"/>
          <w:rtl/>
        </w:rPr>
        <w:t>שווים</w:t>
      </w:r>
      <w:r w:rsidRPr="00E65EDF">
        <w:rPr>
          <w:rFonts w:ascii="Calibri" w:hAnsi="Calibri"/>
          <w:rtl/>
        </w:rPr>
        <w:t xml:space="preserve"> </w:t>
      </w:r>
      <w:r w:rsidRPr="00E65EDF">
        <w:rPr>
          <w:rFonts w:ascii="Calibri" w:hAnsi="Calibri" w:hint="eastAsia"/>
          <w:rtl/>
        </w:rPr>
        <w:t>ורצופים</w:t>
      </w:r>
      <w:r w:rsidRPr="00E65EDF">
        <w:rPr>
          <w:rFonts w:ascii="Calibri" w:hAnsi="Calibri"/>
          <w:rtl/>
        </w:rPr>
        <w:t xml:space="preserve">, </w:t>
      </w:r>
      <w:r w:rsidRPr="00E65EDF">
        <w:rPr>
          <w:rFonts w:ascii="Calibri" w:hAnsi="Calibri" w:hint="eastAsia"/>
          <w:rtl/>
        </w:rPr>
        <w:t>החל</w:t>
      </w:r>
      <w:r w:rsidRPr="00E65EDF">
        <w:rPr>
          <w:rFonts w:ascii="Calibri" w:hAnsi="Calibri"/>
          <w:rtl/>
        </w:rPr>
        <w:t xml:space="preserve"> </w:t>
      </w:r>
      <w:r w:rsidRPr="00E65EDF">
        <w:rPr>
          <w:rFonts w:ascii="Calibri" w:hAnsi="Calibri" w:hint="eastAsia"/>
          <w:rtl/>
        </w:rPr>
        <w:t>מיום</w:t>
      </w:r>
      <w:r w:rsidRPr="00E65EDF">
        <w:rPr>
          <w:rFonts w:ascii="Calibri" w:hAnsi="Calibri"/>
          <w:rtl/>
        </w:rPr>
        <w:t xml:space="preserve"> </w:t>
      </w:r>
      <w:r w:rsidRPr="00E65EDF">
        <w:rPr>
          <w:rFonts w:ascii="Calibri" w:hAnsi="Calibri"/>
          <w:b/>
          <w:bCs/>
          <w:rtl/>
        </w:rPr>
        <w:t xml:space="preserve">01/02/17 </w:t>
      </w:r>
      <w:r w:rsidRPr="00E65EDF">
        <w:rPr>
          <w:rFonts w:ascii="Calibri" w:hAnsi="Calibri" w:hint="eastAsia"/>
          <w:b/>
          <w:bCs/>
          <w:rtl/>
        </w:rPr>
        <w:t>וכל</w:t>
      </w:r>
      <w:r w:rsidRPr="00E65EDF">
        <w:rPr>
          <w:rFonts w:ascii="Calibri" w:hAnsi="Calibri"/>
          <w:b/>
          <w:bCs/>
          <w:rtl/>
        </w:rPr>
        <w:t xml:space="preserve"> </w:t>
      </w:r>
      <w:r w:rsidRPr="00E65EDF">
        <w:rPr>
          <w:rFonts w:ascii="Calibri" w:hAnsi="Calibri" w:hint="eastAsia"/>
          <w:b/>
          <w:bCs/>
          <w:rtl/>
        </w:rPr>
        <w:t>ראשון</w:t>
      </w:r>
      <w:r w:rsidRPr="00E65EDF">
        <w:rPr>
          <w:rFonts w:ascii="Calibri" w:hAnsi="Calibri"/>
          <w:b/>
          <w:bCs/>
          <w:rtl/>
        </w:rPr>
        <w:t xml:space="preserve"> </w:t>
      </w:r>
      <w:r w:rsidRPr="00E65EDF">
        <w:rPr>
          <w:rFonts w:ascii="Calibri" w:hAnsi="Calibri" w:hint="eastAsia"/>
          <w:b/>
          <w:bCs/>
          <w:rtl/>
        </w:rPr>
        <w:t>לחודש</w:t>
      </w:r>
      <w:r w:rsidRPr="00E65EDF">
        <w:rPr>
          <w:rFonts w:ascii="Calibri" w:hAnsi="Calibri"/>
          <w:b/>
          <w:bCs/>
          <w:rtl/>
        </w:rPr>
        <w:t xml:space="preserve"> </w:t>
      </w:r>
      <w:r w:rsidRPr="00E65EDF">
        <w:rPr>
          <w:rFonts w:ascii="Calibri" w:hAnsi="Calibri" w:hint="eastAsia"/>
          <w:b/>
          <w:bCs/>
          <w:rtl/>
        </w:rPr>
        <w:t>לאחריו</w:t>
      </w:r>
      <w:r w:rsidRPr="00E65EDF">
        <w:rPr>
          <w:rFonts w:ascii="Calibri" w:hAnsi="Calibri"/>
          <w:rtl/>
        </w:rPr>
        <w:t>.</w:t>
      </w:r>
    </w:p>
    <w:p w14:paraId="27E8B3EF" w14:textId="77777777" w:rsidR="00AE240F" w:rsidRPr="00E65EDF" w:rsidRDefault="00AE240F" w:rsidP="00E65EDF">
      <w:pPr>
        <w:spacing w:line="360" w:lineRule="auto"/>
        <w:ind w:left="720" w:firstLine="720"/>
        <w:contextualSpacing/>
        <w:jc w:val="both"/>
        <w:rPr>
          <w:rFonts w:ascii="Calibri" w:hAnsi="Calibri"/>
          <w:rtl/>
        </w:rPr>
      </w:pPr>
      <w:r w:rsidRPr="00E65EDF">
        <w:rPr>
          <w:rFonts w:ascii="Calibri" w:hAnsi="Calibri" w:hint="eastAsia"/>
          <w:rtl/>
        </w:rPr>
        <w:t>אי</w:t>
      </w:r>
      <w:r w:rsidRPr="00E65EDF">
        <w:rPr>
          <w:rFonts w:ascii="Calibri" w:hAnsi="Calibri"/>
          <w:rtl/>
        </w:rPr>
        <w:t xml:space="preserve"> </w:t>
      </w:r>
      <w:r w:rsidRPr="00E65EDF">
        <w:rPr>
          <w:rFonts w:ascii="Calibri" w:hAnsi="Calibri" w:hint="eastAsia"/>
          <w:rtl/>
        </w:rPr>
        <w:t>פירעון</w:t>
      </w:r>
      <w:r w:rsidRPr="00E65EDF">
        <w:rPr>
          <w:rFonts w:ascii="Calibri" w:hAnsi="Calibri"/>
          <w:rtl/>
        </w:rPr>
        <w:t xml:space="preserve"> </w:t>
      </w:r>
      <w:r w:rsidRPr="00E65EDF">
        <w:rPr>
          <w:rFonts w:ascii="Calibri" w:hAnsi="Calibri" w:hint="eastAsia"/>
          <w:rtl/>
        </w:rPr>
        <w:t>אחד</w:t>
      </w:r>
      <w:r w:rsidRPr="00E65EDF">
        <w:rPr>
          <w:rFonts w:ascii="Calibri" w:hAnsi="Calibri"/>
          <w:rtl/>
        </w:rPr>
        <w:t xml:space="preserve"> </w:t>
      </w:r>
      <w:r w:rsidRPr="00E65EDF">
        <w:rPr>
          <w:rFonts w:ascii="Calibri" w:hAnsi="Calibri" w:hint="eastAsia"/>
          <w:rtl/>
        </w:rPr>
        <w:t>התשלומים</w:t>
      </w:r>
      <w:r w:rsidRPr="00E65EDF">
        <w:rPr>
          <w:rFonts w:ascii="Calibri" w:hAnsi="Calibri"/>
          <w:rtl/>
        </w:rPr>
        <w:t xml:space="preserve"> </w:t>
      </w:r>
      <w:r w:rsidRPr="00E65EDF">
        <w:rPr>
          <w:rFonts w:ascii="Calibri" w:hAnsi="Calibri" w:hint="eastAsia"/>
          <w:rtl/>
        </w:rPr>
        <w:t>במועדו</w:t>
      </w:r>
      <w:r w:rsidRPr="00E65EDF">
        <w:rPr>
          <w:rFonts w:ascii="Calibri" w:hAnsi="Calibri"/>
          <w:rtl/>
        </w:rPr>
        <w:t xml:space="preserve">, </w:t>
      </w:r>
      <w:r w:rsidRPr="00E65EDF">
        <w:rPr>
          <w:rFonts w:ascii="Calibri" w:hAnsi="Calibri" w:hint="eastAsia"/>
          <w:rtl/>
        </w:rPr>
        <w:t>יעמיד</w:t>
      </w:r>
      <w:r w:rsidRPr="00E65EDF">
        <w:rPr>
          <w:rFonts w:ascii="Calibri" w:hAnsi="Calibri"/>
          <w:rtl/>
        </w:rPr>
        <w:t xml:space="preserve"> </w:t>
      </w:r>
      <w:r w:rsidRPr="00E65EDF">
        <w:rPr>
          <w:rFonts w:ascii="Calibri" w:hAnsi="Calibri" w:hint="eastAsia"/>
          <w:rtl/>
        </w:rPr>
        <w:t>את</w:t>
      </w:r>
      <w:r w:rsidRPr="00E65EDF">
        <w:rPr>
          <w:rFonts w:ascii="Calibri" w:hAnsi="Calibri"/>
          <w:rtl/>
        </w:rPr>
        <w:t xml:space="preserve"> </w:t>
      </w:r>
      <w:r w:rsidRPr="00E65EDF">
        <w:rPr>
          <w:rFonts w:ascii="Calibri" w:hAnsi="Calibri" w:hint="eastAsia"/>
          <w:rtl/>
        </w:rPr>
        <w:t>מלוא</w:t>
      </w:r>
      <w:r w:rsidRPr="00E65EDF">
        <w:rPr>
          <w:rFonts w:ascii="Calibri" w:hAnsi="Calibri"/>
          <w:rtl/>
        </w:rPr>
        <w:t xml:space="preserve"> </w:t>
      </w:r>
      <w:r w:rsidRPr="00E65EDF">
        <w:rPr>
          <w:rFonts w:ascii="Calibri" w:hAnsi="Calibri" w:hint="eastAsia"/>
          <w:rtl/>
        </w:rPr>
        <w:t>הקנס</w:t>
      </w:r>
      <w:r w:rsidRPr="00E65EDF">
        <w:rPr>
          <w:rFonts w:ascii="Calibri" w:hAnsi="Calibri"/>
          <w:rtl/>
        </w:rPr>
        <w:t xml:space="preserve"> </w:t>
      </w:r>
      <w:r w:rsidRPr="00E65EDF">
        <w:rPr>
          <w:rFonts w:ascii="Calibri" w:hAnsi="Calibri" w:hint="eastAsia"/>
          <w:rtl/>
        </w:rPr>
        <w:t>לפירעון</w:t>
      </w:r>
      <w:r w:rsidRPr="00E65EDF">
        <w:rPr>
          <w:rFonts w:ascii="Calibri" w:hAnsi="Calibri"/>
          <w:rtl/>
        </w:rPr>
        <w:t xml:space="preserve"> </w:t>
      </w:r>
      <w:r w:rsidRPr="00E65EDF">
        <w:rPr>
          <w:rFonts w:ascii="Calibri" w:hAnsi="Calibri" w:hint="eastAsia"/>
          <w:rtl/>
        </w:rPr>
        <w:t>מידי</w:t>
      </w:r>
      <w:r w:rsidRPr="00E65EDF">
        <w:rPr>
          <w:rFonts w:ascii="Calibri" w:hAnsi="Calibri"/>
          <w:rtl/>
        </w:rPr>
        <w:t xml:space="preserve">. </w:t>
      </w:r>
    </w:p>
    <w:p w14:paraId="254B9185" w14:textId="77777777" w:rsidR="00AE240F" w:rsidRPr="00E65EDF" w:rsidRDefault="00AE240F" w:rsidP="00E65EDF">
      <w:pPr>
        <w:spacing w:line="360" w:lineRule="auto"/>
        <w:contextualSpacing/>
        <w:jc w:val="both"/>
        <w:rPr>
          <w:rFonts w:ascii="Calibri" w:hAnsi="Calibri"/>
          <w:rtl/>
        </w:rPr>
      </w:pPr>
    </w:p>
    <w:p w14:paraId="5F1A6FE9" w14:textId="77777777" w:rsidR="00AE240F" w:rsidRPr="00E65EDF" w:rsidRDefault="00AE240F" w:rsidP="00E65EDF">
      <w:pPr>
        <w:spacing w:line="360" w:lineRule="auto"/>
        <w:ind w:firstLine="720"/>
        <w:contextualSpacing/>
        <w:jc w:val="both"/>
        <w:rPr>
          <w:rFonts w:ascii="Calibri" w:hAnsi="Calibri"/>
          <w:rtl/>
        </w:rPr>
      </w:pPr>
      <w:r w:rsidRPr="00E65EDF">
        <w:rPr>
          <w:rFonts w:ascii="Calibri" w:hAnsi="Calibri" w:hint="eastAsia"/>
          <w:b/>
          <w:bCs/>
          <w:u w:val="single"/>
          <w:rtl/>
        </w:rPr>
        <w:t>הודעה</w:t>
      </w:r>
      <w:r w:rsidRPr="00E65EDF">
        <w:rPr>
          <w:rFonts w:ascii="Calibri" w:hAnsi="Calibri"/>
          <w:b/>
          <w:bCs/>
          <w:u w:val="single"/>
          <w:rtl/>
        </w:rPr>
        <w:t xml:space="preserve"> </w:t>
      </w:r>
      <w:r w:rsidRPr="00E65EDF">
        <w:rPr>
          <w:rFonts w:ascii="Calibri" w:hAnsi="Calibri" w:hint="eastAsia"/>
          <w:b/>
          <w:bCs/>
          <w:u w:val="single"/>
          <w:rtl/>
        </w:rPr>
        <w:t>זכות</w:t>
      </w:r>
      <w:r w:rsidRPr="00E65EDF">
        <w:rPr>
          <w:rFonts w:ascii="Calibri" w:hAnsi="Calibri"/>
          <w:b/>
          <w:bCs/>
          <w:u w:val="single"/>
          <w:rtl/>
        </w:rPr>
        <w:t xml:space="preserve"> </w:t>
      </w:r>
      <w:r w:rsidRPr="00E65EDF">
        <w:rPr>
          <w:rFonts w:ascii="Calibri" w:hAnsi="Calibri" w:hint="eastAsia"/>
          <w:b/>
          <w:bCs/>
          <w:u w:val="single"/>
          <w:rtl/>
        </w:rPr>
        <w:t>ערעור</w:t>
      </w:r>
      <w:r w:rsidRPr="00E65EDF">
        <w:rPr>
          <w:rFonts w:ascii="Calibri" w:hAnsi="Calibri"/>
          <w:b/>
          <w:bCs/>
          <w:u w:val="single"/>
          <w:rtl/>
        </w:rPr>
        <w:t xml:space="preserve"> </w:t>
      </w:r>
      <w:r w:rsidRPr="00E65EDF">
        <w:rPr>
          <w:rFonts w:ascii="Calibri" w:hAnsi="Calibri" w:hint="eastAsia"/>
          <w:b/>
          <w:bCs/>
          <w:u w:val="single"/>
          <w:rtl/>
        </w:rPr>
        <w:t>לבית</w:t>
      </w:r>
      <w:r w:rsidRPr="00E65EDF">
        <w:rPr>
          <w:rFonts w:ascii="Calibri" w:hAnsi="Calibri"/>
          <w:b/>
          <w:bCs/>
          <w:u w:val="single"/>
          <w:rtl/>
        </w:rPr>
        <w:t xml:space="preserve"> </w:t>
      </w:r>
      <w:r w:rsidRPr="00E65EDF">
        <w:rPr>
          <w:rFonts w:ascii="Calibri" w:hAnsi="Calibri" w:hint="eastAsia"/>
          <w:b/>
          <w:bCs/>
          <w:u w:val="single"/>
          <w:rtl/>
        </w:rPr>
        <w:t>המשפט</w:t>
      </w:r>
      <w:r w:rsidRPr="00E65EDF">
        <w:rPr>
          <w:rFonts w:ascii="Calibri" w:hAnsi="Calibri"/>
          <w:b/>
          <w:bCs/>
          <w:u w:val="single"/>
          <w:rtl/>
        </w:rPr>
        <w:t xml:space="preserve"> </w:t>
      </w:r>
      <w:r w:rsidRPr="00E65EDF">
        <w:rPr>
          <w:rFonts w:ascii="Calibri" w:hAnsi="Calibri" w:hint="eastAsia"/>
          <w:b/>
          <w:bCs/>
          <w:u w:val="single"/>
          <w:rtl/>
        </w:rPr>
        <w:t>העליון</w:t>
      </w:r>
      <w:r w:rsidRPr="00E65EDF">
        <w:rPr>
          <w:rFonts w:ascii="Calibri" w:hAnsi="Calibri"/>
          <w:b/>
          <w:bCs/>
          <w:u w:val="single"/>
          <w:rtl/>
        </w:rPr>
        <w:t xml:space="preserve"> </w:t>
      </w:r>
      <w:r w:rsidRPr="00E65EDF">
        <w:rPr>
          <w:rFonts w:ascii="Calibri" w:hAnsi="Calibri" w:hint="eastAsia"/>
          <w:b/>
          <w:bCs/>
          <w:u w:val="single"/>
          <w:rtl/>
        </w:rPr>
        <w:t>בתוך</w:t>
      </w:r>
      <w:r w:rsidRPr="00E65EDF">
        <w:rPr>
          <w:rFonts w:ascii="Calibri" w:hAnsi="Calibri"/>
          <w:b/>
          <w:bCs/>
          <w:u w:val="single"/>
          <w:rtl/>
        </w:rPr>
        <w:t xml:space="preserve"> 45 </w:t>
      </w:r>
      <w:r w:rsidRPr="00E65EDF">
        <w:rPr>
          <w:rFonts w:ascii="Calibri" w:hAnsi="Calibri" w:hint="eastAsia"/>
          <w:b/>
          <w:bCs/>
          <w:u w:val="single"/>
          <w:rtl/>
        </w:rPr>
        <w:t>יום</w:t>
      </w:r>
      <w:r w:rsidRPr="00E65EDF">
        <w:rPr>
          <w:rFonts w:ascii="Calibri" w:hAnsi="Calibri"/>
          <w:b/>
          <w:bCs/>
          <w:u w:val="single"/>
          <w:rtl/>
        </w:rPr>
        <w:t xml:space="preserve"> </w:t>
      </w:r>
      <w:r w:rsidRPr="00E65EDF">
        <w:rPr>
          <w:rFonts w:ascii="Calibri" w:hAnsi="Calibri" w:hint="eastAsia"/>
          <w:b/>
          <w:bCs/>
          <w:u w:val="single"/>
          <w:rtl/>
        </w:rPr>
        <w:t>מהיום</w:t>
      </w:r>
      <w:r w:rsidRPr="00E65EDF">
        <w:rPr>
          <w:rFonts w:ascii="Calibri" w:hAnsi="Calibri"/>
          <w:rtl/>
        </w:rPr>
        <w:t xml:space="preserve">. </w:t>
      </w:r>
    </w:p>
    <w:p w14:paraId="14441A42" w14:textId="77777777" w:rsidR="00AE240F" w:rsidRPr="00E65EDF" w:rsidRDefault="00AE240F" w:rsidP="00E65EDF">
      <w:pPr>
        <w:spacing w:line="360" w:lineRule="auto"/>
        <w:jc w:val="both"/>
        <w:rPr>
          <w:rtl/>
        </w:rPr>
      </w:pPr>
    </w:p>
    <w:p w14:paraId="13B01CF0" w14:textId="77777777" w:rsidR="00AE240F" w:rsidRDefault="00AD007D" w:rsidP="00964972">
      <w:pPr>
        <w:spacing w:line="360" w:lineRule="auto"/>
        <w:jc w:val="center"/>
        <w:rPr>
          <w:rtl/>
        </w:rPr>
      </w:pPr>
      <w:r>
        <w:rPr>
          <w:b/>
          <w:bCs/>
          <w:rtl/>
        </w:rPr>
        <w:t xml:space="preserve">ניתן והודע היום כ' חשוון תשע"ז, 21/11/2016 במעמד הנוכחים. </w:t>
      </w:r>
    </w:p>
    <w:p w14:paraId="6652D730" w14:textId="77777777" w:rsidR="00AD007D" w:rsidRPr="00AD007D" w:rsidRDefault="00AD007D">
      <w:pPr>
        <w:jc w:val="right"/>
        <w:rPr>
          <w:color w:val="FFFFFF"/>
          <w:sz w:val="2"/>
          <w:szCs w:val="2"/>
          <w:rtl/>
        </w:rPr>
      </w:pPr>
      <w:r w:rsidRPr="00AD007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D007D" w14:paraId="541D7F96" w14:textId="77777777">
        <w:trPr>
          <w:trHeight w:val="316"/>
          <w:jc w:val="right"/>
        </w:trPr>
        <w:tc>
          <w:tcPr>
            <w:tcW w:w="3936" w:type="dxa"/>
          </w:tcPr>
          <w:p w14:paraId="13162887" w14:textId="77777777" w:rsidR="00AD007D" w:rsidRPr="00AA6A35" w:rsidRDefault="00AD007D" w:rsidP="00AD007D">
            <w:pPr>
              <w:spacing w:line="360" w:lineRule="auto"/>
              <w:jc w:val="center"/>
              <w:rPr>
                <w:rFonts w:ascii="Times New Roman" w:hAnsi="Times New Roman" w:cs="Times New Roman"/>
                <w:rtl/>
              </w:rPr>
            </w:pPr>
            <w:r w:rsidRPr="00AD007D">
              <w:rPr>
                <w:rFonts w:ascii="Times New Roman" w:hAnsi="Times New Roman" w:cs="Times New Roman"/>
                <w:noProof/>
                <w:color w:val="FFFFFF"/>
                <w:sz w:val="2"/>
                <w:szCs w:val="2"/>
              </w:rPr>
              <w:t>54678313</w:t>
            </w:r>
          </w:p>
        </w:tc>
      </w:tr>
      <w:tr w:rsidR="00AD007D" w14:paraId="46F9D912" w14:textId="77777777">
        <w:trPr>
          <w:trHeight w:val="361"/>
          <w:jc w:val="right"/>
        </w:trPr>
        <w:tc>
          <w:tcPr>
            <w:tcW w:w="3936" w:type="dxa"/>
          </w:tcPr>
          <w:p w14:paraId="0AB46E58" w14:textId="77777777" w:rsidR="00AD007D" w:rsidRPr="00AA6A35" w:rsidRDefault="00AD007D" w:rsidP="00AD007D">
            <w:pPr>
              <w:spacing w:line="360" w:lineRule="auto"/>
              <w:jc w:val="center"/>
              <w:rPr>
                <w:rFonts w:ascii="Times New Roman" w:hAnsi="Times New Roman"/>
                <w:b/>
                <w:bCs/>
                <w:rtl/>
              </w:rPr>
            </w:pPr>
            <w:r w:rsidRPr="00AA6A35">
              <w:rPr>
                <w:rFonts w:ascii="Times New Roman" w:hAnsi="Times New Roman"/>
                <w:b/>
                <w:bCs/>
                <w:rtl/>
              </w:rPr>
              <w:t xml:space="preserve">אסתר הלמן, שופטת בכירה </w:t>
            </w:r>
          </w:p>
        </w:tc>
      </w:tr>
    </w:tbl>
    <w:p w14:paraId="7A095CBB" w14:textId="77777777" w:rsidR="00AE240F" w:rsidRDefault="00AE240F">
      <w:pPr>
        <w:jc w:val="right"/>
        <w:rPr>
          <w:rtl/>
        </w:rPr>
      </w:pPr>
    </w:p>
    <w:p w14:paraId="54375FED" w14:textId="77777777" w:rsidR="00AE240F" w:rsidRDefault="00AE240F" w:rsidP="00177C9E">
      <w:pPr>
        <w:jc w:val="both"/>
        <w:rPr>
          <w:rtl/>
        </w:rPr>
      </w:pPr>
    </w:p>
    <w:p w14:paraId="6B67F9CF" w14:textId="77777777" w:rsidR="00AE240F" w:rsidRDefault="00AE240F" w:rsidP="00964972">
      <w:pPr>
        <w:spacing w:line="360" w:lineRule="auto"/>
        <w:jc w:val="center"/>
        <w:rPr>
          <w:rtl/>
        </w:rPr>
      </w:pPr>
    </w:p>
    <w:p w14:paraId="0EE77DED" w14:textId="77777777" w:rsidR="00AE240F" w:rsidRPr="00EA587E" w:rsidRDefault="00EA587E" w:rsidP="00E65EDF">
      <w:pPr>
        <w:spacing w:line="360" w:lineRule="auto"/>
        <w:jc w:val="both"/>
        <w:rPr>
          <w:color w:val="FFFFFF"/>
          <w:sz w:val="2"/>
          <w:szCs w:val="2"/>
          <w:rtl/>
        </w:rPr>
      </w:pPr>
      <w:r w:rsidRPr="00EA587E">
        <w:rPr>
          <w:color w:val="FFFFFF"/>
          <w:sz w:val="2"/>
          <w:szCs w:val="2"/>
          <w:rtl/>
        </w:rPr>
        <w:t>5129371</w:t>
      </w:r>
      <w:r w:rsidR="00AE240F" w:rsidRPr="00EA587E">
        <w:rPr>
          <w:color w:val="FFFFFF"/>
          <w:sz w:val="2"/>
          <w:szCs w:val="2"/>
          <w:rtl/>
        </w:rPr>
        <w:t xml:space="preserve"> </w:t>
      </w:r>
    </w:p>
    <w:p w14:paraId="61D6AD29" w14:textId="77777777" w:rsidR="00AD007D" w:rsidRPr="00AD007D" w:rsidRDefault="00EA587E" w:rsidP="00AD007D">
      <w:pPr>
        <w:keepNext/>
        <w:rPr>
          <w:color w:val="000000"/>
          <w:sz w:val="22"/>
          <w:szCs w:val="22"/>
        </w:rPr>
      </w:pPr>
      <w:r w:rsidRPr="00EA587E">
        <w:rPr>
          <w:color w:val="FFFFFF"/>
          <w:sz w:val="2"/>
          <w:szCs w:val="2"/>
          <w:rtl/>
        </w:rPr>
        <w:t>54678313</w:t>
      </w:r>
      <w:r w:rsidR="00AE240F">
        <w:rPr>
          <w:rtl/>
        </w:rPr>
        <w:t>הוקלד</w:t>
      </w:r>
      <w:r w:rsidR="00AE240F">
        <w:t xml:space="preserve"> </w:t>
      </w:r>
      <w:r w:rsidR="00AE240F">
        <w:rPr>
          <w:rtl/>
        </w:rPr>
        <w:t>על</w:t>
      </w:r>
      <w:r w:rsidR="00AE240F">
        <w:t xml:space="preserve"> </w:t>
      </w:r>
      <w:r w:rsidR="00AE240F">
        <w:rPr>
          <w:rtl/>
        </w:rPr>
        <w:t>ידי</w:t>
      </w:r>
      <w:r w:rsidR="00AE240F">
        <w:t xml:space="preserve"> </w:t>
      </w:r>
      <w:r w:rsidR="00AE240F">
        <w:rPr>
          <w:rtl/>
        </w:rPr>
        <w:t>חנה</w:t>
      </w:r>
      <w:r w:rsidR="00AE240F">
        <w:t xml:space="preserve"> </w:t>
      </w:r>
      <w:r w:rsidR="00AE240F">
        <w:rPr>
          <w:rtl/>
        </w:rPr>
        <w:t>טוריק</w:t>
      </w:r>
    </w:p>
    <w:p w14:paraId="03BDE35A" w14:textId="77777777" w:rsidR="00AD007D" w:rsidRDefault="00AD007D" w:rsidP="00AD007D">
      <w:pPr>
        <w:rPr>
          <w:rtl/>
        </w:rPr>
      </w:pPr>
    </w:p>
    <w:p w14:paraId="26C7A4ED" w14:textId="77777777" w:rsidR="00AD007D" w:rsidRDefault="00AD007D" w:rsidP="00AD007D">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r w:rsidR="0060446D">
        <w:rPr>
          <w:rFonts w:hint="cs"/>
          <w:color w:val="0000FF"/>
          <w:u w:val="single"/>
          <w:rtl/>
        </w:rPr>
        <w:t xml:space="preserve"> </w:t>
      </w:r>
    </w:p>
    <w:p w14:paraId="540ED889" w14:textId="77777777" w:rsidR="00EA587E" w:rsidRPr="00EA587E" w:rsidRDefault="00EA587E" w:rsidP="00EA587E">
      <w:pPr>
        <w:keepNext/>
        <w:rPr>
          <w:color w:val="000000"/>
          <w:sz w:val="22"/>
          <w:szCs w:val="22"/>
          <w:rtl/>
        </w:rPr>
      </w:pPr>
    </w:p>
    <w:p w14:paraId="5895E1B3" w14:textId="77777777" w:rsidR="00EA587E" w:rsidRPr="00EA587E" w:rsidRDefault="00EA587E" w:rsidP="00EA587E">
      <w:pPr>
        <w:keepNext/>
        <w:rPr>
          <w:color w:val="000000"/>
          <w:sz w:val="22"/>
          <w:szCs w:val="22"/>
          <w:rtl/>
        </w:rPr>
      </w:pPr>
      <w:r w:rsidRPr="00EA587E">
        <w:rPr>
          <w:color w:val="000000"/>
          <w:sz w:val="22"/>
          <w:szCs w:val="22"/>
          <w:rtl/>
        </w:rPr>
        <w:t>אסתר הלמן 54678313-/</w:t>
      </w:r>
    </w:p>
    <w:p w14:paraId="09007961" w14:textId="77777777" w:rsidR="00AE240F" w:rsidRPr="00AD007D" w:rsidRDefault="00EA587E" w:rsidP="00EA587E">
      <w:pPr>
        <w:rPr>
          <w:color w:val="0000FF"/>
          <w:u w:val="single"/>
        </w:rPr>
      </w:pPr>
      <w:r w:rsidRPr="00EA587E">
        <w:rPr>
          <w:color w:val="000000"/>
          <w:u w:val="single"/>
          <w:rtl/>
        </w:rPr>
        <w:t>נוסח מסמך זה כפוף לשינויי ניסוח ועריכה</w:t>
      </w:r>
    </w:p>
    <w:sectPr w:rsidR="00AE240F" w:rsidRPr="00AD007D" w:rsidSect="00EA587E">
      <w:headerReference w:type="even" r:id="rId59"/>
      <w:headerReference w:type="default" r:id="rId60"/>
      <w:footerReference w:type="even" r:id="rId61"/>
      <w:footerReference w:type="default" r:id="rId6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F1EF9" w14:textId="77777777" w:rsidR="00653508" w:rsidRDefault="00653508">
      <w:r>
        <w:separator/>
      </w:r>
    </w:p>
  </w:endnote>
  <w:endnote w:type="continuationSeparator" w:id="0">
    <w:p w14:paraId="4232E315" w14:textId="77777777" w:rsidR="00653508" w:rsidRDefault="0065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7354" w14:textId="77777777" w:rsidR="00653508" w:rsidRDefault="00653508" w:rsidP="00EA587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34066C9" w14:textId="77777777" w:rsidR="00653508" w:rsidRPr="00EA587E" w:rsidRDefault="00653508" w:rsidP="00EA587E">
    <w:pPr>
      <w:pStyle w:val="a4"/>
      <w:pBdr>
        <w:top w:val="single" w:sz="4" w:space="1" w:color="auto"/>
        <w:between w:val="single" w:sz="4" w:space="0" w:color="auto"/>
      </w:pBdr>
      <w:spacing w:after="60"/>
      <w:jc w:val="center"/>
      <w:rPr>
        <w:rFonts w:ascii="FrankRuehl" w:hAnsi="FrankRuehl" w:cs="FrankRuehl"/>
        <w:color w:val="000000"/>
      </w:rPr>
    </w:pPr>
    <w:r w:rsidRPr="00EA587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F071D" w14:textId="77777777" w:rsidR="00653508" w:rsidRDefault="00653508" w:rsidP="00EA587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A3BB7">
      <w:rPr>
        <w:rFonts w:ascii="FrankRuehl" w:hAnsi="FrankRuehl" w:cs="FrankRuehl"/>
        <w:noProof/>
        <w:rtl/>
      </w:rPr>
      <w:t>1</w:t>
    </w:r>
    <w:r>
      <w:rPr>
        <w:rFonts w:ascii="FrankRuehl" w:hAnsi="FrankRuehl" w:cs="FrankRuehl"/>
        <w:rtl/>
      </w:rPr>
      <w:fldChar w:fldCharType="end"/>
    </w:r>
  </w:p>
  <w:p w14:paraId="0D60B8BB" w14:textId="77777777" w:rsidR="00653508" w:rsidRPr="00EA587E" w:rsidRDefault="00653508" w:rsidP="00EA587E">
    <w:pPr>
      <w:pStyle w:val="a4"/>
      <w:pBdr>
        <w:top w:val="single" w:sz="4" w:space="1" w:color="auto"/>
        <w:between w:val="single" w:sz="4" w:space="0" w:color="auto"/>
      </w:pBdr>
      <w:spacing w:after="60"/>
      <w:jc w:val="center"/>
      <w:rPr>
        <w:rFonts w:ascii="FrankRuehl" w:hAnsi="FrankRuehl" w:cs="FrankRuehl" w:hint="cs"/>
        <w:color w:val="000000"/>
      </w:rPr>
    </w:pPr>
    <w:r w:rsidRPr="00EA587E">
      <w:rPr>
        <w:rFonts w:ascii="FrankRuehl" w:hAnsi="FrankRuehl" w:cs="FrankRuehl" w:hint="cs"/>
        <w:color w:val="000000"/>
      </w:rPr>
      <w:pict w14:anchorId="76A88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2318C" w14:textId="77777777" w:rsidR="00653508" w:rsidRDefault="00653508">
      <w:r>
        <w:separator/>
      </w:r>
    </w:p>
  </w:footnote>
  <w:footnote w:type="continuationSeparator" w:id="0">
    <w:p w14:paraId="7B113452" w14:textId="77777777" w:rsidR="00653508" w:rsidRDefault="00653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24088" w14:textId="77777777" w:rsidR="00653508" w:rsidRPr="00EA587E" w:rsidRDefault="00653508" w:rsidP="00EA587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15120-07-16</w:t>
    </w:r>
    <w:r>
      <w:rPr>
        <w:color w:val="000000"/>
        <w:sz w:val="22"/>
        <w:szCs w:val="22"/>
        <w:rtl/>
      </w:rPr>
      <w:tab/>
      <w:t xml:space="preserve"> מדינת ישראל נ' עימאד בן סלים סלימאן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94CC7" w14:textId="77777777" w:rsidR="00653508" w:rsidRPr="00EA587E" w:rsidRDefault="00653508" w:rsidP="00EA587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15120-07-16</w:t>
    </w:r>
    <w:r>
      <w:rPr>
        <w:color w:val="000000"/>
        <w:sz w:val="22"/>
        <w:szCs w:val="22"/>
        <w:rtl/>
      </w:rPr>
      <w:tab/>
      <w:t xml:space="preserve"> מדינת ישראל נ' עימאד בן סלים סלימאן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403839807">
    <w:abstractNumId w:val="14"/>
  </w:num>
  <w:num w:numId="2" w16cid:durableId="1978145064">
    <w:abstractNumId w:val="5"/>
  </w:num>
  <w:num w:numId="3" w16cid:durableId="1045132646">
    <w:abstractNumId w:val="12"/>
  </w:num>
  <w:num w:numId="4" w16cid:durableId="752357706">
    <w:abstractNumId w:val="11"/>
  </w:num>
  <w:num w:numId="5" w16cid:durableId="1888564346">
    <w:abstractNumId w:val="4"/>
  </w:num>
  <w:num w:numId="6" w16cid:durableId="1513762840">
    <w:abstractNumId w:val="6"/>
  </w:num>
  <w:num w:numId="7" w16cid:durableId="1073162876">
    <w:abstractNumId w:val="16"/>
  </w:num>
  <w:num w:numId="8" w16cid:durableId="440732863">
    <w:abstractNumId w:val="0"/>
  </w:num>
  <w:num w:numId="9" w16cid:durableId="955019708">
    <w:abstractNumId w:val="10"/>
  </w:num>
  <w:num w:numId="10" w16cid:durableId="2086760499">
    <w:abstractNumId w:val="8"/>
  </w:num>
  <w:num w:numId="11" w16cid:durableId="681863160">
    <w:abstractNumId w:val="3"/>
  </w:num>
  <w:num w:numId="12" w16cid:durableId="1968393611">
    <w:abstractNumId w:val="15"/>
  </w:num>
  <w:num w:numId="13" w16cid:durableId="360133272">
    <w:abstractNumId w:val="9"/>
  </w:num>
  <w:num w:numId="14" w16cid:durableId="1102842984">
    <w:abstractNumId w:val="2"/>
  </w:num>
  <w:num w:numId="15" w16cid:durableId="448668670">
    <w:abstractNumId w:val="13"/>
  </w:num>
  <w:num w:numId="16" w16cid:durableId="144048661">
    <w:abstractNumId w:val="1"/>
  </w:num>
  <w:num w:numId="17" w16cid:durableId="2080397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5120-07-16"/>
    <w:docVar w:name="caseId" w:val="73736569"/>
    <w:docVar w:name="deriveClass" w:val="NGCS.Protocol.BL.Client.ProtocolBLClientCriminal"/>
    <w:docVar w:name="firstPageNumber" w:val="1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7139932"/>
    <w:docVar w:name="releaseSign" w:val="0"/>
    <w:docVar w:name="sittingDateTime" w:val="21/11/2016 13:00     "/>
    <w:docVar w:name="sittingId" w:val="81607280"/>
    <w:docVar w:name="sittingTypeId" w:val="-1"/>
    <w:docVar w:name="WordClientAssemblyName" w:val="NGCS.Protocol.BL.Client"/>
    <w:docVar w:name="WordClientClassName" w:val="NGCS.Templates.UIP.TemplateWordClient"/>
  </w:docVars>
  <w:rsids>
    <w:rsidRoot w:val="00EB1D9D"/>
    <w:rsid w:val="0000736A"/>
    <w:rsid w:val="00012E6A"/>
    <w:rsid w:val="00014F26"/>
    <w:rsid w:val="00016C3B"/>
    <w:rsid w:val="00027181"/>
    <w:rsid w:val="00030486"/>
    <w:rsid w:val="000309E2"/>
    <w:rsid w:val="00032A68"/>
    <w:rsid w:val="00053909"/>
    <w:rsid w:val="000555F0"/>
    <w:rsid w:val="000608AB"/>
    <w:rsid w:val="00074BD2"/>
    <w:rsid w:val="000A3BB7"/>
    <w:rsid w:val="000A4C4B"/>
    <w:rsid w:val="000C3D5F"/>
    <w:rsid w:val="000C7499"/>
    <w:rsid w:val="000E37CD"/>
    <w:rsid w:val="00100FD9"/>
    <w:rsid w:val="00115104"/>
    <w:rsid w:val="00131385"/>
    <w:rsid w:val="00137D59"/>
    <w:rsid w:val="0014434E"/>
    <w:rsid w:val="001526FC"/>
    <w:rsid w:val="0016231B"/>
    <w:rsid w:val="00163279"/>
    <w:rsid w:val="001666D0"/>
    <w:rsid w:val="001705B8"/>
    <w:rsid w:val="00174C6C"/>
    <w:rsid w:val="00177C9E"/>
    <w:rsid w:val="00180246"/>
    <w:rsid w:val="001A63A4"/>
    <w:rsid w:val="001C1FC0"/>
    <w:rsid w:val="001D0751"/>
    <w:rsid w:val="001E6DFB"/>
    <w:rsid w:val="00204255"/>
    <w:rsid w:val="002063A6"/>
    <w:rsid w:val="002129DB"/>
    <w:rsid w:val="00227A15"/>
    <w:rsid w:val="00237F64"/>
    <w:rsid w:val="00245547"/>
    <w:rsid w:val="002736EA"/>
    <w:rsid w:val="0027531A"/>
    <w:rsid w:val="00296868"/>
    <w:rsid w:val="002A1C94"/>
    <w:rsid w:val="002E24EE"/>
    <w:rsid w:val="002F455E"/>
    <w:rsid w:val="002F5A82"/>
    <w:rsid w:val="00301481"/>
    <w:rsid w:val="00326A0A"/>
    <w:rsid w:val="00340759"/>
    <w:rsid w:val="0034100C"/>
    <w:rsid w:val="00342D84"/>
    <w:rsid w:val="0034484C"/>
    <w:rsid w:val="00347ACF"/>
    <w:rsid w:val="003D1724"/>
    <w:rsid w:val="003F6EFC"/>
    <w:rsid w:val="00424AD5"/>
    <w:rsid w:val="00434E4A"/>
    <w:rsid w:val="00440118"/>
    <w:rsid w:val="00442655"/>
    <w:rsid w:val="004473FE"/>
    <w:rsid w:val="004574F2"/>
    <w:rsid w:val="004752AF"/>
    <w:rsid w:val="004868BB"/>
    <w:rsid w:val="00486DEE"/>
    <w:rsid w:val="00494C2F"/>
    <w:rsid w:val="004C0CA7"/>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0446D"/>
    <w:rsid w:val="006110FD"/>
    <w:rsid w:val="0061652F"/>
    <w:rsid w:val="00620E3F"/>
    <w:rsid w:val="00623CCF"/>
    <w:rsid w:val="00631222"/>
    <w:rsid w:val="00633BA9"/>
    <w:rsid w:val="00635C8E"/>
    <w:rsid w:val="006424C7"/>
    <w:rsid w:val="00653508"/>
    <w:rsid w:val="006830E7"/>
    <w:rsid w:val="006A4D3D"/>
    <w:rsid w:val="006B639D"/>
    <w:rsid w:val="006D72D1"/>
    <w:rsid w:val="006E2AF0"/>
    <w:rsid w:val="006E3A90"/>
    <w:rsid w:val="006F0E02"/>
    <w:rsid w:val="00700409"/>
    <w:rsid w:val="00701199"/>
    <w:rsid w:val="007378AE"/>
    <w:rsid w:val="007378FE"/>
    <w:rsid w:val="007568CD"/>
    <w:rsid w:val="00770F7C"/>
    <w:rsid w:val="00781736"/>
    <w:rsid w:val="00791EB6"/>
    <w:rsid w:val="007B27DC"/>
    <w:rsid w:val="007B4F94"/>
    <w:rsid w:val="007B6499"/>
    <w:rsid w:val="007B6A79"/>
    <w:rsid w:val="007C0D02"/>
    <w:rsid w:val="007D4DDF"/>
    <w:rsid w:val="007D71BF"/>
    <w:rsid w:val="007E4ADE"/>
    <w:rsid w:val="007F46CA"/>
    <w:rsid w:val="007F4959"/>
    <w:rsid w:val="008100EF"/>
    <w:rsid w:val="0081212E"/>
    <w:rsid w:val="008138D1"/>
    <w:rsid w:val="008147C4"/>
    <w:rsid w:val="00816980"/>
    <w:rsid w:val="0083639D"/>
    <w:rsid w:val="0085535F"/>
    <w:rsid w:val="0088228B"/>
    <w:rsid w:val="008B5819"/>
    <w:rsid w:val="008D15AB"/>
    <w:rsid w:val="008D7896"/>
    <w:rsid w:val="008E7204"/>
    <w:rsid w:val="00927BB3"/>
    <w:rsid w:val="0093197A"/>
    <w:rsid w:val="00934BA1"/>
    <w:rsid w:val="0094016C"/>
    <w:rsid w:val="0094049A"/>
    <w:rsid w:val="0094092B"/>
    <w:rsid w:val="00943E5D"/>
    <w:rsid w:val="009474AF"/>
    <w:rsid w:val="009521C7"/>
    <w:rsid w:val="00953C37"/>
    <w:rsid w:val="00960E66"/>
    <w:rsid w:val="00964972"/>
    <w:rsid w:val="00966439"/>
    <w:rsid w:val="0097713F"/>
    <w:rsid w:val="0098094C"/>
    <w:rsid w:val="009857E4"/>
    <w:rsid w:val="009B24E2"/>
    <w:rsid w:val="009C08D6"/>
    <w:rsid w:val="009C193E"/>
    <w:rsid w:val="009D7934"/>
    <w:rsid w:val="009E46EC"/>
    <w:rsid w:val="009E6E0A"/>
    <w:rsid w:val="00A04531"/>
    <w:rsid w:val="00A1573A"/>
    <w:rsid w:val="00A25356"/>
    <w:rsid w:val="00A502A4"/>
    <w:rsid w:val="00A64302"/>
    <w:rsid w:val="00A64696"/>
    <w:rsid w:val="00A67D1A"/>
    <w:rsid w:val="00A910BF"/>
    <w:rsid w:val="00A9385E"/>
    <w:rsid w:val="00AA3C0A"/>
    <w:rsid w:val="00AA6A35"/>
    <w:rsid w:val="00AB1CE7"/>
    <w:rsid w:val="00AC7677"/>
    <w:rsid w:val="00AD007D"/>
    <w:rsid w:val="00AD1366"/>
    <w:rsid w:val="00AE240F"/>
    <w:rsid w:val="00B24CA7"/>
    <w:rsid w:val="00B30584"/>
    <w:rsid w:val="00B44123"/>
    <w:rsid w:val="00B6568E"/>
    <w:rsid w:val="00B66459"/>
    <w:rsid w:val="00B82C03"/>
    <w:rsid w:val="00B83653"/>
    <w:rsid w:val="00B870E1"/>
    <w:rsid w:val="00BA3141"/>
    <w:rsid w:val="00BD13A0"/>
    <w:rsid w:val="00BF00B0"/>
    <w:rsid w:val="00C4595F"/>
    <w:rsid w:val="00C471D1"/>
    <w:rsid w:val="00C50277"/>
    <w:rsid w:val="00C518EA"/>
    <w:rsid w:val="00C667A1"/>
    <w:rsid w:val="00C8613B"/>
    <w:rsid w:val="00CA022A"/>
    <w:rsid w:val="00CA26CF"/>
    <w:rsid w:val="00CB6B34"/>
    <w:rsid w:val="00CD030B"/>
    <w:rsid w:val="00D0615F"/>
    <w:rsid w:val="00D23D09"/>
    <w:rsid w:val="00D2736A"/>
    <w:rsid w:val="00D57D9B"/>
    <w:rsid w:val="00D86190"/>
    <w:rsid w:val="00D903BF"/>
    <w:rsid w:val="00DA7A07"/>
    <w:rsid w:val="00DC3CD8"/>
    <w:rsid w:val="00DC4526"/>
    <w:rsid w:val="00DC7E11"/>
    <w:rsid w:val="00DD4926"/>
    <w:rsid w:val="00DF69AA"/>
    <w:rsid w:val="00E06ED4"/>
    <w:rsid w:val="00E15F20"/>
    <w:rsid w:val="00E37759"/>
    <w:rsid w:val="00E4581A"/>
    <w:rsid w:val="00E620AB"/>
    <w:rsid w:val="00E65EDF"/>
    <w:rsid w:val="00E6717D"/>
    <w:rsid w:val="00E679BB"/>
    <w:rsid w:val="00E74FCF"/>
    <w:rsid w:val="00E866B5"/>
    <w:rsid w:val="00EA333A"/>
    <w:rsid w:val="00EA587E"/>
    <w:rsid w:val="00EB1D9D"/>
    <w:rsid w:val="00F01612"/>
    <w:rsid w:val="00F24B4E"/>
    <w:rsid w:val="00F30675"/>
    <w:rsid w:val="00F449AC"/>
    <w:rsid w:val="00F53B32"/>
    <w:rsid w:val="00F56690"/>
    <w:rsid w:val="00F56B3A"/>
    <w:rsid w:val="00F57054"/>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7992C1"/>
  <w15:chartTrackingRefBased/>
  <w15:docId w15:val="{0B90257E-C755-47C4-9921-3467EE6E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9C193E"/>
    <w:rPr>
      <w:rFonts w:ascii="Times New Roman" w:eastAsia="David" w:hAnsi="Times New Roman"/>
      <w:b/>
      <w:bCs/>
      <w:u w:val="single"/>
    </w:rPr>
  </w:style>
  <w:style w:type="character" w:styleId="Hyperlink">
    <w:name w:val="Hyperlink"/>
    <w:semiHidden/>
    <w:rsid w:val="00012E6A"/>
    <w:rPr>
      <w:rFonts w:cs="Times New Roman"/>
      <w:color w:val="0000FF"/>
      <w:u w:val="single"/>
    </w:rPr>
  </w:style>
  <w:style w:type="paragraph" w:customStyle="1" w:styleId="ListParagraph">
    <w:name w:val="List Paragraph"/>
    <w:basedOn w:val="a"/>
    <w:rsid w:val="00012E6A"/>
    <w:pPr>
      <w:spacing w:after="160" w:line="256" w:lineRule="auto"/>
      <w:ind w:left="720"/>
      <w:contextualSpacing/>
    </w:pPr>
    <w:rPr>
      <w:rFonts w:ascii="Calibri" w:hAnsi="Calibri" w:cs="Arial"/>
      <w:sz w:val="22"/>
      <w:szCs w:val="22"/>
    </w:rPr>
  </w:style>
  <w:style w:type="character" w:customStyle="1" w:styleId="QuoteChar">
    <w:name w:val="Quote Char"/>
    <w:link w:val="10"/>
    <w:locked/>
    <w:rsid w:val="00012E6A"/>
    <w:rPr>
      <w:rFonts w:ascii="Calibri" w:eastAsia="Times New Roman" w:hAnsi="Calibri"/>
      <w:i/>
      <w:sz w:val="24"/>
    </w:rPr>
  </w:style>
  <w:style w:type="paragraph" w:customStyle="1" w:styleId="10">
    <w:name w:val="ציטוט1"/>
    <w:basedOn w:val="a"/>
    <w:next w:val="a"/>
    <w:link w:val="QuoteChar"/>
    <w:rsid w:val="00012E6A"/>
    <w:pPr>
      <w:spacing w:before="200" w:after="160" w:line="252" w:lineRule="auto"/>
      <w:ind w:left="864" w:right="864"/>
      <w:jc w:val="center"/>
    </w:pPr>
    <w:rPr>
      <w:rFonts w:ascii="Calibri" w:hAnsi="Calibri" w:cs="Times New Roman"/>
      <w:i/>
      <w:sz w:val="20"/>
    </w:rPr>
  </w:style>
  <w:style w:type="paragraph" w:customStyle="1" w:styleId="ruller4">
    <w:name w:val="ruller4"/>
    <w:basedOn w:val="a"/>
    <w:rsid w:val="00012E6A"/>
    <w:pPr>
      <w:bidi w:val="0"/>
      <w:spacing w:before="100" w:beforeAutospacing="1" w:after="100" w:afterAutospacing="1"/>
    </w:pPr>
    <w:rPr>
      <w:rFonts w:ascii="Times New Roman" w:eastAsia="David" w:hAnsi="Times New Roman" w:cs="Times New Roman"/>
    </w:rPr>
  </w:style>
  <w:style w:type="character" w:customStyle="1" w:styleId="apple-converted-space">
    <w:name w:val="apple-converted-space"/>
    <w:rsid w:val="00012E6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e"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law/70301/40b"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018516" TargetMode="External"/><Relationship Id="rId42" Type="http://schemas.openxmlformats.org/officeDocument/2006/relationships/hyperlink" Target="http://www.nevo.co.il/law/70301/40jb" TargetMode="External"/><Relationship Id="rId47" Type="http://schemas.openxmlformats.org/officeDocument/2006/relationships/hyperlink" Target="http://www.nevo.co.il/case/5724364" TargetMode="External"/><Relationship Id="rId50" Type="http://schemas.openxmlformats.org/officeDocument/2006/relationships/hyperlink" Target="http://www.nevo.co.il/case/5995135" TargetMode="External"/><Relationship Id="rId55" Type="http://schemas.openxmlformats.org/officeDocument/2006/relationships/hyperlink" Target="http://www.nevo.co.il/case/2606293"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40j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c" TargetMode="External"/><Relationship Id="rId24" Type="http://schemas.openxmlformats.org/officeDocument/2006/relationships/hyperlink" Target="http://www.nevo.co.il/case/2056765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c"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case/10527728" TargetMode="External"/><Relationship Id="rId53" Type="http://schemas.openxmlformats.org/officeDocument/2006/relationships/hyperlink" Target="http://www.nevo.co.il/case/5608029" TargetMode="External"/><Relationship Id="rId58" Type="http://schemas.openxmlformats.org/officeDocument/2006/relationships/hyperlink" Target="http://www.nevo.co.il/advertisements/nevo-100.doc"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www.nevo.co.il/law/70301/499.a.1"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e" TargetMode="External"/><Relationship Id="rId35" Type="http://schemas.openxmlformats.org/officeDocument/2006/relationships/hyperlink" Target="http://www.nevo.co.il/case/20420489"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5950172" TargetMode="External"/><Relationship Id="rId56" Type="http://schemas.openxmlformats.org/officeDocument/2006/relationships/hyperlink" Target="http://www.nevo.co.il/case/13088796" TargetMode="External"/><Relationship Id="rId64" Type="http://schemas.openxmlformats.org/officeDocument/2006/relationships/theme" Target="theme/theme1.xml"/><Relationship Id="rId8"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40d" TargetMode="External"/><Relationship Id="rId17" Type="http://schemas.openxmlformats.org/officeDocument/2006/relationships/hyperlink" Target="http://www.nevo.co.il/law/70301/40jb" TargetMode="External"/><Relationship Id="rId25" Type="http://schemas.openxmlformats.org/officeDocument/2006/relationships/hyperlink" Target="http://www.nevo.co.il/case/5804154"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969313" TargetMode="External"/><Relationship Id="rId59" Type="http://schemas.openxmlformats.org/officeDocument/2006/relationships/header" Target="header1.xml"/><Relationship Id="rId20" Type="http://schemas.openxmlformats.org/officeDocument/2006/relationships/hyperlink" Target="http://www.nevo.co.il/law/70301/499.a.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7791493" TargetMode="External"/><Relationship Id="rId62"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40d" TargetMode="External"/><Relationship Id="rId36" Type="http://schemas.openxmlformats.org/officeDocument/2006/relationships/hyperlink" Target="http://www.nevo.co.il/case/13093721" TargetMode="External"/><Relationship Id="rId49" Type="http://schemas.openxmlformats.org/officeDocument/2006/relationships/hyperlink" Target="http://www.nevo.co.il/case/5958231" TargetMode="External"/><Relationship Id="rId57" Type="http://schemas.openxmlformats.org/officeDocument/2006/relationships/hyperlink" Target="http://www.nevo.co.il/case/20817891" TargetMode="External"/><Relationship Id="rId10" Type="http://schemas.openxmlformats.org/officeDocument/2006/relationships/hyperlink" Target="http://www.nevo.co.il/law/70301/40b" TargetMode="External"/><Relationship Id="rId31" Type="http://schemas.openxmlformats.org/officeDocument/2006/relationships/hyperlink" Target="http://www.nevo.co.il/law/70301/40jc" TargetMode="External"/><Relationship Id="rId44" Type="http://schemas.openxmlformats.org/officeDocument/2006/relationships/hyperlink" Target="http://www.nevo.co.il/case/7791493" TargetMode="External"/><Relationship Id="rId52" Type="http://schemas.openxmlformats.org/officeDocument/2006/relationships/hyperlink" Target="http://www.nevo.co.il/case/6151556"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3468</Words>
  <Characters>17345</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20772</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3407997</vt:i4>
      </vt:variant>
      <vt:variant>
        <vt:i4>150</vt:i4>
      </vt:variant>
      <vt:variant>
        <vt:i4>0</vt:i4>
      </vt:variant>
      <vt:variant>
        <vt:i4>5</vt:i4>
      </vt:variant>
      <vt:variant>
        <vt:lpwstr>http://www.nevo.co.il/case/20817891</vt:lpwstr>
      </vt:variant>
      <vt:variant>
        <vt:lpwstr/>
      </vt:variant>
      <vt:variant>
        <vt:i4>3145848</vt:i4>
      </vt:variant>
      <vt:variant>
        <vt:i4>147</vt:i4>
      </vt:variant>
      <vt:variant>
        <vt:i4>0</vt:i4>
      </vt:variant>
      <vt:variant>
        <vt:i4>5</vt:i4>
      </vt:variant>
      <vt:variant>
        <vt:lpwstr>http://www.nevo.co.il/case/13088796</vt:lpwstr>
      </vt:variant>
      <vt:variant>
        <vt:lpwstr/>
      </vt:variant>
      <vt:variant>
        <vt:i4>3342461</vt:i4>
      </vt:variant>
      <vt:variant>
        <vt:i4>144</vt:i4>
      </vt:variant>
      <vt:variant>
        <vt:i4>0</vt:i4>
      </vt:variant>
      <vt:variant>
        <vt:i4>5</vt:i4>
      </vt:variant>
      <vt:variant>
        <vt:lpwstr>http://www.nevo.co.il/case/2606293</vt:lpwstr>
      </vt:variant>
      <vt:variant>
        <vt:lpwstr/>
      </vt:variant>
      <vt:variant>
        <vt:i4>3735675</vt:i4>
      </vt:variant>
      <vt:variant>
        <vt:i4>141</vt:i4>
      </vt:variant>
      <vt:variant>
        <vt:i4>0</vt:i4>
      </vt:variant>
      <vt:variant>
        <vt:i4>5</vt:i4>
      </vt:variant>
      <vt:variant>
        <vt:lpwstr>http://www.nevo.co.il/case/7791493</vt:lpwstr>
      </vt:variant>
      <vt:variant>
        <vt:lpwstr/>
      </vt:variant>
      <vt:variant>
        <vt:i4>3932280</vt:i4>
      </vt:variant>
      <vt:variant>
        <vt:i4>138</vt:i4>
      </vt:variant>
      <vt:variant>
        <vt:i4>0</vt:i4>
      </vt:variant>
      <vt:variant>
        <vt:i4>5</vt:i4>
      </vt:variant>
      <vt:variant>
        <vt:lpwstr>http://www.nevo.co.il/case/5608029</vt:lpwstr>
      </vt:variant>
      <vt:variant>
        <vt:lpwstr/>
      </vt:variant>
      <vt:variant>
        <vt:i4>3145841</vt:i4>
      </vt:variant>
      <vt:variant>
        <vt:i4>135</vt:i4>
      </vt:variant>
      <vt:variant>
        <vt:i4>0</vt:i4>
      </vt:variant>
      <vt:variant>
        <vt:i4>5</vt:i4>
      </vt:variant>
      <vt:variant>
        <vt:lpwstr>http://www.nevo.co.il/case/6151556</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3670139</vt:i4>
      </vt:variant>
      <vt:variant>
        <vt:i4>129</vt:i4>
      </vt:variant>
      <vt:variant>
        <vt:i4>0</vt:i4>
      </vt:variant>
      <vt:variant>
        <vt:i4>5</vt:i4>
      </vt:variant>
      <vt:variant>
        <vt:lpwstr>http://www.nevo.co.il/case/5995135</vt:lpwstr>
      </vt:variant>
      <vt:variant>
        <vt:lpwstr/>
      </vt:variant>
      <vt:variant>
        <vt:i4>3342454</vt:i4>
      </vt:variant>
      <vt:variant>
        <vt:i4>126</vt:i4>
      </vt:variant>
      <vt:variant>
        <vt:i4>0</vt:i4>
      </vt:variant>
      <vt:variant>
        <vt:i4>5</vt:i4>
      </vt:variant>
      <vt:variant>
        <vt:lpwstr>http://www.nevo.co.il/case/5958231</vt:lpwstr>
      </vt:variant>
      <vt:variant>
        <vt:lpwstr/>
      </vt:variant>
      <vt:variant>
        <vt:i4>3342458</vt:i4>
      </vt:variant>
      <vt:variant>
        <vt:i4>123</vt:i4>
      </vt:variant>
      <vt:variant>
        <vt:i4>0</vt:i4>
      </vt:variant>
      <vt:variant>
        <vt:i4>5</vt:i4>
      </vt:variant>
      <vt:variant>
        <vt:lpwstr>http://www.nevo.co.il/case/5950172</vt:lpwstr>
      </vt:variant>
      <vt:variant>
        <vt:lpwstr/>
      </vt:variant>
      <vt:variant>
        <vt:i4>3145841</vt:i4>
      </vt:variant>
      <vt:variant>
        <vt:i4>120</vt:i4>
      </vt:variant>
      <vt:variant>
        <vt:i4>0</vt:i4>
      </vt:variant>
      <vt:variant>
        <vt:i4>5</vt:i4>
      </vt:variant>
      <vt:variant>
        <vt:lpwstr>http://www.nevo.co.il/case/5724364</vt:lpwstr>
      </vt:variant>
      <vt:variant>
        <vt:lpwstr/>
      </vt:variant>
      <vt:variant>
        <vt:i4>3670132</vt:i4>
      </vt:variant>
      <vt:variant>
        <vt:i4>117</vt:i4>
      </vt:variant>
      <vt:variant>
        <vt:i4>0</vt:i4>
      </vt:variant>
      <vt:variant>
        <vt:i4>5</vt:i4>
      </vt:variant>
      <vt:variant>
        <vt:lpwstr>http://www.nevo.co.il/case/5581144</vt:lpwstr>
      </vt:variant>
      <vt:variant>
        <vt:lpwstr/>
      </vt:variant>
      <vt:variant>
        <vt:i4>3342453</vt:i4>
      </vt:variant>
      <vt:variant>
        <vt:i4>114</vt:i4>
      </vt:variant>
      <vt:variant>
        <vt:i4>0</vt:i4>
      </vt:variant>
      <vt:variant>
        <vt:i4>5</vt:i4>
      </vt:variant>
      <vt:variant>
        <vt:lpwstr>http://www.nevo.co.il/case/5969313</vt:lpwstr>
      </vt:variant>
      <vt:variant>
        <vt:lpwstr/>
      </vt:variant>
      <vt:variant>
        <vt:i4>3211377</vt:i4>
      </vt:variant>
      <vt:variant>
        <vt:i4>111</vt:i4>
      </vt:variant>
      <vt:variant>
        <vt:i4>0</vt:i4>
      </vt:variant>
      <vt:variant>
        <vt:i4>5</vt:i4>
      </vt:variant>
      <vt:variant>
        <vt:lpwstr>http://www.nevo.co.il/case/10527728</vt:lpwstr>
      </vt:variant>
      <vt:variant>
        <vt:lpwstr/>
      </vt:variant>
      <vt:variant>
        <vt:i4>3735675</vt:i4>
      </vt:variant>
      <vt:variant>
        <vt:i4>108</vt:i4>
      </vt:variant>
      <vt:variant>
        <vt:i4>0</vt:i4>
      </vt:variant>
      <vt:variant>
        <vt:i4>5</vt:i4>
      </vt:variant>
      <vt:variant>
        <vt:lpwstr>http://www.nevo.co.il/case/7791493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458763</vt:i4>
      </vt:variant>
      <vt:variant>
        <vt:i4>102</vt:i4>
      </vt:variant>
      <vt:variant>
        <vt:i4>0</vt:i4>
      </vt:variant>
      <vt:variant>
        <vt:i4>5</vt:i4>
      </vt:variant>
      <vt:variant>
        <vt:lpwstr>http://www.nevo.co.il/law/70301/40jb</vt:lpwstr>
      </vt:variant>
      <vt:variant>
        <vt:lpwstr/>
      </vt:variant>
      <vt:variant>
        <vt:i4>7995492</vt:i4>
      </vt:variant>
      <vt:variant>
        <vt:i4>99</vt:i4>
      </vt:variant>
      <vt:variant>
        <vt:i4>0</vt:i4>
      </vt:variant>
      <vt:variant>
        <vt:i4>5</vt:i4>
      </vt:variant>
      <vt:variant>
        <vt:lpwstr>http://www.nevo.co.il/law/70301</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http://www.nevo.co.il/law/70301/40c</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4063346</vt:i4>
      </vt:variant>
      <vt:variant>
        <vt:i4>81</vt:i4>
      </vt:variant>
      <vt:variant>
        <vt:i4>0</vt:i4>
      </vt:variant>
      <vt:variant>
        <vt:i4>5</vt:i4>
      </vt:variant>
      <vt:variant>
        <vt:lpwstr>http://www.nevo.co.il/case/20420489</vt:lpwstr>
      </vt:variant>
      <vt:variant>
        <vt:lpwstr/>
      </vt:variant>
      <vt:variant>
        <vt:i4>3407997</vt:i4>
      </vt:variant>
      <vt:variant>
        <vt:i4>78</vt:i4>
      </vt:variant>
      <vt:variant>
        <vt:i4>0</vt:i4>
      </vt:variant>
      <vt:variant>
        <vt:i4>5</vt:i4>
      </vt:variant>
      <vt:variant>
        <vt:lpwstr>http://www.nevo.co.il/case/6018516</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6619233</vt:i4>
      </vt:variant>
      <vt:variant>
        <vt:i4>66</vt:i4>
      </vt:variant>
      <vt:variant>
        <vt:i4>0</vt:i4>
      </vt:variant>
      <vt:variant>
        <vt:i4>5</vt:i4>
      </vt:variant>
      <vt:variant>
        <vt:lpwstr>http://www.nevo.co.il/law/70301/40e</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3145853</vt:i4>
      </vt:variant>
      <vt:variant>
        <vt:i4>51</vt:i4>
      </vt:variant>
      <vt:variant>
        <vt:i4>0</vt:i4>
      </vt:variant>
      <vt:variant>
        <vt:i4>5</vt:i4>
      </vt:variant>
      <vt:variant>
        <vt:lpwstr>http://www.nevo.co.il/case/5804154</vt:lpwstr>
      </vt:variant>
      <vt:variant>
        <vt:lpwstr/>
      </vt:variant>
      <vt:variant>
        <vt:i4>3473524</vt:i4>
      </vt:variant>
      <vt:variant>
        <vt:i4>48</vt:i4>
      </vt:variant>
      <vt:variant>
        <vt:i4>0</vt:i4>
      </vt:variant>
      <vt:variant>
        <vt:i4>5</vt:i4>
      </vt:variant>
      <vt:variant>
        <vt:lpwstr>http://www.nevo.co.il/case/20567651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458763</vt:i4>
      </vt:variant>
      <vt:variant>
        <vt:i4>27</vt:i4>
      </vt:variant>
      <vt:variant>
        <vt:i4>0</vt:i4>
      </vt:variant>
      <vt:variant>
        <vt:i4>5</vt:i4>
      </vt:variant>
      <vt:variant>
        <vt:lpwstr>http://www.nevo.co.il/law/70301/40jb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15120</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עימאד בן סלים סלימאן;פלוני;אליף בן באסם חשיבון</vt:lpwstr>
  </property>
  <property fmtid="{D5CDD505-2E9C-101B-9397-08002B2CF9AE}" pid="10" name="LAWYER">
    <vt:lpwstr>נטע פוניס;דן אסלנוב;ממשרד כרמל</vt:lpwstr>
  </property>
  <property fmtid="{D5CDD505-2E9C-101B-9397-08002B2CF9AE}" pid="11" name="JUDGE">
    <vt:lpwstr>אסתר הלמן</vt:lpwstr>
  </property>
  <property fmtid="{D5CDD505-2E9C-101B-9397-08002B2CF9AE}" pid="12" name="CITY">
    <vt:lpwstr>נצ'</vt:lpwstr>
  </property>
  <property fmtid="{D5CDD505-2E9C-101B-9397-08002B2CF9AE}" pid="13" name="DATE">
    <vt:lpwstr>20161121</vt:lpwstr>
  </property>
  <property fmtid="{D5CDD505-2E9C-101B-9397-08002B2CF9AE}" pid="14" name="TYPE_N_DATE">
    <vt:lpwstr>39020161121</vt:lpwstr>
  </property>
  <property fmtid="{D5CDD505-2E9C-101B-9397-08002B2CF9AE}" pid="15" name="WORDNUMPAGES">
    <vt:lpwstr>11</vt:lpwstr>
  </property>
  <property fmtid="{D5CDD505-2E9C-101B-9397-08002B2CF9AE}" pid="16" name="TYPE_ABS_DATE">
    <vt:lpwstr>390020161121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20567651;5804154;13093721:2;6018516;20420489;7791493:2;10527728;5969313;5581144;5724364;5950172;5958231;5995135;6151556;5608029;2606293;13088796;20817891</vt:lpwstr>
  </property>
  <property fmtid="{D5CDD505-2E9C-101B-9397-08002B2CF9AE}" pid="36" name="CASENOTES1">
    <vt:lpwstr>ProcID=147&amp;PartA=85170&amp;PartC=14</vt:lpwstr>
  </property>
  <property fmtid="{D5CDD505-2E9C-101B-9397-08002B2CF9AE}" pid="37" name="LAWLISTTMP1">
    <vt:lpwstr>70301/499.a.1;144.a;025;040b;040d;040e;40jc;040c;040i;40ja;40jb</vt:lpwstr>
  </property>
</Properties>
</file>