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3334C" w:rsidRPr="005A4FDB" w14:paraId="46820FDA" w14:textId="77777777" w:rsidTr="00110756">
        <w:trPr>
          <w:trHeight w:hRule="exact" w:val="418"/>
          <w:jc w:val="center"/>
        </w:trPr>
        <w:tc>
          <w:tcPr>
            <w:tcW w:w="8721" w:type="dxa"/>
            <w:gridSpan w:val="2"/>
          </w:tcPr>
          <w:p w14:paraId="2CDD7299" w14:textId="77777777" w:rsidR="0073334C" w:rsidRPr="005A4FDB" w:rsidRDefault="0073334C" w:rsidP="005A4FDB">
            <w:pPr>
              <w:pStyle w:val="a3"/>
              <w:jc w:val="center"/>
              <w:rPr>
                <w:rFonts w:ascii="Tahoma" w:hAnsi="Tahoma" w:cs="Tahoma"/>
                <w:color w:val="000080"/>
                <w:rtl/>
              </w:rPr>
            </w:pPr>
            <w:bookmarkStart w:id="0" w:name="LastJudge"/>
            <w:r w:rsidRPr="005A4FDB">
              <w:rPr>
                <w:rFonts w:ascii="Tahoma" w:hAnsi="Tahoma" w:cs="Tahoma"/>
                <w:b/>
                <w:bCs/>
                <w:color w:val="000080"/>
                <w:rtl/>
              </w:rPr>
              <w:t>בית המשפט המחוזי בחיפה</w:t>
            </w:r>
          </w:p>
        </w:tc>
      </w:tr>
      <w:tr w:rsidR="0073334C" w:rsidRPr="005A4FDB" w14:paraId="7C88368E" w14:textId="77777777" w:rsidTr="00110756">
        <w:trPr>
          <w:trHeight w:val="337"/>
          <w:jc w:val="center"/>
        </w:trPr>
        <w:tc>
          <w:tcPr>
            <w:tcW w:w="5060" w:type="dxa"/>
          </w:tcPr>
          <w:p w14:paraId="06A707D9" w14:textId="77777777" w:rsidR="0073334C" w:rsidRPr="005A4FDB" w:rsidRDefault="0073334C" w:rsidP="005A4FDB">
            <w:pPr>
              <w:rPr>
                <w:rFonts w:cs="FrankRuehl"/>
                <w:sz w:val="28"/>
                <w:szCs w:val="28"/>
                <w:rtl/>
              </w:rPr>
            </w:pPr>
            <w:r w:rsidRPr="005A4FDB">
              <w:rPr>
                <w:rFonts w:cs="FrankRuehl"/>
                <w:sz w:val="28"/>
                <w:szCs w:val="28"/>
                <w:rtl/>
              </w:rPr>
              <w:t>ת"פ</w:t>
            </w:r>
            <w:r w:rsidRPr="005A4FDB">
              <w:rPr>
                <w:rFonts w:cs="FrankRuehl" w:hint="cs"/>
                <w:sz w:val="28"/>
                <w:szCs w:val="28"/>
                <w:rtl/>
              </w:rPr>
              <w:t xml:space="preserve"> </w:t>
            </w:r>
            <w:r w:rsidRPr="005A4FDB">
              <w:rPr>
                <w:rFonts w:cs="FrankRuehl"/>
                <w:sz w:val="28"/>
                <w:szCs w:val="28"/>
                <w:rtl/>
              </w:rPr>
              <w:t>42223-07-16</w:t>
            </w:r>
            <w:r w:rsidRPr="005A4FDB">
              <w:rPr>
                <w:rFonts w:cs="FrankRuehl" w:hint="cs"/>
                <w:sz w:val="28"/>
                <w:szCs w:val="28"/>
                <w:rtl/>
              </w:rPr>
              <w:t xml:space="preserve"> </w:t>
            </w:r>
            <w:r w:rsidRPr="005A4FDB">
              <w:rPr>
                <w:rFonts w:cs="FrankRuehl"/>
                <w:sz w:val="28"/>
                <w:szCs w:val="28"/>
                <w:rtl/>
              </w:rPr>
              <w:t>מדינת ישראל נ' מריסאת(עציר)</w:t>
            </w:r>
          </w:p>
          <w:p w14:paraId="50E4C7A7" w14:textId="77777777" w:rsidR="0073334C" w:rsidRPr="005A4FDB" w:rsidRDefault="0073334C" w:rsidP="005A4FDB">
            <w:pPr>
              <w:pStyle w:val="a3"/>
              <w:rPr>
                <w:rFonts w:cs="FrankRuehl"/>
                <w:sz w:val="28"/>
                <w:szCs w:val="28"/>
                <w:rtl/>
              </w:rPr>
            </w:pPr>
          </w:p>
        </w:tc>
        <w:tc>
          <w:tcPr>
            <w:tcW w:w="3661" w:type="dxa"/>
          </w:tcPr>
          <w:p w14:paraId="73CC37DE" w14:textId="77777777" w:rsidR="0073334C" w:rsidRPr="005A4FDB" w:rsidRDefault="0073334C" w:rsidP="005A4FDB">
            <w:pPr>
              <w:pStyle w:val="a3"/>
              <w:jc w:val="right"/>
              <w:rPr>
                <w:rFonts w:cs="FrankRuehl"/>
                <w:sz w:val="28"/>
                <w:szCs w:val="28"/>
                <w:rtl/>
              </w:rPr>
            </w:pPr>
          </w:p>
        </w:tc>
      </w:tr>
    </w:tbl>
    <w:p w14:paraId="10A1EFFB" w14:textId="77777777" w:rsidR="0073334C" w:rsidRPr="005A4FDB" w:rsidRDefault="0073334C" w:rsidP="0073334C">
      <w:pPr>
        <w:pStyle w:val="a3"/>
        <w:rPr>
          <w:rtl/>
        </w:rPr>
      </w:pPr>
      <w:r w:rsidRPr="005A4FDB">
        <w:rPr>
          <w:rFonts w:hint="cs"/>
          <w:rtl/>
        </w:rPr>
        <w:t xml:space="preserve"> </w:t>
      </w:r>
    </w:p>
    <w:p w14:paraId="2F80368B" w14:textId="77777777" w:rsidR="0073334C" w:rsidRPr="005A4FDB" w:rsidRDefault="0073334C" w:rsidP="0073334C">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73334C" w:rsidRPr="005A4FDB" w14:paraId="6EF3E8FF" w14:textId="77777777" w:rsidTr="005A4FDB">
        <w:trPr>
          <w:gridAfter w:val="1"/>
          <w:wAfter w:w="56" w:type="dxa"/>
        </w:trPr>
        <w:tc>
          <w:tcPr>
            <w:tcW w:w="8718" w:type="dxa"/>
            <w:gridSpan w:val="2"/>
            <w:shd w:val="clear" w:color="auto" w:fill="auto"/>
          </w:tcPr>
          <w:p w14:paraId="64B93B79" w14:textId="77777777" w:rsidR="0073334C" w:rsidRPr="005A4FDB" w:rsidRDefault="0073334C" w:rsidP="005A4FDB">
            <w:pPr>
              <w:jc w:val="both"/>
              <w:rPr>
                <w:rStyle w:val="TimesNewRomanTimesNewRoman"/>
                <w:rtl/>
              </w:rPr>
            </w:pPr>
            <w:r w:rsidRPr="005A4FDB">
              <w:rPr>
                <w:rFonts w:hint="cs"/>
                <w:b/>
                <w:bCs/>
                <w:sz w:val="26"/>
                <w:szCs w:val="26"/>
                <w:rtl/>
              </w:rPr>
              <w:t>לפני כבוד ה</w:t>
            </w:r>
            <w:r w:rsidRPr="005A4FDB">
              <w:rPr>
                <w:rFonts w:hint="cs"/>
                <w:rtl/>
              </w:rPr>
              <w:t>שופטת רונית בש</w:t>
            </w:r>
            <w:r w:rsidRPr="005A4FDB">
              <w:rPr>
                <w:rStyle w:val="TimesNewRomanTimesNewRoman"/>
                <w:rFonts w:hint="cs"/>
                <w:rtl/>
              </w:rPr>
              <w:t xml:space="preserve"> </w:t>
            </w:r>
          </w:p>
          <w:p w14:paraId="312B8E03" w14:textId="77777777" w:rsidR="0073334C" w:rsidRPr="005A4FDB" w:rsidRDefault="0073334C" w:rsidP="005A4FDB">
            <w:pPr>
              <w:jc w:val="both"/>
              <w:rPr>
                <w:rtl/>
              </w:rPr>
            </w:pPr>
          </w:p>
        </w:tc>
      </w:tr>
      <w:tr w:rsidR="0073334C" w:rsidRPr="005A4FDB" w14:paraId="01A8E3C9" w14:textId="77777777" w:rsidTr="005A4FDB">
        <w:trPr>
          <w:cantSplit/>
          <w:trHeight w:val="393"/>
        </w:trPr>
        <w:tc>
          <w:tcPr>
            <w:tcW w:w="2880" w:type="dxa"/>
            <w:shd w:val="clear" w:color="auto" w:fill="auto"/>
          </w:tcPr>
          <w:p w14:paraId="1E3E6BA9" w14:textId="77777777" w:rsidR="0073334C" w:rsidRPr="005A4FDB" w:rsidRDefault="0073334C" w:rsidP="005A4FDB">
            <w:pPr>
              <w:ind w:left="26"/>
              <w:jc w:val="both"/>
              <w:rPr>
                <w:b/>
                <w:bCs/>
                <w:sz w:val="26"/>
                <w:szCs w:val="26"/>
                <w:rtl/>
              </w:rPr>
            </w:pPr>
            <w:bookmarkStart w:id="1" w:name="FirstAppellant"/>
            <w:r w:rsidRPr="005A4FDB">
              <w:rPr>
                <w:rFonts w:hint="cs"/>
                <w:b/>
                <w:bCs/>
                <w:sz w:val="26"/>
                <w:szCs w:val="26"/>
                <w:rtl/>
              </w:rPr>
              <w:t>המאשימה</w:t>
            </w:r>
          </w:p>
        </w:tc>
        <w:tc>
          <w:tcPr>
            <w:tcW w:w="5922" w:type="dxa"/>
            <w:gridSpan w:val="2"/>
            <w:shd w:val="clear" w:color="auto" w:fill="auto"/>
          </w:tcPr>
          <w:p w14:paraId="5BB4F0F5" w14:textId="77777777" w:rsidR="0073334C" w:rsidRPr="005A4FDB" w:rsidRDefault="0073334C" w:rsidP="005A4FDB">
            <w:pPr>
              <w:jc w:val="both"/>
              <w:rPr>
                <w:b/>
                <w:bCs/>
                <w:sz w:val="26"/>
                <w:szCs w:val="26"/>
                <w:rtl/>
              </w:rPr>
            </w:pPr>
            <w:r w:rsidRPr="005A4FDB">
              <w:rPr>
                <w:rFonts w:hint="cs"/>
                <w:rtl/>
              </w:rPr>
              <w:t>מדינת ישראל</w:t>
            </w:r>
          </w:p>
          <w:p w14:paraId="478CDA8B" w14:textId="77777777" w:rsidR="0073334C" w:rsidRPr="005A4FDB" w:rsidRDefault="0073334C" w:rsidP="005A4FDB">
            <w:pPr>
              <w:jc w:val="both"/>
              <w:rPr>
                <w:b/>
                <w:bCs/>
                <w:sz w:val="26"/>
                <w:szCs w:val="26"/>
                <w:rtl/>
              </w:rPr>
            </w:pPr>
          </w:p>
        </w:tc>
      </w:tr>
      <w:bookmarkEnd w:id="1"/>
      <w:tr w:rsidR="0073334C" w:rsidRPr="005A4FDB" w14:paraId="65D48E18" w14:textId="77777777" w:rsidTr="005A4FDB">
        <w:tc>
          <w:tcPr>
            <w:tcW w:w="8802" w:type="dxa"/>
            <w:gridSpan w:val="3"/>
            <w:shd w:val="clear" w:color="auto" w:fill="auto"/>
            <w:vAlign w:val="center"/>
          </w:tcPr>
          <w:p w14:paraId="47374EF7" w14:textId="77777777" w:rsidR="0073334C" w:rsidRPr="005A4FDB" w:rsidRDefault="0073334C" w:rsidP="005A4FDB">
            <w:pPr>
              <w:jc w:val="both"/>
              <w:rPr>
                <w:rFonts w:ascii="Arial" w:hAnsi="Arial"/>
                <w:b/>
                <w:bCs/>
                <w:sz w:val="26"/>
                <w:szCs w:val="26"/>
                <w:rtl/>
              </w:rPr>
            </w:pPr>
          </w:p>
          <w:p w14:paraId="2FDD355F" w14:textId="77777777" w:rsidR="0073334C" w:rsidRPr="005A4FDB" w:rsidRDefault="0073334C" w:rsidP="005A4FDB">
            <w:pPr>
              <w:jc w:val="both"/>
              <w:rPr>
                <w:rFonts w:ascii="Arial" w:hAnsi="Arial"/>
                <w:b/>
                <w:bCs/>
                <w:sz w:val="26"/>
                <w:szCs w:val="26"/>
                <w:rtl/>
              </w:rPr>
            </w:pPr>
            <w:r w:rsidRPr="005A4FDB">
              <w:rPr>
                <w:rFonts w:ascii="Arial" w:hAnsi="Arial" w:hint="cs"/>
                <w:b/>
                <w:bCs/>
                <w:sz w:val="26"/>
                <w:szCs w:val="26"/>
                <w:rtl/>
              </w:rPr>
              <w:t>נגד</w:t>
            </w:r>
          </w:p>
          <w:p w14:paraId="54554212" w14:textId="77777777" w:rsidR="0073334C" w:rsidRPr="005A4FDB" w:rsidRDefault="0073334C" w:rsidP="005A4FDB">
            <w:pPr>
              <w:jc w:val="both"/>
              <w:rPr>
                <w:rFonts w:ascii="Arial" w:hAnsi="Arial"/>
                <w:b/>
                <w:bCs/>
                <w:sz w:val="26"/>
                <w:szCs w:val="26"/>
                <w:rtl/>
              </w:rPr>
            </w:pPr>
          </w:p>
        </w:tc>
      </w:tr>
      <w:tr w:rsidR="0073334C" w:rsidRPr="005A4FDB" w14:paraId="043DB1E6" w14:textId="77777777" w:rsidTr="005A4FDB">
        <w:tc>
          <w:tcPr>
            <w:tcW w:w="2880" w:type="dxa"/>
            <w:shd w:val="clear" w:color="auto" w:fill="auto"/>
          </w:tcPr>
          <w:p w14:paraId="265C1B97" w14:textId="77777777" w:rsidR="0073334C" w:rsidRPr="005A4FDB" w:rsidRDefault="0073334C" w:rsidP="005A4FDB">
            <w:pPr>
              <w:ind w:left="26"/>
              <w:jc w:val="both"/>
              <w:rPr>
                <w:b/>
                <w:bCs/>
                <w:sz w:val="26"/>
                <w:szCs w:val="26"/>
              </w:rPr>
            </w:pPr>
            <w:r w:rsidRPr="005A4FDB">
              <w:rPr>
                <w:rFonts w:hint="cs"/>
                <w:b/>
                <w:bCs/>
                <w:sz w:val="26"/>
                <w:szCs w:val="26"/>
                <w:rtl/>
              </w:rPr>
              <w:t>הנאשם</w:t>
            </w:r>
          </w:p>
        </w:tc>
        <w:tc>
          <w:tcPr>
            <w:tcW w:w="5922" w:type="dxa"/>
            <w:gridSpan w:val="2"/>
            <w:shd w:val="clear" w:color="auto" w:fill="auto"/>
          </w:tcPr>
          <w:p w14:paraId="369B46C6" w14:textId="77777777" w:rsidR="0073334C" w:rsidRPr="005A4FDB" w:rsidRDefault="0073334C" w:rsidP="005A4FDB">
            <w:pPr>
              <w:jc w:val="both"/>
              <w:rPr>
                <w:b/>
                <w:bCs/>
                <w:sz w:val="26"/>
                <w:szCs w:val="26"/>
                <w:rtl/>
              </w:rPr>
            </w:pPr>
            <w:r w:rsidRPr="005A4FDB">
              <w:rPr>
                <w:rtl/>
              </w:rPr>
              <w:t xml:space="preserve"> </w:t>
            </w:r>
            <w:r w:rsidRPr="005A4FDB">
              <w:rPr>
                <w:rFonts w:hint="cs"/>
                <w:rtl/>
              </w:rPr>
              <w:t xml:space="preserve">נידאל בן אחמד מריסאת ת.ז. </w:t>
            </w:r>
            <w:r w:rsidR="005A4FDB">
              <w:t>xxxxxxxxx</w:t>
            </w:r>
            <w:r w:rsidRPr="005A4FDB">
              <w:rPr>
                <w:rFonts w:hint="cs"/>
                <w:rtl/>
              </w:rPr>
              <w:t>-עצור</w:t>
            </w:r>
          </w:p>
          <w:p w14:paraId="7DF6E860" w14:textId="77777777" w:rsidR="0073334C" w:rsidRPr="005A4FDB" w:rsidRDefault="0073334C" w:rsidP="005A4FDB">
            <w:pPr>
              <w:jc w:val="both"/>
              <w:rPr>
                <w:b/>
                <w:bCs/>
                <w:sz w:val="26"/>
                <w:szCs w:val="26"/>
                <w:rtl/>
              </w:rPr>
            </w:pPr>
          </w:p>
        </w:tc>
      </w:tr>
    </w:tbl>
    <w:p w14:paraId="4DDE8451" w14:textId="77777777" w:rsidR="0073334C" w:rsidRPr="005A4FDB" w:rsidRDefault="0073334C" w:rsidP="0073334C">
      <w:pPr>
        <w:spacing w:line="360" w:lineRule="auto"/>
        <w:jc w:val="both"/>
        <w:rPr>
          <w:rFonts w:ascii="David" w:hAnsi="David"/>
          <w:sz w:val="6"/>
          <w:szCs w:val="6"/>
          <w:rtl/>
        </w:rPr>
      </w:pPr>
    </w:p>
    <w:p w14:paraId="6C87075E" w14:textId="77777777" w:rsidR="00FB3229" w:rsidRDefault="0073334C" w:rsidP="00FB3229">
      <w:pPr>
        <w:spacing w:line="360" w:lineRule="auto"/>
        <w:jc w:val="both"/>
        <w:rPr>
          <w:sz w:val="6"/>
          <w:szCs w:val="6"/>
          <w:rtl/>
        </w:rPr>
      </w:pPr>
      <w:r w:rsidRPr="005A4FDB">
        <w:rPr>
          <w:rFonts w:hint="cs"/>
          <w:sz w:val="6"/>
          <w:szCs w:val="6"/>
          <w:rtl/>
        </w:rPr>
        <w:t>&lt;#2#</w:t>
      </w:r>
      <w:bookmarkStart w:id="2" w:name="LawTable"/>
      <w:bookmarkEnd w:id="2"/>
    </w:p>
    <w:p w14:paraId="1332893A" w14:textId="77777777" w:rsidR="00FB3229" w:rsidRPr="00FB3229" w:rsidRDefault="00FB3229" w:rsidP="00FB3229">
      <w:pPr>
        <w:spacing w:after="120" w:line="240" w:lineRule="exact"/>
        <w:ind w:left="283" w:hanging="283"/>
        <w:jc w:val="both"/>
        <w:rPr>
          <w:rFonts w:ascii="FrankRuehl" w:hAnsi="FrankRuehl" w:cs="FrankRuehl"/>
          <w:rtl/>
        </w:rPr>
      </w:pPr>
    </w:p>
    <w:p w14:paraId="14C73517" w14:textId="77777777" w:rsidR="00FB3229" w:rsidRPr="00FB3229" w:rsidRDefault="00FB3229" w:rsidP="00FB3229">
      <w:pPr>
        <w:spacing w:after="120" w:line="240" w:lineRule="exact"/>
        <w:ind w:left="283" w:hanging="283"/>
        <w:jc w:val="both"/>
        <w:rPr>
          <w:rFonts w:ascii="FrankRuehl" w:hAnsi="FrankRuehl" w:cs="FrankRuehl"/>
          <w:rtl/>
        </w:rPr>
      </w:pPr>
      <w:r w:rsidRPr="00FB3229">
        <w:rPr>
          <w:rFonts w:ascii="FrankRuehl" w:hAnsi="FrankRuehl" w:cs="FrankRuehl"/>
          <w:rtl/>
        </w:rPr>
        <w:t xml:space="preserve">חקיקה שאוזכרה: </w:t>
      </w:r>
    </w:p>
    <w:p w14:paraId="394C5D9E" w14:textId="77777777" w:rsidR="00FB3229" w:rsidRPr="00FB3229" w:rsidRDefault="00FB3229" w:rsidP="00FB3229">
      <w:pPr>
        <w:spacing w:after="120" w:line="240" w:lineRule="exact"/>
        <w:ind w:left="283" w:hanging="283"/>
        <w:jc w:val="both"/>
        <w:rPr>
          <w:rFonts w:ascii="FrankRuehl" w:hAnsi="FrankRuehl" w:cs="FrankRuehl"/>
          <w:rtl/>
        </w:rPr>
      </w:pPr>
      <w:hyperlink r:id="rId6" w:history="1">
        <w:r w:rsidRPr="00FB3229">
          <w:rPr>
            <w:rFonts w:ascii="FrankRuehl" w:hAnsi="FrankRuehl" w:cs="FrankRuehl"/>
            <w:color w:val="0000FF"/>
            <w:u w:val="single"/>
            <w:rtl/>
          </w:rPr>
          <w:t>חוק העונשין, תשל"ז-1977</w:t>
        </w:r>
      </w:hyperlink>
      <w:r w:rsidRPr="00FB3229">
        <w:rPr>
          <w:rFonts w:ascii="FrankRuehl" w:hAnsi="FrankRuehl" w:cs="FrankRuehl"/>
          <w:rtl/>
        </w:rPr>
        <w:t xml:space="preserve">: סע'  </w:t>
      </w:r>
      <w:hyperlink r:id="rId7" w:history="1">
        <w:r w:rsidRPr="00FB3229">
          <w:rPr>
            <w:rFonts w:ascii="FrankRuehl" w:hAnsi="FrankRuehl" w:cs="FrankRuehl"/>
            <w:color w:val="0000FF"/>
            <w:u w:val="single"/>
            <w:rtl/>
          </w:rPr>
          <w:t>29</w:t>
        </w:r>
      </w:hyperlink>
      <w:r w:rsidRPr="00FB3229">
        <w:rPr>
          <w:rFonts w:ascii="FrankRuehl" w:hAnsi="FrankRuehl" w:cs="FrankRuehl"/>
          <w:rtl/>
        </w:rPr>
        <w:t xml:space="preserve">, </w:t>
      </w:r>
      <w:hyperlink r:id="rId8" w:history="1">
        <w:r w:rsidRPr="00FB3229">
          <w:rPr>
            <w:rFonts w:ascii="FrankRuehl" w:hAnsi="FrankRuehl" w:cs="FrankRuehl"/>
            <w:color w:val="0000FF"/>
            <w:u w:val="single"/>
            <w:rtl/>
          </w:rPr>
          <w:t>32</w:t>
        </w:r>
      </w:hyperlink>
      <w:r w:rsidRPr="00FB3229">
        <w:rPr>
          <w:rFonts w:ascii="FrankRuehl" w:hAnsi="FrankRuehl" w:cs="FrankRuehl"/>
          <w:rtl/>
        </w:rPr>
        <w:t xml:space="preserve">, </w:t>
      </w:r>
      <w:hyperlink r:id="rId9" w:history="1">
        <w:r w:rsidRPr="00FB3229">
          <w:rPr>
            <w:rFonts w:ascii="FrankRuehl" w:hAnsi="FrankRuehl" w:cs="FrankRuehl"/>
            <w:color w:val="0000FF"/>
            <w:u w:val="single"/>
            <w:rtl/>
          </w:rPr>
          <w:t>40 ב</w:t>
        </w:r>
      </w:hyperlink>
      <w:r w:rsidRPr="00FB3229">
        <w:rPr>
          <w:rFonts w:ascii="FrankRuehl" w:hAnsi="FrankRuehl" w:cs="FrankRuehl"/>
          <w:rtl/>
        </w:rPr>
        <w:t xml:space="preserve">, </w:t>
      </w:r>
      <w:hyperlink r:id="rId10" w:history="1">
        <w:r w:rsidRPr="00FB3229">
          <w:rPr>
            <w:rFonts w:ascii="FrankRuehl" w:hAnsi="FrankRuehl" w:cs="FrankRuehl"/>
            <w:color w:val="0000FF"/>
            <w:u w:val="single"/>
            <w:rtl/>
          </w:rPr>
          <w:t>40 ג</w:t>
        </w:r>
      </w:hyperlink>
      <w:r w:rsidRPr="00FB3229">
        <w:rPr>
          <w:rFonts w:ascii="FrankRuehl" w:hAnsi="FrankRuehl" w:cs="FrankRuehl"/>
          <w:rtl/>
        </w:rPr>
        <w:t xml:space="preserve">, </w:t>
      </w:r>
      <w:hyperlink r:id="rId11" w:history="1">
        <w:r w:rsidRPr="00FB3229">
          <w:rPr>
            <w:rFonts w:ascii="FrankRuehl" w:hAnsi="FrankRuehl" w:cs="FrankRuehl"/>
            <w:color w:val="0000FF"/>
            <w:u w:val="single"/>
            <w:rtl/>
          </w:rPr>
          <w:t>40 ט</w:t>
        </w:r>
      </w:hyperlink>
      <w:r w:rsidRPr="00FB3229">
        <w:rPr>
          <w:rFonts w:ascii="FrankRuehl" w:hAnsi="FrankRuehl" w:cs="FrankRuehl"/>
          <w:rtl/>
        </w:rPr>
        <w:t xml:space="preserve">, </w:t>
      </w:r>
      <w:hyperlink r:id="rId12" w:history="1">
        <w:r w:rsidRPr="00FB3229">
          <w:rPr>
            <w:rFonts w:ascii="FrankRuehl" w:hAnsi="FrankRuehl" w:cs="FrankRuehl"/>
            <w:color w:val="0000FF"/>
            <w:u w:val="single"/>
            <w:rtl/>
          </w:rPr>
          <w:t>144</w:t>
        </w:r>
      </w:hyperlink>
      <w:r w:rsidRPr="00FB3229">
        <w:rPr>
          <w:rFonts w:ascii="FrankRuehl" w:hAnsi="FrankRuehl" w:cs="FrankRuehl"/>
          <w:rtl/>
        </w:rPr>
        <w:t xml:space="preserve">, </w:t>
      </w:r>
      <w:hyperlink r:id="rId13" w:history="1">
        <w:r w:rsidRPr="00FB3229">
          <w:rPr>
            <w:rFonts w:ascii="FrankRuehl" w:hAnsi="FrankRuehl" w:cs="FrankRuehl"/>
            <w:color w:val="0000FF"/>
            <w:u w:val="single"/>
            <w:rtl/>
          </w:rPr>
          <w:t>144(ב)</w:t>
        </w:r>
      </w:hyperlink>
      <w:r w:rsidRPr="00FB3229">
        <w:rPr>
          <w:rFonts w:ascii="FrankRuehl" w:hAnsi="FrankRuehl" w:cs="FrankRuehl"/>
          <w:rtl/>
        </w:rPr>
        <w:t xml:space="preserve">, </w:t>
      </w:r>
      <w:hyperlink r:id="rId14" w:history="1">
        <w:r w:rsidRPr="00FB3229">
          <w:rPr>
            <w:rFonts w:ascii="FrankRuehl" w:hAnsi="FrankRuehl" w:cs="FrankRuehl"/>
            <w:color w:val="0000FF"/>
            <w:u w:val="single"/>
            <w:rtl/>
          </w:rPr>
          <w:t>40 יא</w:t>
        </w:r>
      </w:hyperlink>
    </w:p>
    <w:p w14:paraId="41B03AF5" w14:textId="77777777" w:rsidR="00FB3229" w:rsidRPr="00FB3229" w:rsidRDefault="00FB3229" w:rsidP="00FB3229">
      <w:pPr>
        <w:spacing w:after="120" w:line="240" w:lineRule="exact"/>
        <w:ind w:left="283" w:hanging="283"/>
        <w:jc w:val="both"/>
        <w:rPr>
          <w:rFonts w:ascii="FrankRuehl" w:hAnsi="FrankRuehl" w:cs="FrankRuehl"/>
          <w:rtl/>
        </w:rPr>
      </w:pPr>
    </w:p>
    <w:p w14:paraId="20D2AA90" w14:textId="77777777" w:rsidR="00FB3229" w:rsidRPr="00FB3229" w:rsidRDefault="00FB3229" w:rsidP="00FB3229">
      <w:pPr>
        <w:spacing w:line="360" w:lineRule="auto"/>
        <w:jc w:val="both"/>
        <w:rPr>
          <w:sz w:val="6"/>
          <w:szCs w:val="6"/>
          <w:rtl/>
        </w:rPr>
      </w:pPr>
      <w:bookmarkStart w:id="3" w:name="LawTable_End"/>
      <w:bookmarkEnd w:id="3"/>
    </w:p>
    <w:p w14:paraId="4CE61CD2" w14:textId="77777777" w:rsidR="00FB3229" w:rsidRPr="00FB3229" w:rsidRDefault="00FB3229" w:rsidP="00FB3229">
      <w:pPr>
        <w:spacing w:line="360" w:lineRule="auto"/>
        <w:jc w:val="both"/>
        <w:rPr>
          <w:sz w:val="6"/>
          <w:szCs w:val="6"/>
          <w:rtl/>
        </w:rPr>
      </w:pPr>
    </w:p>
    <w:p w14:paraId="32EC7B35" w14:textId="77777777" w:rsidR="00FB3229" w:rsidRPr="00FB3229" w:rsidRDefault="0073334C" w:rsidP="00FB3229">
      <w:pPr>
        <w:spacing w:line="360" w:lineRule="auto"/>
        <w:jc w:val="both"/>
        <w:rPr>
          <w:rFonts w:ascii="FrankRuehl" w:hAnsi="FrankRuehl" w:cs="FrankRuehl"/>
          <w:rtl/>
        </w:rPr>
      </w:pPr>
      <w:r w:rsidRPr="00FB3229">
        <w:rPr>
          <w:rFonts w:hint="cs"/>
          <w:sz w:val="6"/>
          <w:szCs w:val="6"/>
          <w:rtl/>
        </w:rPr>
        <w:t>&gt;</w:t>
      </w:r>
    </w:p>
    <w:p w14:paraId="353F6EB4" w14:textId="77777777" w:rsidR="00FB3229" w:rsidRPr="00FB3229" w:rsidRDefault="00FB3229" w:rsidP="0073334C">
      <w:pPr>
        <w:spacing w:line="360" w:lineRule="auto"/>
        <w:jc w:val="both"/>
        <w:rPr>
          <w:sz w:val="6"/>
          <w:szCs w:val="6"/>
          <w:rtl/>
        </w:rPr>
      </w:pPr>
    </w:p>
    <w:p w14:paraId="5D86D00C" w14:textId="77777777" w:rsidR="00FB3229" w:rsidRPr="00FB3229" w:rsidRDefault="00FB3229" w:rsidP="0073334C">
      <w:pPr>
        <w:spacing w:line="360" w:lineRule="auto"/>
        <w:jc w:val="both"/>
        <w:rPr>
          <w:sz w:val="6"/>
          <w:szCs w:val="6"/>
          <w:rtl/>
        </w:rPr>
      </w:pPr>
    </w:p>
    <w:p w14:paraId="17E84257" w14:textId="77777777" w:rsidR="0073334C" w:rsidRPr="00FB3229" w:rsidRDefault="0073334C" w:rsidP="0073334C">
      <w:pPr>
        <w:spacing w:line="360" w:lineRule="auto"/>
        <w:jc w:val="both"/>
        <w:rPr>
          <w:sz w:val="6"/>
          <w:szCs w:val="6"/>
          <w:rtl/>
        </w:rPr>
      </w:pPr>
    </w:p>
    <w:p w14:paraId="4445BF40" w14:textId="77777777" w:rsidR="00FB3229" w:rsidRPr="00FB3229" w:rsidRDefault="00FB3229" w:rsidP="0073334C">
      <w:pPr>
        <w:jc w:val="both"/>
        <w:rPr>
          <w:rtl/>
        </w:rPr>
      </w:pPr>
    </w:p>
    <w:p w14:paraId="42C6C434" w14:textId="77777777" w:rsidR="00FB3229" w:rsidRPr="00FB3229" w:rsidRDefault="00FB3229" w:rsidP="0073334C">
      <w:pPr>
        <w:jc w:val="both"/>
        <w:rPr>
          <w:rtl/>
        </w:rPr>
      </w:pPr>
    </w:p>
    <w:p w14:paraId="5E61E371" w14:textId="77777777" w:rsidR="0073334C" w:rsidRPr="00FB3229" w:rsidRDefault="0073334C" w:rsidP="0073334C">
      <w:pPr>
        <w:jc w:val="both"/>
      </w:pPr>
    </w:p>
    <w:p w14:paraId="6C5F5D1C" w14:textId="77777777" w:rsidR="00110756" w:rsidRDefault="00110756" w:rsidP="0073334C">
      <w:pPr>
        <w:jc w:val="both"/>
        <w:rPr>
          <w:rtl/>
        </w:rPr>
      </w:pPr>
    </w:p>
    <w:p w14:paraId="2183ED11" w14:textId="77777777" w:rsidR="00110756" w:rsidRPr="00110756" w:rsidRDefault="00110756" w:rsidP="00110756">
      <w:pPr>
        <w:spacing w:after="120" w:line="240" w:lineRule="exact"/>
        <w:ind w:left="283" w:hanging="283"/>
        <w:jc w:val="both"/>
        <w:rPr>
          <w:rFonts w:ascii="FrankRuehl" w:hAnsi="FrankRuehl" w:cs="FrankRuehl"/>
          <w:rtl/>
        </w:rPr>
      </w:pPr>
    </w:p>
    <w:p w14:paraId="5D2A5C3F" w14:textId="77777777" w:rsidR="00110756" w:rsidRPr="00110756" w:rsidRDefault="00110756" w:rsidP="00110756">
      <w:pPr>
        <w:spacing w:after="120" w:line="240" w:lineRule="exact"/>
        <w:ind w:left="283" w:hanging="283"/>
        <w:jc w:val="both"/>
        <w:rPr>
          <w:rFonts w:ascii="FrankRuehl" w:hAnsi="FrankRuehl" w:cs="FrankRuehl"/>
          <w:rtl/>
        </w:rPr>
      </w:pPr>
      <w:r w:rsidRPr="00110756">
        <w:rPr>
          <w:rFonts w:ascii="FrankRuehl" w:hAnsi="FrankRuehl" w:cs="FrankRuehl"/>
          <w:rtl/>
        </w:rPr>
        <w:t xml:space="preserve">חקיקה שאוזכרה: </w:t>
      </w:r>
    </w:p>
    <w:p w14:paraId="3D21CA22" w14:textId="77777777" w:rsidR="00110756" w:rsidRPr="00110756" w:rsidRDefault="00110756" w:rsidP="00110756">
      <w:pPr>
        <w:spacing w:after="120" w:line="240" w:lineRule="exact"/>
        <w:ind w:left="283" w:hanging="283"/>
        <w:jc w:val="both"/>
        <w:rPr>
          <w:rFonts w:ascii="FrankRuehl" w:hAnsi="FrankRuehl" w:cs="FrankRuehl"/>
          <w:rtl/>
        </w:rPr>
      </w:pPr>
      <w:hyperlink r:id="rId15" w:history="1">
        <w:r w:rsidRPr="00110756">
          <w:rPr>
            <w:rFonts w:ascii="FrankRuehl" w:hAnsi="FrankRuehl" w:cs="FrankRuehl"/>
            <w:color w:val="0000FF"/>
            <w:u w:val="single"/>
            <w:rtl/>
          </w:rPr>
          <w:t>חוק העונשין, תשל"ז-1977</w:t>
        </w:r>
      </w:hyperlink>
      <w:r w:rsidRPr="00110756">
        <w:rPr>
          <w:rFonts w:ascii="FrankRuehl" w:hAnsi="FrankRuehl" w:cs="FrankRuehl"/>
          <w:rtl/>
        </w:rPr>
        <w:t xml:space="preserve">: סע'  </w:t>
      </w:r>
      <w:hyperlink r:id="rId16" w:history="1">
        <w:r w:rsidRPr="00110756">
          <w:rPr>
            <w:rFonts w:ascii="FrankRuehl" w:hAnsi="FrankRuehl" w:cs="FrankRuehl"/>
            <w:color w:val="0000FF"/>
            <w:u w:val="single"/>
            <w:rtl/>
          </w:rPr>
          <w:t>29</w:t>
        </w:r>
      </w:hyperlink>
      <w:r w:rsidRPr="00110756">
        <w:rPr>
          <w:rFonts w:ascii="FrankRuehl" w:hAnsi="FrankRuehl" w:cs="FrankRuehl"/>
          <w:rtl/>
        </w:rPr>
        <w:t xml:space="preserve">, </w:t>
      </w:r>
      <w:hyperlink r:id="rId17" w:history="1">
        <w:r w:rsidRPr="00110756">
          <w:rPr>
            <w:rFonts w:ascii="FrankRuehl" w:hAnsi="FrankRuehl" w:cs="FrankRuehl"/>
            <w:color w:val="0000FF"/>
            <w:u w:val="single"/>
            <w:rtl/>
          </w:rPr>
          <w:t>32</w:t>
        </w:r>
      </w:hyperlink>
      <w:r w:rsidRPr="00110756">
        <w:rPr>
          <w:rFonts w:ascii="FrankRuehl" w:hAnsi="FrankRuehl" w:cs="FrankRuehl"/>
          <w:rtl/>
        </w:rPr>
        <w:t xml:space="preserve">, </w:t>
      </w:r>
      <w:hyperlink r:id="rId18" w:history="1">
        <w:r w:rsidRPr="00110756">
          <w:rPr>
            <w:rFonts w:ascii="FrankRuehl" w:hAnsi="FrankRuehl" w:cs="FrankRuehl"/>
            <w:color w:val="0000FF"/>
            <w:u w:val="single"/>
            <w:rtl/>
          </w:rPr>
          <w:t>40 ב</w:t>
        </w:r>
      </w:hyperlink>
      <w:r w:rsidRPr="00110756">
        <w:rPr>
          <w:rFonts w:ascii="FrankRuehl" w:hAnsi="FrankRuehl" w:cs="FrankRuehl"/>
          <w:rtl/>
        </w:rPr>
        <w:t xml:space="preserve">, </w:t>
      </w:r>
      <w:hyperlink r:id="rId19" w:history="1">
        <w:r w:rsidRPr="00110756">
          <w:rPr>
            <w:rFonts w:ascii="FrankRuehl" w:hAnsi="FrankRuehl" w:cs="FrankRuehl"/>
            <w:color w:val="0000FF"/>
            <w:u w:val="single"/>
            <w:rtl/>
          </w:rPr>
          <w:t>40 ג</w:t>
        </w:r>
      </w:hyperlink>
      <w:r w:rsidRPr="00110756">
        <w:rPr>
          <w:rFonts w:ascii="FrankRuehl" w:hAnsi="FrankRuehl" w:cs="FrankRuehl"/>
          <w:rtl/>
        </w:rPr>
        <w:t xml:space="preserve">, </w:t>
      </w:r>
      <w:hyperlink r:id="rId20" w:history="1">
        <w:r w:rsidRPr="00110756">
          <w:rPr>
            <w:rFonts w:ascii="FrankRuehl" w:hAnsi="FrankRuehl" w:cs="FrankRuehl"/>
            <w:color w:val="0000FF"/>
            <w:u w:val="single"/>
            <w:rtl/>
          </w:rPr>
          <w:t>40 ט</w:t>
        </w:r>
      </w:hyperlink>
      <w:r w:rsidRPr="00110756">
        <w:rPr>
          <w:rFonts w:ascii="FrankRuehl" w:hAnsi="FrankRuehl" w:cs="FrankRuehl"/>
          <w:rtl/>
        </w:rPr>
        <w:t xml:space="preserve">, </w:t>
      </w:r>
      <w:hyperlink r:id="rId21" w:history="1">
        <w:r w:rsidRPr="00110756">
          <w:rPr>
            <w:rFonts w:ascii="FrankRuehl" w:hAnsi="FrankRuehl" w:cs="FrankRuehl"/>
            <w:color w:val="0000FF"/>
            <w:u w:val="single"/>
            <w:rtl/>
          </w:rPr>
          <w:t>144</w:t>
        </w:r>
      </w:hyperlink>
      <w:r w:rsidRPr="00110756">
        <w:rPr>
          <w:rFonts w:ascii="FrankRuehl" w:hAnsi="FrankRuehl" w:cs="FrankRuehl"/>
          <w:rtl/>
        </w:rPr>
        <w:t xml:space="preserve">, </w:t>
      </w:r>
      <w:hyperlink r:id="rId22" w:history="1">
        <w:r w:rsidRPr="00110756">
          <w:rPr>
            <w:rFonts w:ascii="FrankRuehl" w:hAnsi="FrankRuehl" w:cs="FrankRuehl"/>
            <w:color w:val="0000FF"/>
            <w:u w:val="single"/>
            <w:rtl/>
          </w:rPr>
          <w:t>144(ב)</w:t>
        </w:r>
      </w:hyperlink>
      <w:r w:rsidRPr="00110756">
        <w:rPr>
          <w:rFonts w:ascii="FrankRuehl" w:hAnsi="FrankRuehl" w:cs="FrankRuehl"/>
          <w:rtl/>
        </w:rPr>
        <w:t xml:space="preserve">, </w:t>
      </w:r>
      <w:hyperlink r:id="rId23" w:history="1">
        <w:r w:rsidRPr="00110756">
          <w:rPr>
            <w:rFonts w:ascii="FrankRuehl" w:hAnsi="FrankRuehl" w:cs="FrankRuehl"/>
            <w:color w:val="0000FF"/>
            <w:u w:val="single"/>
            <w:rtl/>
          </w:rPr>
          <w:t>40 יא</w:t>
        </w:r>
      </w:hyperlink>
    </w:p>
    <w:p w14:paraId="54544DBF" w14:textId="77777777" w:rsidR="005A4FDB" w:rsidRPr="005A4FDB" w:rsidRDefault="005A4FDB" w:rsidP="0073334C">
      <w:pPr>
        <w:jc w:val="both"/>
        <w:rPr>
          <w:rFonts w:ascii="Arial" w:hAnsi="Arial"/>
          <w:rtl/>
        </w:rPr>
      </w:pPr>
    </w:p>
    <w:p w14:paraId="41377898" w14:textId="77777777" w:rsidR="0073334C" w:rsidRPr="005A4FDB" w:rsidRDefault="0073334C" w:rsidP="0073334C">
      <w:pPr>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334C" w14:paraId="63A467F7" w14:textId="77777777" w:rsidTr="005A4FDB">
        <w:trPr>
          <w:trHeight w:val="355"/>
          <w:jc w:val="center"/>
        </w:trPr>
        <w:tc>
          <w:tcPr>
            <w:tcW w:w="8820" w:type="dxa"/>
            <w:tcBorders>
              <w:top w:val="nil"/>
              <w:left w:val="nil"/>
              <w:bottom w:val="nil"/>
              <w:right w:val="nil"/>
            </w:tcBorders>
            <w:shd w:val="clear" w:color="auto" w:fill="auto"/>
          </w:tcPr>
          <w:p w14:paraId="081A41C1" w14:textId="77777777" w:rsidR="005A4FDB" w:rsidRPr="005A4FDB" w:rsidRDefault="005A4FDB" w:rsidP="005A4FDB">
            <w:pPr>
              <w:ind w:left="3600"/>
              <w:jc w:val="center"/>
              <w:rPr>
                <w:rFonts w:ascii="Arial" w:hAnsi="Arial" w:cs="FrankRuehl"/>
                <w:b/>
                <w:bCs/>
                <w:sz w:val="32"/>
                <w:szCs w:val="32"/>
                <w:u w:val="single"/>
                <w:rtl/>
              </w:rPr>
            </w:pPr>
            <w:bookmarkStart w:id="4" w:name="PsakDin" w:colFirst="0" w:colLast="0"/>
            <w:bookmarkEnd w:id="0"/>
            <w:r w:rsidRPr="005A4FDB">
              <w:rPr>
                <w:rFonts w:ascii="Arial" w:hAnsi="Arial" w:cs="FrankRuehl"/>
                <w:b/>
                <w:bCs/>
                <w:sz w:val="32"/>
                <w:szCs w:val="32"/>
                <w:u w:val="single"/>
                <w:rtl/>
              </w:rPr>
              <w:t>גזר דין</w:t>
            </w:r>
          </w:p>
          <w:p w14:paraId="7259371E" w14:textId="77777777" w:rsidR="0073334C" w:rsidRPr="005A4FDB" w:rsidRDefault="0073334C" w:rsidP="005A4FDB">
            <w:pPr>
              <w:ind w:left="3600"/>
              <w:jc w:val="center"/>
              <w:rPr>
                <w:rFonts w:ascii="Arial" w:hAnsi="Arial" w:cs="FrankRuehl"/>
                <w:bCs/>
                <w:sz w:val="32"/>
                <w:szCs w:val="32"/>
                <w:u w:val="single"/>
                <w:rtl/>
              </w:rPr>
            </w:pPr>
          </w:p>
        </w:tc>
      </w:tr>
      <w:bookmarkEnd w:id="4"/>
    </w:tbl>
    <w:p w14:paraId="3535687D" w14:textId="77777777" w:rsidR="0073334C" w:rsidRPr="00B05847" w:rsidRDefault="0073334C" w:rsidP="0073334C">
      <w:pPr>
        <w:jc w:val="both"/>
        <w:rPr>
          <w:rFonts w:ascii="Arial" w:hAnsi="Arial"/>
          <w:rtl/>
        </w:rPr>
      </w:pPr>
    </w:p>
    <w:p w14:paraId="5CF6639E" w14:textId="77777777" w:rsidR="0073334C" w:rsidRPr="00B05847" w:rsidRDefault="0073334C" w:rsidP="0073334C">
      <w:pPr>
        <w:jc w:val="both"/>
        <w:rPr>
          <w:rFonts w:ascii="Arial" w:hAnsi="Arial"/>
          <w:rtl/>
        </w:rPr>
      </w:pPr>
    </w:p>
    <w:p w14:paraId="735886ED" w14:textId="77777777" w:rsidR="0073334C" w:rsidRPr="00B05847" w:rsidRDefault="0073334C" w:rsidP="0073334C">
      <w:pPr>
        <w:jc w:val="both"/>
        <w:rPr>
          <w:rtl/>
        </w:rPr>
      </w:pPr>
    </w:p>
    <w:p w14:paraId="263D2CD5" w14:textId="77777777" w:rsidR="0073334C" w:rsidRPr="00B05847" w:rsidRDefault="0073334C" w:rsidP="0073334C">
      <w:pPr>
        <w:jc w:val="both"/>
        <w:rPr>
          <w:rtl/>
        </w:rPr>
      </w:pPr>
    </w:p>
    <w:p w14:paraId="13EDAF3D" w14:textId="77777777" w:rsidR="0073334C" w:rsidRDefault="0073334C" w:rsidP="0073334C">
      <w:pPr>
        <w:spacing w:line="360" w:lineRule="auto"/>
        <w:jc w:val="both"/>
        <w:rPr>
          <w:rtl/>
        </w:rPr>
      </w:pPr>
      <w:r>
        <w:rPr>
          <w:rFonts w:hint="cs"/>
          <w:rtl/>
        </w:rPr>
        <w:t>1.</w:t>
      </w:r>
      <w:r>
        <w:rPr>
          <w:rFonts w:hint="cs"/>
          <w:rtl/>
        </w:rPr>
        <w:tab/>
      </w:r>
      <w:bookmarkStart w:id="5" w:name="ABSTRACT_START"/>
      <w:bookmarkEnd w:id="5"/>
      <w:r w:rsidRPr="004936D6">
        <w:rPr>
          <w:rtl/>
        </w:rPr>
        <w:t xml:space="preserve">בהכרעת הדין, שניתנה ביום </w:t>
      </w:r>
      <w:r>
        <w:rPr>
          <w:rFonts w:hint="cs"/>
          <w:rtl/>
        </w:rPr>
        <w:t>06.10.16</w:t>
      </w:r>
      <w:r w:rsidRPr="004936D6">
        <w:rPr>
          <w:rtl/>
        </w:rPr>
        <w:t xml:space="preserve">, הורשע הנאשם בתיק זה, לאחר שהודה בעובדות כתב האישום </w:t>
      </w:r>
      <w:r>
        <w:rPr>
          <w:rFonts w:hint="cs"/>
          <w:rtl/>
        </w:rPr>
        <w:t>ש</w:t>
      </w:r>
      <w:r w:rsidRPr="004936D6">
        <w:rPr>
          <w:rtl/>
        </w:rPr>
        <w:t xml:space="preserve">תוקן, </w:t>
      </w:r>
      <w:r>
        <w:rPr>
          <w:rFonts w:hint="cs"/>
          <w:rtl/>
        </w:rPr>
        <w:t xml:space="preserve">במסגרת הסדר טיעון (שלא כלל הסכמה לעניין העונש), </w:t>
      </w:r>
      <w:r w:rsidRPr="004936D6">
        <w:rPr>
          <w:rtl/>
        </w:rPr>
        <w:t xml:space="preserve">בביצוע </w:t>
      </w:r>
      <w:r>
        <w:rPr>
          <w:rFonts w:hint="cs"/>
          <w:rtl/>
        </w:rPr>
        <w:t>ה</w:t>
      </w:r>
      <w:r w:rsidRPr="004936D6">
        <w:rPr>
          <w:rtl/>
        </w:rPr>
        <w:t xml:space="preserve">עבירה של הובלה ונשיאה של נשק, </w:t>
      </w:r>
      <w:r>
        <w:rPr>
          <w:rFonts w:hint="cs"/>
          <w:rtl/>
        </w:rPr>
        <w:t xml:space="preserve">בצוותא חדא, עבירה </w:t>
      </w:r>
      <w:r w:rsidRPr="004936D6">
        <w:rPr>
          <w:rtl/>
        </w:rPr>
        <w:t xml:space="preserve">לפי </w:t>
      </w:r>
      <w:hyperlink r:id="rId24" w:history="1">
        <w:r w:rsidR="00110756" w:rsidRPr="00110756">
          <w:rPr>
            <w:color w:val="0000FF"/>
            <w:u w:val="single"/>
            <w:rtl/>
          </w:rPr>
          <w:t>סעיף 144(ב)</w:t>
        </w:r>
      </w:hyperlink>
      <w:r>
        <w:rPr>
          <w:rFonts w:hint="cs"/>
          <w:rtl/>
        </w:rPr>
        <w:t xml:space="preserve"> </w:t>
      </w:r>
      <w:r w:rsidRPr="004936D6">
        <w:rPr>
          <w:rtl/>
        </w:rPr>
        <w:t>רישא וסיפא</w:t>
      </w:r>
      <w:r>
        <w:rPr>
          <w:rFonts w:hint="cs"/>
          <w:rtl/>
        </w:rPr>
        <w:t xml:space="preserve"> ביחד עם </w:t>
      </w:r>
      <w:hyperlink r:id="rId25" w:history="1">
        <w:r w:rsidR="00110756" w:rsidRPr="00110756">
          <w:rPr>
            <w:color w:val="0000FF"/>
            <w:u w:val="single"/>
            <w:rtl/>
          </w:rPr>
          <w:t>סעיף 29</w:t>
        </w:r>
      </w:hyperlink>
      <w:r w:rsidRPr="004936D6">
        <w:rPr>
          <w:rtl/>
        </w:rPr>
        <w:t xml:space="preserve"> ל</w:t>
      </w:r>
      <w:hyperlink r:id="rId26" w:history="1">
        <w:r w:rsidR="005A4FDB" w:rsidRPr="005A4FDB">
          <w:rPr>
            <w:color w:val="0000FF"/>
            <w:u w:val="single"/>
            <w:rtl/>
          </w:rPr>
          <w:t>חוק העונשין</w:t>
        </w:r>
      </w:hyperlink>
      <w:r>
        <w:rPr>
          <w:rtl/>
        </w:rPr>
        <w:t xml:space="preserve">, התשל"ז- 1977 (להלן: </w:t>
      </w:r>
      <w:r w:rsidRPr="007576D4">
        <w:rPr>
          <w:rFonts w:cs="Miriam"/>
          <w:rtl/>
        </w:rPr>
        <w:t>חוק העונשין</w:t>
      </w:r>
      <w:r w:rsidRPr="004936D6">
        <w:rPr>
          <w:rtl/>
        </w:rPr>
        <w:t>)</w:t>
      </w:r>
      <w:r>
        <w:rPr>
          <w:rFonts w:hint="cs"/>
          <w:rtl/>
        </w:rPr>
        <w:t>.</w:t>
      </w:r>
    </w:p>
    <w:p w14:paraId="2068720E" w14:textId="77777777" w:rsidR="0073334C" w:rsidRDefault="0073334C" w:rsidP="0073334C">
      <w:pPr>
        <w:spacing w:line="360" w:lineRule="auto"/>
        <w:jc w:val="both"/>
        <w:rPr>
          <w:rtl/>
        </w:rPr>
      </w:pPr>
      <w:bookmarkStart w:id="6" w:name="ABSTRACT_END"/>
      <w:bookmarkEnd w:id="6"/>
    </w:p>
    <w:p w14:paraId="61EC5415" w14:textId="77777777" w:rsidR="0073334C" w:rsidRPr="004936D6" w:rsidRDefault="0073334C" w:rsidP="0073334C">
      <w:pPr>
        <w:shd w:val="clear" w:color="auto" w:fill="FFFFFF"/>
        <w:spacing w:line="360" w:lineRule="auto"/>
        <w:ind w:hanging="141"/>
        <w:jc w:val="both"/>
        <w:rPr>
          <w:rtl/>
        </w:rPr>
      </w:pPr>
      <w:r>
        <w:rPr>
          <w:rtl/>
        </w:rPr>
        <w:lastRenderedPageBreak/>
        <w:tab/>
      </w:r>
      <w:r>
        <w:rPr>
          <w:rFonts w:hint="cs"/>
          <w:rtl/>
        </w:rPr>
        <w:t>2.</w:t>
      </w:r>
      <w:r>
        <w:rPr>
          <w:rtl/>
        </w:rPr>
        <w:tab/>
      </w:r>
      <w:r w:rsidRPr="004936D6">
        <w:rPr>
          <w:rtl/>
        </w:rPr>
        <w:t>לאחר מתן הכרעת הדין</w:t>
      </w:r>
      <w:r>
        <w:rPr>
          <w:rFonts w:hint="cs"/>
          <w:rtl/>
        </w:rPr>
        <w:t xml:space="preserve"> ולבקשת ההגנה</w:t>
      </w:r>
      <w:r w:rsidRPr="004936D6">
        <w:rPr>
          <w:rtl/>
        </w:rPr>
        <w:t>, נדח</w:t>
      </w:r>
      <w:r>
        <w:rPr>
          <w:rFonts w:hint="cs"/>
          <w:rtl/>
        </w:rPr>
        <w:t>ה</w:t>
      </w:r>
      <w:r w:rsidRPr="004936D6">
        <w:rPr>
          <w:rtl/>
        </w:rPr>
        <w:t xml:space="preserve"> הדיו</w:t>
      </w:r>
      <w:r>
        <w:rPr>
          <w:rFonts w:hint="cs"/>
          <w:rtl/>
        </w:rPr>
        <w:t>ן</w:t>
      </w:r>
      <w:r w:rsidRPr="004936D6">
        <w:rPr>
          <w:rtl/>
        </w:rPr>
        <w:t xml:space="preserve"> בפניי לצורך הגשת תסקיר שירות המבחן בעניינו של הנאשם. כעת, לאחר שהוגש התסקיר הנ"ל וב"כ הצדדים העלו את טיעוניהם לעונש, כל שנותר הוא לגזור את דינו של הנאשם. </w:t>
      </w:r>
    </w:p>
    <w:p w14:paraId="42629108" w14:textId="77777777" w:rsidR="0073334C" w:rsidRPr="004936D6" w:rsidRDefault="0073334C" w:rsidP="0073334C">
      <w:pPr>
        <w:spacing w:line="360" w:lineRule="auto"/>
        <w:jc w:val="both"/>
        <w:rPr>
          <w:rtl/>
        </w:rPr>
      </w:pPr>
    </w:p>
    <w:p w14:paraId="5A62ACDB" w14:textId="77777777" w:rsidR="0073334C" w:rsidRPr="00305D07" w:rsidRDefault="0073334C" w:rsidP="0073334C">
      <w:pPr>
        <w:spacing w:line="360" w:lineRule="auto"/>
        <w:jc w:val="both"/>
        <w:rPr>
          <w:rFonts w:cs="Miriam"/>
          <w:rtl/>
        </w:rPr>
      </w:pPr>
      <w:r w:rsidRPr="00305D07">
        <w:rPr>
          <w:rFonts w:cs="Miriam"/>
          <w:rtl/>
        </w:rPr>
        <w:t>כתב האישום המתוקן</w:t>
      </w:r>
    </w:p>
    <w:p w14:paraId="168E3C4E" w14:textId="77777777" w:rsidR="0073334C" w:rsidRDefault="0073334C" w:rsidP="0073334C">
      <w:pPr>
        <w:spacing w:line="360" w:lineRule="auto"/>
        <w:jc w:val="both"/>
        <w:rPr>
          <w:rtl/>
        </w:rPr>
      </w:pPr>
      <w:r w:rsidRPr="004936D6">
        <w:rPr>
          <w:rtl/>
        </w:rPr>
        <w:t>3.</w:t>
      </w:r>
      <w:r w:rsidRPr="004936D6">
        <w:rPr>
          <w:rtl/>
        </w:rPr>
        <w:tab/>
        <w:t xml:space="preserve">בעובדות כתב האישום המתוקן </w:t>
      </w:r>
      <w:r>
        <w:rPr>
          <w:rFonts w:hint="cs"/>
          <w:rtl/>
        </w:rPr>
        <w:t xml:space="preserve">(להלן גם : </w:t>
      </w:r>
      <w:r w:rsidRPr="00D915BD">
        <w:rPr>
          <w:rFonts w:cs="Miriam" w:hint="cs"/>
          <w:rtl/>
        </w:rPr>
        <w:t>כתב האישום</w:t>
      </w:r>
      <w:r>
        <w:rPr>
          <w:rFonts w:hint="cs"/>
          <w:rtl/>
        </w:rPr>
        <w:t xml:space="preserve">) </w:t>
      </w:r>
      <w:r w:rsidRPr="004936D6">
        <w:rPr>
          <w:rtl/>
        </w:rPr>
        <w:t>נטען, כדלקמן:</w:t>
      </w:r>
      <w:r>
        <w:rPr>
          <w:rFonts w:hint="cs"/>
          <w:rtl/>
        </w:rPr>
        <w:t xml:space="preserve"> ביום 29.6.16, סמוך לשעה 00:40, נסע הנאשם יחד עם מהראן בוקאעי (להלן: </w:t>
      </w:r>
      <w:r w:rsidRPr="00D3487F">
        <w:rPr>
          <w:rFonts w:cs="Miriam" w:hint="cs"/>
          <w:rtl/>
        </w:rPr>
        <w:t>מהראן</w:t>
      </w:r>
      <w:r>
        <w:rPr>
          <w:rFonts w:hint="cs"/>
          <w:rtl/>
        </w:rPr>
        <w:t xml:space="preserve">) ומהדי סאמר ברכב מסוג מרצדס, בכביש 79, מכיוון צומת סומך לכיוון ביר אל מכסור (להלן: </w:t>
      </w:r>
      <w:r w:rsidRPr="007576D4">
        <w:rPr>
          <w:rFonts w:cs="Miriam" w:hint="cs"/>
          <w:rtl/>
        </w:rPr>
        <w:t>הנסיעה</w:t>
      </w:r>
      <w:r>
        <w:rPr>
          <w:rFonts w:hint="cs"/>
          <w:rtl/>
        </w:rPr>
        <w:t xml:space="preserve">). במהלך הנסיעה ברכב, נסע והוביל הנאשם , בצוותא חדא עם מהראן,  אקדח חצי אוטומטי מסוג טקטיקל האלק, קליבר 7.65 שמספרו 196693 (להלן: </w:t>
      </w:r>
      <w:r w:rsidRPr="00D3487F">
        <w:rPr>
          <w:rFonts w:cs="Miriam" w:hint="cs"/>
          <w:rtl/>
        </w:rPr>
        <w:t>הנשק</w:t>
      </w:r>
      <w:r>
        <w:rPr>
          <w:rFonts w:hint="cs"/>
          <w:rtl/>
        </w:rPr>
        <w:t>) וכן מחסנית. הנשק הינו כלי שסוגל לירות כדור שבכוחו להמית אדם.</w:t>
      </w:r>
    </w:p>
    <w:p w14:paraId="69AC41A4" w14:textId="77777777" w:rsidR="0073334C" w:rsidRDefault="0073334C" w:rsidP="0073334C">
      <w:pPr>
        <w:spacing w:line="360" w:lineRule="auto"/>
        <w:jc w:val="both"/>
        <w:rPr>
          <w:rtl/>
        </w:rPr>
      </w:pPr>
    </w:p>
    <w:p w14:paraId="105F3175" w14:textId="77777777" w:rsidR="0073334C" w:rsidRDefault="0073334C" w:rsidP="0073334C">
      <w:pPr>
        <w:spacing w:line="360" w:lineRule="auto"/>
        <w:jc w:val="both"/>
        <w:rPr>
          <w:rFonts w:cs="Miriam"/>
          <w:rtl/>
        </w:rPr>
      </w:pPr>
      <w:r>
        <w:rPr>
          <w:rFonts w:cs="Miriam" w:hint="cs"/>
          <w:rtl/>
        </w:rPr>
        <w:t>תסקיר שירות המבחן</w:t>
      </w:r>
    </w:p>
    <w:p w14:paraId="2EF9192A" w14:textId="77777777" w:rsidR="0073334C" w:rsidRDefault="0073334C" w:rsidP="0073334C">
      <w:pPr>
        <w:spacing w:line="360" w:lineRule="auto"/>
        <w:jc w:val="both"/>
        <w:rPr>
          <w:rtl/>
        </w:rPr>
      </w:pPr>
      <w:r>
        <w:rPr>
          <w:rFonts w:hint="cs"/>
          <w:rtl/>
        </w:rPr>
        <w:t>4.</w:t>
      </w:r>
      <w:r>
        <w:rPr>
          <w:rFonts w:hint="cs"/>
          <w:rtl/>
        </w:rPr>
        <w:tab/>
        <w:t xml:space="preserve"> מתסקיר שירות המבחן שהוגש עולה כי, הנאשם נתון במעצר  מיום 29.6.16 ובמקביל, מרצה עונש מאסר בן 8 חודשים שהושת עליו במסגרת תיק אחר</w:t>
      </w:r>
      <w:r w:rsidRPr="00251C33">
        <w:rPr>
          <w:rtl/>
        </w:rPr>
        <w:t xml:space="preserve"> בגין הרשע</w:t>
      </w:r>
      <w:r>
        <w:rPr>
          <w:rFonts w:hint="cs"/>
          <w:rtl/>
        </w:rPr>
        <w:t>ה</w:t>
      </w:r>
      <w:r w:rsidRPr="00251C33">
        <w:rPr>
          <w:rtl/>
        </w:rPr>
        <w:t xml:space="preserve"> בעבירת אלימות כלפי שוטרים שביצע בשנת 2012. </w:t>
      </w:r>
      <w:r>
        <w:rPr>
          <w:rFonts w:hint="cs"/>
          <w:rtl/>
        </w:rPr>
        <w:t xml:space="preserve">טרם מעצרו התגורר הנאשם עם אמו ועבד בתחום עבודות העפר. </w:t>
      </w:r>
    </w:p>
    <w:p w14:paraId="25473AEC" w14:textId="77777777" w:rsidR="0073334C" w:rsidRDefault="0073334C" w:rsidP="0073334C">
      <w:pPr>
        <w:spacing w:line="360" w:lineRule="auto"/>
        <w:jc w:val="both"/>
        <w:rPr>
          <w:rtl/>
        </w:rPr>
      </w:pPr>
    </w:p>
    <w:p w14:paraId="38AC4155" w14:textId="77777777" w:rsidR="0073334C" w:rsidRDefault="0073334C" w:rsidP="0073334C">
      <w:pPr>
        <w:spacing w:line="360" w:lineRule="auto"/>
        <w:jc w:val="both"/>
        <w:rPr>
          <w:rtl/>
        </w:rPr>
      </w:pPr>
      <w:r>
        <w:rPr>
          <w:rFonts w:hint="cs"/>
          <w:rtl/>
        </w:rPr>
        <w:t>5.</w:t>
      </w:r>
      <w:r>
        <w:rPr>
          <w:rFonts w:hint="cs"/>
          <w:rtl/>
        </w:rPr>
        <w:tab/>
        <w:t>שירות המבחן התרשם  כי הנאשם גדל בקונסטלציה משפחתית מורכבת, בהיותו מי שהיווה לאורך השנים  מושא להטלת אשמה בכל ההתרחשויות השליליות בבית, וכפועל יוצא מכך, ספג ביקורת והשפלות מצדו של אביו.</w:t>
      </w:r>
    </w:p>
    <w:p w14:paraId="43532C4D" w14:textId="77777777" w:rsidR="0073334C" w:rsidRDefault="0073334C" w:rsidP="0073334C">
      <w:pPr>
        <w:spacing w:line="360" w:lineRule="auto"/>
        <w:jc w:val="both"/>
        <w:rPr>
          <w:rtl/>
        </w:rPr>
      </w:pPr>
    </w:p>
    <w:p w14:paraId="68D75851" w14:textId="77777777" w:rsidR="0073334C" w:rsidRDefault="0073334C" w:rsidP="0073334C">
      <w:pPr>
        <w:spacing w:line="360" w:lineRule="auto"/>
        <w:jc w:val="both"/>
        <w:rPr>
          <w:rtl/>
        </w:rPr>
      </w:pPr>
      <w:r>
        <w:rPr>
          <w:rFonts w:hint="cs"/>
          <w:rtl/>
        </w:rPr>
        <w:t>6.</w:t>
      </w:r>
      <w:r>
        <w:rPr>
          <w:rFonts w:hint="cs"/>
          <w:rtl/>
        </w:rPr>
        <w:tab/>
        <w:t>הנאשם הסביר לשירות המבחן  כי הנשק והתחמושת הגיעו לידיו באופן מקרי. הנאשם הטעים בנקודה זו, כי בדרכו לבקר חבר המתגורר מרחק הליכה מביתו, הבחין בשקית בשולי הכביש ובתוכה היו הנשק והתחמושת. הנאשם הוסיף וטען בפני שירות המבחן, כי נטל את הנשק והתחמושת עת שחשב כי מדובר בצעצוע, אך בהמשך התברר לו כי המדובר בנשק אמיתי. הנאשם שלל בפני שירות המבחן כל כוונה להשתמש בנשק או להעבירו לידי אחרים, וכמו כן הכחיש קיומם של סכסוכים בסביבתו.</w:t>
      </w:r>
    </w:p>
    <w:p w14:paraId="28640D2B" w14:textId="77777777" w:rsidR="0073334C" w:rsidRDefault="0073334C" w:rsidP="0073334C">
      <w:pPr>
        <w:spacing w:line="360" w:lineRule="auto"/>
        <w:jc w:val="both"/>
        <w:rPr>
          <w:rtl/>
        </w:rPr>
      </w:pPr>
    </w:p>
    <w:p w14:paraId="2159FA1F" w14:textId="77777777" w:rsidR="0073334C" w:rsidRDefault="0073334C" w:rsidP="0073334C">
      <w:pPr>
        <w:spacing w:line="360" w:lineRule="auto"/>
        <w:jc w:val="both"/>
        <w:rPr>
          <w:rtl/>
        </w:rPr>
      </w:pPr>
      <w:r>
        <w:rPr>
          <w:rFonts w:hint="cs"/>
          <w:rtl/>
        </w:rPr>
        <w:t>7.</w:t>
      </w:r>
      <w:r>
        <w:rPr>
          <w:rFonts w:hint="cs"/>
          <w:rtl/>
        </w:rPr>
        <w:tab/>
        <w:t xml:space="preserve">שירות המבחן התרשם, כי הנאשם אינו מכיר באחריות לביצוע העבירה וכי הוא מתנהל באופן מניפולטיבי. שירות המבחן העריך, כי הנאשם אינו מודע להשלכות מעשיו וממוקד בעצמו ובצרכיו. בבואו להעריך את הסיכון להישנות עבירות בעתיד ע"י הנאשם ואת סיכויי השיקום שלו, ציין שירות המבחן כי הוא מתרשם שלנאשם קושי בהצבת גבולות ודחיית סיפוקים. שירות המבחן הוסיף וציין, כי נראה שקיימים אצל הנאשם חסכים רגשיים עמוקים, תחושת חוסר אמון בסיסית וזהות עצמית בלתי מגובשת. </w:t>
      </w:r>
    </w:p>
    <w:p w14:paraId="13DD4664" w14:textId="77777777" w:rsidR="0073334C" w:rsidRDefault="0073334C" w:rsidP="0073334C">
      <w:pPr>
        <w:spacing w:line="360" w:lineRule="auto"/>
        <w:jc w:val="both"/>
        <w:rPr>
          <w:rtl/>
        </w:rPr>
      </w:pPr>
    </w:p>
    <w:p w14:paraId="2AE2169D" w14:textId="77777777" w:rsidR="0073334C" w:rsidRDefault="0073334C" w:rsidP="0073334C">
      <w:pPr>
        <w:spacing w:line="360" w:lineRule="auto"/>
        <w:jc w:val="both"/>
        <w:rPr>
          <w:rtl/>
        </w:rPr>
      </w:pPr>
      <w:r>
        <w:rPr>
          <w:rFonts w:hint="cs"/>
          <w:rtl/>
        </w:rPr>
        <w:lastRenderedPageBreak/>
        <w:t>8.</w:t>
      </w:r>
      <w:r>
        <w:rPr>
          <w:rFonts w:hint="cs"/>
          <w:rtl/>
        </w:rPr>
        <w:tab/>
        <w:t>נוכח התרשמותו של שירות המבחן ממאפייני אישיותו של הנאשם ומהדרך בה התנהל עד כה, סבור שירות המבחן כי קיים סיכוי גבוה למעורבותו שוב של הנאשם בביצוע עבירות בעתיד. לפיכך, ובהעדר רצון מצד הנאשם להשתלב במסגרת טיפולית, נמנע שירות המבחן מלבוא בהמלצה טיפולית בעניינו.</w:t>
      </w:r>
    </w:p>
    <w:p w14:paraId="3E8A45EC" w14:textId="77777777" w:rsidR="0073334C" w:rsidRDefault="0073334C" w:rsidP="0073334C">
      <w:pPr>
        <w:spacing w:line="360" w:lineRule="auto"/>
        <w:jc w:val="both"/>
        <w:rPr>
          <w:rtl/>
        </w:rPr>
      </w:pPr>
    </w:p>
    <w:p w14:paraId="59A9541C" w14:textId="77777777" w:rsidR="0073334C" w:rsidRDefault="0073334C" w:rsidP="0073334C">
      <w:pPr>
        <w:spacing w:line="360" w:lineRule="auto"/>
        <w:jc w:val="both"/>
        <w:rPr>
          <w:rFonts w:cs="Miriam"/>
          <w:rtl/>
        </w:rPr>
      </w:pPr>
      <w:r>
        <w:rPr>
          <w:rFonts w:cs="Miriam" w:hint="cs"/>
          <w:rtl/>
        </w:rPr>
        <w:t xml:space="preserve">ראיות </w:t>
      </w:r>
      <w:r w:rsidRPr="00024AD7">
        <w:rPr>
          <w:rFonts w:cs="Miriam" w:hint="cs"/>
          <w:rtl/>
        </w:rPr>
        <w:t>המאשימה לעונש</w:t>
      </w:r>
      <w:r>
        <w:rPr>
          <w:rFonts w:cs="Miriam" w:hint="cs"/>
          <w:rtl/>
        </w:rPr>
        <w:t xml:space="preserve"> וטיעוניה לעונש</w:t>
      </w:r>
    </w:p>
    <w:p w14:paraId="500CAD28" w14:textId="77777777" w:rsidR="0073334C" w:rsidRDefault="0073334C" w:rsidP="0073334C">
      <w:pPr>
        <w:spacing w:line="360" w:lineRule="auto"/>
        <w:jc w:val="both"/>
        <w:rPr>
          <w:rtl/>
        </w:rPr>
      </w:pPr>
      <w:r w:rsidRPr="00024AD7">
        <w:rPr>
          <w:rFonts w:hint="cs"/>
          <w:rtl/>
        </w:rPr>
        <w:t>9.</w:t>
      </w:r>
      <w:r w:rsidRPr="00024AD7">
        <w:rPr>
          <w:rFonts w:hint="cs"/>
          <w:rtl/>
        </w:rPr>
        <w:tab/>
      </w:r>
      <w:r>
        <w:rPr>
          <w:rFonts w:hint="cs"/>
          <w:rtl/>
        </w:rPr>
        <w:t xml:space="preserve">במסגרת ראיות המאשימה לעונש הוגש גיליון המרשם הפלילי של הנאשם (ת/1), המלמד כי לחובת הנאשם הרשעה קודמת אחת מיום 16.03.16 בגין עבירות של תקיפת שוטר במילוי תפקידו כדין, הפרעה לשוטר במילוי תפקידו כדין  ואיומים, אשר בוצעו על ידי הנאשם בשנת 2012, ובגינן הושת על הנאשם עונש של 8 חודשי מאסר בפועל לצד רכיב ענישה של מאסרים מותנים. ערעורו של הנאשם על חומרת העונש נדחה, לאחר שחזר בו מהערעור (ראו ת/2). </w:t>
      </w:r>
    </w:p>
    <w:p w14:paraId="115BC275" w14:textId="77777777" w:rsidR="0073334C" w:rsidRDefault="0073334C" w:rsidP="0073334C">
      <w:pPr>
        <w:spacing w:line="360" w:lineRule="auto"/>
        <w:jc w:val="both"/>
        <w:rPr>
          <w:rtl/>
        </w:rPr>
      </w:pPr>
    </w:p>
    <w:p w14:paraId="083FBDB3" w14:textId="77777777" w:rsidR="0073334C" w:rsidRDefault="0073334C" w:rsidP="0073334C">
      <w:pPr>
        <w:spacing w:line="360" w:lineRule="auto"/>
        <w:jc w:val="both"/>
        <w:rPr>
          <w:rtl/>
        </w:rPr>
      </w:pPr>
      <w:r>
        <w:rPr>
          <w:rFonts w:hint="cs"/>
          <w:rtl/>
        </w:rPr>
        <w:t>10.</w:t>
      </w:r>
      <w:r>
        <w:rPr>
          <w:rFonts w:hint="cs"/>
          <w:rtl/>
        </w:rPr>
        <w:tab/>
        <w:t xml:space="preserve">ב"כ המאשימה הגישה את טיעוניה לעונש בכתב (ת/3) והוסיפה וטענה לעונש בעל פה בדיון בפניי ביום 26.01.17. מטיעוני המאשימה לעונש עולה התייחסות לעונש המרבי שנקבע על ידי המחוקק בגין העבירה של נשיאה והובלת נשק (10 שנות מאסר), כמו גם לעונש המרבי הקבוע בגין העבירה של החזקת אביזר או תחמושת לנשק (3 שנות מאסר). ב"כ המאשימה הדגישה בטיעוניה את חומרת עבירות הנשק המהוות מכת מדינה, אשר לה השלכות קשות ולעיתים קטלניות כלפי הציבור. ב"כ המאשימה הפנתה לפסיקתו של בית המשפט העליון באשר לצורך להחמיר בענישת מבצעי עבירות בנשק. </w:t>
      </w:r>
    </w:p>
    <w:p w14:paraId="105D428A" w14:textId="77777777" w:rsidR="0073334C" w:rsidRDefault="0073334C" w:rsidP="0073334C">
      <w:pPr>
        <w:spacing w:line="360" w:lineRule="auto"/>
        <w:jc w:val="both"/>
        <w:rPr>
          <w:rtl/>
        </w:rPr>
      </w:pPr>
    </w:p>
    <w:p w14:paraId="64CE58AF" w14:textId="77777777" w:rsidR="0073334C" w:rsidRDefault="0073334C" w:rsidP="0073334C">
      <w:pPr>
        <w:spacing w:line="360" w:lineRule="auto"/>
        <w:jc w:val="both"/>
        <w:rPr>
          <w:rtl/>
        </w:rPr>
      </w:pPr>
      <w:r>
        <w:rPr>
          <w:rFonts w:hint="cs"/>
          <w:rtl/>
        </w:rPr>
        <w:t>11.</w:t>
      </w:r>
      <w:r>
        <w:rPr>
          <w:rFonts w:hint="cs"/>
          <w:rtl/>
        </w:rPr>
        <w:tab/>
        <w:t xml:space="preserve">לטענת ב"כ המאשימה, הערך החברתי המוגן שנפגע במקרה דנן הינו שלום הציבור והגנה על חיי אדם. לדידה, זמינותם של כלי הנשק, העוברים מיד ליד תורמת להגדלת מעגל האלימות ומניבה תוצאות קשות. צוין כי גם החזקתו של נשק חם, רב עוצמה, באופן בלתי חוקי בידי מי שאינו עבריין, עלולה להביא לאלימות קשה ואף קטלנית. עוד הוטעם כי קיימת במקרה זה גם פגיעה בשמירה על שלטון החוק. </w:t>
      </w:r>
    </w:p>
    <w:p w14:paraId="5B2D2663" w14:textId="77777777" w:rsidR="0073334C" w:rsidRDefault="0073334C" w:rsidP="0073334C">
      <w:pPr>
        <w:spacing w:line="360" w:lineRule="auto"/>
        <w:jc w:val="both"/>
        <w:rPr>
          <w:rtl/>
        </w:rPr>
      </w:pPr>
    </w:p>
    <w:p w14:paraId="6E26849F" w14:textId="77777777" w:rsidR="0073334C" w:rsidRDefault="0073334C" w:rsidP="0073334C">
      <w:pPr>
        <w:spacing w:line="360" w:lineRule="auto"/>
        <w:jc w:val="both"/>
        <w:rPr>
          <w:rtl/>
        </w:rPr>
      </w:pPr>
      <w:r>
        <w:rPr>
          <w:rFonts w:hint="cs"/>
          <w:rtl/>
        </w:rPr>
        <w:t>12.</w:t>
      </w:r>
      <w:r>
        <w:rPr>
          <w:rFonts w:hint="cs"/>
          <w:rtl/>
        </w:rPr>
        <w:tab/>
        <w:t xml:space="preserve">ב"כ המאשימה ציינה, בטיעוניה לעונש, כי הנאשם הוביל ונשא על גופו את הנשק והמחסנית כשהם עטופים בניילון, זאת במהלך נסיעה עם שניים אחרים.  הודגש על ידי ב"כ המאשימה, כי רב הנסתר בנסיעה הנ"ל, על פי הגלוי, וכי עד היום לא ברור מהו מקור הנשק, לידי מי נועד ואיזה שימוש היה אמור להתבצע בו, אלמלא נתפס על ידי המשטרה. נטען כי הנזק הצפוי להיגרם מביצוע עבירות בנשק הוא החשש הממשי לחיי אדם, פגיעה בשלמות הגוף ואף ברכוש. </w:t>
      </w:r>
    </w:p>
    <w:p w14:paraId="56BAADBD" w14:textId="77777777" w:rsidR="0073334C" w:rsidRDefault="0073334C" w:rsidP="0073334C">
      <w:pPr>
        <w:spacing w:line="360" w:lineRule="auto"/>
        <w:jc w:val="both"/>
        <w:rPr>
          <w:rtl/>
        </w:rPr>
      </w:pPr>
    </w:p>
    <w:p w14:paraId="52A80DBE" w14:textId="77777777" w:rsidR="0073334C" w:rsidRDefault="0073334C" w:rsidP="0073334C">
      <w:pPr>
        <w:spacing w:line="360" w:lineRule="auto"/>
        <w:jc w:val="both"/>
        <w:rPr>
          <w:rtl/>
        </w:rPr>
      </w:pPr>
      <w:r>
        <w:rPr>
          <w:rFonts w:hint="cs"/>
          <w:rtl/>
        </w:rPr>
        <w:t>13.</w:t>
      </w:r>
      <w:r>
        <w:rPr>
          <w:rFonts w:hint="cs"/>
          <w:rtl/>
        </w:rPr>
        <w:tab/>
        <w:t xml:space="preserve">ב"כ המאשימה טענה כי גזר הדין, שהושת על הנאשם בתיק הקודם, כמו גם המאסר בפועל שהוטל עליו בגזר הדין הנ"ל, לא הרתיעו את הנאשם מלהמשיך ולבצע עבירות. עוד נטען כי הנאשם ניצל את האמון שניתן בו על ידי בית המשפט המחוזי, במסגרת הדיון בערעור בתיק הקודם, וביצע את העבירות שבפנינו, במהלך תקופת עיכוב ביצוע המאסר שנקבעה על ידי בית המשפט המחוזי במטרה לאפשר לנאשם לשהות עם משפחתו בחג הרמדאן. ב"כ המאשימה ביקשה שלא לנכות את מלוא תקופת מעצרו של הנאשם בתיק זה, כי אם אך את תקופת המעצר עד לתחילת ריצוי המאסר בפועל בן ה-8 חודשים, שהושת על הנאשם בתיק הקודם. </w:t>
      </w:r>
    </w:p>
    <w:p w14:paraId="142402F3" w14:textId="77777777" w:rsidR="0073334C" w:rsidRDefault="0073334C" w:rsidP="0073334C">
      <w:pPr>
        <w:spacing w:line="360" w:lineRule="auto"/>
        <w:jc w:val="both"/>
        <w:rPr>
          <w:rtl/>
        </w:rPr>
      </w:pPr>
    </w:p>
    <w:p w14:paraId="4491DE59" w14:textId="77777777" w:rsidR="0073334C" w:rsidRDefault="0073334C" w:rsidP="0073334C">
      <w:pPr>
        <w:spacing w:line="360" w:lineRule="auto"/>
        <w:jc w:val="both"/>
        <w:rPr>
          <w:rtl/>
        </w:rPr>
      </w:pPr>
      <w:r>
        <w:rPr>
          <w:rFonts w:hint="cs"/>
          <w:rtl/>
        </w:rPr>
        <w:t>14.</w:t>
      </w:r>
      <w:r>
        <w:rPr>
          <w:rFonts w:hint="cs"/>
          <w:rtl/>
        </w:rPr>
        <w:tab/>
        <w:t xml:space="preserve">ב"כ המאשימה הפנתה לאמור בתסקיר שירות המבחן בעניינו של הנאשם, לרבות לכך שהנאשם מתנהל באופן מניפולטיבי, ממוקד בעצמו ובצרכיו, אינו מודע להשלכות מעשיו ומתקשה להציב לעצמו גבולות. ב"כ המאשימה הוסיפה וציינה את היעדר המלצה טיפולית בתסקיר שירות המבחן ואת הערכת התסקיר, לפיה קיים במקרה שבפנינו סיכון גבוה לכך שהנאשם יבצע שוב עבירות בעתיד. </w:t>
      </w:r>
    </w:p>
    <w:p w14:paraId="2B0BCD68" w14:textId="77777777" w:rsidR="0073334C" w:rsidRDefault="0073334C" w:rsidP="0073334C">
      <w:pPr>
        <w:spacing w:line="360" w:lineRule="auto"/>
        <w:jc w:val="both"/>
        <w:rPr>
          <w:rtl/>
        </w:rPr>
      </w:pPr>
    </w:p>
    <w:p w14:paraId="7ED3D6C9" w14:textId="77777777" w:rsidR="0073334C" w:rsidRDefault="0073334C" w:rsidP="0073334C">
      <w:pPr>
        <w:spacing w:line="360" w:lineRule="auto"/>
        <w:jc w:val="both"/>
        <w:rPr>
          <w:rtl/>
        </w:rPr>
      </w:pPr>
      <w:r>
        <w:rPr>
          <w:rFonts w:hint="cs"/>
          <w:rtl/>
        </w:rPr>
        <w:t>15.</w:t>
      </w:r>
      <w:r>
        <w:rPr>
          <w:rFonts w:hint="cs"/>
          <w:rtl/>
        </w:rPr>
        <w:tab/>
        <w:t xml:space="preserve">ב"כ המאשימה הגישה פסיקה להמחשת עמדתה העונשית של המאשימה לעונש (ת/4). יוער בנקודה זו כי חלק משמעותי מהפסיקה הנ"ל מתייחס, כפי שטען בנקודה זו הסנגור המלומד ובצדק, להרשעה בעבירות נוספות, בצד עבירות הנשק. לפיכך, ניתן לקבוע לגבי החלק הנ"ל בפסיקת המאשימה כי אין הנדון דומה לראיה. </w:t>
      </w:r>
    </w:p>
    <w:p w14:paraId="1FE3CC37" w14:textId="77777777" w:rsidR="0073334C" w:rsidRDefault="0073334C" w:rsidP="0073334C">
      <w:pPr>
        <w:spacing w:line="360" w:lineRule="auto"/>
        <w:jc w:val="both"/>
        <w:rPr>
          <w:rtl/>
        </w:rPr>
      </w:pPr>
    </w:p>
    <w:p w14:paraId="011E22BD" w14:textId="77777777" w:rsidR="0073334C" w:rsidRDefault="0073334C" w:rsidP="0073334C">
      <w:pPr>
        <w:spacing w:line="360" w:lineRule="auto"/>
        <w:jc w:val="both"/>
        <w:rPr>
          <w:rtl/>
        </w:rPr>
      </w:pPr>
      <w:r>
        <w:rPr>
          <w:rFonts w:hint="cs"/>
          <w:rtl/>
        </w:rPr>
        <w:t>16.</w:t>
      </w:r>
      <w:r>
        <w:rPr>
          <w:rFonts w:hint="cs"/>
          <w:rtl/>
        </w:rPr>
        <w:tab/>
        <w:t xml:space="preserve">ב"כ המאשימה ציינה, בטיעוניה לעונש כי מתחם העונש ההולם, לדידה, נע בין עונש של שנה וחצי מאסר בפועל לבין עונש של 4 שנות מאסר בפועל. בהינתן חומרת התנהלותו של הנאשם, וכן נוכח עברו הפלילי, האמור בתסקיר שירות המבחן והעובדה שלא הורתע הנאשם מההליך בתיק הקודם בעניינו, סבורה המאשימה כי מן הראוי להשית על הנאשם עונש של מאסר בפועל ברף העליון של מתחם העונש ההולם הנ"ל, זאת בצד עונש של מאסר על תנאי משמעותי וקנס כספי. </w:t>
      </w:r>
    </w:p>
    <w:p w14:paraId="7C276E72" w14:textId="77777777" w:rsidR="0073334C" w:rsidRDefault="0073334C" w:rsidP="0073334C">
      <w:pPr>
        <w:spacing w:line="360" w:lineRule="auto"/>
        <w:jc w:val="both"/>
        <w:rPr>
          <w:rtl/>
        </w:rPr>
      </w:pPr>
    </w:p>
    <w:p w14:paraId="0FC4F7B1" w14:textId="77777777" w:rsidR="0073334C" w:rsidRPr="00912A07" w:rsidRDefault="0073334C" w:rsidP="0073334C">
      <w:pPr>
        <w:spacing w:line="360" w:lineRule="auto"/>
        <w:jc w:val="both"/>
        <w:rPr>
          <w:rFonts w:cs="Miriam"/>
          <w:rtl/>
        </w:rPr>
      </w:pPr>
      <w:r w:rsidRPr="00912A07">
        <w:rPr>
          <w:rFonts w:cs="Miriam" w:hint="cs"/>
          <w:rtl/>
        </w:rPr>
        <w:t>טיעוני ההגנה לעונש</w:t>
      </w:r>
    </w:p>
    <w:p w14:paraId="125EEC17" w14:textId="77777777" w:rsidR="0073334C" w:rsidRDefault="0073334C" w:rsidP="0073334C">
      <w:pPr>
        <w:spacing w:line="360" w:lineRule="auto"/>
        <w:jc w:val="both"/>
        <w:rPr>
          <w:rtl/>
        </w:rPr>
      </w:pPr>
      <w:r>
        <w:rPr>
          <w:rFonts w:hint="cs"/>
          <w:rtl/>
        </w:rPr>
        <w:t>17.</w:t>
      </w:r>
      <w:r>
        <w:rPr>
          <w:rFonts w:hint="cs"/>
          <w:rtl/>
        </w:rPr>
        <w:tab/>
        <w:t xml:space="preserve">הסנגור, בטיעוניו לעונש, ציין ראשית, כי בעניינו של המעורב הנוסף בפרשה מושא כתב האישום, מהראן, גובש הסדר טיעון ולפיו תוקן כתב האישום נגדו, באופן שייחס לו עבירה של סיוע לעבירות בנשק (הובלה ונשיאה), והושת עליו, לאחר הרשעתו בדין, עונש מוסכם של 6 חודשי מאסר בפועל, בדרך של עבודות שירות (ראו נ/1). ב"כ המאשימה הבהירה בנקודה זו כי הסדר הטיעון המקל עם מהראן גובש, מפאת קיומו של קושי ראייתי בתיק החקירה, מה גם שעל גופו של הנאשם נתפס הנשק ולכן יש לראותו כמבצע העיקרי. </w:t>
      </w:r>
    </w:p>
    <w:p w14:paraId="5E93D6F7" w14:textId="77777777" w:rsidR="0073334C" w:rsidRDefault="0073334C" w:rsidP="0073334C">
      <w:pPr>
        <w:spacing w:line="360" w:lineRule="auto"/>
        <w:jc w:val="both"/>
        <w:rPr>
          <w:rtl/>
        </w:rPr>
      </w:pPr>
    </w:p>
    <w:p w14:paraId="68AAACCD" w14:textId="77777777" w:rsidR="0073334C" w:rsidRDefault="0073334C" w:rsidP="0073334C">
      <w:pPr>
        <w:spacing w:line="360" w:lineRule="auto"/>
        <w:jc w:val="both"/>
        <w:rPr>
          <w:rtl/>
        </w:rPr>
      </w:pPr>
      <w:r>
        <w:rPr>
          <w:rFonts w:hint="cs"/>
          <w:rtl/>
        </w:rPr>
        <w:t>18.</w:t>
      </w:r>
      <w:r>
        <w:rPr>
          <w:rFonts w:hint="cs"/>
          <w:rtl/>
        </w:rPr>
        <w:tab/>
        <w:t>בהמשך לדברים הנ"ל, טען הסנגור כי יש להשית על הנאשם שבפנינו עונש של שנת מאסר בפועל, זאת בהינתן העובדה שבגין עבירת הסיוע קבע המחוקק, כעונש מרבי, את מחצית העונש המושת על המבצע העיקרי. הסנגור הוסיף וציין בנקודה זו כי גם לחובתו של מהראן עבר פלילי  בגין עבירה שבוצעה בשנת 2010.</w:t>
      </w:r>
    </w:p>
    <w:p w14:paraId="76B423F7" w14:textId="77777777" w:rsidR="0073334C" w:rsidRDefault="0073334C" w:rsidP="0073334C">
      <w:pPr>
        <w:spacing w:line="360" w:lineRule="auto"/>
        <w:jc w:val="both"/>
        <w:rPr>
          <w:rtl/>
        </w:rPr>
      </w:pPr>
    </w:p>
    <w:p w14:paraId="77D49F5B" w14:textId="77777777" w:rsidR="0073334C" w:rsidRDefault="0073334C" w:rsidP="0073334C">
      <w:pPr>
        <w:spacing w:line="360" w:lineRule="auto"/>
        <w:jc w:val="both"/>
        <w:rPr>
          <w:rtl/>
        </w:rPr>
      </w:pPr>
      <w:r>
        <w:rPr>
          <w:rFonts w:hint="cs"/>
          <w:rtl/>
        </w:rPr>
        <w:t>19.</w:t>
      </w:r>
      <w:r>
        <w:rPr>
          <w:rFonts w:hint="cs"/>
          <w:rtl/>
        </w:rPr>
        <w:tab/>
        <w:t xml:space="preserve">הסנגור הפנה, בטיעוניו לעונש, לגזרי דין שונים שהושתו על נאשמים שהורשעו בביצוע עבירות דומות, זאת לצורך המחשת עמדתה העונשית של ההגנה בתיק זה (ראו נ/2, נ/3 ו- נ/4). </w:t>
      </w:r>
    </w:p>
    <w:p w14:paraId="32F2642A" w14:textId="77777777" w:rsidR="0073334C" w:rsidRDefault="0073334C" w:rsidP="0073334C">
      <w:pPr>
        <w:spacing w:line="360" w:lineRule="auto"/>
        <w:jc w:val="both"/>
        <w:rPr>
          <w:rtl/>
        </w:rPr>
      </w:pPr>
    </w:p>
    <w:p w14:paraId="17F96DB6" w14:textId="77777777" w:rsidR="0073334C" w:rsidRDefault="0073334C" w:rsidP="0073334C">
      <w:pPr>
        <w:spacing w:line="360" w:lineRule="auto"/>
        <w:jc w:val="both"/>
        <w:rPr>
          <w:rtl/>
        </w:rPr>
      </w:pPr>
      <w:r>
        <w:rPr>
          <w:rFonts w:hint="cs"/>
          <w:rtl/>
        </w:rPr>
        <w:t>20.</w:t>
      </w:r>
      <w:r>
        <w:rPr>
          <w:rFonts w:hint="cs"/>
          <w:rtl/>
        </w:rPr>
        <w:tab/>
        <w:t xml:space="preserve">הסנגור ביקש שלא למצות את הדין עם הנאשם, שהינו בחור צעיר בן 29. לטענת הסנגור, הנאשם נעצר בגין תיק זה ביום 29.06.16 וביום 13.07.16 החל לרצות את מאסרו בגין התיק הקודם הנזכר לעיל. בנקודה זו הבהיר הסנגור כי, בנסיבות העניין, נמנע מהנאשם לבקש הפחתת שליש ממאסרו בגין התיק הקודם. </w:t>
      </w:r>
    </w:p>
    <w:p w14:paraId="56F29969" w14:textId="77777777" w:rsidR="0073334C" w:rsidRDefault="0073334C" w:rsidP="0073334C">
      <w:pPr>
        <w:spacing w:line="360" w:lineRule="auto"/>
        <w:jc w:val="both"/>
        <w:rPr>
          <w:rtl/>
        </w:rPr>
      </w:pPr>
    </w:p>
    <w:p w14:paraId="33F4371F" w14:textId="77777777" w:rsidR="0073334C" w:rsidRPr="00024AD7" w:rsidRDefault="0073334C" w:rsidP="0073334C">
      <w:pPr>
        <w:spacing w:line="360" w:lineRule="auto"/>
        <w:jc w:val="both"/>
        <w:rPr>
          <w:rtl/>
        </w:rPr>
      </w:pPr>
      <w:r>
        <w:rPr>
          <w:rFonts w:hint="cs"/>
          <w:rtl/>
        </w:rPr>
        <w:t>21.</w:t>
      </w:r>
      <w:r>
        <w:rPr>
          <w:rFonts w:hint="cs"/>
          <w:rtl/>
        </w:rPr>
        <w:tab/>
        <w:t xml:space="preserve">הסנגור הוסיף וציין, כי הנאשם הודה בהזדמנות הראשונה וחסך זמן שיפוטי יקר. הודגש כי הנאשם הודה בחלקו בפרשה כבר במסגרת חקירתו במשטרה. הסנגור הלין על כך ששירות המבחן התמקד בתסקירו בעניין מקור הנשק, זאת בהינתן העובדה שהנאשם לא הורשע בעבירה של רכישת נשק. לפיכך, ונוכח העובדה שהרשעתו הקודמת של הנאשם הינה בגין עבירה שבוצעה על ידו בשנת 2012, עתר הסנגור, בסיכומו של דבר, להטלת מאסר בפועל על הנאשם לתקופה שהינה תקופת מעצרו, באופן שיתאפשר לנאשם להשתחרר ממאסר בהקדם. </w:t>
      </w:r>
    </w:p>
    <w:p w14:paraId="3AF38245" w14:textId="77777777" w:rsidR="0073334C" w:rsidRPr="00024AD7" w:rsidRDefault="0073334C" w:rsidP="0073334C">
      <w:pPr>
        <w:spacing w:line="360" w:lineRule="auto"/>
        <w:jc w:val="both"/>
        <w:rPr>
          <w:rtl/>
        </w:rPr>
      </w:pPr>
    </w:p>
    <w:p w14:paraId="2AD95B06" w14:textId="77777777" w:rsidR="0073334C" w:rsidRPr="00834F2C" w:rsidRDefault="0073334C" w:rsidP="0073334C">
      <w:pPr>
        <w:spacing w:line="360" w:lineRule="auto"/>
        <w:jc w:val="both"/>
        <w:rPr>
          <w:rFonts w:cs="Miriam"/>
          <w:rtl/>
        </w:rPr>
      </w:pPr>
      <w:r w:rsidRPr="00834F2C">
        <w:rPr>
          <w:rFonts w:cs="Miriam" w:hint="cs"/>
          <w:rtl/>
        </w:rPr>
        <w:t>דיון והכרעה</w:t>
      </w:r>
    </w:p>
    <w:p w14:paraId="6F85B35E" w14:textId="77777777" w:rsidR="0073334C" w:rsidRDefault="0073334C" w:rsidP="0073334C">
      <w:pPr>
        <w:spacing w:line="360" w:lineRule="auto"/>
        <w:jc w:val="both"/>
        <w:rPr>
          <w:rtl/>
        </w:rPr>
      </w:pPr>
      <w:r>
        <w:rPr>
          <w:rFonts w:hint="cs"/>
          <w:rtl/>
        </w:rPr>
        <w:t>22.</w:t>
      </w:r>
      <w:r>
        <w:rPr>
          <w:rtl/>
        </w:rPr>
        <w:tab/>
        <w:t xml:space="preserve">תיקון מס' 113 מתווה את העיקרון המנחה כיום את ביהמ"ש בבואו לגזור דינו של נאשם, שהינו, לפי </w:t>
      </w:r>
      <w:hyperlink r:id="rId27" w:history="1">
        <w:r w:rsidR="00110756" w:rsidRPr="00110756">
          <w:rPr>
            <w:color w:val="0000FF"/>
            <w:u w:val="single"/>
            <w:rtl/>
          </w:rPr>
          <w:t>סעיף 40 ב</w:t>
        </w:r>
      </w:hyperlink>
      <w:r>
        <w:rPr>
          <w:rtl/>
        </w:rPr>
        <w:t xml:space="preserve"> ל</w:t>
      </w:r>
      <w:hyperlink r:id="rId28" w:history="1">
        <w:r w:rsidR="005A4FDB" w:rsidRPr="005A4FDB">
          <w:rPr>
            <w:color w:val="0000FF"/>
            <w:u w:val="single"/>
            <w:rtl/>
          </w:rPr>
          <w:t>חוק העונשין</w:t>
        </w:r>
      </w:hyperlink>
      <w:r>
        <w:rPr>
          <w:rtl/>
        </w:rPr>
        <w:t xml:space="preserve">,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(ראה </w:t>
      </w:r>
      <w:hyperlink r:id="rId29" w:history="1">
        <w:r w:rsidR="005A4FDB" w:rsidRPr="005A4FDB">
          <w:rPr>
            <w:color w:val="0000FF"/>
            <w:u w:val="single"/>
            <w:rtl/>
          </w:rPr>
          <w:t>ע.פ. 1523/10</w:t>
        </w:r>
      </w:hyperlink>
      <w:r>
        <w:rPr>
          <w:rtl/>
        </w:rPr>
        <w:t xml:space="preserve"> </w:t>
      </w:r>
      <w:r w:rsidRPr="00064B76">
        <w:rPr>
          <w:rFonts w:cs="Miriam"/>
          <w:rtl/>
        </w:rPr>
        <w:t>פלוני נ' מדינת ישראל</w:t>
      </w:r>
      <w:r>
        <w:rPr>
          <w:rtl/>
        </w:rPr>
        <w:t xml:space="preserve">, 18/4/12). </w:t>
      </w:r>
      <w:hyperlink r:id="rId30" w:history="1">
        <w:r w:rsidR="00110756" w:rsidRPr="00110756">
          <w:rPr>
            <w:rStyle w:val="Hyperlink"/>
            <w:rtl/>
          </w:rPr>
          <w:t>סעיף 40 ג</w:t>
        </w:r>
      </w:hyperlink>
      <w:r>
        <w:rPr>
          <w:rtl/>
        </w:rPr>
        <w:t>' ל</w:t>
      </w:r>
      <w:hyperlink r:id="rId31" w:history="1">
        <w:r w:rsidR="005A4FDB" w:rsidRPr="005A4FDB">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2" w:history="1">
        <w:r w:rsidR="00110756" w:rsidRPr="00110756">
          <w:rPr>
            <w:rStyle w:val="Hyperlink"/>
            <w:rtl/>
          </w:rPr>
          <w:t>בסעיף 40 ט</w:t>
        </w:r>
      </w:hyperlink>
      <w:r>
        <w:rPr>
          <w:rtl/>
        </w:rPr>
        <w:t>' ל</w:t>
      </w:r>
      <w:hyperlink r:id="rId33" w:history="1">
        <w:r w:rsidR="005A4FDB" w:rsidRPr="005A4FDB">
          <w:rPr>
            <w:color w:val="0000FF"/>
            <w:u w:val="single"/>
            <w:rtl/>
          </w:rPr>
          <w:t>חוק העונשין</w:t>
        </w:r>
      </w:hyperlink>
      <w:r>
        <w:rPr>
          <w:rtl/>
        </w:rPr>
        <w:t>.</w:t>
      </w:r>
    </w:p>
    <w:p w14:paraId="773F1435" w14:textId="77777777" w:rsidR="0073334C" w:rsidRDefault="0073334C" w:rsidP="0073334C">
      <w:pPr>
        <w:jc w:val="both"/>
        <w:rPr>
          <w:rtl/>
        </w:rPr>
      </w:pPr>
    </w:p>
    <w:p w14:paraId="49F72738" w14:textId="77777777" w:rsidR="0073334C" w:rsidRDefault="0073334C" w:rsidP="0073334C">
      <w:pPr>
        <w:spacing w:line="360" w:lineRule="auto"/>
        <w:jc w:val="both"/>
        <w:rPr>
          <w:rtl/>
        </w:rPr>
      </w:pPr>
    </w:p>
    <w:p w14:paraId="29A873D3" w14:textId="77777777" w:rsidR="0073334C" w:rsidRDefault="0073334C" w:rsidP="0073334C">
      <w:pPr>
        <w:spacing w:line="360" w:lineRule="auto"/>
        <w:jc w:val="both"/>
        <w:rPr>
          <w:rtl/>
        </w:rPr>
      </w:pPr>
      <w:r>
        <w:rPr>
          <w:rFonts w:hint="cs"/>
          <w:rtl/>
        </w:rPr>
        <w:t>23.</w:t>
      </w:r>
      <w:r>
        <w:rPr>
          <w:rtl/>
        </w:rPr>
        <w:tab/>
        <w:t>הערך המוגן הנפגע כתוצאה מביצוע העבירה של החזקה ונשיאת נשק הינו שלום הציבור ובטחונו. "</w:t>
      </w:r>
      <w:r w:rsidRPr="00B86ED3">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4" w:history="1">
        <w:r w:rsidR="005A4FDB" w:rsidRPr="005A4FDB">
          <w:rPr>
            <w:color w:val="0000FF"/>
            <w:u w:val="single"/>
            <w:rtl/>
          </w:rPr>
          <w:t>ע"פ 7502/12</w:t>
        </w:r>
      </w:hyperlink>
      <w:r>
        <w:rPr>
          <w:rtl/>
        </w:rPr>
        <w:t xml:space="preserve"> ‏</w:t>
      </w:r>
      <w:r w:rsidRPr="00B86ED3">
        <w:rPr>
          <w:rFonts w:cs="Miriam"/>
          <w:rtl/>
        </w:rPr>
        <w:t>כוויס נ' מדינת ישראל</w:t>
      </w:r>
      <w:r>
        <w:rPr>
          <w:rtl/>
        </w:rPr>
        <w:t xml:space="preserve"> (25.6.2013)). ב</w:t>
      </w:r>
      <w:r>
        <w:rPr>
          <w:rFonts w:hint="cs"/>
          <w:rtl/>
        </w:rPr>
        <w:t>ית</w:t>
      </w:r>
      <w:r>
        <w:rPr>
          <w:rtl/>
        </w:rPr>
        <w:t xml:space="preserve"> המשפט </w:t>
      </w:r>
      <w:r>
        <w:rPr>
          <w:rFonts w:hint="cs"/>
          <w:rtl/>
        </w:rPr>
        <w:t xml:space="preserve">העליון </w:t>
      </w:r>
      <w:r>
        <w:rPr>
          <w:rtl/>
        </w:rPr>
        <w:t>עמד</w:t>
      </w:r>
      <w:r>
        <w:rPr>
          <w:rFonts w:hint="cs"/>
          <w:rtl/>
        </w:rPr>
        <w:t>,</w:t>
      </w:r>
      <w:r>
        <w:rPr>
          <w:rtl/>
        </w:rPr>
        <w:t xml:space="preserve"> לא אחת</w:t>
      </w:r>
      <w:r>
        <w:rPr>
          <w:rFonts w:hint="cs"/>
          <w:rtl/>
        </w:rPr>
        <w:t>,</w:t>
      </w:r>
      <w:r>
        <w:rPr>
          <w:rtl/>
        </w:rPr>
        <w:t xml:space="preserve"> על חומרתן הרבה של עבירות הנשק למיניהן, על פוטנציאל הסיכון הרב הטמון </w:t>
      </w:r>
      <w:r>
        <w:rPr>
          <w:rFonts w:hint="cs"/>
          <w:rtl/>
        </w:rPr>
        <w:t>במכלול עבירות הנשק, לרבות העבירה של נשיאת נשק שלא כדין, ועל</w:t>
      </w:r>
      <w:r>
        <w:rPr>
          <w:rtl/>
        </w:rPr>
        <w:t xml:space="preserve"> התוצאות הקשות והרות-הגורל שעלולות להיגרם מביצוע עבירות </w:t>
      </w:r>
      <w:r>
        <w:rPr>
          <w:rFonts w:hint="cs"/>
          <w:rtl/>
        </w:rPr>
        <w:t>בנשק</w:t>
      </w:r>
      <w:r>
        <w:rPr>
          <w:rtl/>
        </w:rPr>
        <w:t xml:space="preserve">. </w:t>
      </w:r>
    </w:p>
    <w:p w14:paraId="3E702F62" w14:textId="77777777" w:rsidR="0073334C" w:rsidRDefault="0073334C" w:rsidP="0073334C">
      <w:pPr>
        <w:spacing w:line="360" w:lineRule="auto"/>
        <w:jc w:val="both"/>
        <w:rPr>
          <w:rtl/>
        </w:rPr>
      </w:pPr>
      <w:r>
        <w:rPr>
          <w:rtl/>
        </w:rPr>
        <w:t xml:space="preserve">לעניין </w:t>
      </w:r>
      <w:r>
        <w:rPr>
          <w:rFonts w:hint="cs"/>
          <w:rtl/>
        </w:rPr>
        <w:t>חומרת העבירות בנשק והענישה המשמעותית הראויה להן,</w:t>
      </w:r>
      <w:r>
        <w:rPr>
          <w:rtl/>
        </w:rPr>
        <w:t xml:space="preserve"> יפים דבריו </w:t>
      </w:r>
      <w:r>
        <w:rPr>
          <w:rFonts w:hint="cs"/>
          <w:rtl/>
        </w:rPr>
        <w:t xml:space="preserve">הבאים </w:t>
      </w:r>
      <w:r>
        <w:rPr>
          <w:rtl/>
        </w:rPr>
        <w:t>של כב' השופט לוי ב</w:t>
      </w:r>
      <w:hyperlink r:id="rId35" w:history="1">
        <w:r w:rsidR="005A4FDB" w:rsidRPr="005A4FDB">
          <w:rPr>
            <w:color w:val="0000FF"/>
            <w:u w:val="single"/>
            <w:rtl/>
          </w:rPr>
          <w:t>ע"פ 5833/07</w:t>
        </w:r>
      </w:hyperlink>
      <w:r>
        <w:rPr>
          <w:rtl/>
        </w:rPr>
        <w:t xml:space="preserve"> </w:t>
      </w:r>
      <w:r w:rsidRPr="00B86ED3">
        <w:rPr>
          <w:rFonts w:cs="Miriam"/>
          <w:rtl/>
        </w:rPr>
        <w:t>ח'ורי נ' מדינת ישראל</w:t>
      </w:r>
      <w:r>
        <w:rPr>
          <w:rtl/>
        </w:rPr>
        <w:t xml:space="preserve"> (18.11.2007):</w:t>
      </w:r>
    </w:p>
    <w:p w14:paraId="70D6923F" w14:textId="77777777" w:rsidR="0073334C" w:rsidRPr="00B05847" w:rsidRDefault="0073334C" w:rsidP="0073334C">
      <w:pPr>
        <w:spacing w:line="360" w:lineRule="auto"/>
        <w:jc w:val="both"/>
        <w:rPr>
          <w:rtl/>
        </w:rPr>
      </w:pPr>
      <w:r>
        <w:rPr>
          <w:rtl/>
        </w:rPr>
        <w:t>"</w:t>
      </w:r>
      <w:r w:rsidRPr="00CB61EC">
        <w:rPr>
          <w:rFonts w:cs="Miriam"/>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Pr>
          <w:rtl/>
        </w:rPr>
        <w:t>...".</w:t>
      </w:r>
    </w:p>
    <w:p w14:paraId="72B57E4F" w14:textId="77777777" w:rsidR="0073334C" w:rsidRDefault="0073334C" w:rsidP="0073334C">
      <w:pPr>
        <w:spacing w:line="360" w:lineRule="auto"/>
        <w:jc w:val="both"/>
        <w:rPr>
          <w:rtl/>
        </w:rPr>
      </w:pPr>
    </w:p>
    <w:p w14:paraId="37BB8D9E" w14:textId="77777777" w:rsidR="0073334C" w:rsidRDefault="0073334C" w:rsidP="0073334C">
      <w:pPr>
        <w:spacing w:line="360" w:lineRule="auto"/>
        <w:jc w:val="both"/>
        <w:rPr>
          <w:rtl/>
        </w:rPr>
      </w:pPr>
      <w:r>
        <w:rPr>
          <w:rFonts w:hint="cs"/>
          <w:rtl/>
        </w:rPr>
        <w:t>24.</w:t>
      </w:r>
      <w:r>
        <w:rPr>
          <w:rFonts w:hint="cs"/>
          <w:rtl/>
        </w:rPr>
        <w:tab/>
        <w:t xml:space="preserve">במסגרת בחינת הנסיבות הקשורות בביצוע העבירה בה הורשע הנאשם, אציין ראשית כי הנשק, שהינו אקדח חצי אוטומטי, וכן המחסנית, נתפסו על גופו של הנאשם, כפי שטענה ב"כ המאשימה ועל כך לא חלק הסנגור. לפיכך, ניתן לראות את חלקו של הנאשם בביצוע העבירה כחלק דומיננטי. עוד יצוין בנקודה זו, כי רב הנסתר על הגלוי בפרשה שבפנינו, שכן לא ברור איזה שימוש נועד לנשק אותו נשא הנאשם, במהלך נסיעה ברכב, יחד עם אחרים. אין צורך להכביר במילים באשר לנזק הפוטנציאלי הטמון בנשק חם, כל שכן כשמצורפת לו מחסנית, כפי שנעשה במקרה דנן. ידוע לכל כי שימוש בנשק חם עלול להוביל לפגיעה בגוף ולעיתים אף לקיפוד חיי אדם. </w:t>
      </w:r>
    </w:p>
    <w:p w14:paraId="3134B60C" w14:textId="77777777" w:rsidR="0073334C" w:rsidRDefault="0073334C" w:rsidP="0073334C">
      <w:pPr>
        <w:spacing w:line="360" w:lineRule="auto"/>
        <w:jc w:val="both"/>
        <w:rPr>
          <w:rtl/>
        </w:rPr>
      </w:pPr>
    </w:p>
    <w:p w14:paraId="4E38C76B" w14:textId="77777777" w:rsidR="0073334C" w:rsidRDefault="0073334C" w:rsidP="0073334C">
      <w:pPr>
        <w:spacing w:line="360" w:lineRule="auto"/>
        <w:jc w:val="both"/>
        <w:rPr>
          <w:rtl/>
        </w:rPr>
      </w:pPr>
      <w:r>
        <w:rPr>
          <w:rFonts w:hint="cs"/>
          <w:rtl/>
        </w:rPr>
        <w:t>25.</w:t>
      </w:r>
      <w:r>
        <w:rPr>
          <w:rFonts w:hint="cs"/>
          <w:rtl/>
        </w:rPr>
        <w:tab/>
        <w:t>במסגרת סקירת מדיניות הענישה הנהוגה בגין העבירה של נשיאת והובלת נשק מהסוג שבפנינו (אקדח), תובא הפסיקה הבאה:</w:t>
      </w:r>
    </w:p>
    <w:p w14:paraId="734744A3" w14:textId="77777777" w:rsidR="0073334C" w:rsidRDefault="0073334C" w:rsidP="0073334C">
      <w:pPr>
        <w:spacing w:line="360" w:lineRule="auto"/>
        <w:jc w:val="both"/>
        <w:rPr>
          <w:rtl/>
        </w:rPr>
      </w:pPr>
    </w:p>
    <w:p w14:paraId="10210938" w14:textId="77777777" w:rsidR="0073334C" w:rsidRDefault="0073334C" w:rsidP="0073334C">
      <w:pPr>
        <w:spacing w:line="360" w:lineRule="auto"/>
        <w:jc w:val="both"/>
        <w:rPr>
          <w:rtl/>
        </w:rPr>
      </w:pPr>
      <w:r>
        <w:rPr>
          <w:rtl/>
        </w:rPr>
        <w:t>•</w:t>
      </w:r>
      <w:r>
        <w:rPr>
          <w:rtl/>
        </w:rPr>
        <w:tab/>
        <w:t>ב</w:t>
      </w:r>
      <w:hyperlink r:id="rId36" w:history="1">
        <w:r w:rsidR="005A4FDB" w:rsidRPr="005A4FDB">
          <w:rPr>
            <w:color w:val="0000FF"/>
            <w:u w:val="single"/>
            <w:rtl/>
          </w:rPr>
          <w:t>ת"פ (מחוזי באר שבע) 4338-04-13</w:t>
        </w:r>
      </w:hyperlink>
      <w:r>
        <w:rPr>
          <w:rtl/>
        </w:rPr>
        <w:t xml:space="preserve">  </w:t>
      </w:r>
      <w:r w:rsidRPr="005708C8">
        <w:rPr>
          <w:rFonts w:cs="Miriam"/>
          <w:rtl/>
        </w:rPr>
        <w:t>מדינת ישראל נ' אביעוז</w:t>
      </w:r>
      <w:r>
        <w:rPr>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5E6B6150" w14:textId="77777777" w:rsidR="0073334C" w:rsidRDefault="0073334C" w:rsidP="0073334C">
      <w:pPr>
        <w:spacing w:line="360" w:lineRule="auto"/>
        <w:jc w:val="both"/>
        <w:rPr>
          <w:rtl/>
        </w:rPr>
      </w:pPr>
    </w:p>
    <w:p w14:paraId="58812E33" w14:textId="77777777" w:rsidR="0073334C" w:rsidRDefault="0073334C" w:rsidP="0073334C">
      <w:pPr>
        <w:spacing w:line="360" w:lineRule="auto"/>
        <w:jc w:val="both"/>
        <w:rPr>
          <w:rtl/>
        </w:rPr>
      </w:pPr>
      <w:r>
        <w:rPr>
          <w:rtl/>
        </w:rPr>
        <w:t>•</w:t>
      </w:r>
      <w:r>
        <w:rPr>
          <w:rtl/>
        </w:rPr>
        <w:tab/>
        <w:t xml:space="preserve"> ב</w:t>
      </w:r>
      <w:hyperlink r:id="rId37" w:history="1">
        <w:r w:rsidR="005A4FDB" w:rsidRPr="005A4FDB">
          <w:rPr>
            <w:color w:val="0000FF"/>
            <w:u w:val="single"/>
            <w:rtl/>
          </w:rPr>
          <w:t>ת"פ (מחוזי חיפה) 31862-05-13</w:t>
        </w:r>
      </w:hyperlink>
      <w:r>
        <w:rPr>
          <w:rtl/>
        </w:rPr>
        <w:t xml:space="preserve">  </w:t>
      </w:r>
      <w:r w:rsidRPr="005708C8">
        <w:rPr>
          <w:rFonts w:cs="Miriam"/>
          <w:rtl/>
        </w:rPr>
        <w:t>מ"י נ' מוחמד מחאמיד</w:t>
      </w:r>
      <w:r>
        <w:rPr>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14:paraId="6ED64932" w14:textId="77777777" w:rsidR="0073334C" w:rsidRDefault="0073334C" w:rsidP="0073334C">
      <w:pPr>
        <w:spacing w:line="360" w:lineRule="auto"/>
        <w:jc w:val="both"/>
        <w:rPr>
          <w:rtl/>
        </w:rPr>
      </w:pPr>
      <w:r>
        <w:rPr>
          <w:rtl/>
        </w:rPr>
        <w:t xml:space="preserve"> </w:t>
      </w:r>
    </w:p>
    <w:p w14:paraId="2DC2E7DE" w14:textId="77777777" w:rsidR="0073334C" w:rsidRDefault="0073334C" w:rsidP="0073334C">
      <w:pPr>
        <w:spacing w:line="360" w:lineRule="auto"/>
        <w:jc w:val="both"/>
        <w:rPr>
          <w:rtl/>
        </w:rPr>
      </w:pPr>
      <w:r>
        <w:rPr>
          <w:rtl/>
        </w:rPr>
        <w:t>•</w:t>
      </w:r>
      <w:r>
        <w:rPr>
          <w:rtl/>
        </w:rPr>
        <w:tab/>
        <w:t xml:space="preserve"> בת"פ (מחוזי חיפה) 2011/06 </w:t>
      </w:r>
      <w:r w:rsidRPr="005708C8">
        <w:rPr>
          <w:rFonts w:cs="Miriam"/>
          <w:rtl/>
        </w:rPr>
        <w:t>מ"י נ' אבו סנינה</w:t>
      </w:r>
      <w:r>
        <w:rPr>
          <w:rtl/>
        </w:rPr>
        <w:t xml:space="preserve"> (07.03.06) הושת על נאשם שהורשע, עפ"י הודאתו, בביצוע עבירה של נשיאת נשק שלא כדין עונש של 18 חודשי מאסר בפועל, שם דובר  באקדח שהוחזק בנסיבות מיוחדות ע"י הנאשם,  ואשר לא נעשה בו שימוש כלשהו לאורך שנים.  </w:t>
      </w:r>
    </w:p>
    <w:p w14:paraId="29460E49" w14:textId="77777777" w:rsidR="0073334C" w:rsidRDefault="0073334C" w:rsidP="0073334C">
      <w:pPr>
        <w:spacing w:line="360" w:lineRule="auto"/>
        <w:jc w:val="both"/>
        <w:rPr>
          <w:rtl/>
        </w:rPr>
      </w:pPr>
    </w:p>
    <w:p w14:paraId="7F9EC9CD" w14:textId="77777777" w:rsidR="0073334C" w:rsidRDefault="0073334C" w:rsidP="0073334C">
      <w:pPr>
        <w:spacing w:line="360" w:lineRule="auto"/>
        <w:jc w:val="both"/>
        <w:rPr>
          <w:rtl/>
        </w:rPr>
      </w:pPr>
      <w:r>
        <w:rPr>
          <w:rFonts w:hint="cs"/>
          <w:rtl/>
        </w:rPr>
        <w:t>26.</w:t>
      </w:r>
      <w:r>
        <w:rPr>
          <w:rFonts w:hint="cs"/>
          <w:rtl/>
        </w:rPr>
        <w:tab/>
        <w:t xml:space="preserve">לאמור לעיל אוסיף, כי על מהראן, הנזכר, כאמור, בכתב באישום כמי שנסע ברכב עם הנאשם, הושת, במסגרת של הסדר טיעון, עונש של 6 חודשי מאסר בפועל בעבודות שירות לצד רכיב ענישה של מאסר מותנה וקנס כספי בסכום של 8,000 ₪, זאת לאחר שהלה הורשע בביצוע עבירה של סיוע לעבירה של הובלת ונשיאת נשק. אמנם, המחוקק קבע כי עונשו המרבי של המסייע הינו מחצית עונשו של המבצע העיקרי (ראו </w:t>
      </w:r>
      <w:hyperlink r:id="rId38" w:history="1">
        <w:r w:rsidR="00110756" w:rsidRPr="00110756">
          <w:rPr>
            <w:rStyle w:val="Hyperlink"/>
            <w:rFonts w:hint="eastAsia"/>
            <w:rtl/>
          </w:rPr>
          <w:t>סעיף</w:t>
        </w:r>
        <w:r w:rsidR="00110756" w:rsidRPr="00110756">
          <w:rPr>
            <w:rStyle w:val="Hyperlink"/>
            <w:rtl/>
          </w:rPr>
          <w:t xml:space="preserve"> 32</w:t>
        </w:r>
      </w:hyperlink>
      <w:r>
        <w:rPr>
          <w:rFonts w:hint="cs"/>
          <w:rtl/>
        </w:rPr>
        <w:t xml:space="preserve"> ל</w:t>
      </w:r>
      <w:hyperlink r:id="rId39" w:history="1">
        <w:r w:rsidR="005A4FDB" w:rsidRPr="005A4FDB">
          <w:rPr>
            <w:color w:val="0000FF"/>
            <w:u w:val="single"/>
            <w:rtl/>
          </w:rPr>
          <w:t>חוק העונשין</w:t>
        </w:r>
      </w:hyperlink>
      <w:r>
        <w:rPr>
          <w:rFonts w:hint="cs"/>
          <w:rtl/>
        </w:rPr>
        <w:t>). ברם, יש לבחון כל מקרה, על פי נסיבותיו ואין בהכרח לגזור אוטומטית מעונשו של המסייע לעניין עונשו של המבצע העיקרי, באופן שעל המבצע העיקרי יושת בהכרח עונש כפול.</w:t>
      </w:r>
      <w:r w:rsidRPr="00866784">
        <w:rPr>
          <w:rFonts w:hint="cs"/>
          <w:rtl/>
        </w:rPr>
        <w:t xml:space="preserve"> </w:t>
      </w:r>
      <w:r>
        <w:rPr>
          <w:rFonts w:hint="cs"/>
          <w:rtl/>
        </w:rPr>
        <w:t>כך גם במקרה דנן, יש ליתן את הדעת למכלול הנסיבות של המקרה, לרבות לכך שהסדר הטיעון בעניינו של מהראן גובש מפאת קיומו של קושי ראייתי בתיק החקירה.  לפיכך, אין מקום לקבוע באופן אוטומטי כי על הנאשם שבפנינו תושת שנת מאסר בפועל (כפל העונש שהושת על מהראן). בנקודה זו יפים דבריו הבאים של כבוד השופט ג'ובראן, כפי שנאמרו ב</w:t>
      </w:r>
      <w:hyperlink r:id="rId40" w:history="1">
        <w:r w:rsidR="005A4FDB" w:rsidRPr="005A4FDB">
          <w:rPr>
            <w:color w:val="0000FF"/>
            <w:u w:val="single"/>
            <w:rtl/>
          </w:rPr>
          <w:t>ע"פ 4463/12</w:t>
        </w:r>
      </w:hyperlink>
      <w:r>
        <w:rPr>
          <w:rFonts w:hint="cs"/>
          <w:rtl/>
        </w:rPr>
        <w:t xml:space="preserve"> </w:t>
      </w:r>
      <w:r w:rsidRPr="00F07A86">
        <w:rPr>
          <w:rFonts w:cs="Miriam" w:hint="cs"/>
          <w:rtl/>
        </w:rPr>
        <w:t>ארנבורג נגד מדינת ישראל</w:t>
      </w:r>
      <w:r>
        <w:rPr>
          <w:rFonts w:hint="cs"/>
          <w:rtl/>
        </w:rPr>
        <w:t xml:space="preserve"> (13.09.12):</w:t>
      </w:r>
    </w:p>
    <w:p w14:paraId="09B0C206" w14:textId="77777777" w:rsidR="0073334C" w:rsidRPr="00F07A86" w:rsidRDefault="0073334C" w:rsidP="0073334C">
      <w:pPr>
        <w:jc w:val="both"/>
        <w:rPr>
          <w:rFonts w:cs="Miriam"/>
        </w:rPr>
      </w:pPr>
      <w:r w:rsidRPr="00F07A86">
        <w:rPr>
          <w:rFonts w:cs="Miriam"/>
          <w:rtl/>
        </w:rPr>
        <w:t xml:space="preserve">"היחס שנקבע בחוק בין עונשו של המבצע העיקרי לבין עונשו של המסייע צריך על דרך הכלל להנחות את בית המשפט בגזירת הדין. יחד עם זאת, אין לומר כי מדובר ביחס שיש להקפיד על קיומו באורח דווקני ותיתכנה סטיות ממנו בשים לב </w:t>
      </w:r>
      <w:r>
        <w:rPr>
          <w:rFonts w:cs="Miriam"/>
          <w:rtl/>
        </w:rPr>
        <w:t>לנסיבות המיוחדות של המקרה הנדון</w:t>
      </w:r>
      <w:r w:rsidRPr="00F07A86">
        <w:rPr>
          <w:rFonts w:cs="Miriam"/>
          <w:rtl/>
        </w:rPr>
        <w:t>...</w:t>
      </w:r>
      <w:r>
        <w:rPr>
          <w:rFonts w:cs="Miriam" w:hint="cs"/>
          <w:rtl/>
        </w:rPr>
        <w:t xml:space="preserve"> </w:t>
      </w:r>
      <w:r w:rsidRPr="00F07A86">
        <w:rPr>
          <w:rFonts w:cs="Miriam"/>
          <w:rtl/>
        </w:rPr>
        <w:t>אין המדובר בגזירה אוטומטית של מחצית העונש בעניינו של המסייע מהעונש שנגזר על המבצע העיקרי, ויש שהנסיבות הפרטיקולאריות מחייבות הטלת עונש ביחס שונה"</w:t>
      </w:r>
      <w:r>
        <w:rPr>
          <w:rFonts w:cs="Miriam" w:hint="cs"/>
          <w:rtl/>
        </w:rPr>
        <w:t>.</w:t>
      </w:r>
    </w:p>
    <w:p w14:paraId="5D102018" w14:textId="77777777" w:rsidR="0073334C" w:rsidRPr="00F07A86" w:rsidRDefault="0073334C" w:rsidP="0073334C">
      <w:pPr>
        <w:rPr>
          <w:rFonts w:ascii="Calibri" w:hAnsi="Calibri" w:cs="Times New Roman"/>
          <w:sz w:val="22"/>
          <w:szCs w:val="22"/>
        </w:rPr>
      </w:pPr>
    </w:p>
    <w:p w14:paraId="4EAC103C" w14:textId="77777777" w:rsidR="0073334C" w:rsidRDefault="0073334C" w:rsidP="0073334C">
      <w:pPr>
        <w:spacing w:line="360" w:lineRule="auto"/>
        <w:jc w:val="both"/>
        <w:rPr>
          <w:rtl/>
        </w:rPr>
      </w:pPr>
      <w:r>
        <w:rPr>
          <w:rFonts w:hint="cs"/>
          <w:rtl/>
        </w:rPr>
        <w:t>27.</w:t>
      </w:r>
      <w:r>
        <w:rPr>
          <w:rFonts w:hint="cs"/>
          <w:rtl/>
        </w:rPr>
        <w:tab/>
        <w:t>לאחר ששקלתי את הערך המוגן שנפגע כתוצאה מביצוע העבירה על ידי הנאשם, את נסיבות ביצוע העבירה, את מדיניות הענישה הנהוגה, לרבות את הפסיקה שהוגשה על ידי כל אחד מהצדדים, הגעתי לכלל מסקנה כי מתחם העונש ההולם בתיק זה נע בין עונש של 12 חודשי מאסר בפועל לבין עונש של 36 חודשי מאסר בפועל.</w:t>
      </w:r>
    </w:p>
    <w:p w14:paraId="39F7ADA1" w14:textId="77777777" w:rsidR="0073334C" w:rsidRDefault="0073334C" w:rsidP="0073334C">
      <w:pPr>
        <w:spacing w:line="360" w:lineRule="auto"/>
        <w:jc w:val="both"/>
        <w:rPr>
          <w:rtl/>
        </w:rPr>
      </w:pPr>
    </w:p>
    <w:p w14:paraId="6DCCDF8A" w14:textId="77777777" w:rsidR="0073334C" w:rsidRDefault="0073334C" w:rsidP="0073334C">
      <w:pPr>
        <w:spacing w:line="360" w:lineRule="auto"/>
        <w:jc w:val="both"/>
        <w:rPr>
          <w:rtl/>
        </w:rPr>
      </w:pPr>
      <w:r>
        <w:rPr>
          <w:rFonts w:hint="cs"/>
          <w:rtl/>
        </w:rPr>
        <w:t>28.</w:t>
      </w:r>
      <w:r>
        <w:rPr>
          <w:rFonts w:hint="cs"/>
          <w:rtl/>
        </w:rPr>
        <w:tab/>
        <w:t xml:space="preserve">במסגרת בחינת הנסיבות שאינן קשורות בביצוע העבירה, כאמור </w:t>
      </w:r>
      <w:hyperlink r:id="rId41" w:history="1">
        <w:r w:rsidR="00110756" w:rsidRPr="00110756">
          <w:rPr>
            <w:color w:val="0000FF"/>
            <w:u w:val="single"/>
            <w:rtl/>
          </w:rPr>
          <w:t>בסעיף 40 י"א</w:t>
        </w:r>
      </w:hyperlink>
      <w:r>
        <w:rPr>
          <w:rFonts w:hint="cs"/>
          <w:rtl/>
        </w:rPr>
        <w:t xml:space="preserve"> ל</w:t>
      </w:r>
      <w:hyperlink r:id="rId42" w:history="1">
        <w:r w:rsidR="005A4FDB" w:rsidRPr="005A4FDB">
          <w:rPr>
            <w:color w:val="0000FF"/>
            <w:u w:val="single"/>
            <w:rtl/>
          </w:rPr>
          <w:t>חוק העונשין</w:t>
        </w:r>
      </w:hyperlink>
      <w:r>
        <w:rPr>
          <w:rFonts w:hint="cs"/>
          <w:rtl/>
        </w:rPr>
        <w:t>, אציין בראש ובראשונה, לקולה, את הודאת הנאשם בעובדות כתב האישום המתוקן, אשר חסכה הן מזמנו היקר של בית המשפט והן את העדת העדים בתיק זה. עוד אציין בנקודה זו, כי מטיעוני הסנגור לעונש עולה כי הנאשם הודה בחלקו בפרשה כבר בחקירתו במשטרה. עם זאת, מנגד, יש לציין, לחומרה, כי הנאשם ביצע את העבירה שבפנינו במהלך תקופת עיכוב הביצוע של המאסר שהושת עליו בתיק הקודם (</w:t>
      </w:r>
      <w:hyperlink r:id="rId43" w:history="1">
        <w:r w:rsidR="005A4FDB" w:rsidRPr="005A4FDB">
          <w:rPr>
            <w:color w:val="0000FF"/>
            <w:u w:val="single"/>
            <w:rtl/>
          </w:rPr>
          <w:t>ת"פ 44281-06-13</w:t>
        </w:r>
      </w:hyperlink>
      <w:r>
        <w:rPr>
          <w:rFonts w:hint="cs"/>
          <w:rtl/>
        </w:rPr>
        <w:t xml:space="preserve">). הנאשם הפר בכך את האמון שנתן בו בית המשפט המחוזי, אשר נעתר לבקשת הנאשם ודחה את תחילת ריצוי מאסרו של הנאשם על מנת לאפשר לנאשם לשהות במהלך חודש הרמדאן בביתו. יתרה מכך, העונש שהושת על הנאשם בתיק הקודם (עונש של 8 חודשי מאסר בפועל) לא הרתיע את הנאשם מלשוב ולבצע עבירות בנשק. יצוין בנקודה זו, כי בתיק הקודם הורשע הנאשם, כאמור, בעבירות של תקיפת שוטר במילוי תפקידו כדין, הפרעה לשוטר במילוי תפקידו כדין ואיומים - עבירות משנת 2012. לטובת הנאשם אציין, כי מעבר להרשעה הקודמת בעבירות הנ"ל, לא עומדת לחובת הנאשם הרשעה קודמת נוספת. </w:t>
      </w:r>
    </w:p>
    <w:p w14:paraId="67A89A1B" w14:textId="77777777" w:rsidR="0073334C" w:rsidRDefault="0073334C" w:rsidP="0073334C">
      <w:pPr>
        <w:spacing w:line="360" w:lineRule="auto"/>
        <w:jc w:val="both"/>
        <w:rPr>
          <w:rtl/>
        </w:rPr>
      </w:pPr>
    </w:p>
    <w:p w14:paraId="4A2CEA14" w14:textId="77777777" w:rsidR="0073334C" w:rsidRDefault="0073334C" w:rsidP="0073334C">
      <w:pPr>
        <w:spacing w:line="360" w:lineRule="auto"/>
        <w:jc w:val="both"/>
        <w:rPr>
          <w:rtl/>
        </w:rPr>
      </w:pPr>
      <w:r>
        <w:rPr>
          <w:rFonts w:hint="cs"/>
          <w:rtl/>
        </w:rPr>
        <w:t>29.</w:t>
      </w:r>
      <w:r>
        <w:rPr>
          <w:rFonts w:hint="cs"/>
          <w:rtl/>
        </w:rPr>
        <w:tab/>
        <w:t>עוד יש ליתן את הדעת, לחומרה, לתמונה המצטיירת מתסקיר שירות המבחן, ממנו עולה כי הנאשם מתנהל באופן מניפולטיבי ואינו מכיר במשמעות העבירה שבפנינו. הנאשם לא ביטא נזקקות טיפולית בפני שירות המבחן, המעריך קיומו של סיכון גבוה להישנות ביצוע עבירות על ידי הנאשם בעתיד. עם זאת, לטובת הנאשם, יש ליתן את הדעת במידת מה לנסיבותיו האישיות, כפי שעולה מתסקיר שירות המבחן שפורט לעיל.</w:t>
      </w:r>
    </w:p>
    <w:p w14:paraId="381CED2A" w14:textId="77777777" w:rsidR="0073334C" w:rsidRDefault="0073334C" w:rsidP="0073334C">
      <w:pPr>
        <w:spacing w:line="360" w:lineRule="auto"/>
        <w:jc w:val="both"/>
        <w:rPr>
          <w:rtl/>
        </w:rPr>
      </w:pPr>
    </w:p>
    <w:p w14:paraId="48C32D50" w14:textId="77777777" w:rsidR="0073334C" w:rsidRDefault="0073334C" w:rsidP="0073334C">
      <w:pPr>
        <w:spacing w:line="360" w:lineRule="auto"/>
        <w:jc w:val="both"/>
        <w:rPr>
          <w:rtl/>
        </w:rPr>
      </w:pPr>
      <w:r>
        <w:rPr>
          <w:rFonts w:hint="cs"/>
          <w:rtl/>
        </w:rPr>
        <w:t>30.</w:t>
      </w:r>
      <w:r>
        <w:rPr>
          <w:rFonts w:hint="cs"/>
          <w:rtl/>
        </w:rPr>
        <w:tab/>
        <w:t>לאחר שבחנתי את הנסיבות הנ"ל שאינן קשורות בביצוע העבירה, הגעתי לכלל מסקנה כי מן הראוי להשית על הנאשם בתיק זה עונש של 15 חודשי מאסר בפועל, בצד רכיבי ענישה של מאסר מותנה וקנס כספי.</w:t>
      </w:r>
    </w:p>
    <w:p w14:paraId="02AE33BA" w14:textId="77777777" w:rsidR="0073334C" w:rsidRDefault="0073334C" w:rsidP="0073334C">
      <w:pPr>
        <w:spacing w:line="360" w:lineRule="auto"/>
        <w:jc w:val="both"/>
        <w:rPr>
          <w:rtl/>
        </w:rPr>
      </w:pPr>
    </w:p>
    <w:p w14:paraId="70031BFE" w14:textId="77777777" w:rsidR="0073334C" w:rsidRDefault="0073334C" w:rsidP="0073334C">
      <w:pPr>
        <w:spacing w:line="360" w:lineRule="auto"/>
        <w:jc w:val="both"/>
        <w:rPr>
          <w:rtl/>
        </w:rPr>
      </w:pPr>
    </w:p>
    <w:p w14:paraId="4255CCAC" w14:textId="77777777" w:rsidR="0073334C" w:rsidRDefault="0073334C" w:rsidP="0073334C">
      <w:pPr>
        <w:spacing w:line="360" w:lineRule="auto"/>
        <w:jc w:val="both"/>
        <w:rPr>
          <w:rtl/>
        </w:rPr>
      </w:pPr>
    </w:p>
    <w:p w14:paraId="7099B487" w14:textId="77777777" w:rsidR="0073334C" w:rsidRDefault="0073334C" w:rsidP="0073334C">
      <w:pPr>
        <w:spacing w:line="360" w:lineRule="auto"/>
        <w:jc w:val="both"/>
        <w:rPr>
          <w:rtl/>
        </w:rPr>
      </w:pPr>
    </w:p>
    <w:p w14:paraId="53AF9B46" w14:textId="77777777" w:rsidR="0073334C" w:rsidRDefault="0073334C" w:rsidP="0073334C">
      <w:pPr>
        <w:spacing w:line="360" w:lineRule="auto"/>
        <w:jc w:val="both"/>
        <w:rPr>
          <w:rtl/>
        </w:rPr>
      </w:pPr>
      <w:r>
        <w:rPr>
          <w:rFonts w:hint="cs"/>
          <w:rtl/>
        </w:rPr>
        <w:t>31.</w:t>
      </w:r>
      <w:r>
        <w:rPr>
          <w:rFonts w:hint="cs"/>
          <w:rtl/>
        </w:rPr>
        <w:tab/>
        <w:t>סיכומו של דבר אני דנה את הנאשם, כדלקמן:</w:t>
      </w:r>
    </w:p>
    <w:p w14:paraId="12E4AC91" w14:textId="77777777" w:rsidR="0073334C" w:rsidRDefault="0073334C" w:rsidP="0073334C">
      <w:pPr>
        <w:spacing w:line="360" w:lineRule="auto"/>
        <w:jc w:val="both"/>
        <w:rPr>
          <w:rtl/>
        </w:rPr>
      </w:pPr>
    </w:p>
    <w:p w14:paraId="69BCEBDF" w14:textId="77777777" w:rsidR="0073334C" w:rsidRDefault="0073334C" w:rsidP="0073334C">
      <w:pPr>
        <w:spacing w:line="360" w:lineRule="auto"/>
        <w:jc w:val="both"/>
        <w:rPr>
          <w:rtl/>
        </w:rPr>
      </w:pPr>
      <w:r>
        <w:rPr>
          <w:rFonts w:hint="cs"/>
          <w:rtl/>
        </w:rPr>
        <w:t>למאסר בפועל לתקופה של 15 חודשים, בניכוי ימי מעצרו של הנאשם עד שהחל לרצות את מאסרו בגין התיק הקודם (מיום 29.06.16 עד ליום 13.07.16).</w:t>
      </w:r>
    </w:p>
    <w:p w14:paraId="0FB1C8DE" w14:textId="77777777" w:rsidR="0073334C" w:rsidRDefault="0073334C" w:rsidP="0073334C">
      <w:pPr>
        <w:spacing w:line="360" w:lineRule="auto"/>
        <w:jc w:val="both"/>
        <w:rPr>
          <w:rtl/>
        </w:rPr>
      </w:pPr>
    </w:p>
    <w:p w14:paraId="3273B3FB" w14:textId="77777777" w:rsidR="0073334C" w:rsidRPr="00F07A86" w:rsidRDefault="0073334C" w:rsidP="0073334C">
      <w:pPr>
        <w:spacing w:line="360" w:lineRule="auto"/>
        <w:jc w:val="both"/>
        <w:rPr>
          <w:rtl/>
        </w:rPr>
      </w:pPr>
      <w:r>
        <w:rPr>
          <w:rFonts w:hint="cs"/>
          <w:rtl/>
        </w:rPr>
        <w:t xml:space="preserve">למאסר על תנאי לתקופה של 12 חודשים למשך 3 שנים והתנאי הוא לבל יבצע הנאשם עבירה מסוג פשע לפי </w:t>
      </w:r>
      <w:hyperlink r:id="rId44" w:history="1">
        <w:r w:rsidR="00110756" w:rsidRPr="00110756">
          <w:rPr>
            <w:color w:val="0000FF"/>
            <w:u w:val="single"/>
            <w:rtl/>
          </w:rPr>
          <w:t>סעיף 144</w:t>
        </w:r>
      </w:hyperlink>
      <w:r>
        <w:rPr>
          <w:rFonts w:hint="cs"/>
          <w:rtl/>
        </w:rPr>
        <w:t xml:space="preserve"> ל</w:t>
      </w:r>
      <w:hyperlink r:id="rId45" w:history="1">
        <w:r w:rsidR="005A4FDB" w:rsidRPr="005A4FDB">
          <w:rPr>
            <w:color w:val="0000FF"/>
            <w:u w:val="single"/>
            <w:rtl/>
          </w:rPr>
          <w:t>חוק העונשין</w:t>
        </w:r>
      </w:hyperlink>
      <w:r>
        <w:rPr>
          <w:rFonts w:hint="cs"/>
          <w:rtl/>
        </w:rPr>
        <w:t xml:space="preserve">, התשל"ז-1977 ויורשע בגינה. </w:t>
      </w:r>
    </w:p>
    <w:p w14:paraId="1BCC7B07" w14:textId="77777777" w:rsidR="0073334C" w:rsidRDefault="0073334C" w:rsidP="0073334C">
      <w:pPr>
        <w:spacing w:line="360" w:lineRule="auto"/>
        <w:jc w:val="both"/>
        <w:rPr>
          <w:rtl/>
        </w:rPr>
      </w:pPr>
    </w:p>
    <w:p w14:paraId="0E988307" w14:textId="77777777" w:rsidR="0073334C" w:rsidRDefault="0073334C" w:rsidP="0073334C">
      <w:pPr>
        <w:spacing w:line="360" w:lineRule="auto"/>
        <w:jc w:val="both"/>
        <w:rPr>
          <w:rtl/>
        </w:rPr>
      </w:pPr>
      <w:r>
        <w:rPr>
          <w:rFonts w:hint="cs"/>
          <w:rtl/>
        </w:rPr>
        <w:t xml:space="preserve">למאסר על תנאי לתקופה של 6 חודשים למשך 3 שנים והתנאי הוא לבל יבצע הנאשם עבירה מסוג עוון לפי </w:t>
      </w:r>
      <w:hyperlink r:id="rId46" w:history="1">
        <w:r w:rsidR="00110756" w:rsidRPr="00110756">
          <w:rPr>
            <w:color w:val="0000FF"/>
            <w:u w:val="single"/>
            <w:rtl/>
          </w:rPr>
          <w:t>סעיף 144</w:t>
        </w:r>
      </w:hyperlink>
      <w:r>
        <w:rPr>
          <w:rFonts w:hint="cs"/>
          <w:rtl/>
        </w:rPr>
        <w:t xml:space="preserve"> ל</w:t>
      </w:r>
      <w:hyperlink r:id="rId47" w:history="1">
        <w:r w:rsidR="005A4FDB" w:rsidRPr="005A4FDB">
          <w:rPr>
            <w:color w:val="0000FF"/>
            <w:u w:val="single"/>
            <w:rtl/>
          </w:rPr>
          <w:t>חוק העונשין</w:t>
        </w:r>
      </w:hyperlink>
      <w:r>
        <w:rPr>
          <w:rFonts w:hint="cs"/>
          <w:rtl/>
        </w:rPr>
        <w:t>, התשל"ז-1977 ויורשע בגינה.</w:t>
      </w:r>
    </w:p>
    <w:p w14:paraId="0BE761F6" w14:textId="77777777" w:rsidR="0073334C" w:rsidRDefault="0073334C" w:rsidP="0073334C">
      <w:pPr>
        <w:spacing w:line="360" w:lineRule="auto"/>
        <w:jc w:val="both"/>
        <w:rPr>
          <w:rtl/>
        </w:rPr>
      </w:pPr>
    </w:p>
    <w:p w14:paraId="46A5D99B" w14:textId="77777777" w:rsidR="0073334C" w:rsidRDefault="0073334C" w:rsidP="0073334C">
      <w:pPr>
        <w:spacing w:line="360" w:lineRule="auto"/>
        <w:jc w:val="both"/>
        <w:rPr>
          <w:rtl/>
        </w:rPr>
      </w:pPr>
      <w:r>
        <w:rPr>
          <w:rFonts w:hint="cs"/>
          <w:rtl/>
        </w:rPr>
        <w:t xml:space="preserve">לתשלום קנס בסכום של 15,000 ₪ או 75 ימי מאסר תמורתו. הקנס ישולם עד ליום 15.10.17. </w:t>
      </w:r>
    </w:p>
    <w:p w14:paraId="6399F4D6" w14:textId="77777777" w:rsidR="0073334C" w:rsidRDefault="0073334C" w:rsidP="0073334C">
      <w:pPr>
        <w:spacing w:line="360" w:lineRule="auto"/>
        <w:jc w:val="both"/>
        <w:rPr>
          <w:rtl/>
        </w:rPr>
      </w:pPr>
    </w:p>
    <w:p w14:paraId="2452944E" w14:textId="77777777" w:rsidR="0073334C" w:rsidRDefault="0073334C" w:rsidP="0073334C">
      <w:pPr>
        <w:spacing w:line="360" w:lineRule="auto"/>
        <w:jc w:val="both"/>
        <w:rPr>
          <w:rtl/>
        </w:rPr>
      </w:pPr>
      <w:r>
        <w:rPr>
          <w:rFonts w:hint="cs"/>
          <w:rtl/>
        </w:rPr>
        <w:t xml:space="preserve">המזכירות תמציא העתק מגזר הדין לשירות המבחן. </w:t>
      </w:r>
    </w:p>
    <w:p w14:paraId="0F1030A8" w14:textId="77777777" w:rsidR="0073334C" w:rsidRDefault="0073334C" w:rsidP="0073334C">
      <w:pPr>
        <w:spacing w:line="360" w:lineRule="auto"/>
        <w:jc w:val="both"/>
        <w:rPr>
          <w:rtl/>
        </w:rPr>
      </w:pPr>
    </w:p>
    <w:p w14:paraId="7B2758F8" w14:textId="77777777" w:rsidR="0073334C" w:rsidRPr="00B05847" w:rsidRDefault="0073334C" w:rsidP="0073334C">
      <w:pPr>
        <w:spacing w:line="360" w:lineRule="auto"/>
        <w:jc w:val="both"/>
        <w:rPr>
          <w:rtl/>
        </w:rPr>
      </w:pPr>
      <w:r>
        <w:rPr>
          <w:rFonts w:hint="cs"/>
          <w:rtl/>
        </w:rPr>
        <w:t xml:space="preserve">זכות ערעור לבית המשפט העליון תוך 45 ימים. </w:t>
      </w:r>
    </w:p>
    <w:p w14:paraId="2F8D2E49" w14:textId="77777777" w:rsidR="0073334C" w:rsidRPr="00B05847" w:rsidRDefault="0073334C" w:rsidP="0073334C">
      <w:pPr>
        <w:jc w:val="both"/>
        <w:rPr>
          <w:rtl/>
        </w:rPr>
      </w:pPr>
    </w:p>
    <w:p w14:paraId="56357AAA" w14:textId="77777777" w:rsidR="0073334C" w:rsidRPr="00B05847" w:rsidRDefault="0073334C" w:rsidP="0073334C">
      <w:pPr>
        <w:jc w:val="both"/>
        <w:rPr>
          <w:rtl/>
        </w:rPr>
      </w:pPr>
    </w:p>
    <w:p w14:paraId="5CAFA4EC" w14:textId="77777777" w:rsidR="0073334C" w:rsidRDefault="005A4FDB" w:rsidP="0073334C">
      <w:pPr>
        <w:spacing w:line="360" w:lineRule="auto"/>
        <w:jc w:val="both"/>
        <w:rPr>
          <w:rFonts w:ascii="Arial" w:hAnsi="Arial"/>
          <w:rtl/>
        </w:rPr>
      </w:pPr>
      <w:r w:rsidRPr="005A4FDB">
        <w:rPr>
          <w:rFonts w:ascii="Arial" w:hAnsi="Arial"/>
          <w:color w:val="FFFFFF"/>
          <w:sz w:val="2"/>
          <w:szCs w:val="2"/>
          <w:rtl/>
        </w:rPr>
        <w:t>5129371</w:t>
      </w:r>
      <w:r>
        <w:rPr>
          <w:rFonts w:ascii="Arial" w:hAnsi="Arial"/>
          <w:rtl/>
        </w:rPr>
        <w:t xml:space="preserve">ניתן היום,  ב' שבט תשע"ז, 29 ינואר 2017, במעמד ב"כ המאשימה, עו"ד גויכמן, ב"כ הנאשם, עו"ד </w:t>
      </w:r>
      <w:r w:rsidR="0073334C">
        <w:rPr>
          <w:rFonts w:ascii="Arial" w:hAnsi="Arial" w:hint="cs"/>
          <w:rtl/>
        </w:rPr>
        <w:t>עלי סעדי והנאשם בעצמו (הובא באמצעות שב"ס)</w:t>
      </w:r>
    </w:p>
    <w:p w14:paraId="5956D16B" w14:textId="77777777" w:rsidR="0073334C" w:rsidRPr="005A4FDB" w:rsidRDefault="005A4FDB" w:rsidP="0073334C">
      <w:pPr>
        <w:jc w:val="both"/>
        <w:rPr>
          <w:rFonts w:cs="FrankRuehl"/>
          <w:color w:val="FFFFFF"/>
          <w:sz w:val="2"/>
          <w:szCs w:val="2"/>
          <w:rtl/>
        </w:rPr>
      </w:pPr>
      <w:r w:rsidRPr="005A4FDB">
        <w:rPr>
          <w:rFonts w:cs="FrankRuehl"/>
          <w:color w:val="FFFFFF"/>
          <w:sz w:val="2"/>
          <w:szCs w:val="2"/>
          <w:rtl/>
        </w:rPr>
        <w:t>54678313</w:t>
      </w:r>
    </w:p>
    <w:p w14:paraId="72ACCDFC" w14:textId="77777777" w:rsidR="0073334C" w:rsidRDefault="0073334C" w:rsidP="0073334C">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672DC3" w14:textId="77777777" w:rsidR="0073334C" w:rsidRDefault="0073334C" w:rsidP="0073334C">
      <w:pPr>
        <w:jc w:val="both"/>
        <w:rPr>
          <w:rFonts w:ascii="Arial" w:hAnsi="Arial" w:cs="FrankRuehl"/>
          <w:sz w:val="28"/>
          <w:szCs w:val="28"/>
          <w:rtl/>
        </w:rPr>
      </w:pPr>
    </w:p>
    <w:p w14:paraId="13537D5D" w14:textId="77777777" w:rsidR="0073334C" w:rsidRDefault="0073334C" w:rsidP="0073334C">
      <w:pPr>
        <w:jc w:val="both"/>
        <w:rPr>
          <w:rFonts w:cs="FrankRuehl"/>
          <w:sz w:val="28"/>
          <w:szCs w:val="28"/>
          <w:rtl/>
        </w:rPr>
      </w:pPr>
    </w:p>
    <w:p w14:paraId="04FD255E" w14:textId="77777777" w:rsidR="0073334C" w:rsidRPr="00110756" w:rsidRDefault="00110756" w:rsidP="0073334C">
      <w:pPr>
        <w:pStyle w:val="a3"/>
        <w:jc w:val="both"/>
        <w:rPr>
          <w:color w:val="FFFFFF"/>
          <w:sz w:val="2"/>
          <w:szCs w:val="2"/>
          <w:rtl/>
        </w:rPr>
      </w:pPr>
      <w:r w:rsidRPr="00110756">
        <w:rPr>
          <w:color w:val="FFFFFF"/>
          <w:sz w:val="2"/>
          <w:szCs w:val="2"/>
          <w:rtl/>
        </w:rPr>
        <w:t>5129371</w:t>
      </w:r>
    </w:p>
    <w:p w14:paraId="7E8F2CAF" w14:textId="77777777" w:rsidR="005A4FDB" w:rsidRPr="00110756" w:rsidRDefault="00110756" w:rsidP="005A4FDB">
      <w:pPr>
        <w:keepNext/>
        <w:rPr>
          <w:rFonts w:ascii="David" w:hAnsi="David"/>
          <w:color w:val="FFFFFF"/>
          <w:sz w:val="2"/>
          <w:szCs w:val="2"/>
          <w:rtl/>
        </w:rPr>
      </w:pPr>
      <w:r w:rsidRPr="00110756">
        <w:rPr>
          <w:rFonts w:ascii="David" w:hAnsi="David"/>
          <w:color w:val="FFFFFF"/>
          <w:sz w:val="2"/>
          <w:szCs w:val="2"/>
          <w:rtl/>
        </w:rPr>
        <w:t>54678313</w:t>
      </w:r>
    </w:p>
    <w:p w14:paraId="55B235DA" w14:textId="77777777" w:rsidR="005A4FDB" w:rsidRDefault="005A4FDB" w:rsidP="005A4FDB">
      <w:pPr>
        <w:rPr>
          <w:rtl/>
        </w:rPr>
      </w:pPr>
    </w:p>
    <w:p w14:paraId="30C8C4D6" w14:textId="77777777" w:rsidR="005A4FDB" w:rsidRDefault="005A4FDB" w:rsidP="005A4FDB">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21341B03" w14:textId="77777777" w:rsidR="00110756" w:rsidRPr="00110756" w:rsidRDefault="00110756" w:rsidP="00110756">
      <w:pPr>
        <w:keepNext/>
        <w:rPr>
          <w:rFonts w:ascii="David" w:hAnsi="David"/>
          <w:color w:val="000000"/>
          <w:sz w:val="22"/>
          <w:szCs w:val="22"/>
          <w:rtl/>
        </w:rPr>
      </w:pPr>
    </w:p>
    <w:p w14:paraId="66FD10B0" w14:textId="77777777" w:rsidR="00110756" w:rsidRPr="00110756" w:rsidRDefault="00110756" w:rsidP="00110756">
      <w:pPr>
        <w:keepNext/>
        <w:rPr>
          <w:rFonts w:ascii="David" w:hAnsi="David"/>
          <w:color w:val="000000"/>
          <w:sz w:val="22"/>
          <w:szCs w:val="22"/>
          <w:rtl/>
        </w:rPr>
      </w:pPr>
      <w:r w:rsidRPr="00110756">
        <w:rPr>
          <w:rFonts w:ascii="David" w:hAnsi="David"/>
          <w:color w:val="000000"/>
          <w:sz w:val="22"/>
          <w:szCs w:val="22"/>
          <w:rtl/>
        </w:rPr>
        <w:t>רונית בש 54678313-/</w:t>
      </w:r>
    </w:p>
    <w:p w14:paraId="15761E89" w14:textId="77777777" w:rsidR="00B35717" w:rsidRPr="005A4FDB" w:rsidRDefault="00110756" w:rsidP="00110756">
      <w:pPr>
        <w:rPr>
          <w:color w:val="0000FF"/>
          <w:u w:val="single"/>
        </w:rPr>
      </w:pPr>
      <w:r w:rsidRPr="00110756">
        <w:rPr>
          <w:color w:val="000000"/>
          <w:u w:val="single"/>
          <w:rtl/>
        </w:rPr>
        <w:t>נוסח מסמך זה כפוף לשינויי ניסוח ועריכה</w:t>
      </w:r>
    </w:p>
    <w:sectPr w:rsidR="00B35717" w:rsidRPr="005A4FDB" w:rsidSect="00110756">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0F79D" w14:textId="77777777" w:rsidR="005D3BD5" w:rsidRDefault="005D3BD5">
      <w:r>
        <w:separator/>
      </w:r>
    </w:p>
  </w:endnote>
  <w:endnote w:type="continuationSeparator" w:id="0">
    <w:p w14:paraId="789F9ECA" w14:textId="77777777" w:rsidR="005D3BD5" w:rsidRDefault="005D3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5B6C1" w14:textId="77777777" w:rsidR="00BD1908" w:rsidRDefault="00BD1908" w:rsidP="001107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40F929" w14:textId="77777777" w:rsidR="00BD1908" w:rsidRPr="00110756" w:rsidRDefault="00BD1908" w:rsidP="00110756">
    <w:pPr>
      <w:pStyle w:val="a4"/>
      <w:pBdr>
        <w:top w:val="single" w:sz="4" w:space="1" w:color="auto"/>
        <w:between w:val="single" w:sz="4" w:space="0" w:color="auto"/>
      </w:pBdr>
      <w:spacing w:after="60"/>
      <w:jc w:val="center"/>
      <w:rPr>
        <w:rFonts w:ascii="FrankRuehl" w:hAnsi="FrankRuehl" w:cs="FrankRuehl"/>
        <w:color w:val="000000"/>
      </w:rPr>
    </w:pPr>
    <w:r w:rsidRPr="001107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5BA83" w14:textId="77777777" w:rsidR="00BD1908" w:rsidRDefault="00BD1908" w:rsidP="0011075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15F9">
      <w:rPr>
        <w:rFonts w:ascii="FrankRuehl" w:hAnsi="FrankRuehl" w:cs="FrankRuehl"/>
        <w:noProof/>
        <w:rtl/>
      </w:rPr>
      <w:t>1</w:t>
    </w:r>
    <w:r>
      <w:rPr>
        <w:rFonts w:ascii="FrankRuehl" w:hAnsi="FrankRuehl" w:cs="FrankRuehl"/>
        <w:rtl/>
      </w:rPr>
      <w:fldChar w:fldCharType="end"/>
    </w:r>
  </w:p>
  <w:p w14:paraId="5100F8BF" w14:textId="77777777" w:rsidR="00BD1908" w:rsidRPr="00110756" w:rsidRDefault="00BD1908" w:rsidP="00110756">
    <w:pPr>
      <w:pStyle w:val="a4"/>
      <w:pBdr>
        <w:top w:val="single" w:sz="4" w:space="1" w:color="auto"/>
        <w:between w:val="single" w:sz="4" w:space="0" w:color="auto"/>
      </w:pBdr>
      <w:spacing w:after="60"/>
      <w:jc w:val="center"/>
      <w:rPr>
        <w:rFonts w:ascii="FrankRuehl" w:hAnsi="FrankRuehl" w:cs="FrankRuehl"/>
        <w:color w:val="000000"/>
      </w:rPr>
    </w:pPr>
    <w:r w:rsidRPr="00110756">
      <w:rPr>
        <w:rFonts w:ascii="FrankRuehl" w:hAnsi="FrankRuehl" w:cs="FrankRuehl"/>
        <w:color w:val="000000"/>
      </w:rPr>
      <w:pict w14:anchorId="6913F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3B8D5" w14:textId="77777777" w:rsidR="005D3BD5" w:rsidRDefault="005D3BD5">
      <w:r>
        <w:separator/>
      </w:r>
    </w:p>
  </w:footnote>
  <w:footnote w:type="continuationSeparator" w:id="0">
    <w:p w14:paraId="1410241E" w14:textId="77777777" w:rsidR="005D3BD5" w:rsidRDefault="005D3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860E4" w14:textId="77777777" w:rsidR="00BD1908" w:rsidRPr="00110756" w:rsidRDefault="00BD1908" w:rsidP="001107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42223-07-16</w:t>
    </w:r>
    <w:r>
      <w:rPr>
        <w:rFonts w:ascii="David" w:hAnsi="David"/>
        <w:color w:val="000000"/>
        <w:sz w:val="22"/>
        <w:szCs w:val="22"/>
        <w:rtl/>
      </w:rPr>
      <w:tab/>
      <w:t xml:space="preserve"> מדינת ישראל נ' נידאל בן אחמד מריסאת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63FA4" w14:textId="77777777" w:rsidR="00BD1908" w:rsidRPr="00110756" w:rsidRDefault="00BD1908" w:rsidP="001107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42223-07-16</w:t>
    </w:r>
    <w:r>
      <w:rPr>
        <w:rFonts w:ascii="David" w:hAnsi="David"/>
        <w:color w:val="000000"/>
        <w:sz w:val="22"/>
        <w:szCs w:val="22"/>
        <w:rtl/>
      </w:rPr>
      <w:tab/>
      <w:t xml:space="preserve"> מדינת ישראל נ' נידאל בן אחמד מריסאת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334C"/>
    <w:rsid w:val="00004B4A"/>
    <w:rsid w:val="000258C6"/>
    <w:rsid w:val="00092DB2"/>
    <w:rsid w:val="000A635C"/>
    <w:rsid w:val="000B222D"/>
    <w:rsid w:val="000F3716"/>
    <w:rsid w:val="000F776E"/>
    <w:rsid w:val="00110756"/>
    <w:rsid w:val="00113F3D"/>
    <w:rsid w:val="001163D9"/>
    <w:rsid w:val="00123268"/>
    <w:rsid w:val="0013605C"/>
    <w:rsid w:val="0015154B"/>
    <w:rsid w:val="0017711A"/>
    <w:rsid w:val="00203146"/>
    <w:rsid w:val="002474C9"/>
    <w:rsid w:val="002B1389"/>
    <w:rsid w:val="002D2C1C"/>
    <w:rsid w:val="002E4BA2"/>
    <w:rsid w:val="00327617"/>
    <w:rsid w:val="00365781"/>
    <w:rsid w:val="00371D27"/>
    <w:rsid w:val="00374124"/>
    <w:rsid w:val="003C709F"/>
    <w:rsid w:val="003D65D3"/>
    <w:rsid w:val="003E51B4"/>
    <w:rsid w:val="003F02C5"/>
    <w:rsid w:val="0040600C"/>
    <w:rsid w:val="004D1A95"/>
    <w:rsid w:val="004D5997"/>
    <w:rsid w:val="00533D5C"/>
    <w:rsid w:val="00551C5E"/>
    <w:rsid w:val="005638FB"/>
    <w:rsid w:val="00582ACF"/>
    <w:rsid w:val="00582B08"/>
    <w:rsid w:val="005847C1"/>
    <w:rsid w:val="005A4FDB"/>
    <w:rsid w:val="005B4DDE"/>
    <w:rsid w:val="005D3BD5"/>
    <w:rsid w:val="005E305D"/>
    <w:rsid w:val="00671477"/>
    <w:rsid w:val="006D1E81"/>
    <w:rsid w:val="00710EDB"/>
    <w:rsid w:val="007171C2"/>
    <w:rsid w:val="00720984"/>
    <w:rsid w:val="0073334C"/>
    <w:rsid w:val="007900C5"/>
    <w:rsid w:val="007A15F9"/>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1908"/>
    <w:rsid w:val="00BD5087"/>
    <w:rsid w:val="00BF5C5D"/>
    <w:rsid w:val="00C22EAD"/>
    <w:rsid w:val="00C25259"/>
    <w:rsid w:val="00C303EF"/>
    <w:rsid w:val="00C66536"/>
    <w:rsid w:val="00C6661F"/>
    <w:rsid w:val="00C9418A"/>
    <w:rsid w:val="00D07488"/>
    <w:rsid w:val="00D11A80"/>
    <w:rsid w:val="00D308EF"/>
    <w:rsid w:val="00D357B5"/>
    <w:rsid w:val="00D40041"/>
    <w:rsid w:val="00D56203"/>
    <w:rsid w:val="00D807AC"/>
    <w:rsid w:val="00DD36BA"/>
    <w:rsid w:val="00DE1662"/>
    <w:rsid w:val="00E45CCB"/>
    <w:rsid w:val="00E61C95"/>
    <w:rsid w:val="00EA60CD"/>
    <w:rsid w:val="00EE2A1B"/>
    <w:rsid w:val="00F274FE"/>
    <w:rsid w:val="00FB32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B609AA"/>
  <w15:chartTrackingRefBased/>
  <w15:docId w15:val="{3C8CD98F-2492-47FD-B51F-4117B27B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334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3334C"/>
    <w:pPr>
      <w:tabs>
        <w:tab w:val="center" w:pos="4153"/>
        <w:tab w:val="right" w:pos="8306"/>
      </w:tabs>
    </w:pPr>
  </w:style>
  <w:style w:type="paragraph" w:styleId="a4">
    <w:name w:val="footer"/>
    <w:basedOn w:val="a"/>
    <w:rsid w:val="0073334C"/>
    <w:pPr>
      <w:tabs>
        <w:tab w:val="center" w:pos="4153"/>
        <w:tab w:val="right" w:pos="8306"/>
      </w:tabs>
    </w:pPr>
  </w:style>
  <w:style w:type="character" w:styleId="a5">
    <w:name w:val="page number"/>
    <w:basedOn w:val="a0"/>
    <w:rsid w:val="0073334C"/>
  </w:style>
  <w:style w:type="character" w:customStyle="1" w:styleId="TimesNewRomanTimesNewRoman">
    <w:name w:val="סגנון (לטיני) Times New Roman (עברית ושפות אחרות) Times New Roman..."/>
    <w:rsid w:val="0073334C"/>
    <w:rPr>
      <w:rFonts w:ascii="Times New Roman" w:hAnsi="Times New Roman" w:cs="David" w:hint="default"/>
      <w:b/>
      <w:bCs/>
      <w:sz w:val="26"/>
      <w:szCs w:val="26"/>
    </w:rPr>
  </w:style>
  <w:style w:type="character" w:styleId="Hyperlink">
    <w:name w:val="Hyperlink"/>
    <w:rsid w:val="005A4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 TargetMode="External"/><Relationship Id="rId34" Type="http://schemas.openxmlformats.org/officeDocument/2006/relationships/hyperlink" Target="http://www.nevo.co.il/case/5601503"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9" Type="http://schemas.openxmlformats.org/officeDocument/2006/relationships/hyperlink" Target="http://www.nevo.co.il/case/6243627"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40i" TargetMode="External"/><Relationship Id="rId37" Type="http://schemas.openxmlformats.org/officeDocument/2006/relationships/hyperlink" Target="http://www.nevo.co.il/case/7840699" TargetMode="External"/><Relationship Id="rId40" Type="http://schemas.openxmlformats.org/officeDocument/2006/relationships/hyperlink" Target="http://www.nevo.co.il/case/5587527"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40c" TargetMode="External"/><Relationship Id="rId19"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44"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b"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c" TargetMode="External"/><Relationship Id="rId35" Type="http://schemas.openxmlformats.org/officeDocument/2006/relationships/hyperlink" Target="http://www.nevo.co.il/case/6034921" TargetMode="External"/><Relationship Id="rId43" Type="http://schemas.openxmlformats.org/officeDocument/2006/relationships/hyperlink" Target="http://www.nevo.co.il/case/768711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32"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2"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2" TargetMode="External"/><Relationship Id="rId46" Type="http://schemas.openxmlformats.org/officeDocument/2006/relationships/hyperlink" Target="http://www.nevo.co.il/law/70301/144"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40ja"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864329"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2888</Words>
  <Characters>14443</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17297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3735668</vt:i4>
      </vt:variant>
      <vt:variant>
        <vt:i4>111</vt:i4>
      </vt:variant>
      <vt:variant>
        <vt:i4>0</vt:i4>
      </vt:variant>
      <vt:variant>
        <vt:i4>5</vt:i4>
      </vt:variant>
      <vt:variant>
        <vt:lpwstr>http://www.nevo.co.il/case/7687117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4128884</vt:i4>
      </vt:variant>
      <vt:variant>
        <vt:i4>102</vt:i4>
      </vt:variant>
      <vt:variant>
        <vt:i4>0</vt:i4>
      </vt:variant>
      <vt:variant>
        <vt:i4>5</vt:i4>
      </vt:variant>
      <vt:variant>
        <vt:lpwstr>http://www.nevo.co.il/case/5587527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6750310</vt:i4>
      </vt:variant>
      <vt:variant>
        <vt:i4>96</vt:i4>
      </vt:variant>
      <vt:variant>
        <vt:i4>0</vt:i4>
      </vt:variant>
      <vt:variant>
        <vt:i4>5</vt:i4>
      </vt:variant>
      <vt:variant>
        <vt:lpwstr>http://www.nevo.co.il/law/70301/32</vt:lpwstr>
      </vt:variant>
      <vt:variant>
        <vt:lpwstr/>
      </vt:variant>
      <vt:variant>
        <vt:i4>3932277</vt:i4>
      </vt:variant>
      <vt:variant>
        <vt:i4>93</vt:i4>
      </vt:variant>
      <vt:variant>
        <vt:i4>0</vt:i4>
      </vt:variant>
      <vt:variant>
        <vt:i4>5</vt:i4>
      </vt:variant>
      <vt:variant>
        <vt:lpwstr>http://www.nevo.co.il/case/7840699</vt:lpwstr>
      </vt:variant>
      <vt:variant>
        <vt:lpwstr/>
      </vt:variant>
      <vt:variant>
        <vt:i4>3801210</vt:i4>
      </vt:variant>
      <vt:variant>
        <vt:i4>90</vt:i4>
      </vt:variant>
      <vt:variant>
        <vt:i4>0</vt:i4>
      </vt:variant>
      <vt:variant>
        <vt:i4>5</vt:i4>
      </vt:variant>
      <vt:variant>
        <vt:lpwstr>http://www.nevo.co.il/case/6864329</vt:lpwstr>
      </vt:variant>
      <vt:variant>
        <vt:lpwstr/>
      </vt:variant>
      <vt:variant>
        <vt:i4>3997810</vt:i4>
      </vt:variant>
      <vt:variant>
        <vt:i4>87</vt:i4>
      </vt:variant>
      <vt:variant>
        <vt:i4>0</vt:i4>
      </vt:variant>
      <vt:variant>
        <vt:i4>5</vt:i4>
      </vt:variant>
      <vt:variant>
        <vt:lpwstr>http://www.nevo.co.il/case/6034921</vt:lpwstr>
      </vt:variant>
      <vt:variant>
        <vt:lpwstr/>
      </vt:variant>
      <vt:variant>
        <vt:i4>3342451</vt:i4>
      </vt:variant>
      <vt:variant>
        <vt:i4>84</vt:i4>
      </vt:variant>
      <vt:variant>
        <vt:i4>0</vt:i4>
      </vt:variant>
      <vt:variant>
        <vt:i4>5</vt:i4>
      </vt:variant>
      <vt:variant>
        <vt:lpwstr>http://www.nevo.co.il/case/5601503</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6357092</vt:i4>
      </vt:variant>
      <vt:variant>
        <vt:i4>45</vt:i4>
      </vt:variant>
      <vt:variant>
        <vt:i4>0</vt:i4>
      </vt:variant>
      <vt:variant>
        <vt:i4>5</vt:i4>
      </vt:variant>
      <vt:variant>
        <vt:lpwstr>http://www.nevo.co.il/law/70301/144</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6750310</vt:i4>
      </vt:variant>
      <vt:variant>
        <vt:i4>33</vt:i4>
      </vt:variant>
      <vt:variant>
        <vt:i4>0</vt:i4>
      </vt:variant>
      <vt:variant>
        <vt:i4>5</vt:i4>
      </vt:variant>
      <vt:variant>
        <vt:lpwstr>http://www.nevo.co.il/law/70301/32</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7995492</vt:i4>
      </vt:variant>
      <vt:variant>
        <vt:i4>27</vt:i4>
      </vt:variant>
      <vt:variant>
        <vt:i4>0</vt:i4>
      </vt:variant>
      <vt:variant>
        <vt:i4>5</vt:i4>
      </vt:variant>
      <vt:variant>
        <vt:lpwstr>http://www.nevo.co.il/law/70301</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6750310</vt:i4>
      </vt:variant>
      <vt:variant>
        <vt:i4>6</vt:i4>
      </vt:variant>
      <vt:variant>
        <vt:i4>0</vt:i4>
      </vt:variant>
      <vt:variant>
        <vt:i4>5</vt:i4>
      </vt:variant>
      <vt:variant>
        <vt:lpwstr>http://www.nevo.co.il/law/70301/32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42223</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נידאל בן אחמד מריסאת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20170129</vt:lpwstr>
  </property>
  <property fmtid="{D5CDD505-2E9C-101B-9397-08002B2CF9AE}" pid="13" name="TYPE_N_DATE">
    <vt:lpwstr>39020170129</vt:lpwstr>
  </property>
  <property fmtid="{D5CDD505-2E9C-101B-9397-08002B2CF9AE}" pid="14" name="WORDNUMPAGES">
    <vt:lpwstr>8</vt:lpwstr>
  </property>
  <property fmtid="{D5CDD505-2E9C-101B-9397-08002B2CF9AE}" pid="15" name="TYPE_ABS_DATE">
    <vt:lpwstr>390020170129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6243627;6034921;6864329;7840699;5587527;7687117</vt:lpwstr>
  </property>
  <property fmtid="{D5CDD505-2E9C-101B-9397-08002B2CF9AE}" pid="36" name="LAWLISTTMP1">
    <vt:lpwstr>70301/029;032;040b;040c;040i;144:2;144.b;40ja</vt:lpwstr>
  </property>
</Properties>
</file>