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67"/>
        <w:gridCol w:w="3613"/>
      </w:tblGrid>
      <w:tr w:rsidR="00106D64" w:rsidRPr="00EB66B3" w14:paraId="38136869" w14:textId="77777777" w:rsidTr="00FF4D23">
        <w:trPr>
          <w:trHeight w:hRule="exact" w:val="418"/>
          <w:jc w:val="center"/>
        </w:trPr>
        <w:tc>
          <w:tcPr>
            <w:tcW w:w="8580" w:type="dxa"/>
            <w:gridSpan w:val="2"/>
          </w:tcPr>
          <w:p w14:paraId="6931D709" w14:textId="77777777" w:rsidR="00106D64" w:rsidRPr="00EB66B3" w:rsidRDefault="00106D64" w:rsidP="004769E4">
            <w:pPr>
              <w:pStyle w:val="a3"/>
              <w:jc w:val="center"/>
              <w:rPr>
                <w:rFonts w:ascii="Tahoma" w:hAnsi="Tahoma" w:cs="Tahoma"/>
                <w:color w:val="000080"/>
                <w:rtl/>
              </w:rPr>
            </w:pPr>
            <w:r w:rsidRPr="00EB66B3">
              <w:rPr>
                <w:rFonts w:ascii="Tahoma" w:hAnsi="Tahoma" w:cs="Tahoma"/>
                <w:b/>
                <w:bCs/>
                <w:color w:val="000080"/>
                <w:rtl/>
              </w:rPr>
              <w:t>בית המשפט המחוזי בירושלים</w:t>
            </w:r>
          </w:p>
        </w:tc>
      </w:tr>
      <w:tr w:rsidR="00106D64" w:rsidRPr="00EB66B3" w14:paraId="5D1E51B6" w14:textId="77777777" w:rsidTr="00FF4D23">
        <w:trPr>
          <w:trHeight w:val="337"/>
          <w:jc w:val="center"/>
        </w:trPr>
        <w:tc>
          <w:tcPr>
            <w:tcW w:w="4967" w:type="dxa"/>
          </w:tcPr>
          <w:p w14:paraId="5B994C73" w14:textId="77777777" w:rsidR="00106D64" w:rsidRPr="00EB66B3" w:rsidRDefault="00106D64" w:rsidP="004769E4">
            <w:pPr>
              <w:rPr>
                <w:b/>
                <w:bCs/>
                <w:sz w:val="28"/>
                <w:szCs w:val="28"/>
                <w:rtl/>
              </w:rPr>
            </w:pPr>
            <w:r w:rsidRPr="00EB66B3">
              <w:rPr>
                <w:rFonts w:hint="cs"/>
                <w:b/>
                <w:bCs/>
                <w:sz w:val="28"/>
                <w:szCs w:val="28"/>
                <w:rtl/>
              </w:rPr>
              <w:t>לפני כב' השופט רפי כרמל, אב"ד</w:t>
            </w:r>
          </w:p>
          <w:p w14:paraId="2316BC7C" w14:textId="77777777" w:rsidR="00106D64" w:rsidRPr="00EB66B3" w:rsidRDefault="00106D64" w:rsidP="004769E4">
            <w:pPr>
              <w:rPr>
                <w:b/>
                <w:bCs/>
                <w:sz w:val="28"/>
                <w:szCs w:val="28"/>
                <w:rtl/>
              </w:rPr>
            </w:pPr>
            <w:r w:rsidRPr="00EB66B3">
              <w:rPr>
                <w:rFonts w:hint="cs"/>
                <w:b/>
                <w:bCs/>
                <w:sz w:val="28"/>
                <w:szCs w:val="28"/>
                <w:rtl/>
              </w:rPr>
              <w:t xml:space="preserve">       כב' השופט כרמי מוסק</w:t>
            </w:r>
          </w:p>
          <w:p w14:paraId="3A499952" w14:textId="77777777" w:rsidR="00106D64" w:rsidRPr="00EB66B3" w:rsidRDefault="00106D64" w:rsidP="004769E4">
            <w:pPr>
              <w:rPr>
                <w:b/>
                <w:bCs/>
                <w:sz w:val="28"/>
                <w:szCs w:val="28"/>
              </w:rPr>
            </w:pPr>
            <w:r w:rsidRPr="00EB66B3">
              <w:rPr>
                <w:rFonts w:hint="cs"/>
                <w:b/>
                <w:bCs/>
                <w:sz w:val="28"/>
                <w:szCs w:val="28"/>
                <w:rtl/>
              </w:rPr>
              <w:t xml:space="preserve">       כב' השופטת שירלי רנר</w:t>
            </w:r>
          </w:p>
          <w:p w14:paraId="348BA213" w14:textId="77777777" w:rsidR="00106D64" w:rsidRPr="00EB66B3" w:rsidRDefault="00106D64" w:rsidP="004769E4">
            <w:pPr>
              <w:rPr>
                <w:rFonts w:cs="FrankRuehl"/>
                <w:sz w:val="28"/>
                <w:szCs w:val="28"/>
                <w:rtl/>
              </w:rPr>
            </w:pPr>
          </w:p>
          <w:p w14:paraId="6BD59116" w14:textId="77777777" w:rsidR="00106D64" w:rsidRPr="00EB66B3" w:rsidRDefault="00106D64" w:rsidP="004769E4">
            <w:pPr>
              <w:pStyle w:val="a3"/>
              <w:rPr>
                <w:rFonts w:cs="FrankRuehl"/>
                <w:sz w:val="28"/>
                <w:szCs w:val="28"/>
                <w:rtl/>
              </w:rPr>
            </w:pPr>
          </w:p>
        </w:tc>
        <w:tc>
          <w:tcPr>
            <w:tcW w:w="3613" w:type="dxa"/>
          </w:tcPr>
          <w:p w14:paraId="7B2BDF31" w14:textId="77777777" w:rsidR="00106D64" w:rsidRPr="00EB66B3" w:rsidRDefault="00106D64" w:rsidP="004769E4">
            <w:pPr>
              <w:pStyle w:val="a3"/>
              <w:jc w:val="right"/>
              <w:rPr>
                <w:rFonts w:cs="FrankRuehl"/>
                <w:sz w:val="28"/>
                <w:szCs w:val="28"/>
                <w:rtl/>
              </w:rPr>
            </w:pPr>
            <w:r w:rsidRPr="00EB66B3">
              <w:rPr>
                <w:rFonts w:cs="FrankRuehl"/>
                <w:sz w:val="28"/>
                <w:szCs w:val="28"/>
                <w:rtl/>
              </w:rPr>
              <w:t>תפ"ח</w:t>
            </w:r>
            <w:r w:rsidRPr="00EB66B3">
              <w:rPr>
                <w:rFonts w:cs="FrankRuehl" w:hint="cs"/>
                <w:sz w:val="28"/>
                <w:szCs w:val="28"/>
                <w:rtl/>
              </w:rPr>
              <w:t xml:space="preserve"> </w:t>
            </w:r>
            <w:r w:rsidRPr="00EB66B3">
              <w:rPr>
                <w:rFonts w:cs="FrankRuehl"/>
                <w:sz w:val="28"/>
                <w:szCs w:val="28"/>
                <w:rtl/>
              </w:rPr>
              <w:t>45473-08-16</w:t>
            </w:r>
          </w:p>
        </w:tc>
      </w:tr>
    </w:tbl>
    <w:p w14:paraId="6F319725" w14:textId="77777777" w:rsidR="00106D64" w:rsidRPr="00EB66B3" w:rsidRDefault="00106D64" w:rsidP="00106D64">
      <w:pPr>
        <w:pStyle w:val="a3"/>
        <w:rPr>
          <w:rtl/>
        </w:rPr>
      </w:pPr>
      <w:bookmarkStart w:id="0" w:name="LastJudge"/>
      <w:bookmarkEnd w:id="0"/>
      <w:r w:rsidRPr="00EB66B3">
        <w:rPr>
          <w:rFonts w:hint="cs"/>
          <w:rtl/>
        </w:rPr>
        <w:t xml:space="preserve"> </w:t>
      </w:r>
    </w:p>
    <w:p w14:paraId="5C805316" w14:textId="77777777" w:rsidR="00106D64" w:rsidRPr="00EB66B3" w:rsidRDefault="00106D64" w:rsidP="00106D64">
      <w:pPr>
        <w:rPr>
          <w:rtl/>
        </w:rPr>
      </w:pPr>
    </w:p>
    <w:p w14:paraId="42005B84" w14:textId="77777777" w:rsidR="00106D64" w:rsidRPr="00EB66B3" w:rsidRDefault="00106D64" w:rsidP="00106D64">
      <w:pPr>
        <w:rPr>
          <w:rtl/>
        </w:rPr>
      </w:pPr>
    </w:p>
    <w:tbl>
      <w:tblPr>
        <w:bidiVisual/>
        <w:tblW w:w="8802" w:type="dxa"/>
        <w:tblInd w:w="-28" w:type="dxa"/>
        <w:tblLook w:val="01E0" w:firstRow="1" w:lastRow="1" w:firstColumn="1" w:lastColumn="1" w:noHBand="0" w:noVBand="0"/>
      </w:tblPr>
      <w:tblGrid>
        <w:gridCol w:w="2880"/>
        <w:gridCol w:w="5922"/>
      </w:tblGrid>
      <w:tr w:rsidR="00106D64" w:rsidRPr="00EB66B3" w14:paraId="31C19FEB" w14:textId="77777777" w:rsidTr="00106D64">
        <w:tc>
          <w:tcPr>
            <w:tcW w:w="2880" w:type="dxa"/>
            <w:shd w:val="clear" w:color="auto" w:fill="auto"/>
          </w:tcPr>
          <w:p w14:paraId="22C3BFB4" w14:textId="77777777" w:rsidR="00106D64" w:rsidRPr="00EB66B3" w:rsidRDefault="00106D64" w:rsidP="00106D64">
            <w:pPr>
              <w:spacing w:line="480" w:lineRule="auto"/>
              <w:ind w:left="26"/>
              <w:rPr>
                <w:b/>
                <w:bCs/>
                <w:sz w:val="26"/>
                <w:szCs w:val="26"/>
              </w:rPr>
            </w:pPr>
            <w:bookmarkStart w:id="1" w:name="FirstAppellant"/>
            <w:r w:rsidRPr="00EB66B3">
              <w:rPr>
                <w:rFonts w:hint="cs"/>
                <w:b/>
                <w:bCs/>
                <w:sz w:val="26"/>
                <w:szCs w:val="26"/>
                <w:rtl/>
              </w:rPr>
              <w:t>המאשימה</w:t>
            </w:r>
          </w:p>
        </w:tc>
        <w:tc>
          <w:tcPr>
            <w:tcW w:w="5922" w:type="dxa"/>
            <w:shd w:val="clear" w:color="auto" w:fill="auto"/>
          </w:tcPr>
          <w:p w14:paraId="4A9E33AF" w14:textId="77777777" w:rsidR="00106D64" w:rsidRPr="00EB66B3" w:rsidRDefault="00106D64" w:rsidP="00106D64">
            <w:pPr>
              <w:spacing w:line="480" w:lineRule="auto"/>
              <w:rPr>
                <w:b/>
                <w:bCs/>
                <w:sz w:val="26"/>
                <w:szCs w:val="26"/>
                <w:rtl/>
              </w:rPr>
            </w:pPr>
            <w:r w:rsidRPr="00EB66B3">
              <w:rPr>
                <w:rFonts w:hint="cs"/>
                <w:b/>
                <w:bCs/>
                <w:sz w:val="26"/>
                <w:szCs w:val="26"/>
                <w:rtl/>
              </w:rPr>
              <w:t xml:space="preserve"> מדינת ישראל</w:t>
            </w:r>
          </w:p>
          <w:p w14:paraId="32318B81" w14:textId="77777777" w:rsidR="00106D64" w:rsidRPr="00EB66B3" w:rsidRDefault="00106D64" w:rsidP="00106D64">
            <w:pPr>
              <w:spacing w:line="480" w:lineRule="auto"/>
              <w:rPr>
                <w:b/>
                <w:bCs/>
                <w:sz w:val="26"/>
                <w:szCs w:val="26"/>
                <w:rtl/>
              </w:rPr>
            </w:pPr>
            <w:r w:rsidRPr="00EB66B3">
              <w:rPr>
                <w:rFonts w:hint="cs"/>
                <w:b/>
                <w:bCs/>
                <w:sz w:val="26"/>
                <w:szCs w:val="26"/>
                <w:rtl/>
              </w:rPr>
              <w:t>באמצעות פרקליטות מחוז ירושלים</w:t>
            </w:r>
          </w:p>
        </w:tc>
      </w:tr>
      <w:bookmarkEnd w:id="1"/>
      <w:tr w:rsidR="00106D64" w:rsidRPr="00EB66B3" w14:paraId="593E9EA0" w14:textId="77777777" w:rsidTr="00106D64">
        <w:tc>
          <w:tcPr>
            <w:tcW w:w="8802" w:type="dxa"/>
            <w:gridSpan w:val="2"/>
            <w:shd w:val="clear" w:color="auto" w:fill="auto"/>
          </w:tcPr>
          <w:p w14:paraId="6C20BBDB" w14:textId="77777777" w:rsidR="00106D64" w:rsidRPr="00EB66B3" w:rsidRDefault="00106D64" w:rsidP="00106D64">
            <w:pPr>
              <w:spacing w:line="480" w:lineRule="auto"/>
              <w:jc w:val="both"/>
              <w:rPr>
                <w:rFonts w:ascii="Arial" w:hAnsi="Arial"/>
                <w:b/>
                <w:bCs/>
                <w:sz w:val="26"/>
                <w:szCs w:val="26"/>
                <w:rtl/>
              </w:rPr>
            </w:pPr>
          </w:p>
          <w:p w14:paraId="3ED3B752" w14:textId="77777777" w:rsidR="00106D64" w:rsidRPr="00EB66B3" w:rsidRDefault="00106D64" w:rsidP="00106D64">
            <w:pPr>
              <w:spacing w:line="480" w:lineRule="auto"/>
              <w:jc w:val="center"/>
              <w:rPr>
                <w:rFonts w:ascii="Arial" w:hAnsi="Arial"/>
                <w:b/>
                <w:bCs/>
                <w:sz w:val="26"/>
                <w:szCs w:val="26"/>
                <w:rtl/>
              </w:rPr>
            </w:pPr>
            <w:r w:rsidRPr="00EB66B3">
              <w:rPr>
                <w:rFonts w:ascii="Arial" w:hAnsi="Arial" w:hint="cs"/>
                <w:b/>
                <w:bCs/>
                <w:sz w:val="26"/>
                <w:szCs w:val="26"/>
                <w:rtl/>
              </w:rPr>
              <w:t>נגד</w:t>
            </w:r>
          </w:p>
          <w:p w14:paraId="5B2C9AE1" w14:textId="77777777" w:rsidR="00106D64" w:rsidRPr="00EB66B3" w:rsidRDefault="00106D64" w:rsidP="00106D64">
            <w:pPr>
              <w:spacing w:line="480" w:lineRule="auto"/>
              <w:jc w:val="center"/>
              <w:rPr>
                <w:rFonts w:ascii="Arial" w:hAnsi="Arial"/>
                <w:b/>
                <w:bCs/>
                <w:sz w:val="26"/>
                <w:szCs w:val="26"/>
                <w:rtl/>
              </w:rPr>
            </w:pPr>
          </w:p>
        </w:tc>
      </w:tr>
      <w:tr w:rsidR="00106D64" w:rsidRPr="00EB66B3" w14:paraId="7FA8CE3E" w14:textId="77777777" w:rsidTr="00106D64">
        <w:tc>
          <w:tcPr>
            <w:tcW w:w="2880" w:type="dxa"/>
            <w:shd w:val="clear" w:color="auto" w:fill="auto"/>
          </w:tcPr>
          <w:p w14:paraId="525847C0" w14:textId="77777777" w:rsidR="00106D64" w:rsidRPr="00EB66B3" w:rsidRDefault="00106D64" w:rsidP="00106D64">
            <w:pPr>
              <w:spacing w:line="480" w:lineRule="auto"/>
              <w:ind w:left="26"/>
              <w:rPr>
                <w:b/>
                <w:bCs/>
                <w:sz w:val="26"/>
                <w:szCs w:val="26"/>
              </w:rPr>
            </w:pPr>
            <w:bookmarkStart w:id="2" w:name="FirstLawyer"/>
            <w:r w:rsidRPr="00EB66B3">
              <w:rPr>
                <w:rFonts w:hint="cs"/>
                <w:b/>
                <w:bCs/>
                <w:sz w:val="26"/>
                <w:szCs w:val="26"/>
                <w:rtl/>
              </w:rPr>
              <w:t>הנאשם</w:t>
            </w:r>
          </w:p>
        </w:tc>
        <w:tc>
          <w:tcPr>
            <w:tcW w:w="5922" w:type="dxa"/>
            <w:shd w:val="clear" w:color="auto" w:fill="auto"/>
          </w:tcPr>
          <w:p w14:paraId="1FC5729C" w14:textId="77777777" w:rsidR="00106D64" w:rsidRPr="00EB66B3" w:rsidRDefault="00106D64" w:rsidP="00106D64">
            <w:pPr>
              <w:spacing w:line="480" w:lineRule="auto"/>
              <w:rPr>
                <w:b/>
                <w:bCs/>
                <w:sz w:val="26"/>
                <w:szCs w:val="26"/>
                <w:rtl/>
              </w:rPr>
            </w:pPr>
            <w:r w:rsidRPr="00EB66B3">
              <w:rPr>
                <w:rFonts w:hint="cs"/>
                <w:b/>
                <w:bCs/>
                <w:sz w:val="26"/>
                <w:szCs w:val="26"/>
                <w:rtl/>
              </w:rPr>
              <w:t xml:space="preserve">אלמנתסר אללה קראעין </w:t>
            </w:r>
          </w:p>
          <w:p w14:paraId="74CA86B0" w14:textId="77777777" w:rsidR="00106D64" w:rsidRPr="00EB66B3" w:rsidRDefault="00106D64" w:rsidP="00106D64">
            <w:pPr>
              <w:spacing w:line="480" w:lineRule="auto"/>
              <w:rPr>
                <w:b/>
                <w:bCs/>
                <w:sz w:val="26"/>
                <w:szCs w:val="26"/>
                <w:rtl/>
              </w:rPr>
            </w:pPr>
            <w:r w:rsidRPr="00EB66B3">
              <w:rPr>
                <w:rFonts w:hint="cs"/>
                <w:b/>
                <w:bCs/>
                <w:sz w:val="26"/>
                <w:szCs w:val="26"/>
                <w:rtl/>
              </w:rPr>
              <w:t>ע"י ב"כ עו"ד גיורא זילברשטיין</w:t>
            </w:r>
          </w:p>
          <w:p w14:paraId="189DFABC" w14:textId="77777777" w:rsidR="00106D64" w:rsidRPr="00EB66B3" w:rsidRDefault="00106D64" w:rsidP="00106D64">
            <w:pPr>
              <w:spacing w:line="480" w:lineRule="auto"/>
              <w:rPr>
                <w:b/>
                <w:bCs/>
                <w:sz w:val="26"/>
                <w:szCs w:val="26"/>
                <w:rtl/>
              </w:rPr>
            </w:pPr>
          </w:p>
        </w:tc>
      </w:tr>
    </w:tbl>
    <w:p w14:paraId="09FD1976" w14:textId="77777777" w:rsidR="00A4383B" w:rsidRDefault="00A4383B" w:rsidP="00106D64">
      <w:pPr>
        <w:rPr>
          <w:rtl/>
        </w:rPr>
      </w:pPr>
      <w:bookmarkStart w:id="3" w:name="LawTable"/>
      <w:bookmarkEnd w:id="2"/>
      <w:bookmarkEnd w:id="3"/>
    </w:p>
    <w:p w14:paraId="4DC67DF0" w14:textId="77777777" w:rsidR="00A4383B" w:rsidRPr="00A4383B" w:rsidRDefault="00A4383B" w:rsidP="00A4383B">
      <w:pPr>
        <w:spacing w:after="120" w:line="240" w:lineRule="exact"/>
        <w:ind w:left="283" w:hanging="283"/>
        <w:jc w:val="both"/>
        <w:rPr>
          <w:rFonts w:ascii="FrankRuehl" w:hAnsi="FrankRuehl" w:cs="FrankRuehl"/>
          <w:rtl/>
        </w:rPr>
      </w:pPr>
    </w:p>
    <w:p w14:paraId="52DA3142" w14:textId="77777777" w:rsidR="00A4383B" w:rsidRPr="00A4383B" w:rsidRDefault="00A4383B" w:rsidP="00A4383B">
      <w:pPr>
        <w:spacing w:after="120" w:line="240" w:lineRule="exact"/>
        <w:ind w:left="283" w:hanging="283"/>
        <w:jc w:val="both"/>
        <w:rPr>
          <w:rFonts w:ascii="FrankRuehl" w:hAnsi="FrankRuehl" w:cs="FrankRuehl"/>
          <w:rtl/>
        </w:rPr>
      </w:pPr>
      <w:r w:rsidRPr="00A4383B">
        <w:rPr>
          <w:rFonts w:ascii="FrankRuehl" w:hAnsi="FrankRuehl" w:cs="FrankRuehl"/>
          <w:rtl/>
        </w:rPr>
        <w:t xml:space="preserve">חקיקה שאוזכרה: </w:t>
      </w:r>
    </w:p>
    <w:p w14:paraId="17A09F59" w14:textId="77777777" w:rsidR="00A4383B" w:rsidRPr="00A4383B" w:rsidRDefault="00A4383B" w:rsidP="00A4383B">
      <w:pPr>
        <w:spacing w:after="120" w:line="240" w:lineRule="exact"/>
        <w:ind w:left="283" w:hanging="283"/>
        <w:jc w:val="both"/>
        <w:rPr>
          <w:rFonts w:ascii="FrankRuehl" w:hAnsi="FrankRuehl" w:cs="FrankRuehl"/>
          <w:rtl/>
        </w:rPr>
      </w:pPr>
      <w:hyperlink r:id="rId6" w:history="1">
        <w:r w:rsidRPr="00A4383B">
          <w:rPr>
            <w:rFonts w:ascii="FrankRuehl" w:hAnsi="FrankRuehl" w:cs="FrankRuehl"/>
            <w:color w:val="0000FF"/>
            <w:u w:val="single"/>
            <w:rtl/>
          </w:rPr>
          <w:t>חוק העונשין, תשל"ז-1977</w:t>
        </w:r>
      </w:hyperlink>
      <w:r w:rsidRPr="00A4383B">
        <w:rPr>
          <w:rFonts w:ascii="FrankRuehl" w:hAnsi="FrankRuehl" w:cs="FrankRuehl"/>
          <w:rtl/>
        </w:rPr>
        <w:t xml:space="preserve">: סע'  </w:t>
      </w:r>
      <w:hyperlink r:id="rId7" w:history="1">
        <w:r w:rsidRPr="00A4383B">
          <w:rPr>
            <w:rFonts w:ascii="FrankRuehl" w:hAnsi="FrankRuehl" w:cs="FrankRuehl"/>
            <w:color w:val="0000FF"/>
            <w:u w:val="single"/>
            <w:rtl/>
          </w:rPr>
          <w:t>5(א)</w:t>
        </w:r>
      </w:hyperlink>
      <w:r w:rsidRPr="00A4383B">
        <w:rPr>
          <w:rFonts w:ascii="FrankRuehl" w:hAnsi="FrankRuehl" w:cs="FrankRuehl"/>
          <w:rtl/>
        </w:rPr>
        <w:t xml:space="preserve">, </w:t>
      </w:r>
      <w:hyperlink r:id="rId8" w:history="1">
        <w:r w:rsidRPr="00A4383B">
          <w:rPr>
            <w:rFonts w:ascii="FrankRuehl" w:hAnsi="FrankRuehl" w:cs="FrankRuehl"/>
            <w:color w:val="0000FF"/>
            <w:u w:val="single"/>
            <w:rtl/>
          </w:rPr>
          <w:t>34 ח'</w:t>
        </w:r>
      </w:hyperlink>
      <w:r w:rsidRPr="00A4383B">
        <w:rPr>
          <w:rFonts w:ascii="FrankRuehl" w:hAnsi="FrankRuehl" w:cs="FrankRuehl"/>
          <w:rtl/>
        </w:rPr>
        <w:t xml:space="preserve">, </w:t>
      </w:r>
      <w:hyperlink r:id="rId9" w:history="1">
        <w:r w:rsidRPr="00A4383B">
          <w:rPr>
            <w:rFonts w:ascii="FrankRuehl" w:hAnsi="FrankRuehl" w:cs="FrankRuehl"/>
            <w:color w:val="0000FF"/>
            <w:u w:val="single"/>
            <w:rtl/>
          </w:rPr>
          <w:t>34ט'</w:t>
        </w:r>
      </w:hyperlink>
      <w:r w:rsidRPr="00A4383B">
        <w:rPr>
          <w:rFonts w:ascii="FrankRuehl" w:hAnsi="FrankRuehl" w:cs="FrankRuehl"/>
          <w:rtl/>
        </w:rPr>
        <w:t xml:space="preserve">, </w:t>
      </w:r>
      <w:hyperlink r:id="rId10" w:history="1">
        <w:r w:rsidRPr="00A4383B">
          <w:rPr>
            <w:rFonts w:ascii="FrankRuehl" w:hAnsi="FrankRuehl" w:cs="FrankRuehl"/>
            <w:color w:val="0000FF"/>
            <w:u w:val="single"/>
            <w:rtl/>
          </w:rPr>
          <w:t>144(א)</w:t>
        </w:r>
      </w:hyperlink>
      <w:r w:rsidRPr="00A4383B">
        <w:rPr>
          <w:rFonts w:ascii="FrankRuehl" w:hAnsi="FrankRuehl" w:cs="FrankRuehl"/>
          <w:rtl/>
        </w:rPr>
        <w:t xml:space="preserve">, </w:t>
      </w:r>
      <w:hyperlink r:id="rId11" w:history="1">
        <w:r w:rsidRPr="00A4383B">
          <w:rPr>
            <w:rFonts w:ascii="FrankRuehl" w:hAnsi="FrankRuehl" w:cs="FrankRuehl"/>
            <w:color w:val="0000FF"/>
            <w:u w:val="single"/>
            <w:rtl/>
          </w:rPr>
          <w:t>144(ב)</w:t>
        </w:r>
      </w:hyperlink>
      <w:r w:rsidRPr="00A4383B">
        <w:rPr>
          <w:rFonts w:ascii="FrankRuehl" w:hAnsi="FrankRuehl" w:cs="FrankRuehl"/>
          <w:rtl/>
        </w:rPr>
        <w:t xml:space="preserve">, </w:t>
      </w:r>
      <w:hyperlink r:id="rId12" w:history="1">
        <w:r w:rsidRPr="00A4383B">
          <w:rPr>
            <w:rFonts w:ascii="FrankRuehl" w:hAnsi="FrankRuehl" w:cs="FrankRuehl"/>
            <w:color w:val="0000FF"/>
            <w:u w:val="single"/>
            <w:rtl/>
          </w:rPr>
          <w:t>300</w:t>
        </w:r>
      </w:hyperlink>
      <w:r w:rsidRPr="00A4383B">
        <w:rPr>
          <w:rFonts w:ascii="FrankRuehl" w:hAnsi="FrankRuehl" w:cs="FrankRuehl"/>
          <w:rtl/>
        </w:rPr>
        <w:t xml:space="preserve">, </w:t>
      </w:r>
      <w:hyperlink r:id="rId13" w:history="1">
        <w:r w:rsidRPr="00A4383B">
          <w:rPr>
            <w:rFonts w:ascii="FrankRuehl" w:hAnsi="FrankRuehl" w:cs="FrankRuehl"/>
            <w:color w:val="0000FF"/>
            <w:u w:val="single"/>
            <w:rtl/>
          </w:rPr>
          <w:t>300(א)</w:t>
        </w:r>
      </w:hyperlink>
      <w:r w:rsidRPr="00A4383B">
        <w:rPr>
          <w:rFonts w:ascii="FrankRuehl" w:hAnsi="FrankRuehl" w:cs="FrankRuehl"/>
          <w:rtl/>
        </w:rPr>
        <w:t xml:space="preserve">, </w:t>
      </w:r>
      <w:hyperlink r:id="rId14" w:history="1">
        <w:r w:rsidRPr="00A4383B">
          <w:rPr>
            <w:rFonts w:ascii="FrankRuehl" w:hAnsi="FrankRuehl" w:cs="FrankRuehl"/>
            <w:color w:val="0000FF"/>
            <w:u w:val="single"/>
            <w:rtl/>
          </w:rPr>
          <w:t>300(א)(2)</w:t>
        </w:r>
      </w:hyperlink>
      <w:r w:rsidRPr="00A4383B">
        <w:rPr>
          <w:rFonts w:ascii="FrankRuehl" w:hAnsi="FrankRuehl" w:cs="FrankRuehl"/>
          <w:rtl/>
        </w:rPr>
        <w:t xml:space="preserve">, </w:t>
      </w:r>
      <w:hyperlink r:id="rId15" w:history="1">
        <w:r w:rsidRPr="00A4383B">
          <w:rPr>
            <w:rFonts w:ascii="FrankRuehl" w:hAnsi="FrankRuehl" w:cs="FrankRuehl"/>
            <w:color w:val="0000FF"/>
            <w:u w:val="single"/>
            <w:rtl/>
          </w:rPr>
          <w:t>300 א'</w:t>
        </w:r>
      </w:hyperlink>
      <w:r w:rsidRPr="00A4383B">
        <w:rPr>
          <w:rFonts w:ascii="FrankRuehl" w:hAnsi="FrankRuehl" w:cs="FrankRuehl"/>
          <w:rtl/>
        </w:rPr>
        <w:t xml:space="preserve">, </w:t>
      </w:r>
      <w:hyperlink r:id="rId16" w:history="1">
        <w:r w:rsidRPr="00A4383B">
          <w:rPr>
            <w:rFonts w:ascii="FrankRuehl" w:hAnsi="FrankRuehl" w:cs="FrankRuehl"/>
            <w:color w:val="0000FF"/>
            <w:u w:val="single"/>
            <w:rtl/>
          </w:rPr>
          <w:t>300 א' (א)</w:t>
        </w:r>
      </w:hyperlink>
      <w:r w:rsidRPr="00A4383B">
        <w:rPr>
          <w:rFonts w:ascii="FrankRuehl" w:hAnsi="FrankRuehl" w:cs="FrankRuehl"/>
          <w:rtl/>
        </w:rPr>
        <w:t xml:space="preserve">, </w:t>
      </w:r>
      <w:hyperlink r:id="rId17" w:history="1">
        <w:r w:rsidRPr="00A4383B">
          <w:rPr>
            <w:rFonts w:ascii="FrankRuehl" w:hAnsi="FrankRuehl" w:cs="FrankRuehl"/>
            <w:color w:val="0000FF"/>
            <w:u w:val="single"/>
            <w:rtl/>
          </w:rPr>
          <w:t>300 א(ב)</w:t>
        </w:r>
      </w:hyperlink>
      <w:r w:rsidRPr="00A4383B">
        <w:rPr>
          <w:rFonts w:ascii="FrankRuehl" w:hAnsi="FrankRuehl" w:cs="FrankRuehl"/>
          <w:rtl/>
        </w:rPr>
        <w:t xml:space="preserve">, </w:t>
      </w:r>
      <w:hyperlink r:id="rId18" w:history="1">
        <w:r w:rsidRPr="00A4383B">
          <w:rPr>
            <w:rFonts w:ascii="FrankRuehl" w:hAnsi="FrankRuehl" w:cs="FrankRuehl"/>
            <w:color w:val="0000FF"/>
            <w:u w:val="single"/>
            <w:rtl/>
          </w:rPr>
          <w:t>300א(ג)</w:t>
        </w:r>
      </w:hyperlink>
      <w:r w:rsidRPr="00A4383B">
        <w:rPr>
          <w:rFonts w:ascii="FrankRuehl" w:hAnsi="FrankRuehl" w:cs="FrankRuehl"/>
          <w:rtl/>
        </w:rPr>
        <w:t xml:space="preserve">, </w:t>
      </w:r>
      <w:hyperlink r:id="rId19" w:history="1">
        <w:r w:rsidRPr="00A4383B">
          <w:rPr>
            <w:rFonts w:ascii="FrankRuehl" w:hAnsi="FrankRuehl" w:cs="FrankRuehl"/>
            <w:color w:val="0000FF"/>
            <w:u w:val="single"/>
            <w:rtl/>
          </w:rPr>
          <w:t>301 ב(א)</w:t>
        </w:r>
      </w:hyperlink>
    </w:p>
    <w:p w14:paraId="080DE22B" w14:textId="77777777" w:rsidR="00A4383B" w:rsidRPr="00A4383B" w:rsidRDefault="00A4383B" w:rsidP="00A4383B">
      <w:pPr>
        <w:spacing w:after="120" w:line="240" w:lineRule="exact"/>
        <w:ind w:left="283" w:hanging="283"/>
        <w:jc w:val="both"/>
        <w:rPr>
          <w:rFonts w:ascii="FrankRuehl" w:hAnsi="FrankRuehl" w:cs="FrankRuehl"/>
          <w:rtl/>
        </w:rPr>
      </w:pPr>
      <w:hyperlink r:id="rId20" w:history="1">
        <w:r w:rsidRPr="00A4383B">
          <w:rPr>
            <w:rFonts w:ascii="FrankRuehl" w:hAnsi="FrankRuehl" w:cs="FrankRuehl"/>
            <w:color w:val="0000FF"/>
            <w:u w:val="single"/>
            <w:rtl/>
          </w:rPr>
          <w:t>חוק סדר הדין הפלילי [נוסח משולב], תשמ"ב-1982</w:t>
        </w:r>
      </w:hyperlink>
      <w:r w:rsidRPr="00A4383B">
        <w:rPr>
          <w:rFonts w:ascii="FrankRuehl" w:hAnsi="FrankRuehl" w:cs="FrankRuehl"/>
          <w:rtl/>
        </w:rPr>
        <w:t xml:space="preserve">: סע'  </w:t>
      </w:r>
      <w:hyperlink r:id="rId21" w:history="1">
        <w:r w:rsidRPr="00A4383B">
          <w:rPr>
            <w:rFonts w:ascii="FrankRuehl" w:hAnsi="FrankRuehl" w:cs="FrankRuehl"/>
            <w:color w:val="0000FF"/>
            <w:u w:val="single"/>
            <w:rtl/>
          </w:rPr>
          <w:t>186</w:t>
        </w:r>
      </w:hyperlink>
    </w:p>
    <w:p w14:paraId="17AA2E04" w14:textId="77777777" w:rsidR="00A4383B" w:rsidRPr="00A4383B" w:rsidRDefault="00A4383B" w:rsidP="00A4383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6D64" w14:paraId="0B6F90F0" w14:textId="77777777" w:rsidTr="00106D64">
        <w:trPr>
          <w:trHeight w:val="355"/>
          <w:jc w:val="center"/>
        </w:trPr>
        <w:tc>
          <w:tcPr>
            <w:tcW w:w="8820" w:type="dxa"/>
            <w:tcBorders>
              <w:top w:val="nil"/>
              <w:left w:val="nil"/>
              <w:bottom w:val="nil"/>
              <w:right w:val="nil"/>
            </w:tcBorders>
            <w:shd w:val="clear" w:color="auto" w:fill="auto"/>
          </w:tcPr>
          <w:p w14:paraId="76B4113D" w14:textId="77777777" w:rsidR="00EB66B3" w:rsidRPr="00EB66B3" w:rsidRDefault="00EB66B3" w:rsidP="00EB66B3">
            <w:pPr>
              <w:jc w:val="center"/>
              <w:rPr>
                <w:rFonts w:ascii="Arial" w:hAnsi="Arial" w:cs="FrankRuehl"/>
                <w:b/>
                <w:bCs/>
                <w:spacing w:val="24"/>
                <w:sz w:val="46"/>
                <w:szCs w:val="46"/>
                <w:u w:val="single"/>
                <w:rtl/>
              </w:rPr>
            </w:pPr>
            <w:bookmarkStart w:id="4" w:name="LawTable_End"/>
            <w:bookmarkStart w:id="5" w:name="PsakDin" w:colFirst="0" w:colLast="0"/>
            <w:bookmarkEnd w:id="4"/>
            <w:r w:rsidRPr="00EB66B3">
              <w:rPr>
                <w:rFonts w:ascii="Arial" w:hAnsi="Arial" w:cs="FrankRuehl"/>
                <w:b/>
                <w:bCs/>
                <w:spacing w:val="24"/>
                <w:sz w:val="46"/>
                <w:szCs w:val="46"/>
                <w:u w:val="single"/>
                <w:rtl/>
              </w:rPr>
              <w:t>גזר דין</w:t>
            </w:r>
          </w:p>
          <w:p w14:paraId="75063D6E" w14:textId="77777777" w:rsidR="00106D64" w:rsidRPr="00EB66B3" w:rsidRDefault="00106D64" w:rsidP="00EB66B3">
            <w:pPr>
              <w:jc w:val="center"/>
              <w:rPr>
                <w:rFonts w:ascii="Arial" w:hAnsi="Arial" w:cs="FrankRuehl"/>
                <w:bCs/>
                <w:spacing w:val="24"/>
                <w:sz w:val="38"/>
                <w:szCs w:val="38"/>
                <w:u w:val="single"/>
                <w:rtl/>
              </w:rPr>
            </w:pPr>
          </w:p>
        </w:tc>
      </w:tr>
      <w:bookmarkEnd w:id="5"/>
    </w:tbl>
    <w:p w14:paraId="5217F0EC" w14:textId="77777777" w:rsidR="00106D64" w:rsidRPr="00B05847" w:rsidRDefault="00106D64" w:rsidP="00106D64">
      <w:pPr>
        <w:rPr>
          <w:rFonts w:ascii="Arial" w:hAnsi="Arial"/>
          <w:rtl/>
        </w:rPr>
      </w:pPr>
    </w:p>
    <w:p w14:paraId="7B826E3D" w14:textId="77777777" w:rsidR="00106D64" w:rsidRDefault="00106D64" w:rsidP="00106D64">
      <w:pPr>
        <w:rPr>
          <w:rFonts w:ascii="Arial" w:hAnsi="Arial"/>
          <w:rtl/>
        </w:rPr>
      </w:pPr>
    </w:p>
    <w:p w14:paraId="55CC1890" w14:textId="77777777" w:rsidR="00106D64" w:rsidRPr="001F6974" w:rsidRDefault="00106D64" w:rsidP="00106D64">
      <w:pPr>
        <w:rPr>
          <w:rFonts w:ascii="Arial" w:hAnsi="Arial"/>
          <w:spacing w:val="22"/>
          <w:rtl/>
        </w:rPr>
      </w:pPr>
    </w:p>
    <w:p w14:paraId="11D736A4" w14:textId="77777777" w:rsidR="00106D64" w:rsidRPr="001F6974" w:rsidRDefault="00106D64" w:rsidP="00106D64">
      <w:pPr>
        <w:rPr>
          <w:rFonts w:ascii="Arial" w:hAnsi="Arial"/>
          <w:spacing w:val="22"/>
          <w:rtl/>
        </w:rPr>
      </w:pPr>
    </w:p>
    <w:p w14:paraId="0857DB64" w14:textId="77777777" w:rsidR="00106D64" w:rsidRPr="001F6974" w:rsidRDefault="00106D64" w:rsidP="00106D64">
      <w:pPr>
        <w:spacing w:line="360" w:lineRule="auto"/>
        <w:contextualSpacing/>
        <w:jc w:val="both"/>
        <w:rPr>
          <w:rFonts w:ascii="Arial" w:hAnsi="Arial"/>
          <w:spacing w:val="22"/>
          <w:rtl/>
        </w:rPr>
      </w:pPr>
      <w:r w:rsidRPr="001F6974">
        <w:rPr>
          <w:rFonts w:ascii="Arial" w:hAnsi="Arial" w:hint="cs"/>
          <w:spacing w:val="22"/>
          <w:rtl/>
        </w:rPr>
        <w:t>1.</w:t>
      </w:r>
      <w:r w:rsidRPr="001F6974">
        <w:rPr>
          <w:rFonts w:ascii="Arial" w:hAnsi="Arial" w:hint="cs"/>
          <w:spacing w:val="22"/>
          <w:rtl/>
        </w:rPr>
        <w:tab/>
      </w:r>
      <w:bookmarkStart w:id="6" w:name="ABSTRACT_START"/>
      <w:bookmarkEnd w:id="6"/>
      <w:r w:rsidRPr="001F6974">
        <w:rPr>
          <w:rFonts w:ascii="Arial" w:hAnsi="Arial"/>
          <w:spacing w:val="22"/>
          <w:rtl/>
        </w:rPr>
        <w:t xml:space="preserve">הנאשם הורשע בעבירת רצח, לפי </w:t>
      </w:r>
      <w:hyperlink r:id="rId22" w:history="1">
        <w:r w:rsidR="00FF4D23" w:rsidRPr="00FF4D23">
          <w:rPr>
            <w:rFonts w:ascii="Arial" w:hAnsi="Arial"/>
            <w:color w:val="0000FF"/>
            <w:spacing w:val="22"/>
            <w:u w:val="single"/>
            <w:rtl/>
          </w:rPr>
          <w:t>סעיף 300(א)(2)</w:t>
        </w:r>
      </w:hyperlink>
      <w:r w:rsidRPr="001F6974">
        <w:rPr>
          <w:rFonts w:ascii="Arial" w:hAnsi="Arial"/>
          <w:spacing w:val="22"/>
          <w:rtl/>
        </w:rPr>
        <w:t xml:space="preserve"> ל</w:t>
      </w:r>
      <w:hyperlink r:id="rId23" w:history="1">
        <w:r w:rsidR="00EB66B3" w:rsidRPr="00EB66B3">
          <w:rPr>
            <w:rFonts w:ascii="Arial" w:hAnsi="Arial"/>
            <w:color w:val="0000FF"/>
            <w:spacing w:val="22"/>
            <w:u w:val="single"/>
            <w:rtl/>
          </w:rPr>
          <w:t>חוק העונשין</w:t>
        </w:r>
      </w:hyperlink>
      <w:r w:rsidRPr="001F6974">
        <w:rPr>
          <w:rFonts w:ascii="Arial" w:hAnsi="Arial"/>
          <w:spacing w:val="22"/>
          <w:rtl/>
        </w:rPr>
        <w:t>, תשל"ז – 1977 (להלן:</w:t>
      </w:r>
      <w:r w:rsidRPr="001F6974">
        <w:rPr>
          <w:rFonts w:ascii="Arial" w:hAnsi="Arial"/>
          <w:b/>
          <w:bCs/>
          <w:spacing w:val="22"/>
          <w:rtl/>
        </w:rPr>
        <w:t xml:space="preserve"> "החוק")</w:t>
      </w:r>
      <w:r w:rsidRPr="001F6974">
        <w:rPr>
          <w:rFonts w:ascii="Arial" w:hAnsi="Arial"/>
          <w:spacing w:val="22"/>
          <w:rtl/>
        </w:rPr>
        <w:t xml:space="preserve">, בנשיאת נשק, עבירה לפי </w:t>
      </w:r>
      <w:hyperlink r:id="rId24" w:history="1">
        <w:r w:rsidR="00FF4D23" w:rsidRPr="00FF4D23">
          <w:rPr>
            <w:rFonts w:ascii="Arial" w:hAnsi="Arial"/>
            <w:color w:val="0000FF"/>
            <w:spacing w:val="22"/>
            <w:u w:val="single"/>
            <w:rtl/>
          </w:rPr>
          <w:t>סעיף 144(ב)</w:t>
        </w:r>
      </w:hyperlink>
      <w:r w:rsidRPr="001F6974">
        <w:rPr>
          <w:rFonts w:ascii="Arial" w:hAnsi="Arial"/>
          <w:spacing w:val="22"/>
          <w:rtl/>
        </w:rPr>
        <w:t xml:space="preserve"> לחוק, ובהחזקת נשק – עבירה לפי </w:t>
      </w:r>
      <w:hyperlink r:id="rId25" w:history="1">
        <w:r w:rsidR="00FF4D23" w:rsidRPr="00FF4D23">
          <w:rPr>
            <w:rFonts w:ascii="Arial" w:hAnsi="Arial"/>
            <w:color w:val="0000FF"/>
            <w:spacing w:val="22"/>
            <w:u w:val="single"/>
            <w:rtl/>
          </w:rPr>
          <w:t>סעיף 144(א)</w:t>
        </w:r>
      </w:hyperlink>
      <w:r w:rsidRPr="001F6974">
        <w:rPr>
          <w:rFonts w:ascii="Arial" w:hAnsi="Arial"/>
          <w:spacing w:val="22"/>
          <w:rtl/>
        </w:rPr>
        <w:t xml:space="preserve"> לחוק.</w:t>
      </w:r>
    </w:p>
    <w:p w14:paraId="2D884C71" w14:textId="77777777" w:rsidR="00106D64" w:rsidRPr="001F6974" w:rsidRDefault="00106D64" w:rsidP="00106D64">
      <w:pPr>
        <w:spacing w:line="360" w:lineRule="auto"/>
        <w:contextualSpacing/>
        <w:jc w:val="both"/>
        <w:rPr>
          <w:rFonts w:ascii="Arial" w:hAnsi="Arial" w:cs="FrankRuehl"/>
          <w:spacing w:val="22"/>
          <w:sz w:val="22"/>
          <w:szCs w:val="28"/>
          <w:rtl/>
        </w:rPr>
      </w:pPr>
    </w:p>
    <w:p w14:paraId="60E95EF8" w14:textId="77777777" w:rsidR="00106D64" w:rsidRPr="001F6974" w:rsidRDefault="00106D64" w:rsidP="00106D64">
      <w:pPr>
        <w:spacing w:line="360" w:lineRule="auto"/>
        <w:contextualSpacing/>
        <w:jc w:val="both"/>
        <w:rPr>
          <w:rFonts w:ascii="Arial" w:hAnsi="Arial" w:cs="FrankRuehl"/>
          <w:spacing w:val="22"/>
          <w:sz w:val="22"/>
          <w:szCs w:val="28"/>
          <w:rtl/>
        </w:rPr>
      </w:pPr>
      <w:bookmarkStart w:id="7" w:name="ABSTRACT_END"/>
      <w:bookmarkEnd w:id="7"/>
    </w:p>
    <w:p w14:paraId="73ED3AB7" w14:textId="77777777" w:rsidR="00106D64" w:rsidRPr="001F6974" w:rsidRDefault="00106D64" w:rsidP="00106D64">
      <w:pPr>
        <w:spacing w:line="360" w:lineRule="auto"/>
        <w:contextualSpacing/>
        <w:jc w:val="both"/>
        <w:rPr>
          <w:rFonts w:ascii="Arial" w:hAnsi="Arial"/>
          <w:spacing w:val="22"/>
          <w:rtl/>
        </w:rPr>
      </w:pPr>
      <w:r w:rsidRPr="001F6974">
        <w:rPr>
          <w:rFonts w:ascii="Arial" w:hAnsi="Arial" w:hint="cs"/>
          <w:spacing w:val="22"/>
          <w:rtl/>
        </w:rPr>
        <w:lastRenderedPageBreak/>
        <w:t>2.</w:t>
      </w:r>
      <w:r w:rsidRPr="001F6974">
        <w:rPr>
          <w:rFonts w:ascii="Arial" w:hAnsi="Arial" w:hint="cs"/>
          <w:spacing w:val="22"/>
          <w:rtl/>
        </w:rPr>
        <w:tab/>
      </w:r>
      <w:r w:rsidRPr="001F6974">
        <w:rPr>
          <w:rFonts w:ascii="Arial" w:hAnsi="Arial"/>
          <w:spacing w:val="22"/>
          <w:rtl/>
        </w:rPr>
        <w:t>ואלה המעשים: הנאשם ומחמוד חג'אג' (להלן: "</w:t>
      </w:r>
      <w:r w:rsidRPr="001F6974">
        <w:rPr>
          <w:rFonts w:ascii="Arial" w:hAnsi="Arial"/>
          <w:b/>
          <w:bCs/>
          <w:spacing w:val="22"/>
          <w:rtl/>
        </w:rPr>
        <w:t>המנוח</w:t>
      </w:r>
      <w:r w:rsidRPr="001F6974">
        <w:rPr>
          <w:rFonts w:ascii="Arial" w:hAnsi="Arial"/>
          <w:spacing w:val="22"/>
          <w:rtl/>
        </w:rPr>
        <w:t>") הנם קרובי משפחה. בין השניים היה סכסוך קודם, זאת על רקע הירצחו של אביו של הנאשם בשנת 2014</w:t>
      </w:r>
      <w:r w:rsidRPr="001F6974">
        <w:rPr>
          <w:rFonts w:ascii="Arial" w:hAnsi="Arial" w:hint="cs"/>
          <w:spacing w:val="22"/>
          <w:rtl/>
        </w:rPr>
        <w:t xml:space="preserve">, והפניית אצבע מאשימה בגין כך כלפי המנוח. </w:t>
      </w:r>
      <w:r w:rsidRPr="001F6974">
        <w:rPr>
          <w:rFonts w:ascii="Arial" w:hAnsi="Arial"/>
          <w:spacing w:val="22"/>
          <w:rtl/>
        </w:rPr>
        <w:t>בסמוך לחודש מרץ 2016, הגיע לידי הנאשם אקדח מסוג ברטה ותת מקלע מסוג סקורפיון וכן תחמושת לכלי נשק אלה ורימוני גז</w:t>
      </w:r>
      <w:r w:rsidRPr="001F6974">
        <w:rPr>
          <w:rFonts w:ascii="Arial" w:hAnsi="Arial" w:hint="cs"/>
          <w:spacing w:val="22"/>
          <w:rtl/>
        </w:rPr>
        <w:t>.</w:t>
      </w:r>
      <w:r w:rsidRPr="001F6974">
        <w:rPr>
          <w:rFonts w:ascii="Arial" w:hAnsi="Arial"/>
          <w:spacing w:val="22"/>
          <w:rtl/>
        </w:rPr>
        <w:t xml:space="preserve"> והנאשם החזיק את כלי הנשק ורימוני הגז בתיק בביתו. ביום 5/8/16, נהג הנאשם ברכב שכור</w:t>
      </w:r>
      <w:r w:rsidRPr="001F6974">
        <w:rPr>
          <w:rFonts w:ascii="Arial" w:hAnsi="Arial" w:hint="cs"/>
          <w:spacing w:val="22"/>
          <w:rtl/>
        </w:rPr>
        <w:t>,</w:t>
      </w:r>
      <w:r w:rsidRPr="001F6974">
        <w:rPr>
          <w:rFonts w:ascii="Arial" w:hAnsi="Arial"/>
          <w:spacing w:val="22"/>
          <w:rtl/>
        </w:rPr>
        <w:t xml:space="preserve"> שהיה שייך לאחיו, מוחמד קראעין, מסוג מאזדה 3, כאשר התיק וכלי הנשק נמצאים במכונית. באותה עת נהג המנוח ברכבו מסוג פולקסוואגן ביחד עם בתו בת השנתיים</w:t>
      </w:r>
      <w:r w:rsidRPr="001F6974">
        <w:rPr>
          <w:rFonts w:ascii="Arial" w:hAnsi="Arial" w:hint="cs"/>
          <w:spacing w:val="22"/>
          <w:rtl/>
        </w:rPr>
        <w:t>,</w:t>
      </w:r>
      <w:r w:rsidRPr="001F6974">
        <w:rPr>
          <w:rFonts w:ascii="Arial" w:hAnsi="Arial"/>
          <w:spacing w:val="22"/>
          <w:rtl/>
        </w:rPr>
        <w:t xml:space="preserve"> בסמוך לביתו של המנוח ברחוב סאוויח</w:t>
      </w:r>
      <w:r w:rsidRPr="001F6974">
        <w:rPr>
          <w:rFonts w:ascii="Arial" w:hAnsi="Arial" w:hint="cs"/>
          <w:spacing w:val="22"/>
          <w:rtl/>
        </w:rPr>
        <w:t>, שם</w:t>
      </w:r>
      <w:r w:rsidRPr="001F6974">
        <w:rPr>
          <w:rFonts w:ascii="Arial" w:hAnsi="Arial"/>
          <w:spacing w:val="22"/>
          <w:rtl/>
        </w:rPr>
        <w:t xml:space="preserve"> נפגשו השניים, האחד מול השני, ועצרו זה מול זה. הנאשם הוציא את כלי הנשק מהתיק, ביד אחת החזיק את תת המקלע</w:t>
      </w:r>
      <w:r w:rsidRPr="001F6974">
        <w:rPr>
          <w:rFonts w:ascii="Arial" w:hAnsi="Arial" w:hint="cs"/>
          <w:spacing w:val="22"/>
          <w:rtl/>
        </w:rPr>
        <w:t>,</w:t>
      </w:r>
      <w:r w:rsidRPr="001F6974">
        <w:rPr>
          <w:rFonts w:ascii="Arial" w:hAnsi="Arial"/>
          <w:spacing w:val="22"/>
          <w:rtl/>
        </w:rPr>
        <w:t xml:space="preserve"> ואת האקדח נשא במכנסיו באזור המותן. הנאשם ירד מרכבו והחל לירות ממרחק של מטרים ספורים</w:t>
      </w:r>
      <w:r w:rsidRPr="001F6974">
        <w:rPr>
          <w:rFonts w:ascii="Arial" w:hAnsi="Arial" w:hint="cs"/>
          <w:spacing w:val="22"/>
          <w:rtl/>
        </w:rPr>
        <w:t>,</w:t>
      </w:r>
      <w:r w:rsidRPr="001F6974">
        <w:rPr>
          <w:rFonts w:ascii="Arial" w:hAnsi="Arial"/>
          <w:spacing w:val="22"/>
          <w:rtl/>
        </w:rPr>
        <w:t xml:space="preserve"> באמצעות תת המקלע לכיוון המנוח, כשהמנוח עדיין ברכבו ביחד עם בתו. המנוח יצא מרכבו והחל לנוס. הנאשם רדף אחריו תוך שהוא ממשיך לירות לעברו ופוגע בו. המנוח ניסה להסתתר מאחורי רכב, אולם הנאשם הגיע לכיוונו, המשיך לירות בו מטווח קצר באמצעות תת המקלע. המנוח ניסה לברוח, אולם התמוטט. הנאשם ירה במנוח מתת המקלע ולאחר שאזלה התחמושת בתת המקלע, הוציא הנאשם את האקדח וירה במנוח מספר כדורים, ולאחר מכן צעק: "נקמתי את הנקמה של אבי". בהמשך, הנאשם נכנס לרכבו ונמלט מהמקום, כאשר בדרכו השליך את כלי הנשק במקום שאינו ידוע, ונעצר לאחר כחצי שעה. לגופו של המנוח חדרו 15 קלעים במקומות שונים, הוא נפצע באורח אנוש, ונפטר לאחר מספר שעות. </w:t>
      </w:r>
    </w:p>
    <w:p w14:paraId="6EF26A86" w14:textId="77777777" w:rsidR="00106D64" w:rsidRPr="001F6974" w:rsidRDefault="00106D64" w:rsidP="00106D64">
      <w:pPr>
        <w:spacing w:line="360" w:lineRule="auto"/>
        <w:ind w:left="720"/>
        <w:jc w:val="both"/>
        <w:rPr>
          <w:rFonts w:ascii="Arial" w:hAnsi="Arial"/>
          <w:bCs/>
          <w:spacing w:val="22"/>
          <w:rtl/>
        </w:rPr>
      </w:pPr>
    </w:p>
    <w:p w14:paraId="64ED942F" w14:textId="77777777" w:rsidR="00106D64" w:rsidRPr="001F6974" w:rsidRDefault="00106D64" w:rsidP="00106D64">
      <w:pPr>
        <w:spacing w:line="360" w:lineRule="auto"/>
        <w:ind w:left="720"/>
        <w:jc w:val="both"/>
        <w:rPr>
          <w:rFonts w:ascii="Arial" w:hAnsi="Arial"/>
          <w:bCs/>
          <w:spacing w:val="22"/>
          <w:rtl/>
        </w:rPr>
      </w:pPr>
      <w:r w:rsidRPr="001F6974">
        <w:rPr>
          <w:rFonts w:ascii="Arial" w:hAnsi="Arial"/>
          <w:bCs/>
          <w:spacing w:val="22"/>
          <w:rtl/>
        </w:rPr>
        <w:t>טיעוני הצדדים לעונש</w:t>
      </w:r>
    </w:p>
    <w:p w14:paraId="095AB282" w14:textId="77777777" w:rsidR="00106D64" w:rsidRPr="001F6974" w:rsidRDefault="00106D64" w:rsidP="00106D64">
      <w:pPr>
        <w:spacing w:line="360" w:lineRule="auto"/>
        <w:ind w:left="720"/>
        <w:jc w:val="both"/>
        <w:rPr>
          <w:rFonts w:ascii="Arial" w:hAnsi="Arial"/>
          <w:bCs/>
          <w:spacing w:val="22"/>
          <w:rtl/>
        </w:rPr>
      </w:pPr>
      <w:r w:rsidRPr="001F6974">
        <w:rPr>
          <w:rFonts w:ascii="Arial" w:hAnsi="Arial"/>
          <w:bCs/>
          <w:spacing w:val="22"/>
          <w:rtl/>
        </w:rPr>
        <w:t>טענות המאשימה</w:t>
      </w:r>
    </w:p>
    <w:p w14:paraId="777EDA1F" w14:textId="77777777" w:rsidR="00106D64" w:rsidRPr="001F6974" w:rsidRDefault="00106D64" w:rsidP="00106D64">
      <w:pPr>
        <w:spacing w:line="360" w:lineRule="auto"/>
        <w:jc w:val="both"/>
        <w:rPr>
          <w:rFonts w:ascii="Arial" w:hAnsi="Arial"/>
          <w:b/>
          <w:spacing w:val="22"/>
          <w:rtl/>
        </w:rPr>
      </w:pPr>
      <w:r w:rsidRPr="001F6974">
        <w:rPr>
          <w:rFonts w:ascii="Arial" w:hAnsi="Arial" w:hint="cs"/>
          <w:bCs/>
          <w:spacing w:val="22"/>
          <w:rtl/>
        </w:rPr>
        <w:t>3.</w:t>
      </w:r>
      <w:r w:rsidRPr="001F6974">
        <w:rPr>
          <w:rFonts w:ascii="Arial" w:hAnsi="Arial"/>
          <w:bCs/>
          <w:spacing w:val="22"/>
          <w:rtl/>
        </w:rPr>
        <w:tab/>
      </w:r>
      <w:r w:rsidRPr="001F6974">
        <w:rPr>
          <w:rFonts w:ascii="Arial" w:hAnsi="Arial" w:hint="cs"/>
          <w:b/>
          <w:spacing w:val="22"/>
          <w:rtl/>
        </w:rPr>
        <w:t>המאשימה הפנתה לחומרת המעשים ונסיבותיהם, לכך שהירי בוצע תוך שימוש בשני כלי נשק ובסמוך לבתו בת השנתיים של המנוח ותוך כדי מנוסת המנוח. מדובר בעבירת רצח שהיא החמורה מבין העבירות והנאשם הותיר משפחה פגועה ושבורה, הסובלת ממצוקה כלכלית ונפשית עקב המעשה. המאשימה ביקשה להטיל על הנאשם מאסר עולם חובה כקבוע בחוק. נטען כי התיקון ל</w:t>
      </w:r>
      <w:hyperlink r:id="rId26" w:history="1">
        <w:r w:rsidR="00EB66B3" w:rsidRPr="00EB66B3">
          <w:rPr>
            <w:rFonts w:ascii="Arial" w:hAnsi="Arial"/>
            <w:b/>
            <w:color w:val="0000FF"/>
            <w:spacing w:val="22"/>
            <w:u w:val="single"/>
            <w:rtl/>
          </w:rPr>
          <w:t>חוק העונשין</w:t>
        </w:r>
      </w:hyperlink>
      <w:r w:rsidRPr="001F6974">
        <w:rPr>
          <w:rFonts w:ascii="Arial" w:hAnsi="Arial" w:hint="cs"/>
          <w:b/>
          <w:spacing w:val="22"/>
          <w:rtl/>
        </w:rPr>
        <w:t xml:space="preserve"> אינו משנה ממצבו של הנאשם שכן, גם על פי התיקון </w:t>
      </w:r>
      <w:r w:rsidRPr="001F6974">
        <w:rPr>
          <w:rFonts w:ascii="Arial" w:hAnsi="Arial"/>
          <w:b/>
          <w:spacing w:val="22"/>
          <w:rtl/>
        </w:rPr>
        <w:t>–</w:t>
      </w:r>
      <w:r w:rsidRPr="001F6974">
        <w:rPr>
          <w:rFonts w:ascii="Arial" w:hAnsi="Arial" w:hint="cs"/>
          <w:b/>
          <w:spacing w:val="22"/>
          <w:rtl/>
        </w:rPr>
        <w:t xml:space="preserve"> עונשו הוא מאסר עולם חובה. לעניין עבירות הנשק, המתחם הוא 4-8 שנות מאסר והתבקש לגזור על הנאשם, במצטבר, 6 שנות מאסר, פיצוי לאשת המנוח ולשני ילדיו, ומאסר מותנה. </w:t>
      </w:r>
    </w:p>
    <w:p w14:paraId="5882E09B" w14:textId="77777777" w:rsidR="00106D64" w:rsidRPr="001F6974" w:rsidRDefault="00106D64" w:rsidP="00106D64">
      <w:pPr>
        <w:spacing w:line="360" w:lineRule="auto"/>
        <w:jc w:val="both"/>
        <w:rPr>
          <w:rFonts w:ascii="Arial" w:hAnsi="Arial"/>
          <w:b/>
          <w:spacing w:val="22"/>
          <w:rtl/>
        </w:rPr>
      </w:pPr>
      <w:r w:rsidRPr="001F6974">
        <w:rPr>
          <w:rFonts w:ascii="Arial" w:hAnsi="Arial"/>
          <w:b/>
          <w:spacing w:val="22"/>
          <w:rtl/>
        </w:rPr>
        <w:tab/>
      </w:r>
      <w:r w:rsidRPr="001F6974">
        <w:rPr>
          <w:rFonts w:ascii="Arial" w:hAnsi="Arial" w:hint="cs"/>
          <w:b/>
          <w:spacing w:val="22"/>
          <w:rtl/>
        </w:rPr>
        <w:t xml:space="preserve">עוד נטען כי לא חלה אחריות מופחתת לפי </w:t>
      </w:r>
      <w:hyperlink r:id="rId27" w:history="1">
        <w:r w:rsidR="00FF4D23" w:rsidRPr="00FF4D23">
          <w:rPr>
            <w:rFonts w:ascii="Arial" w:hAnsi="Arial"/>
            <w:b/>
            <w:color w:val="0000FF"/>
            <w:spacing w:val="22"/>
            <w:u w:val="single"/>
            <w:rtl/>
          </w:rPr>
          <w:t>סעיף 300א(ג)</w:t>
        </w:r>
      </w:hyperlink>
      <w:r w:rsidRPr="001F6974">
        <w:rPr>
          <w:rFonts w:ascii="Arial" w:hAnsi="Arial" w:hint="cs"/>
          <w:b/>
          <w:spacing w:val="22"/>
          <w:rtl/>
        </w:rPr>
        <w:t xml:space="preserve">, וכי רק במקרים חריגים ונדירים, יעשה שימוש בהוראה זו. בנסיבות הספציפיות של המקרה </w:t>
      </w:r>
      <w:r w:rsidRPr="001F6974">
        <w:rPr>
          <w:rFonts w:ascii="Arial" w:hAnsi="Arial"/>
          <w:b/>
          <w:spacing w:val="22"/>
          <w:rtl/>
        </w:rPr>
        <w:t>–</w:t>
      </w:r>
      <w:r w:rsidRPr="001F6974">
        <w:rPr>
          <w:rFonts w:ascii="Arial" w:hAnsi="Arial" w:hint="cs"/>
          <w:b/>
          <w:spacing w:val="22"/>
          <w:rtl/>
        </w:rPr>
        <w:t xml:space="preserve"> </w:t>
      </w:r>
      <w:r w:rsidRPr="001F6974">
        <w:rPr>
          <w:rFonts w:ascii="Arial" w:hAnsi="Arial" w:hint="cs"/>
          <w:b/>
          <w:spacing w:val="22"/>
          <w:rtl/>
        </w:rPr>
        <w:lastRenderedPageBreak/>
        <w:t xml:space="preserve">חוות הדעת מטעם ההגנה התייחסה אך לכשירות ולא לאחריות, על כן אין לה משמעות. פרופ' לוי (מטעם הנאשם) לא התייחס בחוות הדעת למצבו של הנאשם בזמן המעשה, זאת מעבר לכך שנקבע (בפיסקה 9 להכרעת הדין) דבר מצבו והבנתו של הנאשם את מעשיו. באשר לדברים שנאמרו בע"פ 3095/15 </w:t>
      </w:r>
      <w:r w:rsidRPr="001F6974">
        <w:rPr>
          <w:rFonts w:ascii="Arial" w:hAnsi="Arial"/>
          <w:b/>
          <w:spacing w:val="22"/>
          <w:rtl/>
        </w:rPr>
        <w:t>–</w:t>
      </w:r>
      <w:r w:rsidRPr="001F6974">
        <w:rPr>
          <w:rFonts w:ascii="Arial" w:hAnsi="Arial" w:hint="cs"/>
          <w:bCs/>
          <w:spacing w:val="22"/>
          <w:rtl/>
        </w:rPr>
        <w:t xml:space="preserve"> </w:t>
      </w:r>
      <w:r w:rsidRPr="001F6974">
        <w:rPr>
          <w:rFonts w:ascii="Arial" w:hAnsi="Arial" w:hint="cs"/>
          <w:b/>
          <w:spacing w:val="22"/>
          <w:rtl/>
        </w:rPr>
        <w:t>שם נטען לפוסט טראומה, נקבע כי זו לא עולה כדי מצוקה נפשית קשה (גם אותו מקרה עסק בנקמת דם</w:t>
      </w:r>
      <w:r>
        <w:rPr>
          <w:rFonts w:ascii="Arial" w:hAnsi="Arial" w:hint="cs"/>
          <w:b/>
          <w:spacing w:val="22"/>
          <w:rtl/>
        </w:rPr>
        <w:t xml:space="preserve"> (</w:t>
      </w:r>
      <w:r w:rsidRPr="001F6974">
        <w:rPr>
          <w:rFonts w:ascii="Arial" w:hAnsi="Arial" w:hint="cs"/>
          <w:b/>
          <w:spacing w:val="22"/>
          <w:rtl/>
        </w:rPr>
        <w:t xml:space="preserve">תבוא לכך התייחסות בהמשך). </w:t>
      </w:r>
    </w:p>
    <w:p w14:paraId="2FEF7233" w14:textId="77777777" w:rsidR="00106D64" w:rsidRPr="001F6974" w:rsidRDefault="00106D64" w:rsidP="00106D64">
      <w:pPr>
        <w:spacing w:line="360" w:lineRule="auto"/>
        <w:jc w:val="both"/>
        <w:rPr>
          <w:rFonts w:ascii="Arial" w:hAnsi="Arial"/>
          <w:b/>
          <w:spacing w:val="22"/>
          <w:rtl/>
        </w:rPr>
      </w:pPr>
    </w:p>
    <w:p w14:paraId="0FFCEAD8" w14:textId="77777777" w:rsidR="00106D64" w:rsidRPr="001F6974" w:rsidRDefault="00106D64" w:rsidP="00106D64">
      <w:pPr>
        <w:tabs>
          <w:tab w:val="left" w:pos="2552"/>
          <w:tab w:val="center" w:pos="4156"/>
        </w:tabs>
        <w:spacing w:line="360" w:lineRule="auto"/>
        <w:jc w:val="both"/>
        <w:rPr>
          <w:spacing w:val="22"/>
          <w:rtl/>
        </w:rPr>
      </w:pPr>
      <w:r w:rsidRPr="001F6974">
        <w:rPr>
          <w:rFonts w:hint="cs"/>
          <w:spacing w:val="22"/>
          <w:rtl/>
        </w:rPr>
        <w:t xml:space="preserve">4.          ב"כ הנאשם נסמך על שתי קביעות בהכרעת הדין: האחת </w:t>
      </w:r>
      <w:r w:rsidRPr="001F6974">
        <w:rPr>
          <w:spacing w:val="22"/>
          <w:rtl/>
        </w:rPr>
        <w:t>–</w:t>
      </w:r>
      <w:r w:rsidRPr="001F6974">
        <w:rPr>
          <w:rFonts w:hint="cs"/>
          <w:spacing w:val="22"/>
          <w:rtl/>
        </w:rPr>
        <w:t xml:space="preserve"> ביחס למצבו הנפשי של הנאשם, שם נאמר ש"</w:t>
      </w:r>
      <w:r w:rsidRPr="001F6974">
        <w:rPr>
          <w:rFonts w:hint="cs"/>
          <w:b/>
          <w:bCs/>
          <w:spacing w:val="22"/>
          <w:rtl/>
        </w:rPr>
        <w:t>אמנם הנאשם הושפע עמוקות מהדרך הטרגית בה אביו קיפח את חייו ואירוע זה השפיע עליו והעמיק השימוש שעשה בסמים. גרם לו לתסכול עמוק בשל העובדה שכנגד מי שחשב שרצח את אביו לא יינקטו הליכים אולם באלה לא היה למוטט את שיקול דעתו ויכולת ההבנה של מעשיו",</w:t>
      </w:r>
      <w:r w:rsidRPr="001F6974">
        <w:rPr>
          <w:rFonts w:hint="cs"/>
          <w:spacing w:val="22"/>
          <w:rtl/>
        </w:rPr>
        <w:t xml:space="preserve"> והנושא השני </w:t>
      </w:r>
      <w:r w:rsidRPr="001F6974">
        <w:rPr>
          <w:spacing w:val="22"/>
          <w:rtl/>
        </w:rPr>
        <w:t>–</w:t>
      </w:r>
      <w:r w:rsidRPr="001F6974">
        <w:rPr>
          <w:rFonts w:hint="cs"/>
          <w:spacing w:val="22"/>
          <w:rtl/>
        </w:rPr>
        <w:t xml:space="preserve"> </w:t>
      </w:r>
      <w:r w:rsidRPr="001F6974">
        <w:rPr>
          <w:rFonts w:hint="cs"/>
          <w:b/>
          <w:bCs/>
          <w:spacing w:val="22"/>
          <w:rtl/>
        </w:rPr>
        <w:t>לעניין ענישה מופחתת</w:t>
      </w:r>
      <w:r w:rsidRPr="001F6974">
        <w:rPr>
          <w:rFonts w:hint="cs"/>
          <w:spacing w:val="22"/>
          <w:rtl/>
        </w:rPr>
        <w:t xml:space="preserve">. הוסף עוד, לגבי ענישה מופחתת, כי גם אם תדחנה כל טענות ההגנה, עניינו של הנאשם נכנס לגדרי החריגים. נטען כי בשל </w:t>
      </w:r>
      <w:r w:rsidRPr="001F6974">
        <w:rPr>
          <w:rFonts w:hint="cs"/>
          <w:b/>
          <w:bCs/>
          <w:spacing w:val="22"/>
          <w:rtl/>
        </w:rPr>
        <w:t>הליקויים הנפשיים</w:t>
      </w:r>
      <w:r w:rsidRPr="001F6974">
        <w:rPr>
          <w:rFonts w:hint="cs"/>
          <w:spacing w:val="22"/>
          <w:rtl/>
        </w:rPr>
        <w:t xml:space="preserve"> של הנאשם אשר נגרמו מהדיכאון הפסיכוטי שלו, ניתן לקבוע, בסבירות גבוהה, כי מצבו של הנאשם בעת ביצוע המעשה, היה דומה למצבו בעת הבדיקה על ידי פרופ' לוי. לפיכך הנאשם סבל </w:t>
      </w:r>
      <w:r w:rsidRPr="001F6974">
        <w:rPr>
          <w:rFonts w:hint="cs"/>
          <w:b/>
          <w:bCs/>
          <w:spacing w:val="22"/>
          <w:rtl/>
        </w:rPr>
        <w:t>מהפרעה נפשית חמורה</w:t>
      </w:r>
      <w:r w:rsidRPr="001F6974">
        <w:rPr>
          <w:rFonts w:hint="cs"/>
          <w:spacing w:val="22"/>
          <w:rtl/>
        </w:rPr>
        <w:t>, גם אם הוא כשיר לעמוד לדין, הפרעה  אשר הגבילה את יכולתו במידה ניכרת להבין את אשר הוא עושה, את הפסול במעשיו או להימנע מעשיית המעשה.</w:t>
      </w:r>
    </w:p>
    <w:p w14:paraId="74CA0B8D" w14:textId="77777777" w:rsidR="00106D64" w:rsidRPr="001F6974" w:rsidRDefault="00106D64" w:rsidP="00106D64">
      <w:pPr>
        <w:tabs>
          <w:tab w:val="left" w:pos="2552"/>
          <w:tab w:val="center" w:pos="4156"/>
        </w:tabs>
        <w:spacing w:line="360" w:lineRule="auto"/>
        <w:jc w:val="both"/>
        <w:rPr>
          <w:spacing w:val="22"/>
          <w:rtl/>
        </w:rPr>
      </w:pPr>
    </w:p>
    <w:p w14:paraId="062A0B13" w14:textId="77777777" w:rsidR="00106D64" w:rsidRPr="001F6974" w:rsidRDefault="00106D64" w:rsidP="00106D64">
      <w:pPr>
        <w:tabs>
          <w:tab w:val="left" w:pos="2552"/>
          <w:tab w:val="center" w:pos="4156"/>
        </w:tabs>
        <w:spacing w:line="360" w:lineRule="auto"/>
        <w:jc w:val="both"/>
        <w:rPr>
          <w:spacing w:val="22"/>
          <w:rtl/>
        </w:rPr>
      </w:pPr>
      <w:r w:rsidRPr="001F6974">
        <w:rPr>
          <w:rFonts w:hint="cs"/>
          <w:spacing w:val="22"/>
          <w:rtl/>
        </w:rPr>
        <w:t xml:space="preserve">5.      הסנגור לא התעלם מכך כי שבפסיקת בית המשפט העליון הוכר מספר מקרים מצומצם בלבד, בגדרם זכה נאשם שהורשע ברצח לענישה מופחתת. באה הפניה להחלטות בעניין: </w:t>
      </w:r>
      <w:hyperlink r:id="rId28" w:history="1">
        <w:r w:rsidR="00EB66B3" w:rsidRPr="00EB66B3">
          <w:rPr>
            <w:b/>
            <w:bCs/>
            <w:color w:val="0000FF"/>
            <w:spacing w:val="22"/>
            <w:u w:val="single"/>
            <w:rtl/>
          </w:rPr>
          <w:t>ע"פ 3962/99</w:t>
        </w:r>
      </w:hyperlink>
      <w:r w:rsidRPr="001F6974">
        <w:rPr>
          <w:rFonts w:hint="cs"/>
          <w:spacing w:val="22"/>
          <w:rtl/>
        </w:rPr>
        <w:t xml:space="preserve">, </w:t>
      </w:r>
      <w:r w:rsidRPr="001F6974">
        <w:rPr>
          <w:rFonts w:hint="cs"/>
          <w:b/>
          <w:bCs/>
          <w:spacing w:val="22"/>
          <w:rtl/>
        </w:rPr>
        <w:t>ו</w:t>
      </w:r>
      <w:hyperlink r:id="rId29" w:history="1">
        <w:r w:rsidR="00EB66B3" w:rsidRPr="00EB66B3">
          <w:rPr>
            <w:b/>
            <w:bCs/>
            <w:color w:val="0000FF"/>
            <w:spacing w:val="22"/>
            <w:u w:val="single"/>
            <w:rtl/>
          </w:rPr>
          <w:t>ע"פ 5031/01</w:t>
        </w:r>
      </w:hyperlink>
      <w:r w:rsidRPr="001F6974">
        <w:rPr>
          <w:rFonts w:hint="cs"/>
          <w:spacing w:val="22"/>
          <w:rtl/>
        </w:rPr>
        <w:t xml:space="preserve">. בעניין האחרון בית משפט המחוזי הרשיע את המערערת בעבירת רצח וגזר עליה עונש מופחת. בית משפט העליון קבע כי עקב בעיה נפשית לא התגבשה כוונת קטילה ולפיכך לא התקיים היסוד הנפשי הדרוש להרשעה בעבירת רצח ועל כן זוכתה הנאשמת מעבירת רצח והורשעה בהריגה. אוזכר </w:t>
      </w:r>
      <w:hyperlink r:id="rId30" w:history="1">
        <w:r w:rsidR="00EB66B3" w:rsidRPr="00EB66B3">
          <w:rPr>
            <w:b/>
            <w:bCs/>
            <w:color w:val="0000FF"/>
            <w:spacing w:val="22"/>
            <w:u w:val="single"/>
            <w:rtl/>
          </w:rPr>
          <w:t>ע"פ 5951/98</w:t>
        </w:r>
      </w:hyperlink>
      <w:r w:rsidRPr="001F6974">
        <w:rPr>
          <w:rFonts w:hint="cs"/>
          <w:b/>
          <w:bCs/>
          <w:spacing w:val="22"/>
          <w:rtl/>
        </w:rPr>
        <w:t>.</w:t>
      </w:r>
      <w:r w:rsidRPr="001F6974">
        <w:rPr>
          <w:rFonts w:hint="cs"/>
          <w:spacing w:val="22"/>
          <w:rtl/>
        </w:rPr>
        <w:t xml:space="preserve"> באותו עניין, דעת המיעוט סברה כי התפתחה הפרעה נפשית חמורה בסמוך לאירוע ולכן הנאשם זכאי לענישה מופחתת. </w:t>
      </w:r>
    </w:p>
    <w:p w14:paraId="15F78C48" w14:textId="77777777" w:rsidR="00106D64" w:rsidRPr="001F6974" w:rsidRDefault="00106D64" w:rsidP="00106D64">
      <w:pPr>
        <w:tabs>
          <w:tab w:val="left" w:pos="2552"/>
          <w:tab w:val="center" w:pos="4156"/>
        </w:tabs>
        <w:spacing w:line="360" w:lineRule="auto"/>
        <w:jc w:val="both"/>
        <w:rPr>
          <w:spacing w:val="22"/>
          <w:rtl/>
        </w:rPr>
      </w:pPr>
      <w:r w:rsidRPr="001F6974">
        <w:rPr>
          <w:rFonts w:hint="cs"/>
          <w:spacing w:val="22"/>
          <w:rtl/>
        </w:rPr>
        <w:t xml:space="preserve">        לטענת הסנגור, בעת האחרונה נושבת רוח חדשה מפסיקתו של בית משפט העליון הקוראת להגמשת המבחנים הנדרשים בסוגיה זו. אוזכר </w:t>
      </w:r>
      <w:hyperlink r:id="rId31" w:history="1">
        <w:r w:rsidR="00EB66B3" w:rsidRPr="00EB66B3">
          <w:rPr>
            <w:b/>
            <w:bCs/>
            <w:color w:val="0000FF"/>
            <w:spacing w:val="22"/>
            <w:u w:val="single"/>
            <w:rtl/>
          </w:rPr>
          <w:t>ע"פ 3039/15</w:t>
        </w:r>
      </w:hyperlink>
      <w:r w:rsidRPr="001F6974">
        <w:rPr>
          <w:rFonts w:hint="cs"/>
          <w:spacing w:val="22"/>
          <w:rtl/>
        </w:rPr>
        <w:t xml:space="preserve">, שעסק בשאלת תחולתו של סעיף </w:t>
      </w:r>
      <w:hyperlink r:id="rId32" w:history="1">
        <w:r w:rsidR="00FF4D23" w:rsidRPr="00FF4D23">
          <w:rPr>
            <w:color w:val="0000FF"/>
            <w:spacing w:val="22"/>
            <w:u w:val="single"/>
            <w:rtl/>
          </w:rPr>
          <w:t>300 א' (א)</w:t>
        </w:r>
      </w:hyperlink>
      <w:r w:rsidRPr="001F6974">
        <w:rPr>
          <w:rFonts w:hint="cs"/>
          <w:spacing w:val="22"/>
          <w:rtl/>
        </w:rPr>
        <w:t xml:space="preserve"> ל</w:t>
      </w:r>
      <w:hyperlink r:id="rId33" w:history="1">
        <w:r w:rsidR="00EB66B3" w:rsidRPr="00EB66B3">
          <w:rPr>
            <w:color w:val="0000FF"/>
            <w:spacing w:val="22"/>
            <w:u w:val="single"/>
            <w:rtl/>
          </w:rPr>
          <w:t>חוק העונשין</w:t>
        </w:r>
      </w:hyperlink>
      <w:r w:rsidRPr="001F6974">
        <w:rPr>
          <w:rFonts w:hint="cs"/>
          <w:spacing w:val="22"/>
          <w:rtl/>
        </w:rPr>
        <w:t xml:space="preserve">. פסק דין זה דן בענישה מופחתת בעבירת רצח בשל ליקוי נפשי על רקע פוסט טראומה ממנה סבל המערער. בית משפט העליון דן בשתי סוגיות עקרוניות: האחת </w:t>
      </w:r>
      <w:r w:rsidRPr="001F6974">
        <w:rPr>
          <w:spacing w:val="22"/>
          <w:rtl/>
        </w:rPr>
        <w:t>–</w:t>
      </w:r>
      <w:r w:rsidRPr="001F6974">
        <w:rPr>
          <w:rFonts w:hint="cs"/>
          <w:spacing w:val="22"/>
          <w:rtl/>
        </w:rPr>
        <w:t xml:space="preserve">התנאים לתחולתו של סעיף </w:t>
      </w:r>
      <w:hyperlink r:id="rId34" w:history="1">
        <w:r w:rsidR="00FF4D23" w:rsidRPr="00FF4D23">
          <w:rPr>
            <w:color w:val="0000FF"/>
            <w:spacing w:val="22"/>
            <w:u w:val="single"/>
            <w:rtl/>
          </w:rPr>
          <w:t>300 א'</w:t>
        </w:r>
      </w:hyperlink>
      <w:r w:rsidRPr="001F6974">
        <w:rPr>
          <w:rFonts w:hint="cs"/>
          <w:spacing w:val="22"/>
          <w:rtl/>
        </w:rPr>
        <w:t xml:space="preserve"> ל</w:t>
      </w:r>
      <w:hyperlink r:id="rId35" w:history="1">
        <w:r w:rsidR="00EB66B3" w:rsidRPr="00EB66B3">
          <w:rPr>
            <w:color w:val="0000FF"/>
            <w:spacing w:val="22"/>
            <w:u w:val="single"/>
            <w:rtl/>
          </w:rPr>
          <w:t>חוק העונשין</w:t>
        </w:r>
      </w:hyperlink>
      <w:r w:rsidRPr="001F6974">
        <w:rPr>
          <w:rFonts w:hint="cs"/>
          <w:spacing w:val="22"/>
          <w:rtl/>
        </w:rPr>
        <w:t xml:space="preserve">, ועתירה לעונש מופחת כטענה חלופית במשפט רצח. בית המשפט העליון הזכיר באותו עניין את ההלכה </w:t>
      </w:r>
      <w:r w:rsidRPr="001F6974">
        <w:rPr>
          <w:rFonts w:hint="cs"/>
          <w:b/>
          <w:bCs/>
          <w:spacing w:val="22"/>
          <w:rtl/>
        </w:rPr>
        <w:t>ב</w:t>
      </w:r>
      <w:hyperlink r:id="rId36" w:history="1">
        <w:r w:rsidR="00EB66B3" w:rsidRPr="00EB66B3">
          <w:rPr>
            <w:b/>
            <w:bCs/>
            <w:color w:val="0000FF"/>
            <w:spacing w:val="22"/>
            <w:u w:val="single"/>
            <w:rtl/>
          </w:rPr>
          <w:t>ע"פ 774/13</w:t>
        </w:r>
      </w:hyperlink>
      <w:r w:rsidRPr="001F6974">
        <w:rPr>
          <w:rFonts w:hint="cs"/>
          <w:b/>
          <w:bCs/>
          <w:spacing w:val="22"/>
          <w:rtl/>
        </w:rPr>
        <w:t xml:space="preserve">, </w:t>
      </w:r>
      <w:r w:rsidRPr="001F6974">
        <w:rPr>
          <w:rFonts w:hint="cs"/>
          <w:spacing w:val="22"/>
          <w:rtl/>
        </w:rPr>
        <w:t xml:space="preserve">לפיה במקום בו קו ההגנה העיקרי של הנאשם הוא אי שפיות הדעת, ניתן לברר, כבר במהלך המשפט, את הטענה החלופית של ענישה מופחתת מכח סעיף </w:t>
      </w:r>
      <w:hyperlink r:id="rId37" w:history="1">
        <w:r w:rsidR="00FF4D23" w:rsidRPr="00FF4D23">
          <w:rPr>
            <w:rStyle w:val="Hyperlink"/>
            <w:color w:val="0000FF"/>
            <w:spacing w:val="22"/>
            <w:rtl/>
          </w:rPr>
          <w:t>300 א' (א)</w:t>
        </w:r>
      </w:hyperlink>
      <w:r w:rsidRPr="001F6974">
        <w:rPr>
          <w:rFonts w:hint="cs"/>
          <w:spacing w:val="22"/>
          <w:rtl/>
        </w:rPr>
        <w:t xml:space="preserve"> לחוק, על אף שמקומו של הדיון בסעיף זה, ככלל, הוא בשלב גזירת הדין. בית המשפט העליון נדרש, אגב הדיון בתיק, גם לצורך ריכוך ההלכה הקיימת באשר לתנאים הנדרשים לתחולתו של סעיף </w:t>
      </w:r>
      <w:hyperlink r:id="rId38" w:history="1">
        <w:r w:rsidR="00FF4D23" w:rsidRPr="00FF4D23">
          <w:rPr>
            <w:color w:val="0000FF"/>
            <w:spacing w:val="22"/>
            <w:u w:val="single"/>
            <w:rtl/>
          </w:rPr>
          <w:t>300 א' (א)</w:t>
        </w:r>
      </w:hyperlink>
      <w:r w:rsidRPr="001F6974">
        <w:rPr>
          <w:rFonts w:hint="cs"/>
          <w:spacing w:val="22"/>
          <w:rtl/>
        </w:rPr>
        <w:t xml:space="preserve"> ל</w:t>
      </w:r>
      <w:hyperlink r:id="rId39" w:history="1">
        <w:r w:rsidR="00EB66B3" w:rsidRPr="00EB66B3">
          <w:rPr>
            <w:color w:val="0000FF"/>
            <w:spacing w:val="22"/>
            <w:u w:val="single"/>
            <w:rtl/>
          </w:rPr>
          <w:t>חוק העונשין</w:t>
        </w:r>
      </w:hyperlink>
      <w:r w:rsidRPr="001F6974">
        <w:rPr>
          <w:rFonts w:hint="cs"/>
          <w:spacing w:val="22"/>
          <w:rtl/>
        </w:rPr>
        <w:t xml:space="preserve">, זאת על רקע הפרשנות המצמצמת על ידי בתי המשפט באופן שהגביל עד מאד את יישומם. נטען כי, כפי שבא לידי ביטוי בדעת כב' השופט עמית, הגיעה העת להוריד, במידת מה, את הרף הנדרש לתחולת </w:t>
      </w:r>
      <w:hyperlink r:id="rId40" w:history="1">
        <w:r w:rsidR="00FF4D23" w:rsidRPr="00FF4D23">
          <w:rPr>
            <w:color w:val="0000FF"/>
            <w:spacing w:val="22"/>
            <w:u w:val="single"/>
            <w:rtl/>
          </w:rPr>
          <w:t>סעיף 300</w:t>
        </w:r>
      </w:hyperlink>
      <w:r w:rsidRPr="001F6974">
        <w:rPr>
          <w:rFonts w:hint="cs"/>
          <w:spacing w:val="22"/>
          <w:rtl/>
        </w:rPr>
        <w:t xml:space="preserve"> לחוק. הורדת הרף צריכה להתבצע על דרך של הגדלת מה של המרווח שבין הרף הנדרש לצורך ענישה מופחתת לפי סעיף </w:t>
      </w:r>
      <w:hyperlink r:id="rId41" w:history="1">
        <w:r w:rsidR="00FF4D23" w:rsidRPr="00FF4D23">
          <w:rPr>
            <w:rStyle w:val="Hyperlink"/>
            <w:color w:val="0000FF"/>
            <w:spacing w:val="22"/>
            <w:rtl/>
          </w:rPr>
          <w:t>300 א'</w:t>
        </w:r>
      </w:hyperlink>
      <w:r w:rsidRPr="001F6974">
        <w:rPr>
          <w:rFonts w:hint="cs"/>
          <w:spacing w:val="22"/>
          <w:rtl/>
        </w:rPr>
        <w:t xml:space="preserve"> לבין הרף הנדרש לצורך פטור מוחלט מאחריות לפי סעיף </w:t>
      </w:r>
      <w:hyperlink r:id="rId42" w:history="1">
        <w:r w:rsidR="00FF4D23" w:rsidRPr="00FF4D23">
          <w:rPr>
            <w:rStyle w:val="Hyperlink"/>
            <w:color w:val="0000FF"/>
            <w:spacing w:val="22"/>
            <w:rtl/>
          </w:rPr>
          <w:t>34 ח'</w:t>
        </w:r>
      </w:hyperlink>
      <w:r w:rsidRPr="001F6974">
        <w:rPr>
          <w:rFonts w:hint="cs"/>
          <w:spacing w:val="22"/>
          <w:rtl/>
        </w:rPr>
        <w:t xml:space="preserve">. על השוני לבוא לידי ביטוי בריכוך של עוצמת התסמינים הנדרשים לשם החלת סעיף </w:t>
      </w:r>
      <w:hyperlink r:id="rId43" w:history="1">
        <w:r w:rsidR="00FF4D23" w:rsidRPr="00FF4D23">
          <w:rPr>
            <w:color w:val="0000FF"/>
            <w:spacing w:val="22"/>
            <w:u w:val="single"/>
            <w:rtl/>
          </w:rPr>
          <w:t>300 א'</w:t>
        </w:r>
      </w:hyperlink>
      <w:r w:rsidRPr="001F6974">
        <w:rPr>
          <w:rFonts w:hint="cs"/>
          <w:spacing w:val="22"/>
          <w:rtl/>
        </w:rPr>
        <w:t xml:space="preserve">. הסנגור הוסיף כי על רקע הגמשתו לכאורה של הרף הנדרש לצורך תחולתו של סעיף </w:t>
      </w:r>
      <w:hyperlink r:id="rId44" w:history="1">
        <w:r w:rsidR="00FF4D23" w:rsidRPr="00FF4D23">
          <w:rPr>
            <w:color w:val="0000FF"/>
            <w:spacing w:val="22"/>
            <w:u w:val="single"/>
            <w:rtl/>
          </w:rPr>
          <w:t>300 א' (א),</w:t>
        </w:r>
      </w:hyperlink>
      <w:r w:rsidRPr="001F6974">
        <w:rPr>
          <w:rFonts w:hint="cs"/>
          <w:spacing w:val="22"/>
          <w:rtl/>
        </w:rPr>
        <w:t xml:space="preserve"> הכיר  השופט עמית במצב של פוסט טראומה כמצע אפשרי לטענת אי שפיות הדעת לפי סעיף </w:t>
      </w:r>
      <w:hyperlink r:id="rId45" w:history="1">
        <w:r w:rsidR="00FF4D23" w:rsidRPr="00FF4D23">
          <w:rPr>
            <w:color w:val="0000FF"/>
            <w:spacing w:val="22"/>
            <w:u w:val="single"/>
            <w:rtl/>
          </w:rPr>
          <w:t>34 ח'</w:t>
        </w:r>
      </w:hyperlink>
      <w:r w:rsidRPr="001F6974">
        <w:rPr>
          <w:rFonts w:hint="cs"/>
          <w:spacing w:val="22"/>
          <w:rtl/>
        </w:rPr>
        <w:t xml:space="preserve"> ל</w:t>
      </w:r>
      <w:hyperlink r:id="rId46" w:history="1">
        <w:r w:rsidR="00EB66B3" w:rsidRPr="00EB66B3">
          <w:rPr>
            <w:color w:val="0000FF"/>
            <w:spacing w:val="22"/>
            <w:u w:val="single"/>
            <w:rtl/>
          </w:rPr>
          <w:t>חוק העונשין</w:t>
        </w:r>
      </w:hyperlink>
      <w:r w:rsidRPr="001F6974">
        <w:rPr>
          <w:rFonts w:hint="cs"/>
          <w:spacing w:val="22"/>
          <w:rtl/>
        </w:rPr>
        <w:t xml:space="preserve"> או כבסיס לתחולתו של סעיף </w:t>
      </w:r>
      <w:hyperlink r:id="rId47" w:history="1">
        <w:r w:rsidR="00FF4D23" w:rsidRPr="00FF4D23">
          <w:rPr>
            <w:color w:val="0000FF"/>
            <w:spacing w:val="22"/>
            <w:u w:val="single"/>
            <w:rtl/>
          </w:rPr>
          <w:t>300 א' (א)</w:t>
        </w:r>
      </w:hyperlink>
      <w:r w:rsidRPr="001F6974">
        <w:rPr>
          <w:rFonts w:hint="cs"/>
          <w:spacing w:val="22"/>
          <w:rtl/>
        </w:rPr>
        <w:t xml:space="preserve"> לחוק העונשין. שינויים אלה, כך נטען, מצטרפים לשינויים שחלו בשנים האחרונות במבחנים לתחולתה של טענת אי שפיות שבאו לידי ביטוי במעבר מהמבחן הקטגורי למבחן הפונקציונלי כאשר האחרון בוחן בעיקר את הסימפטומים ואת עוצמת התסמינים של החולה. על כן, נטען כי במסגרת הגמשה זו יש להכיר, בנסיבות של תיק זה, ככאלו שמקיימות את ההגנה הקבועה בחוק.</w:t>
      </w:r>
    </w:p>
    <w:p w14:paraId="54CD585B" w14:textId="77777777" w:rsidR="00106D64" w:rsidRPr="001F6974" w:rsidRDefault="00106D64" w:rsidP="00106D64">
      <w:pPr>
        <w:tabs>
          <w:tab w:val="left" w:pos="2552"/>
          <w:tab w:val="center" w:pos="4156"/>
        </w:tabs>
        <w:spacing w:line="360" w:lineRule="auto"/>
        <w:jc w:val="both"/>
        <w:rPr>
          <w:spacing w:val="22"/>
          <w:rtl/>
        </w:rPr>
      </w:pPr>
    </w:p>
    <w:p w14:paraId="64C38FB8" w14:textId="77777777" w:rsidR="00106D64" w:rsidRPr="001F6974" w:rsidRDefault="00106D64" w:rsidP="00106D64">
      <w:pPr>
        <w:tabs>
          <w:tab w:val="left" w:pos="2552"/>
          <w:tab w:val="center" w:pos="4156"/>
        </w:tabs>
        <w:spacing w:line="360" w:lineRule="auto"/>
        <w:jc w:val="both"/>
        <w:rPr>
          <w:spacing w:val="22"/>
          <w:rtl/>
        </w:rPr>
      </w:pPr>
      <w:r w:rsidRPr="001F6974">
        <w:rPr>
          <w:rFonts w:hint="cs"/>
          <w:spacing w:val="22"/>
          <w:rtl/>
        </w:rPr>
        <w:t xml:space="preserve">6.      לחלופין, נטען כי יש לקבוע כי חל סעיף </w:t>
      </w:r>
      <w:hyperlink r:id="rId48" w:history="1">
        <w:r w:rsidR="00FF4D23" w:rsidRPr="00FF4D23">
          <w:rPr>
            <w:color w:val="0000FF"/>
            <w:spacing w:val="22"/>
            <w:u w:val="single"/>
            <w:rtl/>
          </w:rPr>
          <w:t>300 א(ב),</w:t>
        </w:r>
      </w:hyperlink>
      <w:r w:rsidRPr="001F6974">
        <w:rPr>
          <w:rFonts w:hint="cs"/>
          <w:spacing w:val="22"/>
          <w:rtl/>
        </w:rPr>
        <w:t xml:space="preserve"> הדן בחריגה מועטת ממתחם הסבירות לצורך התקיימות הסייג בדבר הגנה עצמית. גם אם בענייננו הנאשם חרג במידת מה מתנאי הנחיצות או תנאי הסבירות, הרי למקרים מעין אלה נקבעה ההוראה הקבועה בסעיף </w:t>
      </w:r>
      <w:hyperlink r:id="rId49" w:history="1">
        <w:r w:rsidR="00FF4D23" w:rsidRPr="00FF4D23">
          <w:rPr>
            <w:color w:val="0000FF"/>
            <w:spacing w:val="22"/>
            <w:u w:val="single"/>
            <w:rtl/>
          </w:rPr>
          <w:t>300 א' (ב)</w:t>
        </w:r>
      </w:hyperlink>
      <w:r w:rsidRPr="001F6974">
        <w:rPr>
          <w:rFonts w:hint="cs"/>
          <w:spacing w:val="22"/>
          <w:rtl/>
        </w:rPr>
        <w:t xml:space="preserve"> ל</w:t>
      </w:r>
      <w:hyperlink r:id="rId50" w:history="1">
        <w:r w:rsidR="00EB66B3" w:rsidRPr="00EB66B3">
          <w:rPr>
            <w:color w:val="0000FF"/>
            <w:spacing w:val="22"/>
            <w:u w:val="single"/>
            <w:rtl/>
          </w:rPr>
          <w:t>חוק העונשין</w:t>
        </w:r>
      </w:hyperlink>
      <w:r w:rsidRPr="001F6974">
        <w:rPr>
          <w:rFonts w:hint="cs"/>
          <w:spacing w:val="22"/>
          <w:rtl/>
        </w:rPr>
        <w:t xml:space="preserve">. עניינו של הנאשם כך נטען, חרג במידה מועטת בלבד ממתחם הסבירות ולפיכך זכאי הוא להנות מענישה מופחתת. </w:t>
      </w:r>
    </w:p>
    <w:p w14:paraId="3D6D7EEE" w14:textId="77777777" w:rsidR="00106D64" w:rsidRPr="001F6974" w:rsidRDefault="00106D64" w:rsidP="00106D64">
      <w:pPr>
        <w:tabs>
          <w:tab w:val="left" w:pos="2552"/>
          <w:tab w:val="center" w:pos="4156"/>
        </w:tabs>
        <w:spacing w:line="360" w:lineRule="auto"/>
        <w:jc w:val="both"/>
        <w:rPr>
          <w:spacing w:val="22"/>
          <w:rtl/>
        </w:rPr>
      </w:pPr>
    </w:p>
    <w:p w14:paraId="2CAB3852" w14:textId="77777777" w:rsidR="00106D64" w:rsidRPr="001F6974" w:rsidRDefault="00106D64" w:rsidP="00106D64">
      <w:pPr>
        <w:tabs>
          <w:tab w:val="left" w:pos="2552"/>
          <w:tab w:val="center" w:pos="4156"/>
        </w:tabs>
        <w:spacing w:line="360" w:lineRule="auto"/>
        <w:jc w:val="both"/>
        <w:rPr>
          <w:spacing w:val="22"/>
          <w:rtl/>
        </w:rPr>
      </w:pPr>
      <w:r w:rsidRPr="001F6974">
        <w:rPr>
          <w:rFonts w:hint="cs"/>
          <w:spacing w:val="22"/>
          <w:rtl/>
        </w:rPr>
        <w:t xml:space="preserve">7.       טענה נוספת אותה העלה הסנגור נגעה בהתעללות חמורה ומתמשכת (לחלופי חלופין) (סעיף </w:t>
      </w:r>
      <w:hyperlink r:id="rId51" w:history="1">
        <w:r w:rsidR="00FF4D23" w:rsidRPr="00FF4D23">
          <w:rPr>
            <w:color w:val="0000FF"/>
            <w:spacing w:val="22"/>
            <w:u w:val="single"/>
            <w:rtl/>
          </w:rPr>
          <w:t>300 א'(ג)).</w:t>
        </w:r>
      </w:hyperlink>
      <w:r w:rsidRPr="001F6974">
        <w:rPr>
          <w:rFonts w:hint="cs"/>
          <w:spacing w:val="22"/>
          <w:rtl/>
        </w:rPr>
        <w:t xml:space="preserve"> נטען כי מבחינת מבטו הסובייקטיבי של הנאשם, המנוח הוא זה שהביא לרצח אביו. נטען כי המנוח ומשפחתו הם  אלה אשר לא קיימו את ה"עטווה" ונשארו לחיות בקרבת מקום למגורי הנאשם. המנוח היה זה שביצע מספר פרובוקציות אלימות כלפי הנאשם ואף כלפי בני משפחתו וניתן לראות התנהלות זו של המנוח כהתעללות חמורה ומתמשכת בנאשם ובבן משפחתו ולפיכך זכאי הנאשם להנות מסייג זה.</w:t>
      </w:r>
    </w:p>
    <w:p w14:paraId="3F9C5CAF" w14:textId="77777777" w:rsidR="00106D64" w:rsidRPr="001F6974" w:rsidRDefault="00106D64" w:rsidP="00106D64">
      <w:pPr>
        <w:tabs>
          <w:tab w:val="left" w:pos="2552"/>
          <w:tab w:val="center" w:pos="4156"/>
        </w:tabs>
        <w:spacing w:line="360" w:lineRule="auto"/>
        <w:jc w:val="both"/>
        <w:rPr>
          <w:spacing w:val="22"/>
          <w:rtl/>
        </w:rPr>
      </w:pPr>
      <w:r w:rsidRPr="001F6974">
        <w:rPr>
          <w:rFonts w:hint="cs"/>
          <w:spacing w:val="22"/>
          <w:rtl/>
        </w:rPr>
        <w:t xml:space="preserve">         </w:t>
      </w:r>
    </w:p>
    <w:p w14:paraId="6C9C7692" w14:textId="77777777" w:rsidR="00106D64" w:rsidRPr="001F6974" w:rsidRDefault="00106D64" w:rsidP="00106D64">
      <w:pPr>
        <w:tabs>
          <w:tab w:val="left" w:pos="2552"/>
          <w:tab w:val="center" w:pos="4156"/>
        </w:tabs>
        <w:spacing w:line="360" w:lineRule="auto"/>
        <w:jc w:val="both"/>
        <w:rPr>
          <w:rFonts w:ascii="Arial" w:hAnsi="Arial"/>
          <w:spacing w:val="22"/>
          <w:rtl/>
        </w:rPr>
      </w:pPr>
      <w:r w:rsidRPr="001F6974">
        <w:rPr>
          <w:rFonts w:hint="cs"/>
          <w:spacing w:val="22"/>
          <w:rtl/>
        </w:rPr>
        <w:t xml:space="preserve">8.      נטען עוד כי יש מקום לחפוף בין העונשים של עבירת הרצח לעבירת הנשק.  מדובר באותו מעשה, אותו אירוע ואין זה ראוי שהנאשם ייענש פעמיים בגינו. באה הפנייה </w:t>
      </w:r>
      <w:hyperlink r:id="rId52" w:history="1">
        <w:r w:rsidR="00FF4D23" w:rsidRPr="00FF4D23">
          <w:rPr>
            <w:color w:val="0000FF"/>
            <w:spacing w:val="22"/>
            <w:u w:val="single"/>
            <w:rtl/>
          </w:rPr>
          <w:t>לסעיף 186</w:t>
        </w:r>
      </w:hyperlink>
      <w:r w:rsidRPr="001F6974">
        <w:rPr>
          <w:rFonts w:hint="cs"/>
          <w:spacing w:val="22"/>
          <w:rtl/>
        </w:rPr>
        <w:t xml:space="preserve"> ל</w:t>
      </w:r>
      <w:hyperlink r:id="rId53" w:history="1">
        <w:r w:rsidR="00EB66B3" w:rsidRPr="00EB66B3">
          <w:rPr>
            <w:color w:val="0000FF"/>
            <w:spacing w:val="22"/>
            <w:u w:val="single"/>
            <w:rtl/>
          </w:rPr>
          <w:t>חסד"פ</w:t>
        </w:r>
      </w:hyperlink>
      <w:r w:rsidRPr="001F6974">
        <w:rPr>
          <w:rFonts w:hint="cs"/>
          <w:spacing w:val="22"/>
          <w:rtl/>
        </w:rPr>
        <w:t xml:space="preserve"> הקובע כי בית משפט רשאי להרשיע נאשם בשל כל אחת מהעבירות שאשמתו בהן התגלתה מן העובדות שהוכחו לפניו אך לא יענישנו יותר מפעם אחת בשל אותו מעשה. נשיאת הנשק היא חלק בלתי נפרד מאירוע הרצח כפי שנקבע. אין זה ראוי כי העונשים יוטלו במצטבר. באשר לפיצוי נטען כי בתיק הזה ישנן נסיבות חריגות, יוצאות מן הכלל, כאשר אביו מולידו של הנאשם נרצח על הרקע שפורט בהכרעת הדין, אין ספק שקיימות נסיבות חריגות מאוד ויש להביאן בחשבון, כמו גם את הטראומה שמלווה את המשפחה. </w:t>
      </w:r>
    </w:p>
    <w:p w14:paraId="497DA671" w14:textId="77777777" w:rsidR="00106D64" w:rsidRPr="001F6974" w:rsidRDefault="00106D64" w:rsidP="00106D64">
      <w:pPr>
        <w:tabs>
          <w:tab w:val="left" w:pos="2552"/>
          <w:tab w:val="center" w:pos="4156"/>
        </w:tabs>
        <w:spacing w:line="360" w:lineRule="auto"/>
        <w:jc w:val="both"/>
        <w:rPr>
          <w:rFonts w:ascii="Arial" w:hAnsi="Arial"/>
          <w:spacing w:val="22"/>
          <w:rtl/>
        </w:rPr>
      </w:pPr>
      <w:r w:rsidRPr="001F6974">
        <w:rPr>
          <w:rFonts w:ascii="Arial" w:hAnsi="Arial" w:hint="cs"/>
          <w:spacing w:val="22"/>
          <w:rtl/>
        </w:rPr>
        <w:t xml:space="preserve">    </w:t>
      </w:r>
    </w:p>
    <w:p w14:paraId="74670A00" w14:textId="77777777" w:rsidR="00106D64" w:rsidRPr="001F6974" w:rsidRDefault="00106D64" w:rsidP="00106D64">
      <w:pPr>
        <w:tabs>
          <w:tab w:val="left" w:pos="2552"/>
          <w:tab w:val="center" w:pos="4156"/>
        </w:tabs>
        <w:spacing w:line="360" w:lineRule="auto"/>
        <w:jc w:val="both"/>
        <w:rPr>
          <w:rFonts w:ascii="Arial" w:hAnsi="Arial"/>
          <w:spacing w:val="22"/>
          <w:rtl/>
        </w:rPr>
      </w:pPr>
      <w:r w:rsidRPr="001F6974">
        <w:rPr>
          <w:rFonts w:ascii="Arial" w:hAnsi="Arial" w:hint="cs"/>
          <w:spacing w:val="22"/>
          <w:rtl/>
        </w:rPr>
        <w:t xml:space="preserve">9.     </w:t>
      </w:r>
      <w:r w:rsidRPr="001F6974">
        <w:rPr>
          <w:rFonts w:ascii="Arial" w:hAnsi="Arial" w:hint="cs"/>
          <w:b/>
          <w:bCs/>
          <w:spacing w:val="22"/>
          <w:rtl/>
        </w:rPr>
        <w:t xml:space="preserve"> הנאשם</w:t>
      </w:r>
      <w:r w:rsidRPr="001F6974">
        <w:rPr>
          <w:rFonts w:ascii="Arial" w:hAnsi="Arial" w:hint="cs"/>
          <w:spacing w:val="22"/>
          <w:rtl/>
        </w:rPr>
        <w:t xml:space="preserve"> הוסיף כי המנוח הרג  את אביו. עובר לכך הוא תפקד באופן נורמטיבי, השתכר לפרנסתו, ומיום שאביו נהרג, החל להשתמש בסמים ואלכוהול והפך לאדם אחר. בהמשך, המנוח הגיע והציק למשפחתו וניסה לפגוע בו, מצבו הנפשי בבית נפגע קשה, הוא היה בדיכאון והוא מבקש לשקם את חייו. </w:t>
      </w:r>
    </w:p>
    <w:p w14:paraId="2FF790BF" w14:textId="77777777" w:rsidR="00106D64" w:rsidRPr="001F6974" w:rsidRDefault="00106D64" w:rsidP="00106D64">
      <w:pPr>
        <w:tabs>
          <w:tab w:val="left" w:pos="2552"/>
          <w:tab w:val="center" w:pos="4156"/>
        </w:tabs>
        <w:spacing w:line="360" w:lineRule="auto"/>
        <w:jc w:val="both"/>
        <w:rPr>
          <w:rFonts w:ascii="Arial" w:hAnsi="Arial"/>
          <w:spacing w:val="22"/>
          <w:rtl/>
        </w:rPr>
      </w:pPr>
      <w:r w:rsidRPr="001F6974">
        <w:rPr>
          <w:rFonts w:ascii="Arial" w:hAnsi="Arial" w:hint="cs"/>
          <w:b/>
          <w:bCs/>
          <w:spacing w:val="22"/>
          <w:rtl/>
        </w:rPr>
        <w:t xml:space="preserve">          אחיו של הנאשם</w:t>
      </w:r>
      <w:r w:rsidRPr="001F6974">
        <w:rPr>
          <w:rFonts w:ascii="Arial" w:hAnsi="Arial" w:hint="cs"/>
          <w:spacing w:val="22"/>
          <w:rtl/>
        </w:rPr>
        <w:t xml:space="preserve">, מוחמד, הוסיף כי מות האב גרם לפגיעה קשה בכל בני המשפחה, חייהם המשותפים נפגעו, ואיך ניתן לפסוק פיצויים למי שאחראי למות האב. </w:t>
      </w:r>
    </w:p>
    <w:p w14:paraId="4778B4D8" w14:textId="77777777" w:rsidR="00106D64" w:rsidRPr="001F6974" w:rsidRDefault="00106D64" w:rsidP="00106D64">
      <w:pPr>
        <w:tabs>
          <w:tab w:val="left" w:pos="2552"/>
          <w:tab w:val="center" w:pos="4156"/>
        </w:tabs>
        <w:spacing w:line="360" w:lineRule="auto"/>
        <w:jc w:val="both"/>
        <w:rPr>
          <w:rFonts w:ascii="Arial" w:hAnsi="Arial"/>
          <w:spacing w:val="22"/>
          <w:rtl/>
        </w:rPr>
      </w:pPr>
    </w:p>
    <w:p w14:paraId="7CBEAAEA" w14:textId="77777777" w:rsidR="00106D64" w:rsidRPr="001F6974" w:rsidRDefault="00106D64" w:rsidP="00106D64">
      <w:pPr>
        <w:spacing w:line="360" w:lineRule="auto"/>
        <w:ind w:firstLine="720"/>
        <w:jc w:val="both"/>
        <w:rPr>
          <w:rFonts w:ascii="Arial" w:hAnsi="Arial"/>
          <w:b/>
          <w:bCs/>
          <w:spacing w:val="22"/>
          <w:rtl/>
        </w:rPr>
      </w:pPr>
      <w:r w:rsidRPr="001F6974">
        <w:rPr>
          <w:rFonts w:ascii="Arial" w:hAnsi="Arial"/>
          <w:b/>
          <w:bCs/>
          <w:spacing w:val="22"/>
          <w:rtl/>
        </w:rPr>
        <w:t>דיון</w:t>
      </w:r>
    </w:p>
    <w:p w14:paraId="39AFDB27" w14:textId="77777777" w:rsidR="00106D64" w:rsidRPr="001F6974" w:rsidRDefault="00106D64" w:rsidP="00106D64">
      <w:pPr>
        <w:spacing w:line="360" w:lineRule="auto"/>
        <w:jc w:val="both"/>
        <w:rPr>
          <w:rFonts w:ascii="Arial" w:hAnsi="Arial"/>
          <w:spacing w:val="22"/>
          <w:rtl/>
        </w:rPr>
      </w:pPr>
      <w:r w:rsidRPr="001F6974">
        <w:rPr>
          <w:rFonts w:ascii="Arial" w:hAnsi="Arial" w:hint="cs"/>
          <w:spacing w:val="22"/>
          <w:rtl/>
        </w:rPr>
        <w:t>10.</w:t>
      </w:r>
      <w:r w:rsidRPr="001F6974">
        <w:rPr>
          <w:rFonts w:ascii="Arial" w:hAnsi="Arial" w:hint="cs"/>
          <w:spacing w:val="22"/>
          <w:rtl/>
        </w:rPr>
        <w:tab/>
        <w:t xml:space="preserve">הנאשם </w:t>
      </w:r>
      <w:r w:rsidRPr="001F6974">
        <w:rPr>
          <w:rFonts w:ascii="Arial" w:hAnsi="Arial"/>
          <w:spacing w:val="22"/>
          <w:rtl/>
        </w:rPr>
        <w:t xml:space="preserve"> הורשע בשלוש עבירות</w:t>
      </w:r>
      <w:r w:rsidRPr="001F6974">
        <w:rPr>
          <w:rFonts w:ascii="Arial" w:hAnsi="Arial" w:hint="cs"/>
          <w:spacing w:val="22"/>
          <w:rtl/>
        </w:rPr>
        <w:t>:</w:t>
      </w:r>
      <w:r w:rsidRPr="001F6974">
        <w:rPr>
          <w:rFonts w:ascii="Arial" w:hAnsi="Arial"/>
          <w:spacing w:val="22"/>
          <w:rtl/>
        </w:rPr>
        <w:t xml:space="preserve"> רצח, החזקת נשק ונשיאת נשק</w:t>
      </w:r>
      <w:r w:rsidRPr="001F6974">
        <w:rPr>
          <w:rFonts w:ascii="Arial" w:hAnsi="Arial" w:hint="cs"/>
          <w:spacing w:val="22"/>
          <w:rtl/>
        </w:rPr>
        <w:t>.</w:t>
      </w:r>
      <w:r w:rsidRPr="001F6974">
        <w:rPr>
          <w:rFonts w:ascii="Arial" w:hAnsi="Arial"/>
          <w:spacing w:val="22"/>
          <w:rtl/>
        </w:rPr>
        <w:t xml:space="preserve"> </w:t>
      </w:r>
    </w:p>
    <w:p w14:paraId="2A7742A8" w14:textId="77777777" w:rsidR="00106D64" w:rsidRPr="001F6974" w:rsidRDefault="00106D64" w:rsidP="00106D64">
      <w:pPr>
        <w:spacing w:line="360" w:lineRule="auto"/>
        <w:jc w:val="both"/>
        <w:rPr>
          <w:rFonts w:ascii="Arial" w:hAnsi="Arial"/>
          <w:spacing w:val="22"/>
          <w:rtl/>
        </w:rPr>
      </w:pPr>
    </w:p>
    <w:p w14:paraId="3C44F88E" w14:textId="77777777" w:rsidR="00106D64" w:rsidRPr="001F6974" w:rsidRDefault="00106D64" w:rsidP="00106D64">
      <w:pPr>
        <w:spacing w:line="360" w:lineRule="auto"/>
        <w:jc w:val="both"/>
        <w:rPr>
          <w:rFonts w:ascii="Arial" w:hAnsi="Arial"/>
          <w:spacing w:val="22"/>
          <w:rtl/>
        </w:rPr>
      </w:pPr>
      <w:r w:rsidRPr="001F6974">
        <w:rPr>
          <w:rFonts w:ascii="Arial" w:hAnsi="Arial" w:hint="cs"/>
          <w:spacing w:val="22"/>
          <w:rtl/>
        </w:rPr>
        <w:t>11.</w:t>
      </w:r>
      <w:r w:rsidRPr="001F6974">
        <w:rPr>
          <w:rFonts w:ascii="Arial" w:hAnsi="Arial"/>
          <w:spacing w:val="22"/>
          <w:rtl/>
        </w:rPr>
        <w:tab/>
      </w:r>
      <w:r w:rsidRPr="001F6974">
        <w:rPr>
          <w:rFonts w:ascii="Arial" w:hAnsi="Arial" w:hint="cs"/>
          <w:spacing w:val="22"/>
          <w:rtl/>
        </w:rPr>
        <w:t xml:space="preserve">סעיף </w:t>
      </w:r>
      <w:hyperlink r:id="rId54" w:history="1">
        <w:r w:rsidR="00FF4D23" w:rsidRPr="00FF4D23">
          <w:rPr>
            <w:rFonts w:ascii="Arial" w:hAnsi="Arial"/>
            <w:color w:val="0000FF"/>
            <w:spacing w:val="22"/>
            <w:u w:val="single"/>
            <w:rtl/>
          </w:rPr>
          <w:t>300 א'</w:t>
        </w:r>
      </w:hyperlink>
      <w:r w:rsidRPr="001F6974">
        <w:rPr>
          <w:rFonts w:ascii="Arial" w:hAnsi="Arial" w:hint="cs"/>
          <w:spacing w:val="22"/>
          <w:rtl/>
        </w:rPr>
        <w:t xml:space="preserve"> ל</w:t>
      </w:r>
      <w:hyperlink r:id="rId55" w:history="1">
        <w:r w:rsidR="00EB66B3" w:rsidRPr="00EB66B3">
          <w:rPr>
            <w:rFonts w:ascii="Arial" w:hAnsi="Arial"/>
            <w:color w:val="0000FF"/>
            <w:spacing w:val="22"/>
            <w:u w:val="single"/>
            <w:rtl/>
          </w:rPr>
          <w:t>חוק העונשין</w:t>
        </w:r>
      </w:hyperlink>
      <w:r w:rsidRPr="001F6974">
        <w:rPr>
          <w:rFonts w:ascii="Arial" w:hAnsi="Arial" w:hint="cs"/>
          <w:spacing w:val="22"/>
          <w:rtl/>
        </w:rPr>
        <w:t xml:space="preserve"> (אשר בוטל בתיקון מס' 137), ואליו הפנה הסנגור ועליו הוא נסמך, קובע כלהלן:</w:t>
      </w:r>
    </w:p>
    <w:p w14:paraId="3D002B0A" w14:textId="77777777" w:rsidR="00106D64" w:rsidRPr="001F6974" w:rsidRDefault="00106D64" w:rsidP="00106D64">
      <w:pPr>
        <w:spacing w:line="360" w:lineRule="auto"/>
        <w:jc w:val="both"/>
        <w:rPr>
          <w:rFonts w:ascii="Arial" w:hAnsi="Arial"/>
          <w:b/>
          <w:bCs/>
          <w:spacing w:val="22"/>
          <w:rtl/>
        </w:rPr>
      </w:pPr>
      <w:r w:rsidRPr="001F6974">
        <w:rPr>
          <w:rFonts w:ascii="Arial" w:hAnsi="Arial"/>
          <w:spacing w:val="22"/>
          <w:rtl/>
        </w:rPr>
        <w:tab/>
      </w:r>
      <w:r w:rsidRPr="001F6974">
        <w:rPr>
          <w:rFonts w:ascii="Arial" w:hAnsi="Arial" w:hint="cs"/>
          <w:spacing w:val="22"/>
          <w:rtl/>
        </w:rPr>
        <w:t>"</w:t>
      </w:r>
      <w:r w:rsidRPr="001F6974">
        <w:rPr>
          <w:rFonts w:ascii="Arial" w:hAnsi="Arial" w:hint="cs"/>
          <w:b/>
          <w:bCs/>
          <w:spacing w:val="22"/>
          <w:rtl/>
        </w:rPr>
        <w:t>על אף האמור בסעיף 300, ניתן להטיל עונש קל מהקבוע בו, אם נעברה העבירה באחד מאלה:</w:t>
      </w:r>
    </w:p>
    <w:p w14:paraId="4A7FF51A" w14:textId="77777777" w:rsidR="00106D64" w:rsidRPr="001F6974" w:rsidRDefault="00106D64" w:rsidP="00106D64">
      <w:pPr>
        <w:spacing w:line="360" w:lineRule="auto"/>
        <w:ind w:left="1440" w:hanging="720"/>
        <w:jc w:val="both"/>
        <w:rPr>
          <w:rFonts w:ascii="Arial" w:hAnsi="Arial"/>
          <w:b/>
          <w:bCs/>
          <w:spacing w:val="22"/>
          <w:rtl/>
        </w:rPr>
      </w:pPr>
      <w:r w:rsidRPr="001F6974">
        <w:rPr>
          <w:rFonts w:ascii="Arial" w:hAnsi="Arial" w:hint="cs"/>
          <w:b/>
          <w:bCs/>
          <w:spacing w:val="22"/>
          <w:rtl/>
        </w:rPr>
        <w:t>(א)</w:t>
      </w:r>
      <w:r w:rsidRPr="001F6974">
        <w:rPr>
          <w:rFonts w:ascii="Arial" w:hAnsi="Arial"/>
          <w:b/>
          <w:bCs/>
          <w:spacing w:val="22"/>
          <w:rtl/>
        </w:rPr>
        <w:tab/>
      </w:r>
      <w:r w:rsidRPr="001F6974">
        <w:rPr>
          <w:rFonts w:ascii="Arial" w:hAnsi="Arial" w:hint="cs"/>
          <w:b/>
          <w:bCs/>
          <w:spacing w:val="22"/>
          <w:rtl/>
        </w:rPr>
        <w:t xml:space="preserve">במצב שבו, בשל הפרעה נפשית חמורה או בשל ליקוי בכושר השכלי, הוגבלה יכולתו של הנאשם במידה ניכרת, אך לא עד כדי חוסר יכולת של ממש כאמור בסעיף 34ח' </w:t>
      </w:r>
      <w:r w:rsidRPr="001F6974">
        <w:rPr>
          <w:rFonts w:ascii="Arial" w:hAnsi="Arial"/>
          <w:b/>
          <w:bCs/>
          <w:spacing w:val="22"/>
          <w:rtl/>
        </w:rPr>
        <w:t>–</w:t>
      </w:r>
    </w:p>
    <w:p w14:paraId="29EAB173" w14:textId="77777777" w:rsidR="00106D64" w:rsidRPr="001F6974" w:rsidRDefault="00106D64" w:rsidP="00106D64">
      <w:pPr>
        <w:spacing w:line="360" w:lineRule="auto"/>
        <w:ind w:left="1440" w:hanging="720"/>
        <w:jc w:val="both"/>
        <w:rPr>
          <w:rFonts w:ascii="Arial" w:hAnsi="Arial"/>
          <w:b/>
          <w:bCs/>
          <w:spacing w:val="22"/>
          <w:rtl/>
        </w:rPr>
      </w:pPr>
      <w:r w:rsidRPr="001F6974">
        <w:rPr>
          <w:rFonts w:ascii="Arial" w:hAnsi="Arial"/>
          <w:b/>
          <w:bCs/>
          <w:spacing w:val="22"/>
          <w:rtl/>
        </w:rPr>
        <w:tab/>
      </w:r>
      <w:r w:rsidRPr="001F6974">
        <w:rPr>
          <w:rFonts w:ascii="Arial" w:hAnsi="Arial" w:hint="cs"/>
          <w:b/>
          <w:bCs/>
          <w:spacing w:val="22"/>
          <w:rtl/>
        </w:rPr>
        <w:t>(1) להבין את אשר הוא עושה או את הפסול שבמעשהו; או</w:t>
      </w:r>
    </w:p>
    <w:p w14:paraId="2BA65BCD" w14:textId="77777777" w:rsidR="00106D64" w:rsidRPr="001F6974" w:rsidRDefault="00106D64" w:rsidP="00106D64">
      <w:pPr>
        <w:spacing w:line="360" w:lineRule="auto"/>
        <w:ind w:left="1440" w:hanging="720"/>
        <w:jc w:val="both"/>
        <w:rPr>
          <w:rFonts w:ascii="Arial" w:hAnsi="Arial"/>
          <w:b/>
          <w:bCs/>
          <w:spacing w:val="22"/>
          <w:rtl/>
        </w:rPr>
      </w:pPr>
      <w:r w:rsidRPr="001F6974">
        <w:rPr>
          <w:rFonts w:ascii="Arial" w:hAnsi="Arial"/>
          <w:b/>
          <w:bCs/>
          <w:spacing w:val="22"/>
          <w:rtl/>
        </w:rPr>
        <w:tab/>
      </w:r>
      <w:r w:rsidRPr="001F6974">
        <w:rPr>
          <w:rFonts w:ascii="Arial" w:hAnsi="Arial" w:hint="cs"/>
          <w:b/>
          <w:bCs/>
          <w:spacing w:val="22"/>
          <w:rtl/>
        </w:rPr>
        <w:t xml:space="preserve">(2) להימנע מעשיית המעשה. </w:t>
      </w:r>
    </w:p>
    <w:p w14:paraId="281C84D7" w14:textId="77777777" w:rsidR="00106D64" w:rsidRPr="001F6974" w:rsidRDefault="00106D64" w:rsidP="00106D64">
      <w:pPr>
        <w:spacing w:line="360" w:lineRule="auto"/>
        <w:ind w:left="1440" w:hanging="720"/>
        <w:jc w:val="both"/>
        <w:rPr>
          <w:rFonts w:ascii="Arial" w:hAnsi="Arial"/>
          <w:b/>
          <w:bCs/>
          <w:spacing w:val="22"/>
          <w:rtl/>
        </w:rPr>
      </w:pPr>
      <w:r w:rsidRPr="001F6974">
        <w:rPr>
          <w:rFonts w:ascii="Arial" w:hAnsi="Arial" w:hint="cs"/>
          <w:b/>
          <w:bCs/>
          <w:spacing w:val="22"/>
          <w:rtl/>
        </w:rPr>
        <w:t>(ב)</w:t>
      </w:r>
      <w:r w:rsidRPr="001F6974">
        <w:rPr>
          <w:rFonts w:ascii="Arial" w:hAnsi="Arial"/>
          <w:b/>
          <w:bCs/>
          <w:spacing w:val="22"/>
          <w:rtl/>
        </w:rPr>
        <w:tab/>
      </w:r>
      <w:r w:rsidRPr="001F6974">
        <w:rPr>
          <w:rFonts w:ascii="Arial" w:hAnsi="Arial" w:hint="cs"/>
          <w:b/>
          <w:bCs/>
          <w:spacing w:val="22"/>
          <w:rtl/>
        </w:rPr>
        <w:t>במצב שבו מעשהו של הנאשם חרג במידה מועטה, בנסיבות העניין, מתחום הסבירות הנדרשת לפי סעיף 34טז' לשם תחולת הסייג של הגנה עצמית, צורך או כורח, לפי סעיפים 34י', 34יא', 34יב'.</w:t>
      </w:r>
    </w:p>
    <w:p w14:paraId="6920FCE0" w14:textId="77777777" w:rsidR="00106D64" w:rsidRPr="001F6974" w:rsidRDefault="00106D64" w:rsidP="00106D64">
      <w:pPr>
        <w:spacing w:line="360" w:lineRule="auto"/>
        <w:ind w:left="1440" w:hanging="720"/>
        <w:jc w:val="both"/>
        <w:rPr>
          <w:rFonts w:ascii="Arial" w:hAnsi="Arial"/>
          <w:b/>
          <w:bCs/>
          <w:spacing w:val="22"/>
          <w:rtl/>
        </w:rPr>
      </w:pPr>
      <w:r w:rsidRPr="001F6974">
        <w:rPr>
          <w:rFonts w:ascii="Arial" w:hAnsi="Arial" w:hint="cs"/>
          <w:b/>
          <w:bCs/>
          <w:spacing w:val="22"/>
          <w:rtl/>
        </w:rPr>
        <w:t>(ג)</w:t>
      </w:r>
      <w:r w:rsidRPr="001F6974">
        <w:rPr>
          <w:rFonts w:ascii="Arial" w:hAnsi="Arial"/>
          <w:b/>
          <w:bCs/>
          <w:spacing w:val="22"/>
          <w:rtl/>
        </w:rPr>
        <w:tab/>
      </w:r>
      <w:r w:rsidRPr="001F6974">
        <w:rPr>
          <w:rFonts w:ascii="Arial" w:hAnsi="Arial" w:hint="cs"/>
          <w:b/>
          <w:bCs/>
          <w:spacing w:val="22"/>
          <w:rtl/>
        </w:rPr>
        <w:t xml:space="preserve">כשהנאשם היה נתון במצב של מצוקה נפשית קשה, עקב התעללות חמורה ומתמשכת בו או  בבן משפחתו, בידי מי שהנאשם גרם למותו. </w:t>
      </w:r>
    </w:p>
    <w:p w14:paraId="3192163C" w14:textId="77777777" w:rsidR="00106D64" w:rsidRPr="001F6974" w:rsidRDefault="00106D64" w:rsidP="00106D64">
      <w:pPr>
        <w:spacing w:line="360" w:lineRule="auto"/>
        <w:ind w:left="1440" w:hanging="720"/>
        <w:jc w:val="both"/>
        <w:rPr>
          <w:rFonts w:ascii="Arial" w:hAnsi="Arial"/>
          <w:spacing w:val="22"/>
          <w:rtl/>
        </w:rPr>
      </w:pPr>
    </w:p>
    <w:p w14:paraId="4C6BD51C" w14:textId="77777777" w:rsidR="00106D64" w:rsidRPr="001F6974" w:rsidRDefault="00106D64" w:rsidP="00106D64">
      <w:pPr>
        <w:spacing w:line="360" w:lineRule="auto"/>
        <w:ind w:left="720" w:firstLine="720"/>
        <w:jc w:val="both"/>
        <w:rPr>
          <w:rFonts w:ascii="Arial" w:hAnsi="Arial"/>
          <w:spacing w:val="22"/>
          <w:rtl/>
        </w:rPr>
      </w:pPr>
      <w:r w:rsidRPr="001F6974">
        <w:rPr>
          <w:rFonts w:ascii="Arial" w:hAnsi="Arial" w:hint="cs"/>
          <w:spacing w:val="22"/>
          <w:rtl/>
        </w:rPr>
        <w:t xml:space="preserve">(האכסניה להוראות אלה מצויה כיום בסעיף </w:t>
      </w:r>
      <w:hyperlink r:id="rId56" w:history="1">
        <w:r w:rsidR="00FF4D23" w:rsidRPr="00FF4D23">
          <w:rPr>
            <w:rFonts w:ascii="Arial" w:hAnsi="Arial"/>
            <w:color w:val="0000FF"/>
            <w:spacing w:val="22"/>
            <w:u w:val="single"/>
            <w:rtl/>
          </w:rPr>
          <w:t>301 ב(א)</w:t>
        </w:r>
      </w:hyperlink>
      <w:r w:rsidRPr="001F6974">
        <w:rPr>
          <w:rFonts w:ascii="Arial" w:hAnsi="Arial" w:hint="cs"/>
          <w:spacing w:val="22"/>
          <w:rtl/>
        </w:rPr>
        <w:t xml:space="preserve"> ל</w:t>
      </w:r>
      <w:hyperlink r:id="rId57" w:history="1">
        <w:r w:rsidR="00EB66B3" w:rsidRPr="00EB66B3">
          <w:rPr>
            <w:rFonts w:ascii="Arial" w:hAnsi="Arial"/>
            <w:color w:val="0000FF"/>
            <w:spacing w:val="22"/>
            <w:u w:val="single"/>
            <w:rtl/>
          </w:rPr>
          <w:t>חוק העונשין</w:t>
        </w:r>
      </w:hyperlink>
      <w:r w:rsidRPr="001F6974">
        <w:rPr>
          <w:rFonts w:ascii="Arial" w:hAnsi="Arial" w:hint="cs"/>
          <w:spacing w:val="22"/>
          <w:rtl/>
        </w:rPr>
        <w:t xml:space="preserve">, כפי שתוקן בתיקון 137. סעיף 25(ב) לתיקון, קובע כי על עבירה שבוצעה לפני יום התחילה וטרם ניתן פסק דין חלוט, יחולו הוראות </w:t>
      </w:r>
      <w:hyperlink r:id="rId58" w:history="1">
        <w:r w:rsidR="00FF4D23" w:rsidRPr="00FF4D23">
          <w:rPr>
            <w:rFonts w:ascii="Arial" w:hAnsi="Arial"/>
            <w:color w:val="0000FF"/>
            <w:spacing w:val="22"/>
            <w:u w:val="single"/>
            <w:rtl/>
          </w:rPr>
          <w:t>סעיף 5(א)</w:t>
        </w:r>
      </w:hyperlink>
      <w:r w:rsidRPr="001F6974">
        <w:rPr>
          <w:rFonts w:ascii="Arial" w:hAnsi="Arial" w:hint="cs"/>
          <w:spacing w:val="22"/>
          <w:rtl/>
        </w:rPr>
        <w:t xml:space="preserve"> ל</w:t>
      </w:r>
      <w:hyperlink r:id="rId59" w:history="1">
        <w:r w:rsidR="00EB66B3" w:rsidRPr="00EB66B3">
          <w:rPr>
            <w:rFonts w:ascii="Arial" w:hAnsi="Arial"/>
            <w:color w:val="0000FF"/>
            <w:spacing w:val="22"/>
            <w:u w:val="single"/>
            <w:rtl/>
          </w:rPr>
          <w:t>חוק העונשין</w:t>
        </w:r>
      </w:hyperlink>
      <w:r w:rsidRPr="001F6974">
        <w:rPr>
          <w:rFonts w:ascii="Arial" w:hAnsi="Arial" w:hint="cs"/>
          <w:spacing w:val="22"/>
          <w:rtl/>
        </w:rPr>
        <w:t xml:space="preserve"> (תחולתה בחיקוק המקל)). </w:t>
      </w:r>
    </w:p>
    <w:p w14:paraId="5FDB80CA" w14:textId="77777777" w:rsidR="00106D64" w:rsidRPr="001F6974" w:rsidRDefault="00106D64" w:rsidP="00106D64">
      <w:pPr>
        <w:spacing w:line="360" w:lineRule="auto"/>
        <w:jc w:val="both"/>
        <w:rPr>
          <w:rFonts w:ascii="Arial" w:hAnsi="Arial"/>
          <w:b/>
          <w:bCs/>
          <w:spacing w:val="22"/>
          <w:rtl/>
        </w:rPr>
      </w:pPr>
    </w:p>
    <w:p w14:paraId="02E8BBA0" w14:textId="77777777" w:rsidR="00106D64" w:rsidRPr="001F6974" w:rsidRDefault="00106D64" w:rsidP="00106D64">
      <w:pPr>
        <w:spacing w:line="360" w:lineRule="auto"/>
        <w:jc w:val="both"/>
        <w:rPr>
          <w:rFonts w:ascii="Arial" w:hAnsi="Arial"/>
          <w:b/>
          <w:bCs/>
          <w:spacing w:val="22"/>
          <w:rtl/>
        </w:rPr>
      </w:pPr>
      <w:r w:rsidRPr="001F6974">
        <w:rPr>
          <w:rFonts w:ascii="Arial" w:hAnsi="Arial" w:hint="cs"/>
          <w:b/>
          <w:bCs/>
          <w:spacing w:val="22"/>
          <w:rtl/>
        </w:rPr>
        <w:t>12.</w:t>
      </w:r>
      <w:r w:rsidRPr="001F6974">
        <w:rPr>
          <w:rFonts w:ascii="Arial" w:hAnsi="Arial" w:hint="cs"/>
          <w:b/>
          <w:bCs/>
          <w:spacing w:val="22"/>
          <w:rtl/>
        </w:rPr>
        <w:tab/>
      </w:r>
      <w:r w:rsidRPr="001F6974">
        <w:rPr>
          <w:rFonts w:ascii="Arial" w:hAnsi="Arial" w:hint="cs"/>
          <w:spacing w:val="22"/>
          <w:rtl/>
        </w:rPr>
        <w:t xml:space="preserve">באשר להוראת סעיף זה נאמר, </w:t>
      </w:r>
      <w:r w:rsidRPr="001F6974">
        <w:rPr>
          <w:rFonts w:ascii="Arial" w:hAnsi="Arial" w:hint="cs"/>
          <w:b/>
          <w:bCs/>
          <w:spacing w:val="22"/>
          <w:rtl/>
        </w:rPr>
        <w:t>ב</w:t>
      </w:r>
      <w:hyperlink r:id="rId60" w:history="1">
        <w:r w:rsidR="00EB66B3" w:rsidRPr="00EB66B3">
          <w:rPr>
            <w:rFonts w:ascii="Arial" w:hAnsi="Arial"/>
            <w:b/>
            <w:bCs/>
            <w:color w:val="0000FF"/>
            <w:spacing w:val="22"/>
            <w:u w:val="single"/>
            <w:rtl/>
          </w:rPr>
          <w:t>ע"פ 3039/15</w:t>
        </w:r>
      </w:hyperlink>
      <w:r w:rsidRPr="001F6974">
        <w:rPr>
          <w:rFonts w:ascii="Arial" w:hAnsi="Arial" w:hint="cs"/>
          <w:spacing w:val="22"/>
          <w:rtl/>
        </w:rPr>
        <w:t>, בין היתר, כלהלן:</w:t>
      </w:r>
    </w:p>
    <w:p w14:paraId="35728E5E" w14:textId="77777777" w:rsidR="00106D64" w:rsidRPr="001F6974" w:rsidRDefault="00106D64" w:rsidP="00106D64">
      <w:pPr>
        <w:spacing w:line="360" w:lineRule="auto"/>
        <w:ind w:left="1440"/>
        <w:jc w:val="both"/>
        <w:rPr>
          <w:rFonts w:ascii="Arial" w:hAnsi="Arial"/>
          <w:b/>
          <w:bCs/>
          <w:spacing w:val="22"/>
          <w:rtl/>
        </w:rPr>
      </w:pPr>
      <w:r w:rsidRPr="001F6974">
        <w:rPr>
          <w:rFonts w:ascii="Arial" w:hAnsi="Arial" w:hint="cs"/>
          <w:spacing w:val="22"/>
          <w:rtl/>
        </w:rPr>
        <w:t>"</w:t>
      </w:r>
      <w:r w:rsidRPr="001F6974">
        <w:rPr>
          <w:rFonts w:ascii="Arial" w:hAnsi="Arial" w:hint="cs"/>
          <w:b/>
          <w:bCs/>
          <w:spacing w:val="22"/>
          <w:rtl/>
        </w:rPr>
        <w:t xml:space="preserve">סעיף 300א דורש שלושה תנאים מצטברים: הפגם הנפשי ממנו סובל הנאשם הוא "הפרעה נפשית חמורה" או "ליקוי בכושר השכלי"; מתקיימת אחת החלופות </w:t>
      </w:r>
      <w:r w:rsidRPr="001F6974">
        <w:rPr>
          <w:rFonts w:ascii="Arial" w:hAnsi="Arial"/>
          <w:b/>
          <w:bCs/>
          <w:spacing w:val="22"/>
          <w:rtl/>
        </w:rPr>
        <w:t>–</w:t>
      </w:r>
      <w:r w:rsidRPr="001F6974">
        <w:rPr>
          <w:rFonts w:ascii="Arial" w:hAnsi="Arial" w:hint="cs"/>
          <w:b/>
          <w:bCs/>
          <w:spacing w:val="22"/>
          <w:rtl/>
        </w:rPr>
        <w:t xml:space="preserve"> הנאשם לא הבין את אשר הוא עושה או את הפסול המוסרי שטמון במעשהו (החלופה הקוגנטיבית), או לא יכול להימנע מלנהוג כפי שנהג (החלופה הרצונית); וקיומו של קשר סיבתי בין שני התנאים האמורים. הדגש אינו על סיווג ההפרעה הנפשית ממנה סבל הנאשם, אלא על עוצמת התסמינים, קרי עד כמה ההפרעה הנפשית פגעה והשפיעה על הנאשם מבחינה קוגנטיבית ורצונית (ראו, לדוגמא, </w:t>
      </w:r>
      <w:hyperlink r:id="rId61" w:history="1">
        <w:r w:rsidR="00EB66B3" w:rsidRPr="00EB66B3">
          <w:rPr>
            <w:rFonts w:ascii="Arial" w:hAnsi="Arial"/>
            <w:b/>
            <w:bCs/>
            <w:color w:val="0000FF"/>
            <w:spacing w:val="22"/>
            <w:u w:val="single"/>
            <w:rtl/>
          </w:rPr>
          <w:t>ע"פ 5417/07</w:t>
        </w:r>
      </w:hyperlink>
      <w:r w:rsidRPr="001F6974">
        <w:rPr>
          <w:rFonts w:ascii="Arial" w:hAnsi="Arial" w:hint="cs"/>
          <w:b/>
          <w:bCs/>
          <w:spacing w:val="22"/>
          <w:rtl/>
        </w:rPr>
        <w:t xml:space="preserve"> בונה נ' מדינת ישראל (39.5.2013)) (להלן: עניין בונר). בנוסף, נטל ההוכחה לגבי קיומם של התנאים הקבועים בסעיף 300א רובץ לפתחו של הנאשם, כאשר רמת ההוכחה היא במאזן ההסתברות". </w:t>
      </w:r>
    </w:p>
    <w:p w14:paraId="06CC6A32" w14:textId="77777777" w:rsidR="00106D64" w:rsidRPr="001F6974" w:rsidRDefault="00106D64" w:rsidP="00106D64">
      <w:pPr>
        <w:spacing w:line="360" w:lineRule="auto"/>
        <w:jc w:val="both"/>
        <w:rPr>
          <w:rFonts w:ascii="Arial" w:hAnsi="Arial"/>
          <w:b/>
          <w:bCs/>
          <w:spacing w:val="22"/>
          <w:rtl/>
        </w:rPr>
      </w:pPr>
    </w:p>
    <w:p w14:paraId="6B12B390" w14:textId="77777777" w:rsidR="00106D64" w:rsidRPr="001F6974" w:rsidRDefault="00106D64" w:rsidP="00106D64">
      <w:pPr>
        <w:spacing w:line="360" w:lineRule="auto"/>
        <w:jc w:val="both"/>
        <w:rPr>
          <w:rFonts w:ascii="Arial" w:hAnsi="Arial"/>
          <w:b/>
          <w:bCs/>
          <w:spacing w:val="22"/>
          <w:rtl/>
        </w:rPr>
      </w:pPr>
      <w:r w:rsidRPr="001F6974">
        <w:rPr>
          <w:rFonts w:ascii="Arial" w:hAnsi="Arial"/>
          <w:b/>
          <w:bCs/>
          <w:spacing w:val="22"/>
          <w:rtl/>
        </w:rPr>
        <w:tab/>
      </w:r>
      <w:r w:rsidRPr="001F6974">
        <w:rPr>
          <w:rFonts w:ascii="Arial" w:hAnsi="Arial" w:hint="cs"/>
          <w:spacing w:val="22"/>
          <w:rtl/>
        </w:rPr>
        <w:t>ב</w:t>
      </w:r>
      <w:hyperlink r:id="rId62" w:history="1">
        <w:r w:rsidR="00EB66B3" w:rsidRPr="00EB66B3">
          <w:rPr>
            <w:rFonts w:ascii="Arial" w:hAnsi="Arial"/>
            <w:color w:val="0000FF"/>
            <w:spacing w:val="22"/>
            <w:u w:val="single"/>
            <w:rtl/>
          </w:rPr>
          <w:t>ע"פ 3039/15</w:t>
        </w:r>
      </w:hyperlink>
      <w:r w:rsidRPr="001F6974">
        <w:rPr>
          <w:rFonts w:ascii="Arial" w:hAnsi="Arial" w:hint="cs"/>
          <w:spacing w:val="22"/>
          <w:rtl/>
        </w:rPr>
        <w:t xml:space="preserve"> הנ"ל נאמר כי הפסיקה לא הכירה בתסמונת פוסט טראומתית כמצע להחלת </w:t>
      </w:r>
      <w:hyperlink r:id="rId63" w:history="1">
        <w:r w:rsidR="00A4383B" w:rsidRPr="00A4383B">
          <w:rPr>
            <w:rFonts w:ascii="Arial" w:hAnsi="Arial"/>
            <w:color w:val="0000FF"/>
            <w:spacing w:val="22"/>
            <w:u w:val="single"/>
            <w:rtl/>
          </w:rPr>
          <w:t>סעיפים 34ח'</w:t>
        </w:r>
      </w:hyperlink>
      <w:r w:rsidRPr="001F6974">
        <w:rPr>
          <w:rFonts w:ascii="Arial" w:hAnsi="Arial" w:hint="cs"/>
          <w:spacing w:val="22"/>
          <w:rtl/>
        </w:rPr>
        <w:t xml:space="preserve"> או </w:t>
      </w:r>
      <w:hyperlink r:id="rId64" w:history="1">
        <w:r w:rsidR="00A4383B" w:rsidRPr="00A4383B">
          <w:rPr>
            <w:rFonts w:ascii="Arial" w:hAnsi="Arial"/>
            <w:color w:val="0000FF"/>
            <w:spacing w:val="22"/>
            <w:u w:val="single"/>
            <w:rtl/>
          </w:rPr>
          <w:t>300א'</w:t>
        </w:r>
      </w:hyperlink>
      <w:r w:rsidRPr="001F6974">
        <w:rPr>
          <w:rFonts w:ascii="Arial" w:hAnsi="Arial" w:hint="cs"/>
          <w:spacing w:val="22"/>
          <w:rtl/>
        </w:rPr>
        <w:t xml:space="preserve"> ל</w:t>
      </w:r>
      <w:hyperlink r:id="rId65" w:history="1">
        <w:r w:rsidR="00EB66B3" w:rsidRPr="00EB66B3">
          <w:rPr>
            <w:rFonts w:ascii="Arial" w:hAnsi="Arial"/>
            <w:color w:val="0000FF"/>
            <w:spacing w:val="22"/>
            <w:u w:val="single"/>
            <w:rtl/>
          </w:rPr>
          <w:t>חוק העונשין</w:t>
        </w:r>
      </w:hyperlink>
      <w:r w:rsidRPr="001F6974">
        <w:rPr>
          <w:rFonts w:ascii="Arial" w:hAnsi="Arial" w:hint="cs"/>
          <w:spacing w:val="22"/>
          <w:rtl/>
        </w:rPr>
        <w:t xml:space="preserve"> ונאמר שם, עוד, כי המקרה היחיד בו עלה הנושא, מבלי שנדון לגופו, הוא בעניין </w:t>
      </w:r>
      <w:r w:rsidRPr="001F6974">
        <w:rPr>
          <w:rFonts w:ascii="Arial" w:hAnsi="Arial" w:hint="cs"/>
          <w:b/>
          <w:bCs/>
          <w:spacing w:val="22"/>
          <w:rtl/>
        </w:rPr>
        <w:t>עוקב</w:t>
      </w:r>
      <w:r w:rsidRPr="001F6974">
        <w:rPr>
          <w:rFonts w:ascii="Arial" w:hAnsi="Arial" w:hint="cs"/>
          <w:spacing w:val="22"/>
          <w:rtl/>
        </w:rPr>
        <w:t xml:space="preserve"> (ב</w:t>
      </w:r>
      <w:hyperlink r:id="rId66" w:history="1">
        <w:r w:rsidR="00EB66B3" w:rsidRPr="00EB66B3">
          <w:rPr>
            <w:rFonts w:ascii="Arial" w:hAnsi="Arial"/>
            <w:color w:val="0000FF"/>
            <w:spacing w:val="22"/>
            <w:u w:val="single"/>
            <w:rtl/>
          </w:rPr>
          <w:t>ע"פ 3962/99</w:t>
        </w:r>
      </w:hyperlink>
      <w:r w:rsidRPr="001F6974">
        <w:rPr>
          <w:rFonts w:ascii="Arial" w:hAnsi="Arial" w:hint="cs"/>
          <w:spacing w:val="22"/>
          <w:rtl/>
        </w:rPr>
        <w:t>). אולם, שם עיקר המשקל, או חלק נכבד ממנו, "</w:t>
      </w:r>
      <w:r w:rsidRPr="001F6974">
        <w:rPr>
          <w:rFonts w:ascii="Arial" w:hAnsi="Arial" w:hint="cs"/>
          <w:b/>
          <w:bCs/>
          <w:spacing w:val="22"/>
          <w:rtl/>
        </w:rPr>
        <w:t xml:space="preserve">ניתן דווקא לממצא של ליקוי אורגני שגרם לנזק מוחי...". </w:t>
      </w:r>
    </w:p>
    <w:p w14:paraId="477F8C61" w14:textId="77777777" w:rsidR="00106D64" w:rsidRPr="001F6974" w:rsidRDefault="00106D64" w:rsidP="00106D64">
      <w:pPr>
        <w:spacing w:line="360" w:lineRule="auto"/>
        <w:jc w:val="both"/>
        <w:rPr>
          <w:rFonts w:ascii="Arial" w:hAnsi="Arial"/>
          <w:spacing w:val="22"/>
          <w:rtl/>
        </w:rPr>
      </w:pPr>
      <w:r w:rsidRPr="001F6974">
        <w:rPr>
          <w:rFonts w:ascii="Arial" w:hAnsi="Arial"/>
          <w:spacing w:val="22"/>
        </w:rPr>
        <w:tab/>
      </w:r>
      <w:r w:rsidRPr="001F6974">
        <w:rPr>
          <w:rFonts w:ascii="Arial" w:hAnsi="Arial" w:hint="cs"/>
          <w:spacing w:val="22"/>
          <w:rtl/>
        </w:rPr>
        <w:t>ב</w:t>
      </w:r>
      <w:hyperlink r:id="rId67" w:history="1">
        <w:r w:rsidR="00EB66B3" w:rsidRPr="00EB66B3">
          <w:rPr>
            <w:rFonts w:ascii="Arial" w:hAnsi="Arial"/>
            <w:color w:val="0000FF"/>
            <w:spacing w:val="22"/>
            <w:u w:val="single"/>
            <w:rtl/>
          </w:rPr>
          <w:t>ע"פ 3039/15</w:t>
        </w:r>
      </w:hyperlink>
      <w:r w:rsidRPr="001F6974">
        <w:rPr>
          <w:rFonts w:ascii="Arial" w:hAnsi="Arial" w:hint="cs"/>
          <w:spacing w:val="22"/>
          <w:rtl/>
        </w:rPr>
        <w:t xml:space="preserve">  הנ"ל עמדה השאלה האם ניתן להכיר בפוסט טראומה כבסיס להחלת </w:t>
      </w:r>
      <w:hyperlink r:id="rId68" w:history="1">
        <w:r w:rsidR="00A4383B" w:rsidRPr="00A4383B">
          <w:rPr>
            <w:rFonts w:ascii="Arial" w:hAnsi="Arial"/>
            <w:color w:val="0000FF"/>
            <w:spacing w:val="22"/>
            <w:u w:val="single"/>
            <w:rtl/>
          </w:rPr>
          <w:t>סעיף 34ח'</w:t>
        </w:r>
      </w:hyperlink>
      <w:r w:rsidRPr="001F6974">
        <w:rPr>
          <w:rFonts w:ascii="Arial" w:hAnsi="Arial" w:hint="cs"/>
          <w:spacing w:val="22"/>
          <w:rtl/>
        </w:rPr>
        <w:t xml:space="preserve"> או </w:t>
      </w:r>
      <w:hyperlink r:id="rId69" w:history="1">
        <w:r w:rsidR="00A4383B" w:rsidRPr="00A4383B">
          <w:rPr>
            <w:rFonts w:ascii="Arial" w:hAnsi="Arial"/>
            <w:color w:val="0000FF"/>
            <w:spacing w:val="22"/>
            <w:u w:val="single"/>
            <w:rtl/>
          </w:rPr>
          <w:t>300 א'</w:t>
        </w:r>
      </w:hyperlink>
      <w:r w:rsidRPr="001F6974">
        <w:rPr>
          <w:rFonts w:ascii="Arial" w:hAnsi="Arial" w:hint="cs"/>
          <w:spacing w:val="22"/>
          <w:rtl/>
        </w:rPr>
        <w:t xml:space="preserve"> ל</w:t>
      </w:r>
      <w:hyperlink r:id="rId70" w:history="1">
        <w:r w:rsidR="00EB66B3" w:rsidRPr="00EB66B3">
          <w:rPr>
            <w:rFonts w:ascii="Arial" w:hAnsi="Arial"/>
            <w:color w:val="0000FF"/>
            <w:spacing w:val="22"/>
            <w:u w:val="single"/>
            <w:rtl/>
          </w:rPr>
          <w:t>חוק העונשין</w:t>
        </w:r>
      </w:hyperlink>
      <w:r w:rsidRPr="001F6974">
        <w:rPr>
          <w:rFonts w:ascii="Arial" w:hAnsi="Arial" w:hint="cs"/>
          <w:spacing w:val="22"/>
          <w:rtl/>
        </w:rPr>
        <w:t xml:space="preserve">, וכך נאמר: </w:t>
      </w:r>
    </w:p>
    <w:p w14:paraId="033942D4" w14:textId="77777777" w:rsidR="00106D64" w:rsidRPr="001F6974" w:rsidRDefault="00106D64" w:rsidP="00106D64">
      <w:pPr>
        <w:spacing w:line="360" w:lineRule="auto"/>
        <w:jc w:val="both"/>
        <w:rPr>
          <w:rFonts w:ascii="Arial" w:hAnsi="Arial"/>
          <w:b/>
          <w:bCs/>
          <w:spacing w:val="22"/>
          <w:rtl/>
        </w:rPr>
      </w:pPr>
      <w:r w:rsidRPr="001F6974">
        <w:rPr>
          <w:rFonts w:ascii="Arial" w:hAnsi="Arial"/>
          <w:spacing w:val="22"/>
          <w:rtl/>
        </w:rPr>
        <w:tab/>
      </w:r>
      <w:r w:rsidRPr="001F6974">
        <w:rPr>
          <w:rFonts w:ascii="Arial" w:hAnsi="Arial" w:hint="cs"/>
          <w:spacing w:val="22"/>
          <w:rtl/>
        </w:rPr>
        <w:t>"</w:t>
      </w:r>
      <w:r w:rsidRPr="001F6974">
        <w:rPr>
          <w:rFonts w:ascii="Arial" w:hAnsi="Arial" w:hint="cs"/>
          <w:b/>
          <w:bCs/>
          <w:spacing w:val="22"/>
          <w:rtl/>
        </w:rPr>
        <w:t>במישור התיאורטי אין לשלול כי תסמונת פוסט טראומטית יכולה לעלות כדי הפרעה נפשית בעוצמה כזו, שתהווה את המצע שעליו נזרע המצב לצורך התקיימות שלושת היסודות של סעיף 34ח' או סעיף 300א' (רבין ולבני). אך במה הדברים אמורים? במקום בו התסמינים של הנאשם מעידים על מצב פסיכוטי או קרוב לכך, כאשר קיימת פגיעה חמורה בשיפוט ובבוחן המציאות, כאשר הנאשם נמצא במצב של מציאות מדומה, של דיסוציאציה שאליה נכנס עקב 'טריגר' כזה או אחר. מכאן, שאין להביא בחשבון מגוון של תסמינים אשר מאפיינים את התסמונת הפוסט טראומטית, אך אינם נופלים לחלופה הקוגנטיבית (הנאשם לא הבין) או החלופה הרצונית (הנאשם לא יכול היה להימנע). יודגש, כי דווקא לאור השכיחות של תסמונת פוסט טרואמתית באוכלוסיה, לא בנקל יקבל בית המשפט טענה כי פלוני ביצע רצח ספונטני מאחר שבאותו מועד חווה את האירוע הטראומטי והיה שרוי במציאות מדומה שפגעה בשיפוטו ובבוחן המציאות שלו. הפסיקה  טרם הכירה במצב של "מיקרו-פסיכוזה" או של אפיזודה פסיכוטית של מספר דקות, וטענה מעין זו צריכה להיבחן במשנה זהירות".</w:t>
      </w:r>
    </w:p>
    <w:p w14:paraId="46C56D79" w14:textId="77777777" w:rsidR="00106D64" w:rsidRPr="001F6974" w:rsidRDefault="00106D64" w:rsidP="00106D64">
      <w:pPr>
        <w:spacing w:line="360" w:lineRule="auto"/>
        <w:jc w:val="both"/>
        <w:rPr>
          <w:rFonts w:ascii="Arial" w:hAnsi="Arial"/>
          <w:b/>
          <w:bCs/>
          <w:spacing w:val="22"/>
          <w:rtl/>
        </w:rPr>
      </w:pPr>
      <w:r w:rsidRPr="001F6974">
        <w:rPr>
          <w:rFonts w:ascii="Arial" w:hAnsi="Arial"/>
          <w:b/>
          <w:bCs/>
          <w:spacing w:val="22"/>
          <w:rtl/>
        </w:rPr>
        <w:tab/>
      </w:r>
    </w:p>
    <w:p w14:paraId="1F05861D" w14:textId="77777777" w:rsidR="00106D64" w:rsidRPr="001F6974" w:rsidRDefault="00106D64" w:rsidP="00106D64">
      <w:pPr>
        <w:spacing w:line="360" w:lineRule="auto"/>
        <w:jc w:val="both"/>
        <w:rPr>
          <w:rFonts w:ascii="Arial" w:hAnsi="Arial"/>
          <w:spacing w:val="22"/>
          <w:rtl/>
        </w:rPr>
      </w:pPr>
      <w:r w:rsidRPr="001F6974">
        <w:rPr>
          <w:rFonts w:ascii="Arial" w:hAnsi="Arial" w:hint="cs"/>
          <w:b/>
          <w:bCs/>
          <w:spacing w:val="22"/>
          <w:rtl/>
        </w:rPr>
        <w:t>13.</w:t>
      </w:r>
      <w:r w:rsidRPr="001F6974">
        <w:rPr>
          <w:rFonts w:ascii="Arial" w:hAnsi="Arial" w:hint="cs"/>
          <w:b/>
          <w:bCs/>
          <w:spacing w:val="22"/>
          <w:rtl/>
        </w:rPr>
        <w:tab/>
      </w:r>
      <w:r w:rsidRPr="001F6974">
        <w:rPr>
          <w:rFonts w:ascii="Arial" w:hAnsi="Arial" w:hint="cs"/>
          <w:spacing w:val="22"/>
          <w:rtl/>
        </w:rPr>
        <w:t>בענייננו, ניתן להשתמש בלשון שננקטה ב</w:t>
      </w:r>
      <w:hyperlink r:id="rId71" w:history="1">
        <w:r w:rsidR="00EB66B3" w:rsidRPr="00EB66B3">
          <w:rPr>
            <w:rFonts w:ascii="Arial" w:hAnsi="Arial"/>
            <w:color w:val="0000FF"/>
            <w:spacing w:val="22"/>
            <w:u w:val="single"/>
            <w:rtl/>
          </w:rPr>
          <w:t>ע"פ 3039/15</w:t>
        </w:r>
      </w:hyperlink>
      <w:r w:rsidRPr="001F6974">
        <w:rPr>
          <w:rFonts w:ascii="Arial" w:hAnsi="Arial" w:hint="cs"/>
          <w:spacing w:val="22"/>
          <w:rtl/>
        </w:rPr>
        <w:t xml:space="preserve"> הנ"ל ולפיה עוצמת התסמינים שהיו אצל הנאשם, ככל שהיו, רחוקים מלהכניסו אפילו "לשדה המגנטי" של </w:t>
      </w:r>
      <w:hyperlink r:id="rId72" w:history="1">
        <w:r w:rsidR="00A4383B" w:rsidRPr="00A4383B">
          <w:rPr>
            <w:rFonts w:ascii="Arial" w:hAnsi="Arial"/>
            <w:color w:val="0000FF"/>
            <w:spacing w:val="22"/>
            <w:u w:val="single"/>
            <w:rtl/>
          </w:rPr>
          <w:t>סעיף 300א'.</w:t>
        </w:r>
      </w:hyperlink>
      <w:r w:rsidRPr="001F6974">
        <w:rPr>
          <w:rFonts w:ascii="Arial" w:hAnsi="Arial" w:hint="cs"/>
          <w:spacing w:val="22"/>
          <w:rtl/>
        </w:rPr>
        <w:t xml:space="preserve"> בחוות הדעת של פרופ' לוי אין תימוכין לכך ואין קשר מובנה וברור בין תסמינים</w:t>
      </w:r>
      <w:r w:rsidRPr="001F6974">
        <w:rPr>
          <w:rFonts w:ascii="Arial" w:hAnsi="Arial"/>
          <w:spacing w:val="22"/>
          <w:rtl/>
        </w:rPr>
        <w:tab/>
      </w:r>
      <w:r w:rsidRPr="001F6974">
        <w:rPr>
          <w:rFonts w:ascii="Arial" w:hAnsi="Arial" w:hint="cs"/>
          <w:spacing w:val="22"/>
          <w:rtl/>
        </w:rPr>
        <w:t xml:space="preserve">המאפיינים תסמונת פוסט טראומתית לבין מעשי הנאשם. הנאשם היה חדור בצורך לנקום את דם אביו וזו הייתה "הכרזתו" המיידית, הספונטנית, לאחר האירוע, הכרזה לה היו מספר עדים, כמפורט בהכרעת הדין. הנאשם תכנן מעשיו: נטל כלי הנשק, נסע לסביבת בית המנוח, פתח באש לעברו, המנוח ניסה להימלט והנאשם דלק אחריו ומשאזלו הקליעים מתת המקלע, עשה שימוש באקדחו, ולא פחות מ </w:t>
      </w:r>
      <w:r w:rsidRPr="001F6974">
        <w:rPr>
          <w:rFonts w:ascii="Arial" w:hAnsi="Arial"/>
          <w:spacing w:val="22"/>
          <w:rtl/>
        </w:rPr>
        <w:t>–</w:t>
      </w:r>
      <w:r w:rsidRPr="001F6974">
        <w:rPr>
          <w:rFonts w:ascii="Arial" w:hAnsi="Arial" w:hint="cs"/>
          <w:spacing w:val="22"/>
          <w:rtl/>
        </w:rPr>
        <w:t xml:space="preserve"> 15 קליעים חדרו לגוף המנוח. המעשה לא היה ספונטני, שכן הנאשם לקח עמו כלי נשק במכונית אחיו ואין מדובר בכלי נשק שהיו במכוניתו באופן קבוע. בנוסף, לא היה אירוע יוצא דופן מטעם המנוח (או משפחתו) עובר לאירוע, שהיה בו לשמש כ"טריגר" שהחזיר את הנאשם לאירוע מות אביו. מות האב, מוות מיותר וללא סיבה, והסבל שנגרם לנאשם ולמשפחתו בעקבות כך היו, כמו גם ב</w:t>
      </w:r>
      <w:hyperlink r:id="rId73" w:history="1">
        <w:r w:rsidR="00EB66B3" w:rsidRPr="00EB66B3">
          <w:rPr>
            <w:rFonts w:ascii="Arial" w:hAnsi="Arial"/>
            <w:color w:val="0000FF"/>
            <w:spacing w:val="22"/>
            <w:u w:val="single"/>
            <w:rtl/>
          </w:rPr>
          <w:t>ע"פ 3039/15</w:t>
        </w:r>
      </w:hyperlink>
      <w:r w:rsidRPr="001F6974">
        <w:rPr>
          <w:rFonts w:ascii="Arial" w:hAnsi="Arial" w:hint="cs"/>
          <w:spacing w:val="22"/>
          <w:rtl/>
        </w:rPr>
        <w:t xml:space="preserve">, המניע למעשה. </w:t>
      </w:r>
    </w:p>
    <w:p w14:paraId="31F6D822" w14:textId="77777777" w:rsidR="00106D64" w:rsidRPr="001F6974" w:rsidRDefault="00106D64" w:rsidP="00106D64">
      <w:pPr>
        <w:spacing w:line="360" w:lineRule="auto"/>
        <w:jc w:val="both"/>
        <w:rPr>
          <w:rFonts w:ascii="Arial" w:hAnsi="Arial"/>
          <w:spacing w:val="22"/>
          <w:rtl/>
        </w:rPr>
      </w:pPr>
      <w:r w:rsidRPr="001F6974">
        <w:rPr>
          <w:rFonts w:ascii="Arial" w:hAnsi="Arial"/>
          <w:spacing w:val="22"/>
          <w:rtl/>
        </w:rPr>
        <w:tab/>
      </w:r>
      <w:r w:rsidRPr="001F6974">
        <w:rPr>
          <w:rFonts w:ascii="Arial" w:hAnsi="Arial" w:hint="cs"/>
          <w:spacing w:val="22"/>
          <w:rtl/>
        </w:rPr>
        <w:t xml:space="preserve">מכאן, לא ניתן לומר כי התקיים יסוד מיסודות סעיף </w:t>
      </w:r>
      <w:hyperlink r:id="rId74" w:history="1">
        <w:r w:rsidR="00A4383B" w:rsidRPr="00A4383B">
          <w:rPr>
            <w:rFonts w:ascii="Arial" w:hAnsi="Arial"/>
            <w:color w:val="0000FF"/>
            <w:spacing w:val="22"/>
            <w:u w:val="single"/>
            <w:rtl/>
          </w:rPr>
          <w:t>300 א'</w:t>
        </w:r>
      </w:hyperlink>
      <w:r w:rsidRPr="001F6974">
        <w:rPr>
          <w:rFonts w:ascii="Arial" w:hAnsi="Arial" w:hint="cs"/>
          <w:spacing w:val="22"/>
          <w:rtl/>
        </w:rPr>
        <w:t xml:space="preserve">. לא מדובר בהפרעה נפשית חמורה או ליקוי בכושר שכלי שהגבילו יכולתו של הנאשם במידה ניכרת (אך לא עד כדי חוסר יכולת של ממש), להבין את מעשהו או הפסול בו או להימנע מלעשותו. המעשה לא חרג במידה מועטה, בנסיבותיו, מתחום הסבירות הנדרשת פי </w:t>
      </w:r>
      <w:hyperlink r:id="rId75" w:history="1">
        <w:r w:rsidR="00A4383B" w:rsidRPr="00A4383B">
          <w:rPr>
            <w:rFonts w:ascii="Arial" w:hAnsi="Arial"/>
            <w:color w:val="0000FF"/>
            <w:spacing w:val="22"/>
            <w:u w:val="single"/>
            <w:rtl/>
          </w:rPr>
          <w:t>סעיף 34ט'</w:t>
        </w:r>
      </w:hyperlink>
      <w:r w:rsidRPr="001F6974">
        <w:rPr>
          <w:rFonts w:ascii="Arial" w:hAnsi="Arial" w:hint="cs"/>
          <w:spacing w:val="22"/>
          <w:rtl/>
        </w:rPr>
        <w:t xml:space="preserve">, לשם תחולת הסייג של הגנה עצמית, צורך או כורח. הנאשם ירה אל עבר המנוח בטרם יצא המנוח מרכבו והמשיך לעשות כן לאחר הימלטות המנוח מרכבו. באשר לס"ק(ג) </w:t>
      </w:r>
      <w:r w:rsidRPr="001F6974">
        <w:rPr>
          <w:rFonts w:ascii="Arial" w:hAnsi="Arial"/>
          <w:spacing w:val="22"/>
          <w:rtl/>
        </w:rPr>
        <w:t>–</w:t>
      </w:r>
      <w:r w:rsidRPr="001F6974">
        <w:rPr>
          <w:rFonts w:ascii="Arial" w:hAnsi="Arial" w:hint="cs"/>
          <w:spacing w:val="22"/>
          <w:rtl/>
        </w:rPr>
        <w:t xml:space="preserve"> הנאשם אכן סבל וכאב מאוד את מות אביו והתפרקות משפחתו, ואולי אפילו היה במצוקה נפשית בשל כך, אולם, מצוקתו הנפשית לא הייתה מצוקה קשה עקב התעללות חמורה ומתמשכת בו או בבני משפחתו מצד המנוח. גם אם טענת הנאשם בנוגע להצקות ולעלבונות מצד המנוח (כלפי אחות הנאשם למשל) הן נכונות </w:t>
      </w:r>
      <w:r w:rsidRPr="001F6974">
        <w:rPr>
          <w:rFonts w:ascii="Arial" w:hAnsi="Arial"/>
          <w:spacing w:val="22"/>
          <w:rtl/>
        </w:rPr>
        <w:t>–</w:t>
      </w:r>
      <w:r w:rsidRPr="001F6974">
        <w:rPr>
          <w:rFonts w:ascii="Arial" w:hAnsi="Arial" w:hint="cs"/>
          <w:spacing w:val="22"/>
          <w:rtl/>
        </w:rPr>
        <w:t xml:space="preserve"> אלו אינן מגיעות כדי התעללות חמורה ומתמשכת. </w:t>
      </w:r>
    </w:p>
    <w:p w14:paraId="65CE62C5" w14:textId="77777777" w:rsidR="00106D64" w:rsidRPr="001F6974" w:rsidRDefault="00106D64" w:rsidP="00106D64">
      <w:pPr>
        <w:spacing w:line="360" w:lineRule="auto"/>
        <w:jc w:val="both"/>
        <w:rPr>
          <w:rFonts w:ascii="Arial" w:hAnsi="Arial"/>
          <w:spacing w:val="22"/>
          <w:rtl/>
        </w:rPr>
      </w:pPr>
    </w:p>
    <w:p w14:paraId="39B01847" w14:textId="77777777" w:rsidR="00106D64" w:rsidRPr="001F6974" w:rsidRDefault="00106D64" w:rsidP="00106D64">
      <w:pPr>
        <w:spacing w:line="360" w:lineRule="auto"/>
        <w:jc w:val="both"/>
        <w:rPr>
          <w:rFonts w:ascii="Arial" w:hAnsi="Arial"/>
          <w:b/>
          <w:bCs/>
          <w:spacing w:val="22"/>
          <w:rtl/>
        </w:rPr>
      </w:pPr>
      <w:r w:rsidRPr="001F6974">
        <w:rPr>
          <w:rFonts w:ascii="Arial" w:hAnsi="Arial" w:hint="cs"/>
          <w:spacing w:val="22"/>
          <w:rtl/>
        </w:rPr>
        <w:t>14.</w:t>
      </w:r>
      <w:r w:rsidRPr="001F6974">
        <w:rPr>
          <w:rFonts w:ascii="Arial" w:hAnsi="Arial"/>
          <w:spacing w:val="22"/>
          <w:rtl/>
        </w:rPr>
        <w:tab/>
      </w:r>
      <w:r w:rsidRPr="001F6974">
        <w:rPr>
          <w:rFonts w:ascii="Arial" w:hAnsi="Arial" w:hint="cs"/>
          <w:spacing w:val="22"/>
          <w:rtl/>
        </w:rPr>
        <w:t>אמנם, וכפי שציין הסנגור ב</w:t>
      </w:r>
      <w:hyperlink r:id="rId76" w:history="1">
        <w:r w:rsidR="00EB66B3" w:rsidRPr="00EB66B3">
          <w:rPr>
            <w:rFonts w:ascii="Arial" w:hAnsi="Arial"/>
            <w:color w:val="0000FF"/>
            <w:spacing w:val="22"/>
            <w:u w:val="single"/>
            <w:rtl/>
          </w:rPr>
          <w:t>ע"פ 3039/15</w:t>
        </w:r>
      </w:hyperlink>
      <w:r w:rsidRPr="001F6974">
        <w:rPr>
          <w:rFonts w:ascii="Arial" w:hAnsi="Arial" w:hint="cs"/>
          <w:spacing w:val="22"/>
          <w:rtl/>
        </w:rPr>
        <w:t xml:space="preserve">, הובעה הדעה כי ניתן להרחיב את "הקו הדק שבין </w:t>
      </w:r>
      <w:r w:rsidR="00A4383B" w:rsidRPr="00A4383B">
        <w:rPr>
          <w:rFonts w:ascii="Arial" w:hAnsi="Arial"/>
          <w:spacing w:val="22"/>
          <w:rtl/>
        </w:rPr>
        <w:t>סעיף 34א</w:t>
      </w:r>
      <w:r w:rsidRPr="001F6974">
        <w:rPr>
          <w:rFonts w:ascii="Arial" w:hAnsi="Arial" w:hint="cs"/>
          <w:spacing w:val="22"/>
          <w:rtl/>
        </w:rPr>
        <w:t xml:space="preserve"> לבין סעיף 300א", ולהביא להורדה, במידת מה, את הרף הנדרש לצורך תחות סעיף </w:t>
      </w:r>
      <w:hyperlink r:id="rId77" w:history="1">
        <w:r w:rsidR="00A4383B" w:rsidRPr="00A4383B">
          <w:rPr>
            <w:rFonts w:ascii="Arial" w:hAnsi="Arial"/>
            <w:color w:val="0000FF"/>
            <w:spacing w:val="22"/>
            <w:u w:val="single"/>
            <w:rtl/>
          </w:rPr>
          <w:t>300 א'</w:t>
        </w:r>
      </w:hyperlink>
      <w:r w:rsidRPr="001F6974">
        <w:rPr>
          <w:rFonts w:ascii="Arial" w:hAnsi="Arial" w:hint="cs"/>
          <w:spacing w:val="22"/>
          <w:rtl/>
        </w:rPr>
        <w:t xml:space="preserve">, מבלי שיש מקום למהפכה בפסיקה הנוגעת לסעיף </w:t>
      </w:r>
      <w:hyperlink r:id="rId78" w:history="1">
        <w:r w:rsidR="00A4383B" w:rsidRPr="00A4383B">
          <w:rPr>
            <w:rStyle w:val="Hyperlink"/>
            <w:rFonts w:ascii="Arial" w:hAnsi="Arial"/>
            <w:color w:val="0000FF"/>
            <w:spacing w:val="22"/>
            <w:rtl/>
          </w:rPr>
          <w:t>300 א'</w:t>
        </w:r>
      </w:hyperlink>
      <w:r w:rsidRPr="001F6974">
        <w:rPr>
          <w:rFonts w:ascii="Arial" w:hAnsi="Arial" w:hint="cs"/>
          <w:spacing w:val="22"/>
          <w:rtl/>
        </w:rPr>
        <w:t xml:space="preserve"> ואף לא למבחנים השונים בהיבט הפסיכיאטרי והמשפטי, וגם אם יורחב המרווח בין </w:t>
      </w:r>
      <w:hyperlink r:id="rId79" w:history="1">
        <w:r w:rsidR="00A4383B" w:rsidRPr="00A4383B">
          <w:rPr>
            <w:rFonts w:ascii="Arial" w:hAnsi="Arial"/>
            <w:color w:val="0000FF"/>
            <w:spacing w:val="22"/>
            <w:u w:val="single"/>
            <w:rtl/>
          </w:rPr>
          <w:t>סעיף 34ח'</w:t>
        </w:r>
      </w:hyperlink>
      <w:r w:rsidRPr="001F6974">
        <w:rPr>
          <w:rFonts w:ascii="Arial" w:hAnsi="Arial" w:hint="cs"/>
          <w:spacing w:val="22"/>
          <w:rtl/>
        </w:rPr>
        <w:t xml:space="preserve"> לבין סעיף </w:t>
      </w:r>
      <w:hyperlink r:id="rId80" w:history="1">
        <w:r w:rsidR="00A4383B" w:rsidRPr="00A4383B">
          <w:rPr>
            <w:rFonts w:ascii="Arial" w:hAnsi="Arial"/>
            <w:color w:val="0000FF"/>
            <w:spacing w:val="22"/>
            <w:u w:val="single"/>
            <w:rtl/>
          </w:rPr>
          <w:t>300 א'</w:t>
        </w:r>
      </w:hyperlink>
      <w:r w:rsidRPr="001F6974">
        <w:rPr>
          <w:rFonts w:ascii="Arial" w:hAnsi="Arial" w:hint="cs"/>
          <w:spacing w:val="22"/>
          <w:rtl/>
        </w:rPr>
        <w:t xml:space="preserve"> (מקו דק לקו עבה), השוני הוא כמותי אך לא איכותי (סעיף 6 ל</w:t>
      </w:r>
      <w:hyperlink r:id="rId81" w:history="1">
        <w:r w:rsidR="00EB66B3" w:rsidRPr="00EB66B3">
          <w:rPr>
            <w:rFonts w:ascii="Arial" w:hAnsi="Arial"/>
            <w:color w:val="0000FF"/>
            <w:spacing w:val="22"/>
            <w:u w:val="single"/>
            <w:rtl/>
          </w:rPr>
          <w:t>ע"פ 3039/15</w:t>
        </w:r>
      </w:hyperlink>
      <w:r w:rsidRPr="001F6974">
        <w:rPr>
          <w:rFonts w:ascii="Arial" w:hAnsi="Arial" w:hint="cs"/>
          <w:spacing w:val="22"/>
          <w:rtl/>
        </w:rPr>
        <w:t>), אך גם בכך אין לסייע, במקרה זה, לנאשם וכפי שצוין לקראת סוף ההחלטה בערעור הנ"ל: "</w:t>
      </w:r>
      <w:r w:rsidRPr="001F6974">
        <w:rPr>
          <w:rFonts w:ascii="Arial" w:hAnsi="Arial" w:hint="cs"/>
          <w:b/>
          <w:bCs/>
          <w:spacing w:val="22"/>
          <w:rtl/>
        </w:rPr>
        <w:t xml:space="preserve">עמדתי על כך שבהיבט התיאורטי, אין מניעה עקרונית כי תסמינים מסוימים האופיינים לנפגעי פוסט-טראומה, יכניסו אדם למצב שיאפשר לו ליהנות מענישה מופחתת לפי סעיף 300א'. אולם לא כל התסמינים של פוסט טראומה רלוונטיים לכך, אלא בעיקר מצב של מציאות מדומה שבמהלכו הנאשם חוזר לאירוע הטראומתי וחש בסכנה, תוך איבוד בוחן המציאות, קרי, כניסה למצב פסיכוטי או קרבה כזו או אחרת למצב פסיכוטי". </w:t>
      </w:r>
    </w:p>
    <w:p w14:paraId="33A0272C" w14:textId="77777777" w:rsidR="00106D64" w:rsidRPr="001F6974" w:rsidRDefault="00106D64" w:rsidP="00106D64">
      <w:pPr>
        <w:spacing w:line="360" w:lineRule="auto"/>
        <w:jc w:val="both"/>
        <w:rPr>
          <w:rFonts w:ascii="Arial" w:hAnsi="Arial"/>
          <w:b/>
          <w:bCs/>
          <w:spacing w:val="22"/>
          <w:rtl/>
        </w:rPr>
      </w:pPr>
      <w:r w:rsidRPr="001F6974">
        <w:rPr>
          <w:rFonts w:ascii="Arial" w:hAnsi="Arial"/>
          <w:b/>
          <w:bCs/>
          <w:spacing w:val="22"/>
          <w:rtl/>
        </w:rPr>
        <w:tab/>
      </w:r>
    </w:p>
    <w:p w14:paraId="220B927C" w14:textId="77777777" w:rsidR="00106D64" w:rsidRPr="001F6974" w:rsidRDefault="00106D64" w:rsidP="00106D64">
      <w:pPr>
        <w:spacing w:line="360" w:lineRule="auto"/>
        <w:jc w:val="both"/>
        <w:rPr>
          <w:rFonts w:ascii="Arial" w:hAnsi="Arial"/>
          <w:spacing w:val="22"/>
          <w:rtl/>
        </w:rPr>
      </w:pPr>
      <w:r w:rsidRPr="001F6974">
        <w:rPr>
          <w:rFonts w:ascii="Arial" w:hAnsi="Arial"/>
          <w:spacing w:val="22"/>
          <w:rtl/>
        </w:rPr>
        <w:tab/>
      </w:r>
      <w:r w:rsidRPr="001F6974">
        <w:rPr>
          <w:rFonts w:ascii="Arial" w:hAnsi="Arial" w:hint="cs"/>
          <w:spacing w:val="22"/>
          <w:rtl/>
        </w:rPr>
        <w:t xml:space="preserve">מכאן גם עולה כי אין לקבל את טענת הסנגור לפיה בשל הליקויים הנפשיים של הנאשם אשר נגרמו מהדיכאון הפסיכוטי שלו, ניתן לקבוע בסבירות גבוהה כי מצבו בעת המעשה היה דומה למצבו בעת הבדיקה ע"י פרופ' לוי. </w:t>
      </w:r>
    </w:p>
    <w:p w14:paraId="30FF6E2C" w14:textId="77777777" w:rsidR="00106D64" w:rsidRPr="001F6974" w:rsidRDefault="00106D64" w:rsidP="00106D64">
      <w:pPr>
        <w:spacing w:line="360" w:lineRule="auto"/>
        <w:jc w:val="both"/>
        <w:rPr>
          <w:rFonts w:ascii="Arial" w:hAnsi="Arial"/>
          <w:spacing w:val="22"/>
          <w:rtl/>
        </w:rPr>
      </w:pPr>
    </w:p>
    <w:p w14:paraId="523260A1" w14:textId="77777777" w:rsidR="00106D64" w:rsidRPr="001F6974" w:rsidRDefault="00106D64" w:rsidP="00106D64">
      <w:pPr>
        <w:spacing w:line="360" w:lineRule="auto"/>
        <w:jc w:val="both"/>
        <w:rPr>
          <w:rFonts w:ascii="Arial" w:hAnsi="Arial"/>
          <w:spacing w:val="22"/>
          <w:rtl/>
        </w:rPr>
      </w:pPr>
      <w:r w:rsidRPr="001F6974">
        <w:rPr>
          <w:rFonts w:ascii="Arial" w:hAnsi="Arial" w:hint="cs"/>
          <w:spacing w:val="22"/>
          <w:rtl/>
        </w:rPr>
        <w:t>15.</w:t>
      </w:r>
      <w:r w:rsidRPr="001F6974">
        <w:rPr>
          <w:rFonts w:ascii="Arial" w:hAnsi="Arial" w:hint="cs"/>
          <w:spacing w:val="22"/>
          <w:rtl/>
        </w:rPr>
        <w:tab/>
        <w:t xml:space="preserve">באשר לטענה בדבר החפיפה בין עבירות הנשק לבין עבירת הרצח </w:t>
      </w:r>
      <w:r w:rsidRPr="001F6974">
        <w:rPr>
          <w:rFonts w:ascii="Arial" w:hAnsi="Arial"/>
          <w:spacing w:val="22"/>
          <w:rtl/>
        </w:rPr>
        <w:t>–</w:t>
      </w:r>
      <w:r w:rsidRPr="001F6974">
        <w:rPr>
          <w:rFonts w:ascii="Arial" w:hAnsi="Arial" w:hint="cs"/>
          <w:spacing w:val="22"/>
          <w:rtl/>
        </w:rPr>
        <w:t xml:space="preserve"> הצדק עם הסנגור. מדובר באותו אירוע. הנשיאה ושימוש בכלי הנשק היוו חלק מעבירת הרצח וכלים לביצועה, ואין מקום, בנסיבות ענייננו, להוסיף ענישה המצטברת בגין עבירות הנשק המהוות חלק בלתי נפרד מעבירת הרצח.  </w:t>
      </w:r>
    </w:p>
    <w:p w14:paraId="71B1E7BD" w14:textId="77777777" w:rsidR="00106D64" w:rsidRPr="001F6974" w:rsidRDefault="00106D64" w:rsidP="00106D64">
      <w:pPr>
        <w:spacing w:line="360" w:lineRule="auto"/>
        <w:jc w:val="both"/>
        <w:rPr>
          <w:rFonts w:ascii="Arial" w:hAnsi="Arial"/>
          <w:spacing w:val="22"/>
          <w:rtl/>
        </w:rPr>
      </w:pPr>
    </w:p>
    <w:p w14:paraId="5114230A" w14:textId="77777777" w:rsidR="00106D64" w:rsidRPr="001F6974" w:rsidRDefault="00106D64" w:rsidP="00106D64">
      <w:pPr>
        <w:spacing w:line="360" w:lineRule="auto"/>
        <w:jc w:val="both"/>
        <w:rPr>
          <w:rFonts w:ascii="Arial" w:hAnsi="Arial"/>
          <w:spacing w:val="22"/>
          <w:rtl/>
        </w:rPr>
      </w:pPr>
      <w:r w:rsidRPr="001F6974">
        <w:rPr>
          <w:rFonts w:ascii="Arial" w:hAnsi="Arial" w:hint="cs"/>
          <w:b/>
          <w:bCs/>
          <w:spacing w:val="22"/>
          <w:sz w:val="20"/>
          <w:rtl/>
        </w:rPr>
        <w:t>16.</w:t>
      </w:r>
      <w:r w:rsidRPr="001F6974">
        <w:rPr>
          <w:rFonts w:ascii="Arial" w:hAnsi="Arial" w:hint="cs"/>
          <w:b/>
          <w:bCs/>
          <w:spacing w:val="22"/>
          <w:sz w:val="20"/>
          <w:rtl/>
        </w:rPr>
        <w:tab/>
      </w:r>
      <w:r w:rsidRPr="001F6974">
        <w:rPr>
          <w:rFonts w:ascii="Arial" w:hAnsi="Arial" w:hint="cs"/>
          <w:spacing w:val="22"/>
          <w:rtl/>
        </w:rPr>
        <w:t xml:space="preserve">התוצאה היא שאנו גוזרים על הנאשם מאסר עולם ועונש זה בלבד לפי </w:t>
      </w:r>
      <w:hyperlink r:id="rId82" w:history="1">
        <w:r w:rsidR="00A4383B" w:rsidRPr="00A4383B">
          <w:rPr>
            <w:rFonts w:ascii="Arial" w:hAnsi="Arial"/>
            <w:color w:val="0000FF"/>
            <w:spacing w:val="22"/>
            <w:u w:val="single"/>
            <w:rtl/>
          </w:rPr>
          <w:t>סעיף 300(א)</w:t>
        </w:r>
      </w:hyperlink>
      <w:r w:rsidRPr="001F6974">
        <w:rPr>
          <w:rFonts w:ascii="Arial" w:hAnsi="Arial" w:hint="cs"/>
          <w:spacing w:val="22"/>
          <w:rtl/>
        </w:rPr>
        <w:t xml:space="preserve"> ל</w:t>
      </w:r>
      <w:hyperlink r:id="rId83" w:history="1">
        <w:r w:rsidR="00EB66B3" w:rsidRPr="00EB66B3">
          <w:rPr>
            <w:rFonts w:ascii="Arial" w:hAnsi="Arial"/>
            <w:color w:val="0000FF"/>
            <w:spacing w:val="22"/>
            <w:u w:val="single"/>
            <w:rtl/>
          </w:rPr>
          <w:t>חוק העונשין</w:t>
        </w:r>
      </w:hyperlink>
      <w:r w:rsidRPr="001F6974">
        <w:rPr>
          <w:rFonts w:ascii="Arial" w:hAnsi="Arial" w:hint="cs"/>
          <w:spacing w:val="22"/>
          <w:rtl/>
        </w:rPr>
        <w:t xml:space="preserve">, תשל"ז </w:t>
      </w:r>
      <w:r w:rsidRPr="001F6974">
        <w:rPr>
          <w:rFonts w:ascii="Arial" w:hAnsi="Arial"/>
          <w:spacing w:val="22"/>
          <w:rtl/>
        </w:rPr>
        <w:t>–</w:t>
      </w:r>
      <w:r w:rsidRPr="001F6974">
        <w:rPr>
          <w:rFonts w:ascii="Arial" w:hAnsi="Arial" w:hint="cs"/>
          <w:spacing w:val="22"/>
          <w:rtl/>
        </w:rPr>
        <w:t xml:space="preserve"> </w:t>
      </w:r>
      <w:r>
        <w:rPr>
          <w:rFonts w:ascii="Arial" w:hAnsi="Arial" w:hint="cs"/>
          <w:spacing w:val="22"/>
          <w:rtl/>
        </w:rPr>
        <w:t xml:space="preserve">1977 (כנוסחו לפני התיקון  לחוק), מיום מעצרו. </w:t>
      </w:r>
      <w:r w:rsidRPr="001F6974">
        <w:rPr>
          <w:rFonts w:ascii="Arial" w:hAnsi="Arial" w:hint="cs"/>
          <w:spacing w:val="22"/>
          <w:rtl/>
        </w:rPr>
        <w:t xml:space="preserve"> </w:t>
      </w:r>
    </w:p>
    <w:p w14:paraId="0C910756" w14:textId="77777777" w:rsidR="00106D64" w:rsidRPr="001F6974" w:rsidRDefault="00106D64" w:rsidP="00106D64">
      <w:pPr>
        <w:spacing w:line="360" w:lineRule="auto"/>
        <w:jc w:val="both"/>
        <w:rPr>
          <w:rFonts w:ascii="Arial" w:hAnsi="Arial"/>
          <w:spacing w:val="22"/>
          <w:rtl/>
        </w:rPr>
      </w:pPr>
    </w:p>
    <w:p w14:paraId="32D31368" w14:textId="77777777" w:rsidR="00106D64" w:rsidRPr="001F6974" w:rsidRDefault="00106D64" w:rsidP="00106D64">
      <w:pPr>
        <w:rPr>
          <w:rFonts w:ascii="Arial" w:hAnsi="Arial"/>
          <w:spacing w:val="22"/>
          <w:rtl/>
        </w:rPr>
      </w:pPr>
      <w:r w:rsidRPr="001F6974">
        <w:rPr>
          <w:spacing w:val="22"/>
          <w:rtl/>
        </w:rPr>
        <w:tab/>
      </w:r>
      <w:r w:rsidRPr="001F6974">
        <w:rPr>
          <w:rFonts w:ascii="Arial" w:hAnsi="Arial" w:hint="cs"/>
          <w:spacing w:val="22"/>
          <w:rtl/>
        </w:rPr>
        <w:t xml:space="preserve">זכות ערעור לבית המשפט העליון בתוך 45 יום מהיום. </w:t>
      </w:r>
    </w:p>
    <w:p w14:paraId="669C5A37" w14:textId="77777777" w:rsidR="00106D64" w:rsidRPr="001F6974" w:rsidRDefault="00106D64" w:rsidP="00106D64">
      <w:pPr>
        <w:rPr>
          <w:spacing w:val="22"/>
          <w:rtl/>
        </w:rPr>
      </w:pPr>
    </w:p>
    <w:p w14:paraId="173DDD3B" w14:textId="77777777" w:rsidR="00106D64" w:rsidRPr="001F6974" w:rsidRDefault="00106D64" w:rsidP="00106D64">
      <w:pPr>
        <w:rPr>
          <w:spacing w:val="22"/>
          <w:rtl/>
        </w:rPr>
      </w:pPr>
    </w:p>
    <w:p w14:paraId="3B5CCD77" w14:textId="77777777" w:rsidR="00106D64" w:rsidRPr="001F6974" w:rsidRDefault="00EB66B3" w:rsidP="00106D64">
      <w:pPr>
        <w:spacing w:line="360" w:lineRule="auto"/>
        <w:ind w:firstLine="720"/>
        <w:jc w:val="both"/>
        <w:rPr>
          <w:rFonts w:cs="FrankRuehl"/>
          <w:spacing w:val="22"/>
          <w:sz w:val="28"/>
          <w:szCs w:val="28"/>
          <w:rtl/>
        </w:rPr>
      </w:pPr>
      <w:bookmarkStart w:id="8" w:name="Nitan"/>
      <w:r>
        <w:rPr>
          <w:rFonts w:ascii="Arial" w:hAnsi="Arial"/>
          <w:spacing w:val="22"/>
          <w:rtl/>
        </w:rPr>
        <w:t xml:space="preserve">ניתן היום,  כ"ד תשרי תש"פ, 23 אוקטובר 2019, במעמד ב"כ המאשימה, </w:t>
      </w:r>
      <w:bookmarkEnd w:id="8"/>
      <w:r w:rsidR="00106D64" w:rsidRPr="001F6974">
        <w:rPr>
          <w:rFonts w:ascii="Arial" w:hAnsi="Arial" w:hint="cs"/>
          <w:spacing w:val="22"/>
          <w:rtl/>
        </w:rPr>
        <w:t xml:space="preserve">ב"כ הנאשם והנאשם עצמו. </w:t>
      </w:r>
    </w:p>
    <w:p w14:paraId="72432E70" w14:textId="77777777" w:rsidR="00106D64" w:rsidRPr="001F6974" w:rsidRDefault="00106D64" w:rsidP="00106D64">
      <w:pPr>
        <w:spacing w:line="360" w:lineRule="auto"/>
        <w:jc w:val="both"/>
        <w:rPr>
          <w:rFonts w:cs="FrankRuehl"/>
          <w:spacing w:val="22"/>
          <w:sz w:val="28"/>
          <w:szCs w:val="28"/>
          <w:rtl/>
        </w:rPr>
      </w:pPr>
    </w:p>
    <w:p w14:paraId="16596139" w14:textId="77777777" w:rsidR="00106D64" w:rsidRPr="001F6974" w:rsidRDefault="00106D64" w:rsidP="00106D64">
      <w:pPr>
        <w:spacing w:line="360" w:lineRule="auto"/>
        <w:jc w:val="both"/>
        <w:rPr>
          <w:rFonts w:cs="FrankRuehl"/>
          <w:spacing w:val="22"/>
          <w:sz w:val="28"/>
          <w:szCs w:val="28"/>
          <w:rtl/>
        </w:rPr>
      </w:pPr>
    </w:p>
    <w:tbl>
      <w:tblPr>
        <w:bidiVisual/>
        <w:tblW w:w="0" w:type="auto"/>
        <w:tblLayout w:type="fixed"/>
        <w:tblLook w:val="01E0" w:firstRow="1" w:lastRow="1" w:firstColumn="1" w:lastColumn="1" w:noHBand="0" w:noVBand="0"/>
      </w:tblPr>
      <w:tblGrid>
        <w:gridCol w:w="2654"/>
        <w:gridCol w:w="236"/>
        <w:gridCol w:w="2284"/>
        <w:gridCol w:w="236"/>
        <w:gridCol w:w="2284"/>
      </w:tblGrid>
      <w:tr w:rsidR="00106D64" w14:paraId="0749BC8D" w14:textId="77777777" w:rsidTr="00106D64">
        <w:tc>
          <w:tcPr>
            <w:tcW w:w="2654" w:type="dxa"/>
            <w:tcBorders>
              <w:top w:val="nil"/>
              <w:left w:val="nil"/>
              <w:bottom w:val="single" w:sz="4" w:space="0" w:color="auto"/>
              <w:right w:val="nil"/>
            </w:tcBorders>
            <w:shd w:val="clear" w:color="auto" w:fill="auto"/>
            <w:vAlign w:val="center"/>
          </w:tcPr>
          <w:p w14:paraId="7DF375C9" w14:textId="77777777" w:rsidR="00106D64" w:rsidRPr="00106D64" w:rsidRDefault="00106D64" w:rsidP="00106D64">
            <w:pPr>
              <w:jc w:val="center"/>
              <w:rPr>
                <w:rFonts w:ascii="Courier New" w:hAnsi="Courier New"/>
                <w:b/>
                <w:bCs/>
              </w:rPr>
            </w:pPr>
          </w:p>
        </w:tc>
        <w:tc>
          <w:tcPr>
            <w:tcW w:w="236" w:type="dxa"/>
            <w:shd w:val="clear" w:color="auto" w:fill="auto"/>
            <w:vAlign w:val="center"/>
          </w:tcPr>
          <w:p w14:paraId="7FFA950E" w14:textId="77777777" w:rsidR="00106D64" w:rsidRPr="00106D64" w:rsidRDefault="00106D64" w:rsidP="00106D64">
            <w:pPr>
              <w:jc w:val="center"/>
              <w:rPr>
                <w:rFonts w:ascii="Courier New" w:hAnsi="Courier New"/>
                <w:b/>
                <w:bCs/>
              </w:rPr>
            </w:pPr>
          </w:p>
        </w:tc>
        <w:tc>
          <w:tcPr>
            <w:tcW w:w="2284" w:type="dxa"/>
            <w:tcBorders>
              <w:top w:val="nil"/>
              <w:left w:val="nil"/>
              <w:bottom w:val="single" w:sz="4" w:space="0" w:color="auto"/>
              <w:right w:val="nil"/>
            </w:tcBorders>
            <w:shd w:val="clear" w:color="auto" w:fill="auto"/>
            <w:vAlign w:val="center"/>
          </w:tcPr>
          <w:p w14:paraId="4B352FCC" w14:textId="77777777" w:rsidR="00106D64" w:rsidRPr="00106D64" w:rsidRDefault="00106D64" w:rsidP="00106D64">
            <w:pPr>
              <w:jc w:val="center"/>
              <w:rPr>
                <w:rFonts w:ascii="Courier New" w:hAnsi="Courier New"/>
                <w:b/>
                <w:bCs/>
              </w:rPr>
            </w:pPr>
          </w:p>
        </w:tc>
        <w:tc>
          <w:tcPr>
            <w:tcW w:w="236" w:type="dxa"/>
            <w:shd w:val="clear" w:color="auto" w:fill="auto"/>
            <w:vAlign w:val="center"/>
          </w:tcPr>
          <w:p w14:paraId="52778CBC" w14:textId="77777777" w:rsidR="00106D64" w:rsidRPr="00106D64" w:rsidRDefault="00106D64" w:rsidP="00106D64">
            <w:pPr>
              <w:jc w:val="center"/>
              <w:rPr>
                <w:rFonts w:ascii="Courier New" w:hAnsi="Courier New"/>
                <w:b/>
                <w:bCs/>
              </w:rPr>
            </w:pPr>
          </w:p>
        </w:tc>
        <w:tc>
          <w:tcPr>
            <w:tcW w:w="2284" w:type="dxa"/>
            <w:tcBorders>
              <w:top w:val="nil"/>
              <w:left w:val="nil"/>
              <w:bottom w:val="single" w:sz="4" w:space="0" w:color="auto"/>
              <w:right w:val="nil"/>
            </w:tcBorders>
            <w:shd w:val="clear" w:color="auto" w:fill="auto"/>
            <w:vAlign w:val="center"/>
          </w:tcPr>
          <w:p w14:paraId="4F5EEA27" w14:textId="77777777" w:rsidR="00106D64" w:rsidRPr="00106D64" w:rsidRDefault="00106D64" w:rsidP="00106D64">
            <w:pPr>
              <w:jc w:val="center"/>
              <w:rPr>
                <w:rFonts w:ascii="Courier New" w:hAnsi="Courier New"/>
                <w:b/>
                <w:bCs/>
              </w:rPr>
            </w:pPr>
          </w:p>
        </w:tc>
      </w:tr>
      <w:tr w:rsidR="00106D64" w14:paraId="6FE4FD93" w14:textId="77777777" w:rsidTr="00106D64">
        <w:tc>
          <w:tcPr>
            <w:tcW w:w="2654" w:type="dxa"/>
            <w:tcBorders>
              <w:top w:val="single" w:sz="4" w:space="0" w:color="auto"/>
              <w:left w:val="nil"/>
              <w:bottom w:val="nil"/>
              <w:right w:val="nil"/>
            </w:tcBorders>
            <w:shd w:val="clear" w:color="auto" w:fill="auto"/>
          </w:tcPr>
          <w:p w14:paraId="32D333A8" w14:textId="77777777" w:rsidR="00106D64" w:rsidRPr="00106D64" w:rsidRDefault="00106D64" w:rsidP="00106D64">
            <w:pPr>
              <w:spacing w:before="120" w:after="120"/>
              <w:jc w:val="center"/>
              <w:rPr>
                <w:b/>
                <w:bCs/>
                <w:noProof/>
                <w:sz w:val="28"/>
              </w:rPr>
            </w:pPr>
            <w:r w:rsidRPr="00106D64">
              <w:rPr>
                <w:rFonts w:hint="cs"/>
                <w:b/>
                <w:bCs/>
                <w:noProof/>
                <w:sz w:val="28"/>
                <w:rtl/>
              </w:rPr>
              <w:t>רפי כרמל, שופט</w:t>
            </w:r>
          </w:p>
          <w:p w14:paraId="6B7183FA" w14:textId="77777777" w:rsidR="00106D64" w:rsidRPr="00106D64" w:rsidRDefault="00106D64" w:rsidP="00106D64">
            <w:pPr>
              <w:spacing w:before="120" w:after="120"/>
              <w:jc w:val="center"/>
              <w:rPr>
                <w:b/>
                <w:bCs/>
                <w:noProof/>
                <w:sz w:val="28"/>
                <w:rtl/>
              </w:rPr>
            </w:pPr>
            <w:r w:rsidRPr="00106D64">
              <w:rPr>
                <w:rFonts w:hint="cs"/>
                <w:b/>
                <w:bCs/>
                <w:noProof/>
                <w:sz w:val="28"/>
                <w:rtl/>
              </w:rPr>
              <w:t>אב"ד</w:t>
            </w:r>
          </w:p>
        </w:tc>
        <w:tc>
          <w:tcPr>
            <w:tcW w:w="236" w:type="dxa"/>
            <w:shd w:val="clear" w:color="auto" w:fill="auto"/>
          </w:tcPr>
          <w:p w14:paraId="7CE106C0" w14:textId="77777777" w:rsidR="00106D64" w:rsidRPr="00106D64" w:rsidRDefault="00106D64" w:rsidP="00106D64">
            <w:pPr>
              <w:spacing w:before="120" w:after="120"/>
              <w:jc w:val="center"/>
              <w:rPr>
                <w:b/>
                <w:bCs/>
                <w:noProof/>
                <w:color w:val="FF0000"/>
                <w:sz w:val="28"/>
              </w:rPr>
            </w:pPr>
          </w:p>
        </w:tc>
        <w:tc>
          <w:tcPr>
            <w:tcW w:w="2284" w:type="dxa"/>
            <w:tcBorders>
              <w:top w:val="single" w:sz="4" w:space="0" w:color="auto"/>
              <w:left w:val="nil"/>
              <w:bottom w:val="nil"/>
              <w:right w:val="nil"/>
            </w:tcBorders>
            <w:shd w:val="clear" w:color="auto" w:fill="auto"/>
          </w:tcPr>
          <w:p w14:paraId="5FCCFA8B" w14:textId="77777777" w:rsidR="00106D64" w:rsidRPr="00106D64" w:rsidRDefault="00106D64" w:rsidP="00106D64">
            <w:pPr>
              <w:spacing w:before="120" w:after="120"/>
              <w:jc w:val="center"/>
              <w:rPr>
                <w:b/>
                <w:bCs/>
                <w:sz w:val="28"/>
              </w:rPr>
            </w:pPr>
            <w:r w:rsidRPr="00106D64">
              <w:rPr>
                <w:rFonts w:hint="cs"/>
                <w:b/>
                <w:bCs/>
                <w:sz w:val="28"/>
                <w:rtl/>
              </w:rPr>
              <w:t>כרמי מוסק, שופט</w:t>
            </w:r>
          </w:p>
        </w:tc>
        <w:tc>
          <w:tcPr>
            <w:tcW w:w="236" w:type="dxa"/>
            <w:shd w:val="clear" w:color="auto" w:fill="auto"/>
          </w:tcPr>
          <w:p w14:paraId="55B49E01" w14:textId="77777777" w:rsidR="00106D64" w:rsidRPr="00106D64" w:rsidRDefault="00106D64" w:rsidP="00106D64">
            <w:pPr>
              <w:spacing w:before="120" w:after="120"/>
              <w:jc w:val="center"/>
              <w:rPr>
                <w:b/>
                <w:bCs/>
                <w:noProof/>
                <w:color w:val="FF0000"/>
                <w:sz w:val="28"/>
              </w:rPr>
            </w:pPr>
          </w:p>
        </w:tc>
        <w:tc>
          <w:tcPr>
            <w:tcW w:w="2284" w:type="dxa"/>
            <w:tcBorders>
              <w:top w:val="single" w:sz="4" w:space="0" w:color="auto"/>
              <w:left w:val="nil"/>
              <w:bottom w:val="nil"/>
              <w:right w:val="nil"/>
            </w:tcBorders>
            <w:shd w:val="clear" w:color="auto" w:fill="auto"/>
          </w:tcPr>
          <w:p w14:paraId="0D1E81B4" w14:textId="77777777" w:rsidR="00EB66B3" w:rsidRDefault="00106D64" w:rsidP="00106D64">
            <w:pPr>
              <w:tabs>
                <w:tab w:val="center" w:pos="1039"/>
              </w:tabs>
              <w:spacing w:before="120" w:after="120"/>
              <w:rPr>
                <w:b/>
                <w:bCs/>
                <w:noProof/>
              </w:rPr>
            </w:pPr>
            <w:r w:rsidRPr="00106D64">
              <w:rPr>
                <w:b/>
                <w:bCs/>
                <w:rtl/>
              </w:rPr>
              <w:tab/>
            </w:r>
            <w:r w:rsidRPr="00106D64">
              <w:rPr>
                <w:rFonts w:hint="cs"/>
                <w:b/>
                <w:bCs/>
                <w:sz w:val="28"/>
                <w:rtl/>
              </w:rPr>
              <w:t>שירלי רנר, שופטת</w:t>
            </w:r>
          </w:p>
          <w:p w14:paraId="66629B19" w14:textId="77777777" w:rsidR="00106D64" w:rsidRPr="00106D64" w:rsidRDefault="00106D64" w:rsidP="00106D64">
            <w:pPr>
              <w:tabs>
                <w:tab w:val="center" w:pos="1039"/>
              </w:tabs>
              <w:spacing w:before="120" w:after="120"/>
              <w:rPr>
                <w:b/>
                <w:bCs/>
                <w:noProof/>
              </w:rPr>
            </w:pPr>
          </w:p>
        </w:tc>
      </w:tr>
    </w:tbl>
    <w:p w14:paraId="3EE0D508" w14:textId="77777777" w:rsidR="00106D64" w:rsidRPr="00EB66B3" w:rsidRDefault="00EB66B3" w:rsidP="00106D64">
      <w:pPr>
        <w:rPr>
          <w:color w:val="FFFFFF"/>
          <w:sz w:val="2"/>
          <w:szCs w:val="2"/>
        </w:rPr>
      </w:pPr>
      <w:r w:rsidRPr="00EB66B3">
        <w:rPr>
          <w:color w:val="FFFFFF"/>
          <w:sz w:val="2"/>
          <w:szCs w:val="2"/>
          <w:rtl/>
        </w:rPr>
        <w:t>5129371</w:t>
      </w:r>
    </w:p>
    <w:p w14:paraId="52596BA6" w14:textId="77777777" w:rsidR="00106D64" w:rsidRPr="00EB66B3" w:rsidRDefault="00EB66B3" w:rsidP="00106D64">
      <w:pPr>
        <w:spacing w:line="360" w:lineRule="auto"/>
        <w:jc w:val="both"/>
        <w:rPr>
          <w:rFonts w:cs="FrankRuehl"/>
          <w:color w:val="FFFFFF"/>
          <w:sz w:val="2"/>
          <w:szCs w:val="2"/>
          <w:rtl/>
        </w:rPr>
      </w:pPr>
      <w:r w:rsidRPr="00EB66B3">
        <w:rPr>
          <w:rFonts w:cs="FrankRuehl"/>
          <w:color w:val="FFFFFF"/>
          <w:sz w:val="2"/>
          <w:szCs w:val="2"/>
          <w:rtl/>
        </w:rPr>
        <w:t>54678313</w:t>
      </w:r>
    </w:p>
    <w:p w14:paraId="4B838DAE" w14:textId="77777777" w:rsidR="00106D64" w:rsidRPr="00FF4D23" w:rsidRDefault="00FF4D23" w:rsidP="00106D64">
      <w:pPr>
        <w:pStyle w:val="a3"/>
        <w:jc w:val="center"/>
        <w:rPr>
          <w:color w:val="FFFFFF"/>
          <w:sz w:val="2"/>
          <w:szCs w:val="2"/>
          <w:rtl/>
        </w:rPr>
      </w:pPr>
      <w:r w:rsidRPr="00FF4D23">
        <w:rPr>
          <w:color w:val="FFFFFF"/>
          <w:sz w:val="2"/>
          <w:szCs w:val="2"/>
          <w:rtl/>
        </w:rPr>
        <w:t>5129371</w:t>
      </w:r>
    </w:p>
    <w:p w14:paraId="10DF25E7" w14:textId="77777777" w:rsidR="000F7736" w:rsidRPr="00FF4D23" w:rsidRDefault="00FF4D23" w:rsidP="00EB66B3">
      <w:pPr>
        <w:keepNext/>
        <w:rPr>
          <w:rFonts w:ascii="David" w:hAnsi="David"/>
          <w:color w:val="FFFFFF"/>
          <w:sz w:val="2"/>
          <w:szCs w:val="2"/>
          <w:rtl/>
        </w:rPr>
      </w:pPr>
      <w:r w:rsidRPr="00FF4D23">
        <w:rPr>
          <w:rFonts w:ascii="David" w:hAnsi="David"/>
          <w:color w:val="FFFFFF"/>
          <w:sz w:val="2"/>
          <w:szCs w:val="2"/>
          <w:rtl/>
        </w:rPr>
        <w:t>54678313</w:t>
      </w:r>
    </w:p>
    <w:p w14:paraId="5BBDD2A7" w14:textId="77777777" w:rsidR="00EB66B3" w:rsidRDefault="00EB66B3" w:rsidP="00EB66B3">
      <w:pPr>
        <w:rPr>
          <w:rtl/>
        </w:rPr>
      </w:pPr>
    </w:p>
    <w:p w14:paraId="1C47324D" w14:textId="77777777" w:rsidR="00EB66B3" w:rsidRDefault="00EB66B3" w:rsidP="00EB66B3">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72618172" w14:textId="77777777" w:rsidR="00FF4D23" w:rsidRPr="00FF4D23" w:rsidRDefault="00FF4D23" w:rsidP="00FF4D23">
      <w:pPr>
        <w:keepNext/>
        <w:rPr>
          <w:rFonts w:ascii="David" w:hAnsi="David"/>
          <w:color w:val="000000"/>
          <w:sz w:val="22"/>
          <w:szCs w:val="22"/>
          <w:rtl/>
        </w:rPr>
      </w:pPr>
    </w:p>
    <w:p w14:paraId="21AFEB93" w14:textId="77777777" w:rsidR="00FF4D23" w:rsidRPr="00FF4D23" w:rsidRDefault="00FF4D23" w:rsidP="00FF4D23">
      <w:pPr>
        <w:keepNext/>
        <w:rPr>
          <w:rFonts w:ascii="David" w:hAnsi="David"/>
          <w:color w:val="000000"/>
          <w:sz w:val="22"/>
          <w:szCs w:val="22"/>
          <w:rtl/>
        </w:rPr>
      </w:pPr>
      <w:r w:rsidRPr="00FF4D23">
        <w:rPr>
          <w:rFonts w:ascii="David" w:hAnsi="David"/>
          <w:color w:val="000000"/>
          <w:sz w:val="22"/>
          <w:szCs w:val="22"/>
          <w:rtl/>
        </w:rPr>
        <w:t>רפי כרמל 54678313-/</w:t>
      </w:r>
    </w:p>
    <w:p w14:paraId="74ED354D" w14:textId="77777777" w:rsidR="00EB66B3" w:rsidRPr="00EB66B3" w:rsidRDefault="00FF4D23" w:rsidP="00FF4D23">
      <w:pPr>
        <w:rPr>
          <w:color w:val="0000FF"/>
          <w:u w:val="single"/>
        </w:rPr>
      </w:pPr>
      <w:r w:rsidRPr="00FF4D23">
        <w:rPr>
          <w:color w:val="000000"/>
          <w:u w:val="single"/>
          <w:rtl/>
        </w:rPr>
        <w:t>נוסח מסמך זה כפוף לשינויי ניסוח ועריכה</w:t>
      </w:r>
    </w:p>
    <w:sectPr w:rsidR="00EB66B3" w:rsidRPr="00EB66B3" w:rsidSect="00FF4D23">
      <w:headerReference w:type="even" r:id="rId85"/>
      <w:headerReference w:type="default" r:id="rId86"/>
      <w:footerReference w:type="even" r:id="rId87"/>
      <w:footerReference w:type="default" r:id="rId88"/>
      <w:pgSz w:w="11907" w:h="16840" w:code="9"/>
      <w:pgMar w:top="1701" w:right="1842"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3F79E" w14:textId="77777777" w:rsidR="00401417" w:rsidRDefault="00401417" w:rsidP="006B1DD0">
      <w:r>
        <w:separator/>
      </w:r>
    </w:p>
  </w:endnote>
  <w:endnote w:type="continuationSeparator" w:id="0">
    <w:p w14:paraId="1B53BD37" w14:textId="77777777" w:rsidR="00401417" w:rsidRDefault="00401417" w:rsidP="006B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3499F" w14:textId="77777777" w:rsidR="00FF4D23" w:rsidRDefault="00FF4D23" w:rsidP="00FF4D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62C49D5" w14:textId="77777777" w:rsidR="004769E4" w:rsidRPr="00FF4D23" w:rsidRDefault="00FF4D23" w:rsidP="00FF4D23">
    <w:pPr>
      <w:pStyle w:val="a5"/>
      <w:pBdr>
        <w:top w:val="single" w:sz="4" w:space="1" w:color="auto"/>
        <w:between w:val="single" w:sz="4" w:space="0" w:color="auto"/>
      </w:pBdr>
      <w:spacing w:after="60"/>
      <w:jc w:val="center"/>
      <w:rPr>
        <w:rFonts w:ascii="FrankRuehl" w:hAnsi="FrankRuehl" w:cs="FrankRuehl"/>
        <w:color w:val="000000"/>
      </w:rPr>
    </w:pPr>
    <w:r w:rsidRPr="00FF4D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E33E5" w14:textId="77777777" w:rsidR="00FF4D23" w:rsidRDefault="00FF4D23" w:rsidP="00FF4D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4AC9">
      <w:rPr>
        <w:rFonts w:ascii="FrankRuehl" w:hAnsi="FrankRuehl" w:cs="FrankRuehl"/>
        <w:noProof/>
        <w:rtl/>
      </w:rPr>
      <w:t>1</w:t>
    </w:r>
    <w:r>
      <w:rPr>
        <w:rFonts w:ascii="FrankRuehl" w:hAnsi="FrankRuehl" w:cs="FrankRuehl"/>
        <w:rtl/>
      </w:rPr>
      <w:fldChar w:fldCharType="end"/>
    </w:r>
  </w:p>
  <w:p w14:paraId="67E9A78A" w14:textId="77777777" w:rsidR="004769E4" w:rsidRPr="00FF4D23" w:rsidRDefault="00FF4D23" w:rsidP="00FF4D23">
    <w:pPr>
      <w:pStyle w:val="a5"/>
      <w:pBdr>
        <w:top w:val="single" w:sz="4" w:space="1" w:color="auto"/>
        <w:between w:val="single" w:sz="4" w:space="0" w:color="auto"/>
      </w:pBdr>
      <w:spacing w:after="60"/>
      <w:jc w:val="center"/>
      <w:rPr>
        <w:rFonts w:ascii="FrankRuehl" w:hAnsi="FrankRuehl" w:cs="FrankRuehl"/>
        <w:color w:val="000000"/>
      </w:rPr>
    </w:pPr>
    <w:r w:rsidRPr="00FF4D23">
      <w:rPr>
        <w:rFonts w:ascii="FrankRuehl" w:hAnsi="FrankRuehl" w:cs="FrankRuehl"/>
        <w:color w:val="000000"/>
      </w:rPr>
      <w:pict w14:anchorId="3FB01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35F85" w14:textId="77777777" w:rsidR="00401417" w:rsidRDefault="00401417" w:rsidP="006B1DD0">
      <w:r>
        <w:separator/>
      </w:r>
    </w:p>
  </w:footnote>
  <w:footnote w:type="continuationSeparator" w:id="0">
    <w:p w14:paraId="39E3DF71" w14:textId="77777777" w:rsidR="00401417" w:rsidRDefault="00401417" w:rsidP="006B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1682A" w14:textId="77777777" w:rsidR="00EB66B3" w:rsidRPr="00FF4D23" w:rsidRDefault="00FF4D23" w:rsidP="00FF4D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45473-08-16</w:t>
    </w:r>
    <w:r>
      <w:rPr>
        <w:rFonts w:ascii="David" w:hAnsi="David"/>
        <w:color w:val="000000"/>
        <w:sz w:val="22"/>
        <w:szCs w:val="22"/>
        <w:rtl/>
      </w:rPr>
      <w:tab/>
      <w:t xml:space="preserve"> מדינת ישראל נ' אלמנתסר אללה קראעין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13E0B" w14:textId="77777777" w:rsidR="00EB66B3" w:rsidRPr="00FF4D23" w:rsidRDefault="00FF4D23" w:rsidP="00FF4D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45473-08-16</w:t>
    </w:r>
    <w:r>
      <w:rPr>
        <w:rFonts w:ascii="David" w:hAnsi="David"/>
        <w:color w:val="000000"/>
        <w:sz w:val="22"/>
        <w:szCs w:val="22"/>
        <w:rtl/>
      </w:rPr>
      <w:tab/>
      <w:t xml:space="preserve"> מדינת ישראל נ' אלמנתסר אללה קראעין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6D64"/>
    <w:rsid w:val="000F7736"/>
    <w:rsid w:val="00106D64"/>
    <w:rsid w:val="00381020"/>
    <w:rsid w:val="003F4364"/>
    <w:rsid w:val="00401417"/>
    <w:rsid w:val="004769E4"/>
    <w:rsid w:val="00584AC9"/>
    <w:rsid w:val="006B1DD0"/>
    <w:rsid w:val="00A4383B"/>
    <w:rsid w:val="00EB66B3"/>
    <w:rsid w:val="00FF4D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F70F83"/>
  <w15:chartTrackingRefBased/>
  <w15:docId w15:val="{0B84991E-785C-4991-BC3D-D34F8B9C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6D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6D64"/>
    <w:pPr>
      <w:tabs>
        <w:tab w:val="center" w:pos="4153"/>
        <w:tab w:val="right" w:pos="8306"/>
      </w:tabs>
    </w:pPr>
  </w:style>
  <w:style w:type="character" w:customStyle="1" w:styleId="a4">
    <w:name w:val="כותרת עליונה תו"/>
    <w:link w:val="a3"/>
    <w:rsid w:val="00106D64"/>
    <w:rPr>
      <w:rFonts w:ascii="Times New Roman" w:eastAsia="Times New Roman" w:hAnsi="Times New Roman" w:cs="David"/>
      <w:sz w:val="24"/>
      <w:szCs w:val="24"/>
    </w:rPr>
  </w:style>
  <w:style w:type="paragraph" w:styleId="a5">
    <w:name w:val="footer"/>
    <w:basedOn w:val="a"/>
    <w:link w:val="a6"/>
    <w:rsid w:val="00106D64"/>
    <w:pPr>
      <w:tabs>
        <w:tab w:val="center" w:pos="4153"/>
        <w:tab w:val="right" w:pos="8306"/>
      </w:tabs>
    </w:pPr>
  </w:style>
  <w:style w:type="character" w:customStyle="1" w:styleId="a6">
    <w:name w:val="כותרת תחתונה תו"/>
    <w:link w:val="a5"/>
    <w:rsid w:val="00106D64"/>
    <w:rPr>
      <w:rFonts w:ascii="Times New Roman" w:eastAsia="Times New Roman" w:hAnsi="Times New Roman" w:cs="David"/>
      <w:sz w:val="24"/>
      <w:szCs w:val="24"/>
    </w:rPr>
  </w:style>
  <w:style w:type="table" w:styleId="a7">
    <w:name w:val="Table Grid"/>
    <w:basedOn w:val="a1"/>
    <w:rsid w:val="00106D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6D64"/>
  </w:style>
  <w:style w:type="character" w:styleId="Hyperlink">
    <w:name w:val="Hyperlink"/>
    <w:rsid w:val="00EB66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903/186" TargetMode="External"/><Relationship Id="rId42" Type="http://schemas.openxmlformats.org/officeDocument/2006/relationships/hyperlink" Target="http://www.nevo.co.il/law/70301/34h" TargetMode="External"/><Relationship Id="rId47" Type="http://schemas.openxmlformats.org/officeDocument/2006/relationships/hyperlink" Target="http://www.nevo.co.il/law/70301/300a.a" TargetMode="External"/><Relationship Id="rId63" Type="http://schemas.openxmlformats.org/officeDocument/2006/relationships/hyperlink" Target="http://www.nevo.co.il/law/70301/34h" TargetMode="External"/><Relationship Id="rId68" Type="http://schemas.openxmlformats.org/officeDocument/2006/relationships/hyperlink" Target="http://www.nevo.co.il/law/70301/34h"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300a.a"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300a.a" TargetMode="External"/><Relationship Id="rId37" Type="http://schemas.openxmlformats.org/officeDocument/2006/relationships/hyperlink" Target="http://www.nevo.co.il/law/70301/300a.a" TargetMode="External"/><Relationship Id="rId53" Type="http://schemas.openxmlformats.org/officeDocument/2006/relationships/hyperlink" Target="http://www.nevo.co.il/law/74903" TargetMode="External"/><Relationship Id="rId58" Type="http://schemas.openxmlformats.org/officeDocument/2006/relationships/hyperlink" Target="http://www.nevo.co.il/law/70301/5.a" TargetMode="External"/><Relationship Id="rId74" Type="http://schemas.openxmlformats.org/officeDocument/2006/relationships/hyperlink" Target="http://www.nevo.co.il/law/70301/300a" TargetMode="External"/><Relationship Id="rId79" Type="http://schemas.openxmlformats.org/officeDocument/2006/relationships/hyperlink" Target="http://www.nevo.co.il/law/70301/34h" TargetMode="External"/><Relationship Id="rId5" Type="http://schemas.openxmlformats.org/officeDocument/2006/relationships/endnotes" Target="endnotes.xml"/><Relationship Id="rId90" Type="http://schemas.openxmlformats.org/officeDocument/2006/relationships/theme" Target="theme/theme1.xml"/><Relationship Id="rId14" Type="http://schemas.openxmlformats.org/officeDocument/2006/relationships/hyperlink" Target="http://www.nevo.co.il/law/70301/300.a.2" TargetMode="External"/><Relationship Id="rId22" Type="http://schemas.openxmlformats.org/officeDocument/2006/relationships/hyperlink" Target="http://www.nevo.co.il/law/70301/300.a.2" TargetMode="External"/><Relationship Id="rId27" Type="http://schemas.openxmlformats.org/officeDocument/2006/relationships/hyperlink" Target="http://www.nevo.co.il/law/70301/300a.c" TargetMode="External"/><Relationship Id="rId30" Type="http://schemas.openxmlformats.org/officeDocument/2006/relationships/hyperlink" Target="http://www.nevo.co.il/case/5969322"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300a" TargetMode="External"/><Relationship Id="rId48" Type="http://schemas.openxmlformats.org/officeDocument/2006/relationships/hyperlink" Target="http://www.nevo.co.il/law/70301/300a.b" TargetMode="External"/><Relationship Id="rId56" Type="http://schemas.openxmlformats.org/officeDocument/2006/relationships/hyperlink" Target="http://www.nevo.co.il/law/70301/301b.a" TargetMode="External"/><Relationship Id="rId64" Type="http://schemas.openxmlformats.org/officeDocument/2006/relationships/hyperlink" Target="http://www.nevo.co.il/law/70301/300a" TargetMode="External"/><Relationship Id="rId69" Type="http://schemas.openxmlformats.org/officeDocument/2006/relationships/hyperlink" Target="http://www.nevo.co.il/law/70301/300a" TargetMode="External"/><Relationship Id="rId77" Type="http://schemas.openxmlformats.org/officeDocument/2006/relationships/hyperlink" Target="http://www.nevo.co.il/law/70301/300a" TargetMode="External"/><Relationship Id="rId8" Type="http://schemas.openxmlformats.org/officeDocument/2006/relationships/hyperlink" Target="http://www.nevo.co.il/law/70301/34h" TargetMode="External"/><Relationship Id="rId51" Type="http://schemas.openxmlformats.org/officeDocument/2006/relationships/hyperlink" Target="http://www.nevo.co.il/law/70301/300a.c" TargetMode="External"/><Relationship Id="rId72" Type="http://schemas.openxmlformats.org/officeDocument/2006/relationships/hyperlink" Target="http://www.nevo.co.il/law/70301/300a" TargetMode="External"/><Relationship Id="rId80" Type="http://schemas.openxmlformats.org/officeDocument/2006/relationships/hyperlink" Target="http://www.nevo.co.il/law/70301/300a" TargetMode="External"/><Relationship Id="rId85"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300" TargetMode="External"/><Relationship Id="rId17" Type="http://schemas.openxmlformats.org/officeDocument/2006/relationships/hyperlink" Target="http://www.nevo.co.il/law/70301/300a.b"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00a.a"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0243557" TargetMode="External"/><Relationship Id="rId20" Type="http://schemas.openxmlformats.org/officeDocument/2006/relationships/hyperlink" Target="http://www.nevo.co.il/law/74903" TargetMode="External"/><Relationship Id="rId41" Type="http://schemas.openxmlformats.org/officeDocument/2006/relationships/hyperlink" Target="http://www.nevo.co.il/law/70301/300a" TargetMode="External"/><Relationship Id="rId54" Type="http://schemas.openxmlformats.org/officeDocument/2006/relationships/hyperlink" Target="http://www.nevo.co.il/law/70301/300a" TargetMode="External"/><Relationship Id="rId62" Type="http://schemas.openxmlformats.org/officeDocument/2006/relationships/hyperlink" Target="http://www.nevo.co.il/case/20243557"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34i" TargetMode="External"/><Relationship Id="rId83" Type="http://schemas.openxmlformats.org/officeDocument/2006/relationships/hyperlink" Target="http://www.nevo.co.il/law/70301" TargetMode="External"/><Relationship Id="rId88"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00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926271" TargetMode="External"/><Relationship Id="rId36" Type="http://schemas.openxmlformats.org/officeDocument/2006/relationships/hyperlink" Target="http://www.nevo.co.il/case/5172651" TargetMode="External"/><Relationship Id="rId49" Type="http://schemas.openxmlformats.org/officeDocument/2006/relationships/hyperlink" Target="http://www.nevo.co.il/law/70301/300a.b"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0243557" TargetMode="External"/><Relationship Id="rId44" Type="http://schemas.openxmlformats.org/officeDocument/2006/relationships/hyperlink" Target="http://www.nevo.co.il/law/70301/300a.a" TargetMode="External"/><Relationship Id="rId52" Type="http://schemas.openxmlformats.org/officeDocument/2006/relationships/hyperlink" Target="http://www.nevo.co.il/law/74903/186" TargetMode="External"/><Relationship Id="rId60" Type="http://schemas.openxmlformats.org/officeDocument/2006/relationships/hyperlink" Target="http://www.nevo.co.il/case/20243557"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0243557" TargetMode="External"/><Relationship Id="rId78" Type="http://schemas.openxmlformats.org/officeDocument/2006/relationships/hyperlink" Target="http://www.nevo.co.il/law/70301/300a" TargetMode="External"/><Relationship Id="rId81" Type="http://schemas.openxmlformats.org/officeDocument/2006/relationships/hyperlink" Target="http://www.nevo.co.il/case/20243557" TargetMode="External"/><Relationship Id="rId86"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i" TargetMode="External"/><Relationship Id="rId13" Type="http://schemas.openxmlformats.org/officeDocument/2006/relationships/hyperlink" Target="http://www.nevo.co.il/law/70301/300.a" TargetMode="External"/><Relationship Id="rId18" Type="http://schemas.openxmlformats.org/officeDocument/2006/relationships/hyperlink" Target="http://www.nevo.co.il/law/70301/300a.c"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300a"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0243557" TargetMode="External"/><Relationship Id="rId7" Type="http://schemas.openxmlformats.org/officeDocument/2006/relationships/hyperlink" Target="http://www.nevo.co.il/law/70301/5.a" TargetMode="External"/><Relationship Id="rId71" Type="http://schemas.openxmlformats.org/officeDocument/2006/relationships/hyperlink" Target="http://www.nevo.co.il/case/20243557" TargetMode="External"/><Relationship Id="rId2" Type="http://schemas.openxmlformats.org/officeDocument/2006/relationships/settings" Target="settings.xml"/><Relationship Id="rId29" Type="http://schemas.openxmlformats.org/officeDocument/2006/relationships/hyperlink" Target="http://www.nevo.co.il/case/5990314" TargetMode="External"/><Relationship Id="rId24" Type="http://schemas.openxmlformats.org/officeDocument/2006/relationships/hyperlink" Target="http://www.nevo.co.il/law/70301/144.b" TargetMode="External"/><Relationship Id="rId40" Type="http://schemas.openxmlformats.org/officeDocument/2006/relationships/hyperlink" Target="http://www.nevo.co.il/law/70301/300" TargetMode="External"/><Relationship Id="rId45" Type="http://schemas.openxmlformats.org/officeDocument/2006/relationships/hyperlink" Target="http://www.nevo.co.il/law/70301/34h" TargetMode="External"/><Relationship Id="rId66" Type="http://schemas.openxmlformats.org/officeDocument/2006/relationships/hyperlink" Target="http://www.nevo.co.il/case/5926271" TargetMode="External"/><Relationship Id="rId87" Type="http://schemas.openxmlformats.org/officeDocument/2006/relationships/footer" Target="footer1.xml"/><Relationship Id="rId61" Type="http://schemas.openxmlformats.org/officeDocument/2006/relationships/hyperlink" Target="http://www.nevo.co.il/case/5840388" TargetMode="External"/><Relationship Id="rId82" Type="http://schemas.openxmlformats.org/officeDocument/2006/relationships/hyperlink" Target="http://www.nevo.co.il/law/70301/300.a" TargetMode="External"/><Relationship Id="rId19" Type="http://schemas.openxmlformats.org/officeDocument/2006/relationships/hyperlink" Target="http://www.nevo.co.il/law/70301/301b.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3133</Words>
  <Characters>15670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18766</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7995492</vt:i4>
      </vt:variant>
      <vt:variant>
        <vt:i4>231</vt:i4>
      </vt:variant>
      <vt:variant>
        <vt:i4>0</vt:i4>
      </vt:variant>
      <vt:variant>
        <vt:i4>5</vt:i4>
      </vt:variant>
      <vt:variant>
        <vt:lpwstr>http://www.nevo.co.il/law/70301</vt:lpwstr>
      </vt:variant>
      <vt:variant>
        <vt:lpwstr/>
      </vt:variant>
      <vt:variant>
        <vt:i4>4915286</vt:i4>
      </vt:variant>
      <vt:variant>
        <vt:i4>228</vt:i4>
      </vt:variant>
      <vt:variant>
        <vt:i4>0</vt:i4>
      </vt:variant>
      <vt:variant>
        <vt:i4>5</vt:i4>
      </vt:variant>
      <vt:variant>
        <vt:lpwstr>http://www.nevo.co.il/law/70301/300.a</vt:lpwstr>
      </vt:variant>
      <vt:variant>
        <vt:lpwstr/>
      </vt:variant>
      <vt:variant>
        <vt:i4>3539061</vt:i4>
      </vt:variant>
      <vt:variant>
        <vt:i4>225</vt:i4>
      </vt:variant>
      <vt:variant>
        <vt:i4>0</vt:i4>
      </vt:variant>
      <vt:variant>
        <vt:i4>5</vt:i4>
      </vt:variant>
      <vt:variant>
        <vt:lpwstr>http://www.nevo.co.il/case/20243557</vt:lpwstr>
      </vt:variant>
      <vt:variant>
        <vt:lpwstr/>
      </vt:variant>
      <vt:variant>
        <vt:i4>262230</vt:i4>
      </vt:variant>
      <vt:variant>
        <vt:i4>222</vt:i4>
      </vt:variant>
      <vt:variant>
        <vt:i4>0</vt:i4>
      </vt:variant>
      <vt:variant>
        <vt:i4>5</vt:i4>
      </vt:variant>
      <vt:variant>
        <vt:lpwstr>http://www.nevo.co.il/law/70301/300a</vt:lpwstr>
      </vt:variant>
      <vt:variant>
        <vt:lpwstr/>
      </vt:variant>
      <vt:variant>
        <vt:i4>6357094</vt:i4>
      </vt:variant>
      <vt:variant>
        <vt:i4>219</vt:i4>
      </vt:variant>
      <vt:variant>
        <vt:i4>0</vt:i4>
      </vt:variant>
      <vt:variant>
        <vt:i4>5</vt:i4>
      </vt:variant>
      <vt:variant>
        <vt:lpwstr>http://www.nevo.co.il/law/70301/34h</vt:lpwstr>
      </vt:variant>
      <vt:variant>
        <vt:lpwstr/>
      </vt:variant>
      <vt:variant>
        <vt:i4>262230</vt:i4>
      </vt:variant>
      <vt:variant>
        <vt:i4>216</vt:i4>
      </vt:variant>
      <vt:variant>
        <vt:i4>0</vt:i4>
      </vt:variant>
      <vt:variant>
        <vt:i4>5</vt:i4>
      </vt:variant>
      <vt:variant>
        <vt:lpwstr>http://www.nevo.co.il/law/70301/300a</vt:lpwstr>
      </vt:variant>
      <vt:variant>
        <vt:lpwstr/>
      </vt:variant>
      <vt:variant>
        <vt:i4>262230</vt:i4>
      </vt:variant>
      <vt:variant>
        <vt:i4>213</vt:i4>
      </vt:variant>
      <vt:variant>
        <vt:i4>0</vt:i4>
      </vt:variant>
      <vt:variant>
        <vt:i4>5</vt:i4>
      </vt:variant>
      <vt:variant>
        <vt:lpwstr>http://www.nevo.co.il/law/70301/300a</vt:lpwstr>
      </vt:variant>
      <vt:variant>
        <vt:lpwstr/>
      </vt:variant>
      <vt:variant>
        <vt:i4>3539061</vt:i4>
      </vt:variant>
      <vt:variant>
        <vt:i4>210</vt:i4>
      </vt:variant>
      <vt:variant>
        <vt:i4>0</vt:i4>
      </vt:variant>
      <vt:variant>
        <vt:i4>5</vt:i4>
      </vt:variant>
      <vt:variant>
        <vt:lpwstr>http://www.nevo.co.il/case/20243557</vt:lpwstr>
      </vt:variant>
      <vt:variant>
        <vt:lpwstr/>
      </vt:variant>
      <vt:variant>
        <vt:i4>6357094</vt:i4>
      </vt:variant>
      <vt:variant>
        <vt:i4>207</vt:i4>
      </vt:variant>
      <vt:variant>
        <vt:i4>0</vt:i4>
      </vt:variant>
      <vt:variant>
        <vt:i4>5</vt:i4>
      </vt:variant>
      <vt:variant>
        <vt:lpwstr>http://www.nevo.co.il/law/70301/34i</vt:lpwstr>
      </vt:variant>
      <vt:variant>
        <vt:lpwstr/>
      </vt:variant>
      <vt:variant>
        <vt:i4>262230</vt:i4>
      </vt:variant>
      <vt:variant>
        <vt:i4>204</vt:i4>
      </vt:variant>
      <vt:variant>
        <vt:i4>0</vt:i4>
      </vt:variant>
      <vt:variant>
        <vt:i4>5</vt:i4>
      </vt:variant>
      <vt:variant>
        <vt:lpwstr>http://www.nevo.co.il/law/70301/300a</vt:lpwstr>
      </vt:variant>
      <vt:variant>
        <vt:lpwstr/>
      </vt:variant>
      <vt:variant>
        <vt:i4>3539061</vt:i4>
      </vt:variant>
      <vt:variant>
        <vt:i4>201</vt:i4>
      </vt:variant>
      <vt:variant>
        <vt:i4>0</vt:i4>
      </vt:variant>
      <vt:variant>
        <vt:i4>5</vt:i4>
      </vt:variant>
      <vt:variant>
        <vt:lpwstr>http://www.nevo.co.il/case/20243557</vt:lpwstr>
      </vt:variant>
      <vt:variant>
        <vt:lpwstr/>
      </vt:variant>
      <vt:variant>
        <vt:i4>262230</vt:i4>
      </vt:variant>
      <vt:variant>
        <vt:i4>198</vt:i4>
      </vt:variant>
      <vt:variant>
        <vt:i4>0</vt:i4>
      </vt:variant>
      <vt:variant>
        <vt:i4>5</vt:i4>
      </vt:variant>
      <vt:variant>
        <vt:lpwstr>http://www.nevo.co.il/law/70301/300a</vt:lpwstr>
      </vt:variant>
      <vt:variant>
        <vt:lpwstr/>
      </vt:variant>
      <vt:variant>
        <vt:i4>3539061</vt:i4>
      </vt:variant>
      <vt:variant>
        <vt:i4>195</vt:i4>
      </vt:variant>
      <vt:variant>
        <vt:i4>0</vt:i4>
      </vt:variant>
      <vt:variant>
        <vt:i4>5</vt:i4>
      </vt:variant>
      <vt:variant>
        <vt:lpwstr>http://www.nevo.co.il/case/20243557</vt:lpwstr>
      </vt:variant>
      <vt:variant>
        <vt:lpwstr/>
      </vt:variant>
      <vt:variant>
        <vt:i4>7995492</vt:i4>
      </vt:variant>
      <vt:variant>
        <vt:i4>192</vt:i4>
      </vt:variant>
      <vt:variant>
        <vt:i4>0</vt:i4>
      </vt:variant>
      <vt:variant>
        <vt:i4>5</vt:i4>
      </vt:variant>
      <vt:variant>
        <vt:lpwstr>http://www.nevo.co.il/law/70301</vt:lpwstr>
      </vt:variant>
      <vt:variant>
        <vt:lpwstr/>
      </vt:variant>
      <vt:variant>
        <vt:i4>262230</vt:i4>
      </vt:variant>
      <vt:variant>
        <vt:i4>189</vt:i4>
      </vt:variant>
      <vt:variant>
        <vt:i4>0</vt:i4>
      </vt:variant>
      <vt:variant>
        <vt:i4>5</vt:i4>
      </vt:variant>
      <vt:variant>
        <vt:lpwstr>http://www.nevo.co.il/law/70301/300a</vt:lpwstr>
      </vt:variant>
      <vt:variant>
        <vt:lpwstr/>
      </vt:variant>
      <vt:variant>
        <vt:i4>6357094</vt:i4>
      </vt:variant>
      <vt:variant>
        <vt:i4>186</vt:i4>
      </vt:variant>
      <vt:variant>
        <vt:i4>0</vt:i4>
      </vt:variant>
      <vt:variant>
        <vt:i4>5</vt:i4>
      </vt:variant>
      <vt:variant>
        <vt:lpwstr>http://www.nevo.co.il/law/70301/34h</vt:lpwstr>
      </vt:variant>
      <vt:variant>
        <vt:lpwstr/>
      </vt:variant>
      <vt:variant>
        <vt:i4>3539061</vt:i4>
      </vt:variant>
      <vt:variant>
        <vt:i4>183</vt:i4>
      </vt:variant>
      <vt:variant>
        <vt:i4>0</vt:i4>
      </vt:variant>
      <vt:variant>
        <vt:i4>5</vt:i4>
      </vt:variant>
      <vt:variant>
        <vt:lpwstr>http://www.nevo.co.il/case/20243557</vt:lpwstr>
      </vt:variant>
      <vt:variant>
        <vt:lpwstr/>
      </vt:variant>
      <vt:variant>
        <vt:i4>3407996</vt:i4>
      </vt:variant>
      <vt:variant>
        <vt:i4>180</vt:i4>
      </vt:variant>
      <vt:variant>
        <vt:i4>0</vt:i4>
      </vt:variant>
      <vt:variant>
        <vt:i4>5</vt:i4>
      </vt:variant>
      <vt:variant>
        <vt:lpwstr>http://www.nevo.co.il/case/5926271</vt:lpwstr>
      </vt:variant>
      <vt:variant>
        <vt:lpwstr/>
      </vt:variant>
      <vt:variant>
        <vt:i4>7995492</vt:i4>
      </vt:variant>
      <vt:variant>
        <vt:i4>177</vt:i4>
      </vt:variant>
      <vt:variant>
        <vt:i4>0</vt:i4>
      </vt:variant>
      <vt:variant>
        <vt:i4>5</vt:i4>
      </vt:variant>
      <vt:variant>
        <vt:lpwstr>http://www.nevo.co.il/law/70301</vt:lpwstr>
      </vt:variant>
      <vt:variant>
        <vt:lpwstr/>
      </vt:variant>
      <vt:variant>
        <vt:i4>262230</vt:i4>
      </vt:variant>
      <vt:variant>
        <vt:i4>174</vt:i4>
      </vt:variant>
      <vt:variant>
        <vt:i4>0</vt:i4>
      </vt:variant>
      <vt:variant>
        <vt:i4>5</vt:i4>
      </vt:variant>
      <vt:variant>
        <vt:lpwstr>http://www.nevo.co.il/law/70301/300a</vt:lpwstr>
      </vt:variant>
      <vt:variant>
        <vt:lpwstr/>
      </vt:variant>
      <vt:variant>
        <vt:i4>6357094</vt:i4>
      </vt:variant>
      <vt:variant>
        <vt:i4>171</vt:i4>
      </vt:variant>
      <vt:variant>
        <vt:i4>0</vt:i4>
      </vt:variant>
      <vt:variant>
        <vt:i4>5</vt:i4>
      </vt:variant>
      <vt:variant>
        <vt:lpwstr>http://www.nevo.co.il/law/70301/34h</vt:lpwstr>
      </vt:variant>
      <vt:variant>
        <vt:lpwstr/>
      </vt:variant>
      <vt:variant>
        <vt:i4>3539061</vt:i4>
      </vt:variant>
      <vt:variant>
        <vt:i4>168</vt:i4>
      </vt:variant>
      <vt:variant>
        <vt:i4>0</vt:i4>
      </vt:variant>
      <vt:variant>
        <vt:i4>5</vt:i4>
      </vt:variant>
      <vt:variant>
        <vt:lpwstr>http://www.nevo.co.il/case/20243557</vt:lpwstr>
      </vt:variant>
      <vt:variant>
        <vt:lpwstr/>
      </vt:variant>
      <vt:variant>
        <vt:i4>3801204</vt:i4>
      </vt:variant>
      <vt:variant>
        <vt:i4>165</vt:i4>
      </vt:variant>
      <vt:variant>
        <vt:i4>0</vt:i4>
      </vt:variant>
      <vt:variant>
        <vt:i4>5</vt:i4>
      </vt:variant>
      <vt:variant>
        <vt:lpwstr>http://www.nevo.co.il/case/5840388</vt:lpwstr>
      </vt:variant>
      <vt:variant>
        <vt:lpwstr/>
      </vt:variant>
      <vt:variant>
        <vt:i4>3539061</vt:i4>
      </vt:variant>
      <vt:variant>
        <vt:i4>162</vt:i4>
      </vt:variant>
      <vt:variant>
        <vt:i4>0</vt:i4>
      </vt:variant>
      <vt:variant>
        <vt:i4>5</vt:i4>
      </vt:variant>
      <vt:variant>
        <vt:lpwstr>http://www.nevo.co.il/case/20243557</vt:lpwstr>
      </vt:variant>
      <vt:variant>
        <vt:lpwstr/>
      </vt:variant>
      <vt:variant>
        <vt:i4>7995492</vt:i4>
      </vt:variant>
      <vt:variant>
        <vt:i4>159</vt:i4>
      </vt:variant>
      <vt:variant>
        <vt:i4>0</vt:i4>
      </vt:variant>
      <vt:variant>
        <vt:i4>5</vt:i4>
      </vt:variant>
      <vt:variant>
        <vt:lpwstr>http://www.nevo.co.il/law/70301</vt:lpwstr>
      </vt:variant>
      <vt:variant>
        <vt:lpwstr/>
      </vt:variant>
      <vt:variant>
        <vt:i4>8061024</vt:i4>
      </vt:variant>
      <vt:variant>
        <vt:i4>156</vt:i4>
      </vt:variant>
      <vt:variant>
        <vt:i4>0</vt:i4>
      </vt:variant>
      <vt:variant>
        <vt:i4>5</vt:i4>
      </vt:variant>
      <vt:variant>
        <vt:lpwstr>http://www.nevo.co.il/law/70301/5.a</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6684793</vt:i4>
      </vt:variant>
      <vt:variant>
        <vt:i4>150</vt:i4>
      </vt:variant>
      <vt:variant>
        <vt:i4>0</vt:i4>
      </vt:variant>
      <vt:variant>
        <vt:i4>5</vt:i4>
      </vt:variant>
      <vt:variant>
        <vt:lpwstr>http://www.nevo.co.il/law/70301/301b.a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262230</vt:i4>
      </vt:variant>
      <vt:variant>
        <vt:i4>144</vt:i4>
      </vt:variant>
      <vt:variant>
        <vt:i4>0</vt:i4>
      </vt:variant>
      <vt:variant>
        <vt:i4>5</vt:i4>
      </vt:variant>
      <vt:variant>
        <vt:lpwstr>http://www.nevo.co.il/law/70301/300a</vt:lpwstr>
      </vt:variant>
      <vt:variant>
        <vt:lpwstr/>
      </vt:variant>
      <vt:variant>
        <vt:i4>8257646</vt:i4>
      </vt:variant>
      <vt:variant>
        <vt:i4>141</vt:i4>
      </vt:variant>
      <vt:variant>
        <vt:i4>0</vt:i4>
      </vt:variant>
      <vt:variant>
        <vt:i4>5</vt:i4>
      </vt:variant>
      <vt:variant>
        <vt:lpwstr>http://www.nevo.co.il/law/74903</vt:lpwstr>
      </vt:variant>
      <vt:variant>
        <vt:lpwstr/>
      </vt:variant>
      <vt:variant>
        <vt:i4>6881388</vt:i4>
      </vt:variant>
      <vt:variant>
        <vt:i4>138</vt:i4>
      </vt:variant>
      <vt:variant>
        <vt:i4>0</vt:i4>
      </vt:variant>
      <vt:variant>
        <vt:i4>5</vt:i4>
      </vt:variant>
      <vt:variant>
        <vt:lpwstr>http://www.nevo.co.il/law/74903/186</vt:lpwstr>
      </vt:variant>
      <vt:variant>
        <vt:lpwstr/>
      </vt:variant>
      <vt:variant>
        <vt:i4>6750328</vt:i4>
      </vt:variant>
      <vt:variant>
        <vt:i4>135</vt:i4>
      </vt:variant>
      <vt:variant>
        <vt:i4>0</vt:i4>
      </vt:variant>
      <vt:variant>
        <vt:i4>5</vt:i4>
      </vt:variant>
      <vt:variant>
        <vt:lpwstr>http://www.nevo.co.il/law/70301/300a.c</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6684792</vt:i4>
      </vt:variant>
      <vt:variant>
        <vt:i4>129</vt:i4>
      </vt:variant>
      <vt:variant>
        <vt:i4>0</vt:i4>
      </vt:variant>
      <vt:variant>
        <vt:i4>5</vt:i4>
      </vt:variant>
      <vt:variant>
        <vt:lpwstr>http://www.nevo.co.il/law/70301/300a.b</vt:lpwstr>
      </vt:variant>
      <vt:variant>
        <vt:lpwstr/>
      </vt:variant>
      <vt:variant>
        <vt:i4>6684792</vt:i4>
      </vt:variant>
      <vt:variant>
        <vt:i4>126</vt:i4>
      </vt:variant>
      <vt:variant>
        <vt:i4>0</vt:i4>
      </vt:variant>
      <vt:variant>
        <vt:i4>5</vt:i4>
      </vt:variant>
      <vt:variant>
        <vt:lpwstr>http://www.nevo.co.il/law/70301/300a.b</vt:lpwstr>
      </vt:variant>
      <vt:variant>
        <vt:lpwstr/>
      </vt:variant>
      <vt:variant>
        <vt:i4>6619256</vt:i4>
      </vt:variant>
      <vt:variant>
        <vt:i4>123</vt:i4>
      </vt:variant>
      <vt:variant>
        <vt:i4>0</vt:i4>
      </vt:variant>
      <vt:variant>
        <vt:i4>5</vt:i4>
      </vt:variant>
      <vt:variant>
        <vt:lpwstr>http://www.nevo.co.il/law/70301/300a.a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6357094</vt:i4>
      </vt:variant>
      <vt:variant>
        <vt:i4>117</vt:i4>
      </vt:variant>
      <vt:variant>
        <vt:i4>0</vt:i4>
      </vt:variant>
      <vt:variant>
        <vt:i4>5</vt:i4>
      </vt:variant>
      <vt:variant>
        <vt:lpwstr>http://www.nevo.co.il/law/70301/34h</vt:lpwstr>
      </vt:variant>
      <vt:variant>
        <vt:lpwstr/>
      </vt:variant>
      <vt:variant>
        <vt:i4>6619256</vt:i4>
      </vt:variant>
      <vt:variant>
        <vt:i4>114</vt:i4>
      </vt:variant>
      <vt:variant>
        <vt:i4>0</vt:i4>
      </vt:variant>
      <vt:variant>
        <vt:i4>5</vt:i4>
      </vt:variant>
      <vt:variant>
        <vt:lpwstr>http://www.nevo.co.il/law/70301/300a.a</vt:lpwstr>
      </vt:variant>
      <vt:variant>
        <vt:lpwstr/>
      </vt:variant>
      <vt:variant>
        <vt:i4>262230</vt:i4>
      </vt:variant>
      <vt:variant>
        <vt:i4>111</vt:i4>
      </vt:variant>
      <vt:variant>
        <vt:i4>0</vt:i4>
      </vt:variant>
      <vt:variant>
        <vt:i4>5</vt:i4>
      </vt:variant>
      <vt:variant>
        <vt:lpwstr>http://www.nevo.co.il/law/70301/300a</vt:lpwstr>
      </vt:variant>
      <vt:variant>
        <vt:lpwstr/>
      </vt:variant>
      <vt:variant>
        <vt:i4>6357094</vt:i4>
      </vt:variant>
      <vt:variant>
        <vt:i4>108</vt:i4>
      </vt:variant>
      <vt:variant>
        <vt:i4>0</vt:i4>
      </vt:variant>
      <vt:variant>
        <vt:i4>5</vt:i4>
      </vt:variant>
      <vt:variant>
        <vt:lpwstr>http://www.nevo.co.il/law/70301/34h</vt:lpwstr>
      </vt:variant>
      <vt:variant>
        <vt:lpwstr/>
      </vt:variant>
      <vt:variant>
        <vt:i4>262230</vt:i4>
      </vt:variant>
      <vt:variant>
        <vt:i4>105</vt:i4>
      </vt:variant>
      <vt:variant>
        <vt:i4>0</vt:i4>
      </vt:variant>
      <vt:variant>
        <vt:i4>5</vt:i4>
      </vt:variant>
      <vt:variant>
        <vt:lpwstr>http://www.nevo.co.il/law/70301/300a</vt:lpwstr>
      </vt:variant>
      <vt:variant>
        <vt:lpwstr/>
      </vt:variant>
      <vt:variant>
        <vt:i4>6619238</vt:i4>
      </vt:variant>
      <vt:variant>
        <vt:i4>102</vt:i4>
      </vt:variant>
      <vt:variant>
        <vt:i4>0</vt:i4>
      </vt:variant>
      <vt:variant>
        <vt:i4>5</vt:i4>
      </vt:variant>
      <vt:variant>
        <vt:lpwstr>http://www.nevo.co.il/law/70301/300</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6619256</vt:i4>
      </vt:variant>
      <vt:variant>
        <vt:i4>96</vt:i4>
      </vt:variant>
      <vt:variant>
        <vt:i4>0</vt:i4>
      </vt:variant>
      <vt:variant>
        <vt:i4>5</vt:i4>
      </vt:variant>
      <vt:variant>
        <vt:lpwstr>http://www.nevo.co.il/law/70301/300a.a</vt:lpwstr>
      </vt:variant>
      <vt:variant>
        <vt:lpwstr/>
      </vt:variant>
      <vt:variant>
        <vt:i4>6619256</vt:i4>
      </vt:variant>
      <vt:variant>
        <vt:i4>93</vt:i4>
      </vt:variant>
      <vt:variant>
        <vt:i4>0</vt:i4>
      </vt:variant>
      <vt:variant>
        <vt:i4>5</vt:i4>
      </vt:variant>
      <vt:variant>
        <vt:lpwstr>http://www.nevo.co.il/law/70301/300a.a</vt:lpwstr>
      </vt:variant>
      <vt:variant>
        <vt:lpwstr/>
      </vt:variant>
      <vt:variant>
        <vt:i4>3473522</vt:i4>
      </vt:variant>
      <vt:variant>
        <vt:i4>90</vt:i4>
      </vt:variant>
      <vt:variant>
        <vt:i4>0</vt:i4>
      </vt:variant>
      <vt:variant>
        <vt:i4>5</vt:i4>
      </vt:variant>
      <vt:variant>
        <vt:lpwstr>http://www.nevo.co.il/case/5172651</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262230</vt:i4>
      </vt:variant>
      <vt:variant>
        <vt:i4>84</vt:i4>
      </vt:variant>
      <vt:variant>
        <vt:i4>0</vt:i4>
      </vt:variant>
      <vt:variant>
        <vt:i4>5</vt:i4>
      </vt:variant>
      <vt:variant>
        <vt:lpwstr>http://www.nevo.co.il/law/70301/300a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6619256</vt:i4>
      </vt:variant>
      <vt:variant>
        <vt:i4>78</vt:i4>
      </vt:variant>
      <vt:variant>
        <vt:i4>0</vt:i4>
      </vt:variant>
      <vt:variant>
        <vt:i4>5</vt:i4>
      </vt:variant>
      <vt:variant>
        <vt:lpwstr>http://www.nevo.co.il/law/70301/300a.a</vt:lpwstr>
      </vt:variant>
      <vt:variant>
        <vt:lpwstr/>
      </vt:variant>
      <vt:variant>
        <vt:i4>3539061</vt:i4>
      </vt:variant>
      <vt:variant>
        <vt:i4>75</vt:i4>
      </vt:variant>
      <vt:variant>
        <vt:i4>0</vt:i4>
      </vt:variant>
      <vt:variant>
        <vt:i4>5</vt:i4>
      </vt:variant>
      <vt:variant>
        <vt:lpwstr>http://www.nevo.co.il/case/20243557</vt:lpwstr>
      </vt:variant>
      <vt:variant>
        <vt:lpwstr/>
      </vt:variant>
      <vt:variant>
        <vt:i4>3276918</vt:i4>
      </vt:variant>
      <vt:variant>
        <vt:i4>72</vt:i4>
      </vt:variant>
      <vt:variant>
        <vt:i4>0</vt:i4>
      </vt:variant>
      <vt:variant>
        <vt:i4>5</vt:i4>
      </vt:variant>
      <vt:variant>
        <vt:lpwstr>http://www.nevo.co.il/case/5969322</vt:lpwstr>
      </vt:variant>
      <vt:variant>
        <vt:lpwstr/>
      </vt:variant>
      <vt:variant>
        <vt:i4>3866748</vt:i4>
      </vt:variant>
      <vt:variant>
        <vt:i4>69</vt:i4>
      </vt:variant>
      <vt:variant>
        <vt:i4>0</vt:i4>
      </vt:variant>
      <vt:variant>
        <vt:i4>5</vt:i4>
      </vt:variant>
      <vt:variant>
        <vt:lpwstr>http://www.nevo.co.il/case/5990314</vt:lpwstr>
      </vt:variant>
      <vt:variant>
        <vt:lpwstr/>
      </vt:variant>
      <vt:variant>
        <vt:i4>3407996</vt:i4>
      </vt:variant>
      <vt:variant>
        <vt:i4>66</vt:i4>
      </vt:variant>
      <vt:variant>
        <vt:i4>0</vt:i4>
      </vt:variant>
      <vt:variant>
        <vt:i4>5</vt:i4>
      </vt:variant>
      <vt:variant>
        <vt:lpwstr>http://www.nevo.co.il/case/5926271</vt:lpwstr>
      </vt:variant>
      <vt:variant>
        <vt:lpwstr/>
      </vt:variant>
      <vt:variant>
        <vt:i4>6750328</vt:i4>
      </vt:variant>
      <vt:variant>
        <vt:i4>63</vt:i4>
      </vt:variant>
      <vt:variant>
        <vt:i4>0</vt:i4>
      </vt:variant>
      <vt:variant>
        <vt:i4>5</vt:i4>
      </vt:variant>
      <vt:variant>
        <vt:lpwstr>http://www.nevo.co.il/law/70301/300a.c</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6619191</vt:i4>
      </vt:variant>
      <vt:variant>
        <vt:i4>48</vt:i4>
      </vt:variant>
      <vt:variant>
        <vt:i4>0</vt:i4>
      </vt:variant>
      <vt:variant>
        <vt:i4>5</vt:i4>
      </vt:variant>
      <vt:variant>
        <vt:lpwstr>http://www.nevo.co.il/law/70301/300.a.2</vt:lpwstr>
      </vt:variant>
      <vt:variant>
        <vt:lpwstr/>
      </vt:variant>
      <vt:variant>
        <vt:i4>6881388</vt:i4>
      </vt:variant>
      <vt:variant>
        <vt:i4>45</vt:i4>
      </vt:variant>
      <vt:variant>
        <vt:i4>0</vt:i4>
      </vt:variant>
      <vt:variant>
        <vt:i4>5</vt:i4>
      </vt:variant>
      <vt:variant>
        <vt:lpwstr>http://www.nevo.co.il/law/74903/186</vt:lpwstr>
      </vt:variant>
      <vt:variant>
        <vt:lpwstr/>
      </vt:variant>
      <vt:variant>
        <vt:i4>8257646</vt:i4>
      </vt:variant>
      <vt:variant>
        <vt:i4>42</vt:i4>
      </vt:variant>
      <vt:variant>
        <vt:i4>0</vt:i4>
      </vt:variant>
      <vt:variant>
        <vt:i4>5</vt:i4>
      </vt:variant>
      <vt:variant>
        <vt:lpwstr>http://www.nevo.co.il/law/74903</vt:lpwstr>
      </vt:variant>
      <vt:variant>
        <vt:lpwstr/>
      </vt:variant>
      <vt:variant>
        <vt:i4>6684793</vt:i4>
      </vt:variant>
      <vt:variant>
        <vt:i4>39</vt:i4>
      </vt:variant>
      <vt:variant>
        <vt:i4>0</vt:i4>
      </vt:variant>
      <vt:variant>
        <vt:i4>5</vt:i4>
      </vt:variant>
      <vt:variant>
        <vt:lpwstr>http://www.nevo.co.il/law/70301/301b.a</vt:lpwstr>
      </vt:variant>
      <vt:variant>
        <vt:lpwstr/>
      </vt:variant>
      <vt:variant>
        <vt:i4>6750328</vt:i4>
      </vt:variant>
      <vt:variant>
        <vt:i4>36</vt:i4>
      </vt:variant>
      <vt:variant>
        <vt:i4>0</vt:i4>
      </vt:variant>
      <vt:variant>
        <vt:i4>5</vt:i4>
      </vt:variant>
      <vt:variant>
        <vt:lpwstr>http://www.nevo.co.il/law/70301/300a.c</vt:lpwstr>
      </vt:variant>
      <vt:variant>
        <vt:lpwstr/>
      </vt:variant>
      <vt:variant>
        <vt:i4>6684792</vt:i4>
      </vt:variant>
      <vt:variant>
        <vt:i4>33</vt:i4>
      </vt:variant>
      <vt:variant>
        <vt:i4>0</vt:i4>
      </vt:variant>
      <vt:variant>
        <vt:i4>5</vt:i4>
      </vt:variant>
      <vt:variant>
        <vt:lpwstr>http://www.nevo.co.il/law/70301/300a.b</vt:lpwstr>
      </vt:variant>
      <vt:variant>
        <vt:lpwstr/>
      </vt:variant>
      <vt:variant>
        <vt:i4>6619256</vt:i4>
      </vt:variant>
      <vt:variant>
        <vt:i4>30</vt:i4>
      </vt:variant>
      <vt:variant>
        <vt:i4>0</vt:i4>
      </vt:variant>
      <vt:variant>
        <vt:i4>5</vt:i4>
      </vt:variant>
      <vt:variant>
        <vt:lpwstr>http://www.nevo.co.il/law/70301/300a.a</vt:lpwstr>
      </vt:variant>
      <vt:variant>
        <vt:lpwstr/>
      </vt:variant>
      <vt:variant>
        <vt:i4>262230</vt:i4>
      </vt:variant>
      <vt:variant>
        <vt:i4>27</vt:i4>
      </vt:variant>
      <vt:variant>
        <vt:i4>0</vt:i4>
      </vt:variant>
      <vt:variant>
        <vt:i4>5</vt:i4>
      </vt:variant>
      <vt:variant>
        <vt:lpwstr>http://www.nevo.co.il/law/70301/300a</vt:lpwstr>
      </vt:variant>
      <vt:variant>
        <vt:lpwstr/>
      </vt:variant>
      <vt:variant>
        <vt:i4>6619191</vt:i4>
      </vt:variant>
      <vt:variant>
        <vt:i4>24</vt:i4>
      </vt:variant>
      <vt:variant>
        <vt:i4>0</vt:i4>
      </vt:variant>
      <vt:variant>
        <vt:i4>5</vt:i4>
      </vt:variant>
      <vt:variant>
        <vt:lpwstr>http://www.nevo.co.il/law/70301/300.a.2</vt:lpwstr>
      </vt:variant>
      <vt:variant>
        <vt:lpwstr/>
      </vt:variant>
      <vt:variant>
        <vt:i4>4915286</vt:i4>
      </vt:variant>
      <vt:variant>
        <vt:i4>21</vt:i4>
      </vt:variant>
      <vt:variant>
        <vt:i4>0</vt:i4>
      </vt:variant>
      <vt:variant>
        <vt:i4>5</vt:i4>
      </vt:variant>
      <vt:variant>
        <vt:lpwstr>http://www.nevo.co.il/law/70301/300.a</vt:lpwstr>
      </vt:variant>
      <vt:variant>
        <vt:lpwstr/>
      </vt:variant>
      <vt:variant>
        <vt:i4>6619238</vt:i4>
      </vt:variant>
      <vt:variant>
        <vt:i4>18</vt:i4>
      </vt:variant>
      <vt:variant>
        <vt:i4>0</vt:i4>
      </vt:variant>
      <vt:variant>
        <vt:i4>5</vt:i4>
      </vt:variant>
      <vt:variant>
        <vt:lpwstr>http://www.nevo.co.il/law/70301/300</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6357094</vt:i4>
      </vt:variant>
      <vt:variant>
        <vt:i4>9</vt:i4>
      </vt:variant>
      <vt:variant>
        <vt:i4>0</vt:i4>
      </vt:variant>
      <vt:variant>
        <vt:i4>5</vt:i4>
      </vt:variant>
      <vt:variant>
        <vt:lpwstr>http://www.nevo.co.il/law/70301/34i</vt:lpwstr>
      </vt:variant>
      <vt:variant>
        <vt:lpwstr/>
      </vt:variant>
      <vt:variant>
        <vt:i4>6357094</vt:i4>
      </vt:variant>
      <vt:variant>
        <vt:i4>6</vt:i4>
      </vt:variant>
      <vt:variant>
        <vt:i4>0</vt:i4>
      </vt:variant>
      <vt:variant>
        <vt:i4>5</vt:i4>
      </vt:variant>
      <vt:variant>
        <vt:lpwstr>http://www.nevo.co.il/law/70301/34h</vt:lpwstr>
      </vt:variant>
      <vt:variant>
        <vt:lpwstr/>
      </vt:variant>
      <vt:variant>
        <vt:i4>8061024</vt:i4>
      </vt:variant>
      <vt:variant>
        <vt:i4>3</vt:i4>
      </vt:variant>
      <vt:variant>
        <vt:i4>0</vt:i4>
      </vt:variant>
      <vt:variant>
        <vt:i4>5</vt:i4>
      </vt:variant>
      <vt:variant>
        <vt:lpwstr>http://www.nevo.co.il/law/70301/5.a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45473</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אלמנתסר אללה קראעין</vt:lpwstr>
  </property>
  <property fmtid="{D5CDD505-2E9C-101B-9397-08002B2CF9AE}" pid="10" name="LAWYER">
    <vt:lpwstr>גיורא זילברשטיין</vt:lpwstr>
  </property>
  <property fmtid="{D5CDD505-2E9C-101B-9397-08002B2CF9AE}" pid="11" name="JUDGE">
    <vt:lpwstr>רפי כרמל;כרמי מוסק;שירלי רנר</vt:lpwstr>
  </property>
  <property fmtid="{D5CDD505-2E9C-101B-9397-08002B2CF9AE}" pid="12" name="CITY">
    <vt:lpwstr>י-ם</vt:lpwstr>
  </property>
  <property fmtid="{D5CDD505-2E9C-101B-9397-08002B2CF9AE}" pid="13" name="DATE">
    <vt:lpwstr>20191023</vt:lpwstr>
  </property>
  <property fmtid="{D5CDD505-2E9C-101B-9397-08002B2CF9AE}" pid="14" name="TYPE_N_DATE">
    <vt:lpwstr>39020191023</vt:lpwstr>
  </property>
  <property fmtid="{D5CDD505-2E9C-101B-9397-08002B2CF9AE}" pid="15" name="CASESLISTTMP1">
    <vt:lpwstr>5926271:2;5990314;5969322;20243557:8;5172651;5840388</vt:lpwstr>
  </property>
  <property fmtid="{D5CDD505-2E9C-101B-9397-08002B2CF9AE}" pid="16" name="CASENOTES1">
    <vt:lpwstr>ProcID=133;209&amp;PartA=3095&amp;PartC=15</vt:lpwstr>
  </property>
  <property fmtid="{D5CDD505-2E9C-101B-9397-08002B2CF9AE}" pid="17" name="WORDNUMPAGES">
    <vt:lpwstr>9</vt:lpwstr>
  </property>
  <property fmtid="{D5CDD505-2E9C-101B-9397-08002B2CF9AE}" pid="18" name="TYPE_ABS_DATE">
    <vt:lpwstr>390020191023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70301/300.a.2;144.b;144.a;300a.c:2;300a.a:5;300a:11;300;034h:5;300a.b:2;301b.a;005.a;034i;300.a</vt:lpwstr>
  </property>
  <property fmtid="{D5CDD505-2E9C-101B-9397-08002B2CF9AE}" pid="38" name="LAWLISTTMP2">
    <vt:lpwstr>74903/186</vt:lpwstr>
  </property>
</Properties>
</file>