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334F4A" w:rsidRPr="0000226A" w14:paraId="2F56F6FA" w14:textId="77777777" w:rsidTr="00F473C2">
        <w:trPr>
          <w:trHeight w:hRule="exact" w:val="418"/>
          <w:jc w:val="center"/>
        </w:trPr>
        <w:tc>
          <w:tcPr>
            <w:tcW w:w="8721" w:type="dxa"/>
            <w:gridSpan w:val="2"/>
          </w:tcPr>
          <w:p w14:paraId="2F74CFDC" w14:textId="77777777" w:rsidR="00334F4A" w:rsidRPr="0000226A" w:rsidRDefault="00334F4A" w:rsidP="0000226A">
            <w:pPr>
              <w:pStyle w:val="a3"/>
              <w:jc w:val="center"/>
              <w:rPr>
                <w:rFonts w:ascii="Tahoma" w:hAnsi="Tahoma" w:cs="Tahoma"/>
                <w:color w:val="000080"/>
                <w:rtl/>
              </w:rPr>
            </w:pPr>
            <w:bookmarkStart w:id="0" w:name="LastJudge"/>
            <w:r w:rsidRPr="0000226A">
              <w:rPr>
                <w:rFonts w:ascii="Tahoma" w:hAnsi="Tahoma" w:cs="Tahoma"/>
                <w:b/>
                <w:bCs/>
                <w:color w:val="000080"/>
                <w:rtl/>
              </w:rPr>
              <w:t>בית המשפט המחוזי בחיפה</w:t>
            </w:r>
          </w:p>
        </w:tc>
      </w:tr>
      <w:tr w:rsidR="00334F4A" w:rsidRPr="0000226A" w14:paraId="478EDB00" w14:textId="77777777" w:rsidTr="00F473C2">
        <w:trPr>
          <w:trHeight w:val="337"/>
          <w:jc w:val="center"/>
        </w:trPr>
        <w:tc>
          <w:tcPr>
            <w:tcW w:w="5060" w:type="dxa"/>
          </w:tcPr>
          <w:p w14:paraId="364D964F" w14:textId="77777777" w:rsidR="00334F4A" w:rsidRPr="0000226A" w:rsidRDefault="00334F4A" w:rsidP="0000226A">
            <w:pPr>
              <w:rPr>
                <w:rFonts w:cs="FrankRuehl"/>
                <w:sz w:val="28"/>
                <w:szCs w:val="28"/>
                <w:rtl/>
              </w:rPr>
            </w:pPr>
            <w:r w:rsidRPr="0000226A">
              <w:rPr>
                <w:rFonts w:cs="FrankRuehl"/>
                <w:sz w:val="28"/>
                <w:szCs w:val="28"/>
                <w:rtl/>
              </w:rPr>
              <w:t>ת"פ</w:t>
            </w:r>
            <w:r w:rsidRPr="0000226A">
              <w:rPr>
                <w:rFonts w:cs="FrankRuehl" w:hint="cs"/>
                <w:sz w:val="28"/>
                <w:szCs w:val="28"/>
                <w:rtl/>
              </w:rPr>
              <w:t xml:space="preserve"> </w:t>
            </w:r>
            <w:r w:rsidRPr="0000226A">
              <w:rPr>
                <w:rFonts w:cs="FrankRuehl"/>
                <w:sz w:val="28"/>
                <w:szCs w:val="28"/>
                <w:rtl/>
              </w:rPr>
              <w:t>50071-08-16</w:t>
            </w:r>
            <w:r w:rsidRPr="0000226A">
              <w:rPr>
                <w:rFonts w:cs="FrankRuehl" w:hint="cs"/>
                <w:sz w:val="28"/>
                <w:szCs w:val="28"/>
                <w:rtl/>
              </w:rPr>
              <w:t xml:space="preserve"> </w:t>
            </w:r>
            <w:r w:rsidRPr="0000226A">
              <w:rPr>
                <w:rFonts w:cs="FrankRuehl"/>
                <w:sz w:val="28"/>
                <w:szCs w:val="28"/>
                <w:rtl/>
              </w:rPr>
              <w:t>מדינת ישראל נ' מראענה(עציר) ואח'</w:t>
            </w:r>
          </w:p>
          <w:p w14:paraId="598C2519" w14:textId="77777777" w:rsidR="00334F4A" w:rsidRPr="0000226A" w:rsidRDefault="00334F4A" w:rsidP="0000226A">
            <w:pPr>
              <w:pStyle w:val="a3"/>
              <w:rPr>
                <w:rFonts w:cs="FrankRuehl"/>
                <w:sz w:val="28"/>
                <w:szCs w:val="28"/>
                <w:rtl/>
              </w:rPr>
            </w:pPr>
          </w:p>
        </w:tc>
        <w:tc>
          <w:tcPr>
            <w:tcW w:w="3661" w:type="dxa"/>
          </w:tcPr>
          <w:p w14:paraId="70780619" w14:textId="77777777" w:rsidR="00334F4A" w:rsidRPr="0000226A" w:rsidRDefault="00334F4A" w:rsidP="0000226A">
            <w:pPr>
              <w:pStyle w:val="a3"/>
              <w:jc w:val="right"/>
              <w:rPr>
                <w:rFonts w:cs="FrankRuehl"/>
                <w:sz w:val="28"/>
                <w:szCs w:val="28"/>
                <w:rtl/>
              </w:rPr>
            </w:pPr>
          </w:p>
        </w:tc>
      </w:tr>
    </w:tbl>
    <w:p w14:paraId="4E747AD2" w14:textId="77777777" w:rsidR="00334F4A" w:rsidRPr="0000226A" w:rsidRDefault="00334F4A" w:rsidP="00334F4A">
      <w:pPr>
        <w:pStyle w:val="a3"/>
        <w:rPr>
          <w:rtl/>
        </w:rPr>
      </w:pPr>
      <w:r w:rsidRPr="0000226A">
        <w:rPr>
          <w:rFonts w:hint="cs"/>
          <w:rtl/>
        </w:rPr>
        <w:t xml:space="preserve"> </w:t>
      </w:r>
    </w:p>
    <w:p w14:paraId="6598B2BD" w14:textId="77777777" w:rsidR="00334F4A" w:rsidRPr="0000226A" w:rsidRDefault="00334F4A" w:rsidP="00334F4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34F4A" w:rsidRPr="0000226A" w14:paraId="19871A50" w14:textId="77777777" w:rsidTr="0000226A">
        <w:trPr>
          <w:trHeight w:val="295"/>
          <w:jc w:val="center"/>
        </w:trPr>
        <w:tc>
          <w:tcPr>
            <w:tcW w:w="923" w:type="dxa"/>
            <w:tcBorders>
              <w:top w:val="nil"/>
              <w:left w:val="nil"/>
              <w:bottom w:val="nil"/>
              <w:right w:val="nil"/>
            </w:tcBorders>
            <w:shd w:val="clear" w:color="auto" w:fill="auto"/>
          </w:tcPr>
          <w:p w14:paraId="2E0DDE71" w14:textId="77777777" w:rsidR="00334F4A" w:rsidRPr="0000226A" w:rsidRDefault="00334F4A" w:rsidP="0000226A">
            <w:pPr>
              <w:jc w:val="both"/>
              <w:rPr>
                <w:rFonts w:ascii="Arial" w:hAnsi="Arial" w:cs="FrankRuehl"/>
                <w:sz w:val="28"/>
                <w:szCs w:val="28"/>
              </w:rPr>
            </w:pPr>
            <w:r w:rsidRPr="0000226A">
              <w:rPr>
                <w:rFonts w:ascii="Arial" w:hAnsi="Arial" w:cs="FrankRuehl" w:hint="cs"/>
                <w:sz w:val="28"/>
                <w:szCs w:val="28"/>
                <w:rtl/>
              </w:rPr>
              <w:t>ב</w:t>
            </w:r>
            <w:r w:rsidRPr="0000226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51B7076" w14:textId="77777777" w:rsidR="00334F4A" w:rsidRPr="0000226A" w:rsidRDefault="00334F4A" w:rsidP="0000226A">
            <w:pPr>
              <w:rPr>
                <w:rFonts w:ascii="Arial" w:hAnsi="Arial"/>
                <w:b/>
                <w:bCs/>
                <w:rtl/>
              </w:rPr>
            </w:pPr>
            <w:r w:rsidRPr="0000226A">
              <w:rPr>
                <w:rFonts w:ascii="Arial" w:hAnsi="Arial" w:hint="cs"/>
                <w:b/>
                <w:bCs/>
                <w:rtl/>
              </w:rPr>
              <w:t>כבוד ה</w:t>
            </w:r>
            <w:r w:rsidRPr="0000226A">
              <w:rPr>
                <w:rFonts w:hint="cs"/>
                <w:rtl/>
              </w:rPr>
              <w:t>שופטת</w:t>
            </w:r>
            <w:r w:rsidRPr="0000226A">
              <w:rPr>
                <w:rFonts w:ascii="Arial" w:hAnsi="Arial" w:hint="cs"/>
                <w:b/>
                <w:bCs/>
                <w:rtl/>
              </w:rPr>
              <w:t xml:space="preserve">  </w:t>
            </w:r>
            <w:r w:rsidRPr="0000226A">
              <w:rPr>
                <w:rFonts w:hint="cs"/>
                <w:rtl/>
              </w:rPr>
              <w:t>רונית בש</w:t>
            </w:r>
          </w:p>
          <w:p w14:paraId="68B64FC8" w14:textId="77777777" w:rsidR="00334F4A" w:rsidRPr="0000226A" w:rsidRDefault="00334F4A" w:rsidP="0000226A">
            <w:pPr>
              <w:rPr>
                <w:rtl/>
              </w:rPr>
            </w:pPr>
          </w:p>
          <w:p w14:paraId="351FA198" w14:textId="77777777" w:rsidR="00334F4A" w:rsidRPr="0000226A" w:rsidRDefault="00334F4A" w:rsidP="0000226A">
            <w:pPr>
              <w:jc w:val="both"/>
              <w:rPr>
                <w:rFonts w:ascii="Arial" w:hAnsi="Arial" w:cs="FrankRuehl"/>
                <w:sz w:val="28"/>
                <w:szCs w:val="28"/>
              </w:rPr>
            </w:pPr>
          </w:p>
        </w:tc>
      </w:tr>
      <w:tr w:rsidR="00334F4A" w:rsidRPr="0000226A" w14:paraId="3AB4B15E" w14:textId="77777777" w:rsidTr="0000226A">
        <w:trPr>
          <w:trHeight w:val="355"/>
          <w:jc w:val="center"/>
        </w:trPr>
        <w:tc>
          <w:tcPr>
            <w:tcW w:w="923" w:type="dxa"/>
            <w:tcBorders>
              <w:top w:val="nil"/>
              <w:left w:val="nil"/>
              <w:bottom w:val="nil"/>
              <w:right w:val="nil"/>
            </w:tcBorders>
            <w:shd w:val="clear" w:color="auto" w:fill="auto"/>
          </w:tcPr>
          <w:p w14:paraId="6F093D96" w14:textId="77777777" w:rsidR="00334F4A" w:rsidRPr="0000226A" w:rsidRDefault="00334F4A" w:rsidP="0000226A">
            <w:pPr>
              <w:jc w:val="both"/>
              <w:rPr>
                <w:rFonts w:ascii="Arial" w:hAnsi="Arial" w:cs="FrankRuehl"/>
                <w:sz w:val="28"/>
                <w:szCs w:val="28"/>
              </w:rPr>
            </w:pPr>
            <w:bookmarkStart w:id="1" w:name="FirstAppellant"/>
            <w:r w:rsidRPr="0000226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08C8B1E" w14:textId="77777777" w:rsidR="00334F4A" w:rsidRPr="0000226A" w:rsidRDefault="00334F4A" w:rsidP="0000226A">
            <w:r w:rsidRPr="0000226A">
              <w:rPr>
                <w:rFonts w:hint="cs"/>
                <w:rtl/>
              </w:rPr>
              <w:t>מדינת ישראל</w:t>
            </w:r>
          </w:p>
        </w:tc>
        <w:tc>
          <w:tcPr>
            <w:tcW w:w="3771" w:type="dxa"/>
            <w:tcBorders>
              <w:top w:val="nil"/>
              <w:left w:val="nil"/>
              <w:bottom w:val="nil"/>
              <w:right w:val="nil"/>
            </w:tcBorders>
            <w:shd w:val="clear" w:color="auto" w:fill="auto"/>
          </w:tcPr>
          <w:p w14:paraId="3AC1DFD5" w14:textId="77777777" w:rsidR="00334F4A" w:rsidRPr="0000226A" w:rsidRDefault="00334F4A" w:rsidP="0000226A">
            <w:pPr>
              <w:jc w:val="both"/>
              <w:rPr>
                <w:rFonts w:ascii="Arial" w:hAnsi="Arial" w:cs="FrankRuehl"/>
                <w:sz w:val="28"/>
                <w:szCs w:val="28"/>
              </w:rPr>
            </w:pPr>
          </w:p>
        </w:tc>
      </w:tr>
      <w:bookmarkEnd w:id="1"/>
      <w:tr w:rsidR="00334F4A" w:rsidRPr="0000226A" w14:paraId="47D9B4F3" w14:textId="77777777" w:rsidTr="0000226A">
        <w:trPr>
          <w:trHeight w:val="355"/>
          <w:jc w:val="center"/>
        </w:trPr>
        <w:tc>
          <w:tcPr>
            <w:tcW w:w="923" w:type="dxa"/>
            <w:tcBorders>
              <w:top w:val="nil"/>
              <w:left w:val="nil"/>
              <w:bottom w:val="nil"/>
              <w:right w:val="nil"/>
            </w:tcBorders>
            <w:shd w:val="clear" w:color="auto" w:fill="auto"/>
          </w:tcPr>
          <w:p w14:paraId="41052576" w14:textId="77777777" w:rsidR="00334F4A" w:rsidRPr="0000226A" w:rsidRDefault="00334F4A" w:rsidP="0000226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D7AF030" w14:textId="77777777" w:rsidR="00334F4A" w:rsidRPr="0000226A" w:rsidRDefault="00334F4A" w:rsidP="0000226A">
            <w:pPr>
              <w:jc w:val="both"/>
              <w:rPr>
                <w:rtl/>
              </w:rPr>
            </w:pPr>
          </w:p>
        </w:tc>
        <w:tc>
          <w:tcPr>
            <w:tcW w:w="3771" w:type="dxa"/>
            <w:tcBorders>
              <w:top w:val="nil"/>
              <w:left w:val="nil"/>
              <w:bottom w:val="nil"/>
              <w:right w:val="nil"/>
            </w:tcBorders>
            <w:shd w:val="clear" w:color="auto" w:fill="auto"/>
          </w:tcPr>
          <w:p w14:paraId="705D56D9" w14:textId="77777777" w:rsidR="00334F4A" w:rsidRPr="0000226A" w:rsidRDefault="00334F4A" w:rsidP="0000226A">
            <w:pPr>
              <w:jc w:val="right"/>
              <w:rPr>
                <w:rFonts w:ascii="Arial" w:hAnsi="Arial" w:cs="FrankRuehl"/>
                <w:sz w:val="28"/>
                <w:szCs w:val="28"/>
                <w:rtl/>
              </w:rPr>
            </w:pPr>
            <w:r w:rsidRPr="0000226A">
              <w:rPr>
                <w:rFonts w:ascii="Arial" w:hAnsi="Arial" w:cs="FrankRuehl" w:hint="cs"/>
                <w:sz w:val="28"/>
                <w:szCs w:val="28"/>
                <w:rtl/>
              </w:rPr>
              <w:t>ה</w:t>
            </w:r>
            <w:r w:rsidRPr="0000226A">
              <w:rPr>
                <w:rFonts w:hint="cs"/>
                <w:rtl/>
              </w:rPr>
              <w:t>מאשימה</w:t>
            </w:r>
          </w:p>
        </w:tc>
      </w:tr>
      <w:tr w:rsidR="00334F4A" w:rsidRPr="0000226A" w14:paraId="01D5D54D" w14:textId="77777777" w:rsidTr="0000226A">
        <w:trPr>
          <w:trHeight w:val="355"/>
          <w:jc w:val="center"/>
        </w:trPr>
        <w:tc>
          <w:tcPr>
            <w:tcW w:w="923" w:type="dxa"/>
            <w:tcBorders>
              <w:top w:val="nil"/>
              <w:left w:val="nil"/>
              <w:bottom w:val="nil"/>
              <w:right w:val="nil"/>
            </w:tcBorders>
            <w:shd w:val="clear" w:color="auto" w:fill="auto"/>
          </w:tcPr>
          <w:p w14:paraId="05FF9A55" w14:textId="77777777" w:rsidR="00334F4A" w:rsidRPr="0000226A" w:rsidRDefault="00334F4A" w:rsidP="0000226A">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9D0705E" w14:textId="77777777" w:rsidR="00334F4A" w:rsidRPr="0000226A" w:rsidRDefault="00334F4A" w:rsidP="0000226A">
            <w:pPr>
              <w:jc w:val="center"/>
              <w:rPr>
                <w:rFonts w:ascii="Arial" w:hAnsi="Arial" w:cs="FrankRuehl"/>
                <w:b/>
                <w:bCs/>
                <w:sz w:val="28"/>
                <w:szCs w:val="28"/>
                <w:rtl/>
              </w:rPr>
            </w:pPr>
          </w:p>
          <w:p w14:paraId="0C73968D" w14:textId="77777777" w:rsidR="00334F4A" w:rsidRPr="0000226A" w:rsidRDefault="00334F4A" w:rsidP="0000226A">
            <w:pPr>
              <w:jc w:val="center"/>
              <w:rPr>
                <w:rFonts w:ascii="Arial" w:hAnsi="Arial" w:cs="FrankRuehl"/>
                <w:b/>
                <w:bCs/>
                <w:sz w:val="28"/>
                <w:szCs w:val="28"/>
                <w:rtl/>
              </w:rPr>
            </w:pPr>
            <w:r w:rsidRPr="0000226A">
              <w:rPr>
                <w:rFonts w:ascii="Arial" w:hAnsi="Arial" w:cs="FrankRuehl"/>
                <w:b/>
                <w:bCs/>
                <w:sz w:val="28"/>
                <w:szCs w:val="28"/>
                <w:rtl/>
              </w:rPr>
              <w:t>נגד</w:t>
            </w:r>
          </w:p>
          <w:p w14:paraId="49634EE0" w14:textId="77777777" w:rsidR="00334F4A" w:rsidRPr="0000226A" w:rsidRDefault="00334F4A" w:rsidP="0000226A">
            <w:pPr>
              <w:jc w:val="both"/>
              <w:rPr>
                <w:rFonts w:ascii="Arial" w:hAnsi="Arial" w:cs="FrankRuehl"/>
                <w:sz w:val="28"/>
                <w:szCs w:val="28"/>
              </w:rPr>
            </w:pPr>
          </w:p>
        </w:tc>
      </w:tr>
      <w:tr w:rsidR="00334F4A" w:rsidRPr="0000226A" w14:paraId="503B5F18" w14:textId="77777777" w:rsidTr="0000226A">
        <w:trPr>
          <w:trHeight w:val="355"/>
          <w:jc w:val="center"/>
        </w:trPr>
        <w:tc>
          <w:tcPr>
            <w:tcW w:w="923" w:type="dxa"/>
            <w:tcBorders>
              <w:top w:val="nil"/>
              <w:left w:val="nil"/>
              <w:bottom w:val="nil"/>
              <w:right w:val="nil"/>
            </w:tcBorders>
            <w:shd w:val="clear" w:color="auto" w:fill="auto"/>
          </w:tcPr>
          <w:p w14:paraId="036489FF" w14:textId="77777777" w:rsidR="00334F4A" w:rsidRPr="0000226A" w:rsidRDefault="00334F4A" w:rsidP="0000226A">
            <w:pPr>
              <w:rPr>
                <w:rFonts w:ascii="Arial" w:hAnsi="Arial" w:cs="FrankRuehl"/>
                <w:sz w:val="28"/>
                <w:szCs w:val="28"/>
                <w:rtl/>
              </w:rPr>
            </w:pPr>
          </w:p>
        </w:tc>
        <w:tc>
          <w:tcPr>
            <w:tcW w:w="4126" w:type="dxa"/>
            <w:tcBorders>
              <w:top w:val="nil"/>
              <w:left w:val="nil"/>
              <w:bottom w:val="nil"/>
              <w:right w:val="nil"/>
            </w:tcBorders>
            <w:shd w:val="clear" w:color="auto" w:fill="auto"/>
          </w:tcPr>
          <w:p w14:paraId="430EB6C2" w14:textId="77777777" w:rsidR="00334F4A" w:rsidRPr="0000226A" w:rsidRDefault="00334F4A" w:rsidP="0000226A">
            <w:pPr>
              <w:rPr>
                <w:rtl/>
              </w:rPr>
            </w:pPr>
            <w:r w:rsidRPr="0000226A">
              <w:rPr>
                <w:rFonts w:hint="cs"/>
                <w:rtl/>
              </w:rPr>
              <w:t>1</w:t>
            </w:r>
            <w:r w:rsidRPr="0000226A">
              <w:rPr>
                <w:rFonts w:ascii="Arial" w:hAnsi="Arial" w:cs="FrankRuehl" w:hint="cs"/>
                <w:sz w:val="28"/>
                <w:szCs w:val="28"/>
                <w:rtl/>
              </w:rPr>
              <w:t>.</w:t>
            </w:r>
            <w:r w:rsidRPr="0000226A">
              <w:rPr>
                <w:rFonts w:hint="cs"/>
                <w:rtl/>
              </w:rPr>
              <w:t>מוחמד מראענה (עציר)</w:t>
            </w:r>
          </w:p>
          <w:p w14:paraId="26860703" w14:textId="77777777" w:rsidR="00334F4A" w:rsidRPr="0000226A" w:rsidRDefault="00334F4A" w:rsidP="0000226A">
            <w:pPr>
              <w:rPr>
                <w:rtl/>
              </w:rPr>
            </w:pPr>
            <w:r w:rsidRPr="0000226A">
              <w:rPr>
                <w:rFonts w:hint="cs"/>
                <w:rtl/>
              </w:rPr>
              <w:t>2</w:t>
            </w:r>
            <w:r w:rsidRPr="0000226A">
              <w:rPr>
                <w:rFonts w:ascii="Arial" w:hAnsi="Arial" w:cs="FrankRuehl" w:hint="cs"/>
                <w:sz w:val="28"/>
                <w:szCs w:val="28"/>
                <w:rtl/>
              </w:rPr>
              <w:t>.</w:t>
            </w:r>
            <w:r w:rsidRPr="0000226A">
              <w:rPr>
                <w:rFonts w:hint="cs"/>
                <w:rtl/>
              </w:rPr>
              <w:t>מוסא מראענה</w:t>
            </w:r>
          </w:p>
        </w:tc>
        <w:tc>
          <w:tcPr>
            <w:tcW w:w="3771" w:type="dxa"/>
            <w:tcBorders>
              <w:top w:val="nil"/>
              <w:left w:val="nil"/>
              <w:bottom w:val="nil"/>
              <w:right w:val="nil"/>
            </w:tcBorders>
            <w:shd w:val="clear" w:color="auto" w:fill="auto"/>
          </w:tcPr>
          <w:p w14:paraId="7EC7C0C6" w14:textId="77777777" w:rsidR="00334F4A" w:rsidRPr="0000226A" w:rsidRDefault="00334F4A" w:rsidP="0000226A">
            <w:pPr>
              <w:jc w:val="right"/>
              <w:rPr>
                <w:rFonts w:ascii="Arial" w:hAnsi="Arial" w:cs="FrankRuehl"/>
                <w:sz w:val="28"/>
                <w:szCs w:val="28"/>
              </w:rPr>
            </w:pPr>
          </w:p>
        </w:tc>
      </w:tr>
      <w:tr w:rsidR="00334F4A" w:rsidRPr="0000226A" w14:paraId="50933274" w14:textId="77777777" w:rsidTr="0000226A">
        <w:trPr>
          <w:trHeight w:val="355"/>
          <w:jc w:val="center"/>
        </w:trPr>
        <w:tc>
          <w:tcPr>
            <w:tcW w:w="923" w:type="dxa"/>
            <w:tcBorders>
              <w:top w:val="nil"/>
              <w:left w:val="nil"/>
              <w:bottom w:val="nil"/>
              <w:right w:val="nil"/>
            </w:tcBorders>
            <w:shd w:val="clear" w:color="auto" w:fill="auto"/>
          </w:tcPr>
          <w:p w14:paraId="10BBFC9B" w14:textId="77777777" w:rsidR="00334F4A" w:rsidRPr="0000226A" w:rsidRDefault="00334F4A" w:rsidP="0000226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6D67478" w14:textId="77777777" w:rsidR="00334F4A" w:rsidRPr="0000226A" w:rsidRDefault="00334F4A" w:rsidP="0000226A">
            <w:pPr>
              <w:jc w:val="both"/>
              <w:rPr>
                <w:rtl/>
              </w:rPr>
            </w:pPr>
          </w:p>
        </w:tc>
        <w:tc>
          <w:tcPr>
            <w:tcW w:w="3771" w:type="dxa"/>
            <w:tcBorders>
              <w:top w:val="nil"/>
              <w:left w:val="nil"/>
              <w:bottom w:val="nil"/>
              <w:right w:val="nil"/>
            </w:tcBorders>
            <w:shd w:val="clear" w:color="auto" w:fill="auto"/>
          </w:tcPr>
          <w:p w14:paraId="3C3ECEE0" w14:textId="77777777" w:rsidR="00334F4A" w:rsidRPr="0000226A" w:rsidRDefault="00334F4A" w:rsidP="0000226A">
            <w:pPr>
              <w:jc w:val="right"/>
              <w:rPr>
                <w:rFonts w:ascii="Arial" w:hAnsi="Arial" w:cs="FrankRuehl"/>
                <w:sz w:val="28"/>
                <w:szCs w:val="28"/>
              </w:rPr>
            </w:pPr>
            <w:r w:rsidRPr="0000226A">
              <w:rPr>
                <w:rFonts w:ascii="Arial" w:hAnsi="Arial" w:cs="FrankRuehl" w:hint="cs"/>
                <w:sz w:val="28"/>
                <w:szCs w:val="28"/>
                <w:rtl/>
              </w:rPr>
              <w:t>ה</w:t>
            </w:r>
            <w:r w:rsidRPr="0000226A">
              <w:rPr>
                <w:rFonts w:hint="cs"/>
                <w:rtl/>
              </w:rPr>
              <w:t>נאשמים</w:t>
            </w:r>
          </w:p>
        </w:tc>
      </w:tr>
      <w:tr w:rsidR="00334F4A" w:rsidRPr="0000226A" w14:paraId="72AA54B4" w14:textId="77777777" w:rsidTr="0000226A">
        <w:trPr>
          <w:trHeight w:val="355"/>
          <w:jc w:val="center"/>
        </w:trPr>
        <w:tc>
          <w:tcPr>
            <w:tcW w:w="8820" w:type="dxa"/>
            <w:gridSpan w:val="3"/>
            <w:tcBorders>
              <w:top w:val="nil"/>
              <w:left w:val="nil"/>
              <w:bottom w:val="nil"/>
              <w:right w:val="nil"/>
            </w:tcBorders>
            <w:shd w:val="clear" w:color="auto" w:fill="auto"/>
          </w:tcPr>
          <w:p w14:paraId="3A036621" w14:textId="77777777" w:rsidR="00E37020" w:rsidRDefault="00E37020" w:rsidP="0000226A">
            <w:pPr>
              <w:jc w:val="center"/>
              <w:rPr>
                <w:rFonts w:ascii="Arial" w:hAnsi="Arial" w:cs="FrankRuehl"/>
                <w:sz w:val="32"/>
                <w:szCs w:val="32"/>
                <w:rtl/>
              </w:rPr>
            </w:pPr>
            <w:bookmarkStart w:id="2" w:name="PsakDin"/>
            <w:bookmarkStart w:id="3" w:name="LawTable"/>
            <w:bookmarkEnd w:id="3"/>
          </w:p>
          <w:p w14:paraId="2F71DF99" w14:textId="77777777" w:rsidR="00E37020" w:rsidRPr="00E37020" w:rsidRDefault="00E37020" w:rsidP="00E37020">
            <w:pPr>
              <w:spacing w:after="120" w:line="240" w:lineRule="exact"/>
              <w:ind w:left="283" w:hanging="283"/>
              <w:jc w:val="both"/>
              <w:rPr>
                <w:rFonts w:ascii="FrankRuehl" w:hAnsi="FrankRuehl" w:cs="FrankRuehl"/>
                <w:rtl/>
              </w:rPr>
            </w:pPr>
          </w:p>
          <w:p w14:paraId="3E9BC1BB" w14:textId="77777777" w:rsidR="00E37020" w:rsidRPr="00E37020" w:rsidRDefault="00E37020" w:rsidP="00E37020">
            <w:pPr>
              <w:spacing w:after="120" w:line="240" w:lineRule="exact"/>
              <w:ind w:left="283" w:hanging="283"/>
              <w:jc w:val="both"/>
              <w:rPr>
                <w:rFonts w:ascii="FrankRuehl" w:hAnsi="FrankRuehl" w:cs="FrankRuehl"/>
                <w:rtl/>
              </w:rPr>
            </w:pPr>
            <w:r w:rsidRPr="00E37020">
              <w:rPr>
                <w:rFonts w:ascii="FrankRuehl" w:hAnsi="FrankRuehl" w:cs="FrankRuehl"/>
                <w:rtl/>
              </w:rPr>
              <w:t xml:space="preserve">חקיקה שאוזכרה: </w:t>
            </w:r>
          </w:p>
          <w:p w14:paraId="7863F1E8" w14:textId="77777777" w:rsidR="00E37020" w:rsidRPr="00E37020" w:rsidRDefault="00E37020" w:rsidP="00E37020">
            <w:pPr>
              <w:spacing w:after="120" w:line="240" w:lineRule="exact"/>
              <w:ind w:left="283" w:hanging="283"/>
              <w:jc w:val="both"/>
              <w:rPr>
                <w:rFonts w:ascii="FrankRuehl" w:hAnsi="FrankRuehl" w:cs="FrankRuehl"/>
                <w:rtl/>
              </w:rPr>
            </w:pPr>
            <w:hyperlink r:id="rId6" w:history="1">
              <w:r w:rsidRPr="00E37020">
                <w:rPr>
                  <w:rFonts w:ascii="FrankRuehl" w:hAnsi="FrankRuehl" w:cs="FrankRuehl"/>
                  <w:color w:val="0000FF"/>
                  <w:u w:val="single"/>
                  <w:rtl/>
                </w:rPr>
                <w:t>חוק העונשין, תשל"ז-1977</w:t>
              </w:r>
            </w:hyperlink>
            <w:r w:rsidRPr="00E37020">
              <w:rPr>
                <w:rFonts w:ascii="FrankRuehl" w:hAnsi="FrankRuehl" w:cs="FrankRuehl"/>
                <w:rtl/>
              </w:rPr>
              <w:t xml:space="preserve">: סע'  </w:t>
            </w:r>
            <w:hyperlink r:id="rId7" w:history="1">
              <w:r w:rsidRPr="00E37020">
                <w:rPr>
                  <w:rFonts w:ascii="FrankRuehl" w:hAnsi="FrankRuehl" w:cs="FrankRuehl"/>
                  <w:color w:val="0000FF"/>
                  <w:u w:val="single"/>
                  <w:rtl/>
                </w:rPr>
                <w:t>40 ב</w:t>
              </w:r>
            </w:hyperlink>
            <w:r w:rsidRPr="00E37020">
              <w:rPr>
                <w:rFonts w:ascii="FrankRuehl" w:hAnsi="FrankRuehl" w:cs="FrankRuehl"/>
                <w:rtl/>
              </w:rPr>
              <w:t xml:space="preserve">, </w:t>
            </w:r>
            <w:hyperlink r:id="rId8" w:history="1">
              <w:r w:rsidRPr="00E37020">
                <w:rPr>
                  <w:rFonts w:ascii="FrankRuehl" w:hAnsi="FrankRuehl" w:cs="FrankRuehl"/>
                  <w:color w:val="0000FF"/>
                  <w:u w:val="single"/>
                  <w:rtl/>
                </w:rPr>
                <w:t>40 ג'</w:t>
              </w:r>
            </w:hyperlink>
            <w:r w:rsidRPr="00E37020">
              <w:rPr>
                <w:rFonts w:ascii="FrankRuehl" w:hAnsi="FrankRuehl" w:cs="FrankRuehl"/>
                <w:rtl/>
              </w:rPr>
              <w:t xml:space="preserve">, </w:t>
            </w:r>
            <w:hyperlink r:id="rId9" w:history="1">
              <w:r w:rsidRPr="00E37020">
                <w:rPr>
                  <w:rFonts w:ascii="FrankRuehl" w:hAnsi="FrankRuehl" w:cs="FrankRuehl"/>
                  <w:color w:val="0000FF"/>
                  <w:u w:val="single"/>
                  <w:rtl/>
                </w:rPr>
                <w:t>40 ט'</w:t>
              </w:r>
            </w:hyperlink>
            <w:r w:rsidRPr="00E37020">
              <w:rPr>
                <w:rFonts w:ascii="FrankRuehl" w:hAnsi="FrankRuehl" w:cs="FrankRuehl"/>
                <w:rtl/>
              </w:rPr>
              <w:t xml:space="preserve">, </w:t>
            </w:r>
            <w:hyperlink r:id="rId10" w:history="1">
              <w:r w:rsidRPr="00E37020">
                <w:rPr>
                  <w:rFonts w:ascii="FrankRuehl" w:hAnsi="FrankRuehl" w:cs="FrankRuehl"/>
                  <w:color w:val="0000FF"/>
                  <w:u w:val="single"/>
                  <w:rtl/>
                </w:rPr>
                <w:t>144</w:t>
              </w:r>
            </w:hyperlink>
            <w:r w:rsidRPr="00E37020">
              <w:rPr>
                <w:rFonts w:ascii="FrankRuehl" w:hAnsi="FrankRuehl" w:cs="FrankRuehl"/>
                <w:rtl/>
              </w:rPr>
              <w:t xml:space="preserve">, </w:t>
            </w:r>
            <w:hyperlink r:id="rId11" w:history="1">
              <w:r w:rsidRPr="00E37020">
                <w:rPr>
                  <w:rFonts w:ascii="FrankRuehl" w:hAnsi="FrankRuehl" w:cs="FrankRuehl"/>
                  <w:color w:val="0000FF"/>
                  <w:u w:val="single"/>
                  <w:rtl/>
                </w:rPr>
                <w:t>144(א)</w:t>
              </w:r>
            </w:hyperlink>
            <w:r w:rsidRPr="00E37020">
              <w:rPr>
                <w:rFonts w:ascii="FrankRuehl" w:hAnsi="FrankRuehl" w:cs="FrankRuehl"/>
                <w:rtl/>
              </w:rPr>
              <w:t xml:space="preserve">, </w:t>
            </w:r>
            <w:hyperlink r:id="rId12" w:history="1">
              <w:r w:rsidRPr="00E37020">
                <w:rPr>
                  <w:rFonts w:ascii="FrankRuehl" w:hAnsi="FrankRuehl" w:cs="FrankRuehl"/>
                  <w:color w:val="0000FF"/>
                  <w:u w:val="single"/>
                  <w:rtl/>
                </w:rPr>
                <w:t>144 (ב)</w:t>
              </w:r>
            </w:hyperlink>
            <w:r w:rsidRPr="00E37020">
              <w:rPr>
                <w:rFonts w:ascii="FrankRuehl" w:hAnsi="FrankRuehl" w:cs="FrankRuehl"/>
                <w:rtl/>
              </w:rPr>
              <w:t xml:space="preserve">, </w:t>
            </w:r>
            <w:hyperlink r:id="rId13" w:history="1">
              <w:r w:rsidRPr="00E37020">
                <w:rPr>
                  <w:rFonts w:ascii="FrankRuehl" w:hAnsi="FrankRuehl" w:cs="FrankRuehl"/>
                  <w:color w:val="0000FF"/>
                  <w:u w:val="single"/>
                  <w:rtl/>
                </w:rPr>
                <w:t>244</w:t>
              </w:r>
            </w:hyperlink>
            <w:r w:rsidRPr="00E37020">
              <w:rPr>
                <w:rFonts w:ascii="FrankRuehl" w:hAnsi="FrankRuehl" w:cs="FrankRuehl"/>
                <w:rtl/>
              </w:rPr>
              <w:t xml:space="preserve">, </w:t>
            </w:r>
            <w:hyperlink r:id="rId14" w:history="1">
              <w:r w:rsidRPr="00E37020">
                <w:rPr>
                  <w:rFonts w:ascii="FrankRuehl" w:hAnsi="FrankRuehl" w:cs="FrankRuehl"/>
                  <w:color w:val="0000FF"/>
                  <w:u w:val="single"/>
                  <w:rtl/>
                </w:rPr>
                <w:t>40 יא</w:t>
              </w:r>
            </w:hyperlink>
            <w:r w:rsidRPr="00E37020">
              <w:rPr>
                <w:rFonts w:ascii="FrankRuehl" w:hAnsi="FrankRuehl" w:cs="FrankRuehl"/>
                <w:rtl/>
              </w:rPr>
              <w:t xml:space="preserve">, </w:t>
            </w:r>
            <w:hyperlink r:id="rId15" w:history="1">
              <w:r w:rsidRPr="00E37020">
                <w:rPr>
                  <w:rFonts w:ascii="FrankRuehl" w:hAnsi="FrankRuehl" w:cs="FrankRuehl"/>
                  <w:color w:val="0000FF"/>
                  <w:u w:val="single"/>
                  <w:rtl/>
                </w:rPr>
                <w:t>40יג (ב)</w:t>
              </w:r>
            </w:hyperlink>
          </w:p>
          <w:p w14:paraId="2D443C5B" w14:textId="77777777" w:rsidR="00E37020" w:rsidRPr="00E37020" w:rsidRDefault="00E37020" w:rsidP="00E37020">
            <w:pPr>
              <w:spacing w:after="120" w:line="240" w:lineRule="exact"/>
              <w:ind w:left="283" w:hanging="283"/>
              <w:jc w:val="both"/>
              <w:rPr>
                <w:rFonts w:ascii="FrankRuehl" w:hAnsi="FrankRuehl" w:cs="FrankRuehl"/>
                <w:rtl/>
              </w:rPr>
            </w:pPr>
          </w:p>
          <w:p w14:paraId="2DCC3844" w14:textId="77777777" w:rsidR="00E37020" w:rsidRPr="00E37020" w:rsidRDefault="00E37020" w:rsidP="0000226A">
            <w:pPr>
              <w:jc w:val="center"/>
              <w:rPr>
                <w:rFonts w:ascii="Arial" w:hAnsi="Arial" w:cs="FrankRuehl"/>
                <w:sz w:val="32"/>
                <w:szCs w:val="32"/>
                <w:rtl/>
              </w:rPr>
            </w:pPr>
            <w:bookmarkStart w:id="4" w:name="LawTable_End"/>
            <w:bookmarkEnd w:id="4"/>
          </w:p>
          <w:p w14:paraId="0E974DF1" w14:textId="77777777" w:rsidR="00E37020" w:rsidRPr="00E37020" w:rsidRDefault="00E37020" w:rsidP="0000226A">
            <w:pPr>
              <w:jc w:val="center"/>
              <w:rPr>
                <w:rFonts w:ascii="Arial" w:hAnsi="Arial" w:cs="FrankRuehl"/>
                <w:sz w:val="32"/>
                <w:szCs w:val="32"/>
                <w:rtl/>
              </w:rPr>
            </w:pPr>
          </w:p>
          <w:p w14:paraId="5D95C3BB" w14:textId="77777777" w:rsidR="00E37020" w:rsidRPr="00E37020" w:rsidRDefault="00E37020" w:rsidP="0000226A">
            <w:pPr>
              <w:jc w:val="center"/>
              <w:rPr>
                <w:rFonts w:ascii="Arial" w:hAnsi="Arial" w:cs="FrankRuehl"/>
                <w:sz w:val="32"/>
                <w:szCs w:val="32"/>
                <w:rtl/>
              </w:rPr>
            </w:pPr>
          </w:p>
          <w:p w14:paraId="5582CB14" w14:textId="77777777" w:rsidR="00B63FEF" w:rsidRPr="00B63FEF" w:rsidRDefault="00B63FEF" w:rsidP="0000226A">
            <w:pPr>
              <w:jc w:val="center"/>
              <w:rPr>
                <w:rFonts w:ascii="Arial" w:hAnsi="Arial" w:cs="FrankRuehl"/>
                <w:sz w:val="32"/>
                <w:szCs w:val="32"/>
                <w:rtl/>
              </w:rPr>
            </w:pPr>
          </w:p>
          <w:p w14:paraId="15B5988F" w14:textId="77777777" w:rsidR="00334F4A" w:rsidRPr="0000226A" w:rsidRDefault="00334F4A" w:rsidP="0000226A">
            <w:pPr>
              <w:jc w:val="center"/>
              <w:rPr>
                <w:rFonts w:ascii="Arial" w:hAnsi="Arial" w:cs="FrankRuehl"/>
                <w:sz w:val="32"/>
                <w:szCs w:val="32"/>
                <w:rtl/>
              </w:rPr>
            </w:pPr>
            <w:r w:rsidRPr="0000226A">
              <w:rPr>
                <w:rFonts w:ascii="Arial" w:hAnsi="Arial" w:cs="FrankRuehl" w:hint="cs"/>
                <w:b/>
                <w:bCs/>
                <w:sz w:val="32"/>
                <w:szCs w:val="32"/>
                <w:rtl/>
              </w:rPr>
              <w:t>גזר דין</w:t>
            </w:r>
            <w:r w:rsidRPr="0000226A">
              <w:rPr>
                <w:rFonts w:ascii="Arial" w:hAnsi="Arial" w:cs="FrankRuehl" w:hint="cs"/>
                <w:sz w:val="32"/>
                <w:szCs w:val="32"/>
                <w:rtl/>
              </w:rPr>
              <w:t xml:space="preserve"> </w:t>
            </w:r>
            <w:bookmarkEnd w:id="2"/>
            <w:r w:rsidRPr="0000226A">
              <w:rPr>
                <w:rFonts w:ascii="Arial" w:hAnsi="Arial" w:cs="FrankRuehl" w:hint="cs"/>
                <w:sz w:val="32"/>
                <w:szCs w:val="32"/>
                <w:rtl/>
              </w:rPr>
              <w:t>בעניינו של נאשם 1 (להלן: הנאשם)</w:t>
            </w:r>
          </w:p>
        </w:tc>
      </w:tr>
    </w:tbl>
    <w:p w14:paraId="0B80646C" w14:textId="77777777" w:rsidR="00334F4A" w:rsidRPr="0000226A" w:rsidRDefault="00334F4A" w:rsidP="00334F4A">
      <w:pPr>
        <w:rPr>
          <w:rFonts w:ascii="Arial" w:hAnsi="Arial"/>
          <w:rtl/>
        </w:rPr>
      </w:pPr>
    </w:p>
    <w:p w14:paraId="57992D6B" w14:textId="77777777" w:rsidR="00334F4A" w:rsidRPr="0000226A" w:rsidRDefault="00334F4A" w:rsidP="00334F4A">
      <w:pPr>
        <w:rPr>
          <w:rFonts w:ascii="Arial" w:hAnsi="Arial"/>
          <w:rtl/>
        </w:rPr>
      </w:pPr>
    </w:p>
    <w:p w14:paraId="2A7045D4" w14:textId="77777777" w:rsidR="00334F4A" w:rsidRPr="0000226A" w:rsidRDefault="00334F4A" w:rsidP="00334F4A">
      <w:pPr>
        <w:spacing w:line="360" w:lineRule="auto"/>
        <w:jc w:val="both"/>
        <w:rPr>
          <w:rtl/>
        </w:rPr>
      </w:pPr>
      <w:r w:rsidRPr="0000226A">
        <w:rPr>
          <w:rtl/>
        </w:rPr>
        <w:t>1.         הנאשם הוד</w:t>
      </w:r>
      <w:r w:rsidRPr="0000226A">
        <w:rPr>
          <w:rFonts w:hint="cs"/>
          <w:rtl/>
        </w:rPr>
        <w:t>ה</w:t>
      </w:r>
      <w:r w:rsidRPr="0000226A">
        <w:rPr>
          <w:rtl/>
        </w:rPr>
        <w:t xml:space="preserve"> בתיק זה בעובדות כתב האישום שתוקן, במסגרת הסדר טיעון בין הצדדים</w:t>
      </w:r>
      <w:r w:rsidRPr="0000226A">
        <w:rPr>
          <w:rFonts w:hint="cs"/>
          <w:rtl/>
        </w:rPr>
        <w:t xml:space="preserve"> ש</w:t>
      </w:r>
      <w:r w:rsidRPr="0000226A">
        <w:rPr>
          <w:rtl/>
        </w:rPr>
        <w:t>לא כלל הסדר לעניין העונש</w:t>
      </w:r>
      <w:r w:rsidRPr="0000226A">
        <w:rPr>
          <w:rFonts w:hint="cs"/>
          <w:rtl/>
        </w:rPr>
        <w:t>,</w:t>
      </w:r>
      <w:r w:rsidRPr="0000226A">
        <w:rPr>
          <w:rtl/>
        </w:rPr>
        <w:t xml:space="preserve"> והורשע בביצוע</w:t>
      </w:r>
      <w:r w:rsidRPr="0000226A">
        <w:rPr>
          <w:rFonts w:hint="cs"/>
          <w:rtl/>
        </w:rPr>
        <w:t xml:space="preserve"> העבירות הבאות: </w:t>
      </w:r>
      <w:r w:rsidRPr="0000226A">
        <w:rPr>
          <w:rtl/>
        </w:rPr>
        <w:t xml:space="preserve"> </w:t>
      </w:r>
      <w:bookmarkStart w:id="5" w:name="ABSTRACT_START"/>
      <w:bookmarkEnd w:id="5"/>
      <w:r w:rsidRPr="0000226A">
        <w:rPr>
          <w:rtl/>
        </w:rPr>
        <w:t xml:space="preserve">עבירה של </w:t>
      </w:r>
      <w:r w:rsidRPr="0000226A">
        <w:rPr>
          <w:rFonts w:hint="cs"/>
          <w:rtl/>
        </w:rPr>
        <w:t>החזקת נשק שלא כדין</w:t>
      </w:r>
      <w:r w:rsidRPr="0000226A">
        <w:rPr>
          <w:rtl/>
        </w:rPr>
        <w:t xml:space="preserve">,  לפי </w:t>
      </w:r>
      <w:hyperlink r:id="rId16" w:history="1">
        <w:r w:rsidR="00F473C2" w:rsidRPr="00F473C2">
          <w:rPr>
            <w:color w:val="0000FF"/>
            <w:u w:val="single"/>
            <w:rtl/>
          </w:rPr>
          <w:t>סעיף 144(א)</w:t>
        </w:r>
      </w:hyperlink>
      <w:r w:rsidRPr="0000226A">
        <w:rPr>
          <w:rtl/>
        </w:rPr>
        <w:t xml:space="preserve"> </w:t>
      </w:r>
      <w:r w:rsidRPr="0000226A">
        <w:rPr>
          <w:rFonts w:hint="cs"/>
          <w:rtl/>
        </w:rPr>
        <w:t xml:space="preserve">רישא </w:t>
      </w:r>
      <w:r w:rsidRPr="0000226A">
        <w:rPr>
          <w:rtl/>
        </w:rPr>
        <w:t>ו</w:t>
      </w:r>
      <w:r w:rsidRPr="0000226A">
        <w:rPr>
          <w:rFonts w:hint="cs"/>
          <w:rtl/>
        </w:rPr>
        <w:t xml:space="preserve">סיפא </w:t>
      </w:r>
      <w:r w:rsidRPr="0000226A">
        <w:rPr>
          <w:rtl/>
        </w:rPr>
        <w:t>ל</w:t>
      </w:r>
      <w:hyperlink r:id="rId17" w:history="1">
        <w:r w:rsidR="0000226A" w:rsidRPr="0000226A">
          <w:rPr>
            <w:color w:val="0000FF"/>
            <w:u w:val="single"/>
            <w:rtl/>
          </w:rPr>
          <w:t>חוק העונשין</w:t>
        </w:r>
      </w:hyperlink>
      <w:r w:rsidRPr="0000226A">
        <w:rPr>
          <w:rtl/>
        </w:rPr>
        <w:t xml:space="preserve">, התשל"ז – 1977 (להלן: </w:t>
      </w:r>
      <w:r w:rsidRPr="0000226A">
        <w:rPr>
          <w:rFonts w:cs="Miriam"/>
          <w:rtl/>
        </w:rPr>
        <w:t>חוק העונשין</w:t>
      </w:r>
      <w:r w:rsidRPr="0000226A">
        <w:rPr>
          <w:rtl/>
        </w:rPr>
        <w:t>)</w:t>
      </w:r>
      <w:r w:rsidRPr="0000226A">
        <w:rPr>
          <w:rFonts w:hint="cs"/>
          <w:rtl/>
        </w:rPr>
        <w:t xml:space="preserve">, עבירה של נשיאת נשק שלא כדין, לפי </w:t>
      </w:r>
      <w:hyperlink r:id="rId18" w:history="1">
        <w:r w:rsidR="00F473C2" w:rsidRPr="00F473C2">
          <w:rPr>
            <w:rStyle w:val="Hyperlink"/>
            <w:rFonts w:hint="eastAsia"/>
            <w:rtl/>
          </w:rPr>
          <w:t>סעיף</w:t>
        </w:r>
        <w:r w:rsidR="00F473C2" w:rsidRPr="00F473C2">
          <w:rPr>
            <w:rStyle w:val="Hyperlink"/>
            <w:rtl/>
          </w:rPr>
          <w:t xml:space="preserve"> 144 (ב)</w:t>
        </w:r>
      </w:hyperlink>
      <w:r w:rsidRPr="0000226A">
        <w:rPr>
          <w:rFonts w:hint="cs"/>
          <w:rtl/>
        </w:rPr>
        <w:t xml:space="preserve"> רישא וסיפא לחוק העונשין</w:t>
      </w:r>
      <w:r w:rsidRPr="0000226A">
        <w:rPr>
          <w:rtl/>
        </w:rPr>
        <w:t xml:space="preserve"> </w:t>
      </w:r>
      <w:r w:rsidRPr="0000226A">
        <w:rPr>
          <w:rFonts w:hint="cs"/>
          <w:rtl/>
        </w:rPr>
        <w:t xml:space="preserve">ובעבירה של שיבוש מהלכי משפט, לפי </w:t>
      </w:r>
      <w:hyperlink r:id="rId19" w:history="1">
        <w:r w:rsidR="00F473C2" w:rsidRPr="00F473C2">
          <w:rPr>
            <w:rStyle w:val="Hyperlink"/>
            <w:rFonts w:hint="eastAsia"/>
            <w:rtl/>
          </w:rPr>
          <w:t>סעיף</w:t>
        </w:r>
        <w:r w:rsidR="00F473C2" w:rsidRPr="00F473C2">
          <w:rPr>
            <w:rStyle w:val="Hyperlink"/>
            <w:rtl/>
          </w:rPr>
          <w:t xml:space="preserve"> 244</w:t>
        </w:r>
      </w:hyperlink>
      <w:r w:rsidRPr="0000226A">
        <w:rPr>
          <w:rFonts w:hint="cs"/>
          <w:rtl/>
        </w:rPr>
        <w:t xml:space="preserve"> לחוק העונשין</w:t>
      </w:r>
      <w:bookmarkStart w:id="6" w:name="ABSTRACT_END"/>
      <w:bookmarkEnd w:id="6"/>
      <w:r w:rsidRPr="0000226A">
        <w:rPr>
          <w:rFonts w:hint="cs"/>
          <w:rtl/>
        </w:rPr>
        <w:t>. יובהר בנקודה זו כי לאחר הודאת הנאשם בעובדות כתב האישום המתוקן, הוריתי, לבקשת המאשימה, בדבר הפרדת הדיון בין הנאשמים בתיק זה וכי יוגש נגד נאשם 2 כתב אישום חדש בתיק נפרד.</w:t>
      </w:r>
    </w:p>
    <w:p w14:paraId="30339555" w14:textId="77777777" w:rsidR="00334F4A" w:rsidRPr="0000226A" w:rsidRDefault="00334F4A" w:rsidP="00334F4A">
      <w:pPr>
        <w:jc w:val="both"/>
        <w:rPr>
          <w:rtl/>
        </w:rPr>
      </w:pPr>
    </w:p>
    <w:p w14:paraId="45F4A403" w14:textId="77777777" w:rsidR="00334F4A" w:rsidRPr="0000226A" w:rsidRDefault="00334F4A" w:rsidP="00334F4A">
      <w:pPr>
        <w:spacing w:line="360" w:lineRule="auto"/>
        <w:jc w:val="both"/>
        <w:rPr>
          <w:rtl/>
        </w:rPr>
      </w:pPr>
      <w:r w:rsidRPr="0000226A">
        <w:rPr>
          <w:rtl/>
        </w:rPr>
        <w:t>2.</w:t>
      </w:r>
      <w:r w:rsidRPr="0000226A">
        <w:rPr>
          <w:rtl/>
        </w:rPr>
        <w:tab/>
        <w:t>כעת, לאחר שהוגש בתיק זה תסקיר שירות המבחן בעניינ</w:t>
      </w:r>
      <w:r w:rsidRPr="0000226A">
        <w:rPr>
          <w:rFonts w:hint="cs"/>
          <w:rtl/>
        </w:rPr>
        <w:t>ו</w:t>
      </w:r>
      <w:r w:rsidRPr="0000226A">
        <w:rPr>
          <w:rtl/>
        </w:rPr>
        <w:t xml:space="preserve"> של הנאשם והושלם הליך הטיעונים לעונש, כל שנותר הוא- לגזור את דינ</w:t>
      </w:r>
      <w:r w:rsidRPr="0000226A">
        <w:rPr>
          <w:rFonts w:hint="cs"/>
          <w:rtl/>
        </w:rPr>
        <w:t>ו</w:t>
      </w:r>
      <w:r w:rsidRPr="0000226A">
        <w:rPr>
          <w:rtl/>
        </w:rPr>
        <w:t xml:space="preserve"> של הנאשם.</w:t>
      </w:r>
    </w:p>
    <w:p w14:paraId="5544E187" w14:textId="77777777" w:rsidR="00334F4A" w:rsidRPr="0000226A" w:rsidRDefault="00334F4A" w:rsidP="00334F4A">
      <w:pPr>
        <w:spacing w:line="360" w:lineRule="auto"/>
        <w:rPr>
          <w:rtl/>
        </w:rPr>
      </w:pPr>
    </w:p>
    <w:p w14:paraId="4E8CDB19" w14:textId="77777777" w:rsidR="00334F4A" w:rsidRPr="0000226A" w:rsidRDefault="00334F4A" w:rsidP="00334F4A">
      <w:pPr>
        <w:spacing w:line="360" w:lineRule="auto"/>
        <w:rPr>
          <w:rFonts w:cs="Miriam"/>
          <w:b/>
          <w:bCs/>
          <w:rtl/>
        </w:rPr>
      </w:pPr>
      <w:r w:rsidRPr="0000226A">
        <w:rPr>
          <w:rFonts w:cs="Miriam" w:hint="cs"/>
          <w:b/>
          <w:bCs/>
          <w:rtl/>
        </w:rPr>
        <w:lastRenderedPageBreak/>
        <w:t>כתב האישום המתוקן</w:t>
      </w:r>
    </w:p>
    <w:p w14:paraId="0CBE2CDF" w14:textId="77777777" w:rsidR="00334F4A" w:rsidRPr="0000226A" w:rsidRDefault="00334F4A" w:rsidP="00334F4A">
      <w:pPr>
        <w:rPr>
          <w:rtl/>
        </w:rPr>
      </w:pPr>
    </w:p>
    <w:p w14:paraId="76CC11DE" w14:textId="77777777" w:rsidR="00334F4A" w:rsidRPr="0000226A" w:rsidRDefault="00334F4A" w:rsidP="00334F4A">
      <w:pPr>
        <w:spacing w:line="360" w:lineRule="auto"/>
        <w:jc w:val="both"/>
        <w:rPr>
          <w:rtl/>
        </w:rPr>
      </w:pPr>
      <w:r w:rsidRPr="0000226A">
        <w:rPr>
          <w:rFonts w:hint="cs"/>
          <w:rtl/>
        </w:rPr>
        <w:t>3.</w:t>
      </w:r>
      <w:r w:rsidRPr="0000226A">
        <w:rPr>
          <w:rFonts w:hint="cs"/>
          <w:rtl/>
        </w:rPr>
        <w:tab/>
        <w:t xml:space="preserve">מכתב האישום המתוקן (להלן גם : </w:t>
      </w:r>
      <w:r w:rsidRPr="0000226A">
        <w:rPr>
          <w:rFonts w:cs="Miriam" w:hint="cs"/>
          <w:rtl/>
        </w:rPr>
        <w:t>כתב האישום</w:t>
      </w:r>
      <w:r w:rsidRPr="0000226A">
        <w:rPr>
          <w:rFonts w:hint="cs"/>
          <w:rtl/>
        </w:rPr>
        <w:t>) עולה, כי הנאשם הוא בן דוד של אבי  הקטין א.מ. יליד פברואר 2002</w:t>
      </w:r>
      <w:r w:rsidRPr="0000226A">
        <w:rPr>
          <w:rFonts w:hint="cs"/>
        </w:rPr>
        <w:t xml:space="preserve"> </w:t>
      </w:r>
      <w:r w:rsidRPr="0000226A">
        <w:rPr>
          <w:rFonts w:hint="cs"/>
          <w:rtl/>
        </w:rPr>
        <w:t xml:space="preserve">ׁ(להלן: </w:t>
      </w:r>
      <w:r w:rsidRPr="0000226A">
        <w:rPr>
          <w:rFonts w:cs="Miriam" w:hint="cs"/>
          <w:rtl/>
        </w:rPr>
        <w:t>הקטין</w:t>
      </w:r>
      <w:r w:rsidRPr="0000226A">
        <w:rPr>
          <w:rFonts w:hint="cs"/>
          <w:rtl/>
        </w:rPr>
        <w:t xml:space="preserve">); נאשם 2 הוא דודו של הקטין, ואביו של הנאשם הוא בן דודו של נאשם 2. עוד על פי כתב האישום המתוקן, הקטין ונאשם 2, מתגוררים באותו מבנה בכפר פורדיס, אולם בקומות נפרדות. הנאשם מתגורר במרחק של 100 מטרים לערך משם. בסמוך לסוף חודש יולי 2016, במועד מדויק שאינו ידוע למאשימה, החזיק הנאשם בלא רשות על פי דין חפץ דמוי תת מקלע מאולתר בקוטר 9 מ"מ, שסוגל לירות כדור ובכוחו להמית אדם (להלן: </w:t>
      </w:r>
      <w:r w:rsidRPr="0000226A">
        <w:rPr>
          <w:rFonts w:cs="Miriam" w:hint="cs"/>
          <w:rtl/>
        </w:rPr>
        <w:t>הנשק</w:t>
      </w:r>
      <w:r w:rsidRPr="0000226A">
        <w:rPr>
          <w:rFonts w:hint="cs"/>
          <w:rtl/>
        </w:rPr>
        <w:t>), מחסנית ו- 237 כדורים המתאימים לכלי הנשק. את הנשק , המחסנית והתחמושת החזיק הנאשם בתוך תיק.   בהמשך, בסמוך לסוף חודש יולי 2016, פנה הנאשם לקטין וביקש להיפגש עמו. השניים נפגשו בקרבת מקום מגוריהם של הנאשמים. הנאשם  הגיע למקום כשהוא מחזיק ומוביל את הנשק, המחסנית והתחמושת בתוך תיק. הנאשם  מסר את התיק עם הנשק, המחסנית והתחמושת לקטין וביקש ממנו להוביל את התיק על מנת להחביאו עבורו. עוד עולה מכתב האישום המתוקן, כי בעקבות בקשתו של הנאשם הוביל הקטין את התיק ובו הנשק, המחסנית והתחמושת, למרות שחשד שנמצא בו נשק, והביאו  אל ביתו של נאשם 2, שם פתח את התיק והבחין בנשק ובתחמושת. הקטין הכניס את התיק לארון הבגדים הנמצא בחדר השינה של נאשם 2 (להלן: הארון). מיד לאחר מכן, סיפר הקטין לנאשם 2, כי בתיק שהכניס לארון, מצוי נשק השייך לנאשם, ואף הראה לו את התיק. נאשם 2 המשיך להחזיק בביתו את התיק עם הנשק, המחסנית והתחמושת עד ליום 9.8.16 בשעות הבוקר, שאז נתפס התיק עם הנשק, המחסנית והתחמשות בחיפוש משטרתי. ביום 10.8.16, כאשר הנאשם והקטין היו נתונים במעצר בתחנת המשטרה, פנה הנאשם לקטין ואמר לו: "</w:t>
      </w:r>
      <w:r w:rsidRPr="0000226A">
        <w:rPr>
          <w:rFonts w:cs="Miriam" w:hint="cs"/>
          <w:rtl/>
        </w:rPr>
        <w:t>תגיד להם זה לא שלי וזהו תישאר על זה ונצא כולנו</w:t>
      </w:r>
      <w:r w:rsidRPr="0000226A">
        <w:rPr>
          <w:rFonts w:hint="cs"/>
          <w:rtl/>
        </w:rPr>
        <w:t>", "</w:t>
      </w:r>
      <w:r w:rsidRPr="0000226A">
        <w:rPr>
          <w:rFonts w:cs="Miriam" w:hint="cs"/>
          <w:rtl/>
        </w:rPr>
        <w:t>לא תפסת לא נגעת</w:t>
      </w:r>
      <w:r w:rsidRPr="0000226A">
        <w:rPr>
          <w:rFonts w:hint="cs"/>
          <w:rtl/>
        </w:rPr>
        <w:t xml:space="preserve">", " </w:t>
      </w:r>
      <w:r w:rsidRPr="0000226A">
        <w:rPr>
          <w:rFonts w:cs="Miriam" w:hint="cs"/>
          <w:rtl/>
        </w:rPr>
        <w:t>לא שלי ולא יודע דבר</w:t>
      </w:r>
      <w:r w:rsidRPr="0000226A">
        <w:rPr>
          <w:rFonts w:hint="cs"/>
          <w:rtl/>
        </w:rPr>
        <w:t>", "</w:t>
      </w:r>
      <w:r w:rsidRPr="0000226A">
        <w:rPr>
          <w:rFonts w:cs="Miriam" w:hint="cs"/>
          <w:rtl/>
        </w:rPr>
        <w:t>אתה אסור לעצור אותך אבל רוצים להפחיד אותך</w:t>
      </w:r>
      <w:r w:rsidRPr="0000226A">
        <w:rPr>
          <w:rFonts w:hint="cs"/>
          <w:rtl/>
        </w:rPr>
        <w:t>". בכך עשה הנאשם  דבר כדי למנוע או להכשיל חקירה פלילית והליך שיפוטי, או להביא לעיוות דין.</w:t>
      </w:r>
    </w:p>
    <w:bookmarkEnd w:id="0"/>
    <w:p w14:paraId="0DD66DF5" w14:textId="77777777" w:rsidR="00334F4A" w:rsidRDefault="00334F4A" w:rsidP="00334F4A">
      <w:pPr>
        <w:spacing w:line="360" w:lineRule="auto"/>
        <w:rPr>
          <w:rtl/>
        </w:rPr>
      </w:pPr>
    </w:p>
    <w:p w14:paraId="764510AA" w14:textId="77777777" w:rsidR="00334F4A" w:rsidRPr="000B5CB4" w:rsidRDefault="00334F4A" w:rsidP="00334F4A">
      <w:pPr>
        <w:spacing w:line="360" w:lineRule="auto"/>
        <w:rPr>
          <w:rFonts w:cs="Miriam"/>
          <w:b/>
          <w:bCs/>
          <w:u w:val="single"/>
          <w:rtl/>
        </w:rPr>
      </w:pPr>
      <w:r w:rsidRPr="000B5CB4">
        <w:rPr>
          <w:rFonts w:cs="Miriam" w:hint="cs"/>
          <w:b/>
          <w:bCs/>
          <w:u w:val="single"/>
          <w:rtl/>
        </w:rPr>
        <w:t>תסקיר שירות המבחן</w:t>
      </w:r>
    </w:p>
    <w:p w14:paraId="529D4098" w14:textId="77777777" w:rsidR="00334F4A" w:rsidRPr="00B05847" w:rsidRDefault="00334F4A" w:rsidP="00334F4A">
      <w:pPr>
        <w:rPr>
          <w:rtl/>
        </w:rPr>
      </w:pPr>
    </w:p>
    <w:p w14:paraId="75C3E45A" w14:textId="77777777" w:rsidR="00334F4A" w:rsidRDefault="00334F4A" w:rsidP="00334F4A">
      <w:pPr>
        <w:spacing w:line="360" w:lineRule="auto"/>
        <w:jc w:val="both"/>
        <w:rPr>
          <w:rtl/>
        </w:rPr>
      </w:pPr>
      <w:r>
        <w:rPr>
          <w:rFonts w:hint="cs"/>
          <w:rtl/>
        </w:rPr>
        <w:t>4.</w:t>
      </w:r>
      <w:r>
        <w:rPr>
          <w:rFonts w:hint="cs"/>
          <w:rtl/>
        </w:rPr>
        <w:tab/>
        <w:t xml:space="preserve">מתסקיר שירות המבחן שהוגש אודות הנאשם, עולה כי הלה רווק בן 24, התגורר טרם מעצרו בתיק זה, בבית אמו בפורדיס  ועבד לפרנסתו בעבודות שיפוצים אצל דודו. הנאשם שיתף את שירות המבחן בכך שקיים סכסוך המשתרע על פני מספר שנים בין אביו ובני משפחת מוצאו של האב, זאת על רקע חלוקת שטחי אדמה. הנאשם ציין בנקודה זו, כי בעקבות הסכסוך הנ"ל עברה משפחתו להתגורר אצל משפחתה הגרעינית של אמו במעוויאה, תוך וויתור על שטח האדמה המגיע להם בפורדיס. לפני כ- 7 שנים חזרה המשפחה להתגורר בפורדיס, אך עדיין קיימים קונפליקטים בין משפחתו של הנאשם לדודיו מצד אביו. עוד עולה מדברי הנאשם, כי נשר מהלימודים לאחר 7 שנות לימוד בלבד, שאז החל לעבוד ולעזור בפרנסת המשפחה. מתסקיר שירות המבחן מצטיירת קונסטלציה משפחתית מורכבת, זאת על רקע שימוש מופרז של האב באלכוהול והעדר נוכחותו בבית. האב נפטר לפני כ- 6 שנים, ועוד קודם לכן, בעקבות אירוע מוחי שעבר, הפך לנכה ונזקק </w:t>
      </w:r>
      <w:r>
        <w:rPr>
          <w:rFonts w:hint="cs"/>
          <w:rtl/>
        </w:rPr>
        <w:lastRenderedPageBreak/>
        <w:t>לכיסא גלגלים. אמו של הנאשם מוכרת כחולת נפש ובעברה היית</w:t>
      </w:r>
      <w:r>
        <w:rPr>
          <w:rFonts w:hint="eastAsia"/>
          <w:rtl/>
        </w:rPr>
        <w:t>ה</w:t>
      </w:r>
      <w:r>
        <w:rPr>
          <w:rFonts w:hint="cs"/>
          <w:rtl/>
        </w:rPr>
        <w:t xml:space="preserve"> מאושפזת בבתי חולים פסיכיאטרי</w:t>
      </w:r>
      <w:r>
        <w:rPr>
          <w:rFonts w:hint="eastAsia"/>
          <w:rtl/>
        </w:rPr>
        <w:t>ים</w:t>
      </w:r>
      <w:r>
        <w:rPr>
          <w:rFonts w:hint="cs"/>
          <w:rtl/>
        </w:rPr>
        <w:t>. הנאשם ציין בפני שירות המבחן, כי לאחר מותו של אביו, הוטלה עליו האחריות לדאוג למשפחה.</w:t>
      </w:r>
    </w:p>
    <w:p w14:paraId="771C486D" w14:textId="77777777" w:rsidR="00334F4A" w:rsidRDefault="00334F4A" w:rsidP="00334F4A">
      <w:pPr>
        <w:spacing w:line="360" w:lineRule="auto"/>
        <w:rPr>
          <w:rtl/>
        </w:rPr>
      </w:pPr>
    </w:p>
    <w:p w14:paraId="131387FE" w14:textId="77777777" w:rsidR="00334F4A" w:rsidRDefault="00334F4A" w:rsidP="00334F4A">
      <w:pPr>
        <w:spacing w:line="360" w:lineRule="auto"/>
        <w:jc w:val="both"/>
        <w:rPr>
          <w:rtl/>
        </w:rPr>
      </w:pPr>
      <w:r>
        <w:rPr>
          <w:rFonts w:hint="cs"/>
          <w:rtl/>
        </w:rPr>
        <w:t>5.</w:t>
      </w:r>
      <w:r>
        <w:rPr>
          <w:rFonts w:hint="cs"/>
          <w:rtl/>
        </w:rPr>
        <w:tab/>
        <w:t>שירות המבחן התרשם כי הנאשם לוקח אחריות לביצוע העבירות, אך נוטה לצמצם מחומרתן. הנאשם ציין בפני שירות המבחן, כי עובר לביצוע העבירות היה נתון בסכסוך  עם אנשים שאיימו עליו. עוד עולה מדבריו של הנאשם, כי נקלע לסכסוך, על רקע מריבה עם האנשים הנ"ל, בהיותו נתון תחת השפעת  אלכוהול. הנאשם סיפר לשרות המבחן, כי על רקע תחושת האיום שחש, לקח את הנשק מחבר. הנאשם הוסיף וציין, כי מתוך חשש שהנשק יימצא בחזקתו, החליט לבקש מהקטין להחביא את הנשק אצל בן דודו בתקווה ששם הנשק לא יימצא. הנאשם סיפר לשירות המבחן, כי במהלך החקירה, כששמע את קצין המודיעי</w:t>
      </w:r>
      <w:r>
        <w:rPr>
          <w:rFonts w:hint="eastAsia"/>
          <w:rtl/>
        </w:rPr>
        <w:t>ן</w:t>
      </w:r>
      <w:r>
        <w:rPr>
          <w:rFonts w:hint="cs"/>
          <w:rtl/>
        </w:rPr>
        <w:t xml:space="preserve"> מפחיד את הקטין, אמר לאחרון לספר שהנשק לא שייך לו, במטרה להגן עליו.</w:t>
      </w:r>
    </w:p>
    <w:p w14:paraId="6F54E1A1" w14:textId="77777777" w:rsidR="00334F4A" w:rsidRDefault="00334F4A" w:rsidP="00334F4A">
      <w:pPr>
        <w:spacing w:line="360" w:lineRule="auto"/>
        <w:rPr>
          <w:rtl/>
        </w:rPr>
      </w:pPr>
    </w:p>
    <w:p w14:paraId="2660CCD5" w14:textId="77777777" w:rsidR="00334F4A" w:rsidRDefault="00334F4A" w:rsidP="00334F4A">
      <w:pPr>
        <w:spacing w:line="360" w:lineRule="auto"/>
        <w:jc w:val="both"/>
        <w:rPr>
          <w:rtl/>
        </w:rPr>
      </w:pPr>
      <w:r>
        <w:rPr>
          <w:rFonts w:hint="cs"/>
          <w:rtl/>
        </w:rPr>
        <w:t>6.</w:t>
      </w:r>
      <w:r>
        <w:rPr>
          <w:rFonts w:hint="cs"/>
          <w:rtl/>
        </w:rPr>
        <w:tab/>
        <w:t xml:space="preserve">שירות המבחן התרשם מהנאשם כמי שגדל בקונסטלציה משפחתית מורכבת, דבר שהותיר אותו ללא מקורות תמיכה משמעותיים וללא מענה לצרכיו הרגשיים. הנאשם, בהינתן הנכות של אביו ובמיוחד לאחר פטירתו, הפך לגורם של סמכות במשפחתו וחש מחויב לדאוג לפרנסתה. שירות המבחן העריך, כי על רקע נסיבות אלו, התקשה הנאשם לגלות יציבות במסגרות השונות ונותר עם תחושת מחויבות שאינה תואמת לגילו. </w:t>
      </w:r>
      <w:r w:rsidRPr="004116DC">
        <w:rPr>
          <w:rtl/>
        </w:rPr>
        <w:t xml:space="preserve">מהתסקיר עולה כי הנאשם מכיר בעובדה שטעה, אך נוטה לראות במעשיו תוצר של החברה השולית עמה התחבר. לדברי הנאשם, </w:t>
      </w:r>
      <w:r>
        <w:rPr>
          <w:rFonts w:hint="cs"/>
          <w:rtl/>
        </w:rPr>
        <w:t xml:space="preserve">הוא </w:t>
      </w:r>
      <w:r w:rsidRPr="004116DC">
        <w:rPr>
          <w:rtl/>
        </w:rPr>
        <w:t>ניתק קשרים אלו</w:t>
      </w:r>
      <w:r>
        <w:rPr>
          <w:rFonts w:hint="cs"/>
          <w:rtl/>
        </w:rPr>
        <w:t xml:space="preserve"> ולכן</w:t>
      </w:r>
      <w:r w:rsidRPr="004116DC">
        <w:rPr>
          <w:rtl/>
        </w:rPr>
        <w:t xml:space="preserve"> לא ישוב לסורו. </w:t>
      </w:r>
      <w:r>
        <w:rPr>
          <w:rFonts w:hint="cs"/>
          <w:rtl/>
        </w:rPr>
        <w:t>שירות המבחן סבור, כי ייתכן שהרקע  להסתבכותו של הנאשם בעבירות שבפנינו, קשור לקושי שהוא מגלה בהתמודדות במצבים מורכבים. לפיכך, ולאור העובדה שהנאשם שלל נזקקות טיפולית, נמנע שירות המבחן מלהמליץ על חלופה עונשית או שיקומית במסגרת הקהילה, שיהא בכוחה להפחית את הסיכון להישנות עבירות דומות בעתיד.</w:t>
      </w:r>
    </w:p>
    <w:p w14:paraId="6A9EDE38" w14:textId="77777777" w:rsidR="00334F4A" w:rsidRDefault="00334F4A" w:rsidP="00334F4A">
      <w:pPr>
        <w:spacing w:line="360" w:lineRule="auto"/>
        <w:rPr>
          <w:rtl/>
        </w:rPr>
      </w:pPr>
    </w:p>
    <w:p w14:paraId="6BBFF830" w14:textId="77777777" w:rsidR="00334F4A" w:rsidRPr="005463AB" w:rsidRDefault="00334F4A" w:rsidP="00334F4A">
      <w:pPr>
        <w:spacing w:line="360" w:lineRule="auto"/>
        <w:rPr>
          <w:rFonts w:cs="Miriam"/>
          <w:b/>
          <w:bCs/>
          <w:u w:val="single"/>
          <w:rtl/>
        </w:rPr>
      </w:pPr>
      <w:r w:rsidRPr="005463AB">
        <w:rPr>
          <w:rFonts w:cs="Miriam" w:hint="cs"/>
          <w:b/>
          <w:bCs/>
          <w:u w:val="single"/>
          <w:rtl/>
        </w:rPr>
        <w:t>טיעוני המאשימה לעונש</w:t>
      </w:r>
    </w:p>
    <w:p w14:paraId="3EA12E37" w14:textId="77777777" w:rsidR="00334F4A" w:rsidRDefault="00334F4A" w:rsidP="00334F4A">
      <w:pPr>
        <w:spacing w:line="360" w:lineRule="auto"/>
        <w:rPr>
          <w:rtl/>
        </w:rPr>
      </w:pPr>
    </w:p>
    <w:p w14:paraId="4876D9A8" w14:textId="77777777" w:rsidR="00334F4A" w:rsidRDefault="00334F4A" w:rsidP="00334F4A">
      <w:pPr>
        <w:spacing w:line="360" w:lineRule="auto"/>
        <w:contextualSpacing/>
        <w:jc w:val="both"/>
        <w:rPr>
          <w:rFonts w:ascii="David" w:hAnsi="David"/>
          <w:b/>
          <w:rtl/>
        </w:rPr>
      </w:pPr>
      <w:r>
        <w:rPr>
          <w:rFonts w:ascii="David" w:hAnsi="David" w:hint="cs"/>
          <w:b/>
          <w:rtl/>
        </w:rPr>
        <w:t>7.</w:t>
      </w:r>
      <w:r>
        <w:rPr>
          <w:rFonts w:ascii="David" w:hAnsi="David" w:hint="cs"/>
          <w:b/>
          <w:rtl/>
        </w:rPr>
        <w:tab/>
        <w:t>ב"כ המאשימה הבהיר, בטיעוניו לעונש בפניי, כי המאשימה רואה, לצורך קביעת מתחם העונש ההולם, את העבירות בהן הורשע הנאשם, כאירוע אחד. עוד ציין ב"כ המאשימה את החומרה הרבה הטמונה בעבירות הנשק, והדגיש כי לא בכדי קבע המחוקק עונש של עד 10 שנות מאסר בגין העבירה של נשיאת נשק שלא כדין. כן צוין, כי הנשק בו החזיק הנאשם היה מוכן לשימוש, כשלצדו מחסנית ותחמושת רבה. ב"כ המאשימה הוסיף וציין, כי מדובר בנשק אוטומטי שהשימוש בו עלול להוביל לפגיעה רחבת היקף. ב"כ המאשימה טען, כי עבירות בנשק נעשו נפוצות בחברתנו, וכי שומה על בית המשפט להכביד בענישתם של מבצעי עבירות אלו במטרה למגר רעה מסוכנת זו, המאיימת על שלום הציבור כולו. ב"כ המאשימה התייחס בנקודה זו לסיכון הרב הטמון בהגעת הנשק לידי ידיים בלתי מיומנות או לגורמים עויינים.</w:t>
      </w:r>
    </w:p>
    <w:p w14:paraId="1288EE88" w14:textId="77777777" w:rsidR="00334F4A" w:rsidRDefault="00334F4A" w:rsidP="00334F4A">
      <w:pPr>
        <w:spacing w:line="360" w:lineRule="auto"/>
        <w:ind w:left="360"/>
        <w:contextualSpacing/>
        <w:jc w:val="both"/>
        <w:rPr>
          <w:rFonts w:ascii="David" w:hAnsi="David"/>
          <w:b/>
          <w:rtl/>
        </w:rPr>
      </w:pPr>
    </w:p>
    <w:p w14:paraId="2A338B7C" w14:textId="77777777" w:rsidR="00334F4A" w:rsidRDefault="00334F4A" w:rsidP="00334F4A">
      <w:pPr>
        <w:spacing w:line="360" w:lineRule="auto"/>
        <w:contextualSpacing/>
        <w:jc w:val="both"/>
        <w:rPr>
          <w:rFonts w:ascii="David" w:hAnsi="David"/>
          <w:b/>
          <w:rtl/>
        </w:rPr>
      </w:pPr>
      <w:r>
        <w:rPr>
          <w:rFonts w:ascii="David" w:hAnsi="David" w:hint="cs"/>
          <w:b/>
          <w:rtl/>
        </w:rPr>
        <w:t>8.</w:t>
      </w:r>
      <w:r>
        <w:rPr>
          <w:rFonts w:ascii="David" w:hAnsi="David" w:hint="cs"/>
          <w:b/>
          <w:rtl/>
        </w:rPr>
        <w:tab/>
        <w:t xml:space="preserve">עוד טען ב"כ המאשימה למשנה חומרה  בכך שהנאשם מסר את הנשק לידיו של קטין כבן 14 בלבד, וכן החטיא אחרים מהם ביקש לשאת ולהחביא את הנשק והתחמושת עבורו. לדידה של המאשימה, מסירת הנשק לקטין בגיל זה מלמדת על העדר כל עכבות מוסריות ומוסיפה לסיכון הכבד הקיים, ממילא, לשלום הציבור. </w:t>
      </w:r>
      <w:r w:rsidRPr="008C4F70">
        <w:rPr>
          <w:rFonts w:ascii="David" w:hAnsi="David"/>
          <w:b/>
          <w:rtl/>
        </w:rPr>
        <w:t xml:space="preserve">ב"כ המאשימה הוסיף </w:t>
      </w:r>
      <w:r>
        <w:rPr>
          <w:rFonts w:ascii="David" w:hAnsi="David" w:hint="cs"/>
          <w:b/>
          <w:rtl/>
        </w:rPr>
        <w:t>והתייחס ל</w:t>
      </w:r>
      <w:r w:rsidRPr="008C4F70">
        <w:rPr>
          <w:rFonts w:ascii="David" w:hAnsi="David"/>
          <w:b/>
          <w:rtl/>
        </w:rPr>
        <w:t xml:space="preserve">חלקו </w:t>
      </w:r>
      <w:r>
        <w:rPr>
          <w:rFonts w:ascii="David" w:hAnsi="David" w:hint="cs"/>
          <w:b/>
          <w:rtl/>
        </w:rPr>
        <w:t xml:space="preserve">העיקרי </w:t>
      </w:r>
      <w:r w:rsidRPr="008C4F70">
        <w:rPr>
          <w:rFonts w:ascii="David" w:hAnsi="David"/>
          <w:b/>
          <w:rtl/>
        </w:rPr>
        <w:t>של הנאשם באירוע</w:t>
      </w:r>
      <w:r>
        <w:rPr>
          <w:rFonts w:ascii="David" w:hAnsi="David"/>
          <w:b/>
          <w:rtl/>
        </w:rPr>
        <w:t xml:space="preserve">, </w:t>
      </w:r>
      <w:r>
        <w:rPr>
          <w:rFonts w:ascii="David" w:hAnsi="David" w:hint="cs"/>
          <w:b/>
          <w:rtl/>
        </w:rPr>
        <w:t>שהחזיק, כאמור, בנשק ונשא אותו.</w:t>
      </w:r>
    </w:p>
    <w:p w14:paraId="167AD0BE" w14:textId="77777777" w:rsidR="00334F4A" w:rsidRDefault="00334F4A" w:rsidP="00334F4A">
      <w:pPr>
        <w:spacing w:line="360" w:lineRule="auto"/>
        <w:ind w:left="360"/>
        <w:contextualSpacing/>
        <w:jc w:val="both"/>
        <w:rPr>
          <w:rFonts w:ascii="David" w:hAnsi="David"/>
          <w:b/>
          <w:rtl/>
        </w:rPr>
      </w:pPr>
    </w:p>
    <w:p w14:paraId="00A6C173" w14:textId="77777777" w:rsidR="00334F4A" w:rsidRDefault="00334F4A" w:rsidP="00334F4A">
      <w:pPr>
        <w:spacing w:line="360" w:lineRule="auto"/>
        <w:contextualSpacing/>
        <w:jc w:val="both"/>
        <w:rPr>
          <w:rFonts w:ascii="David" w:hAnsi="David"/>
          <w:b/>
          <w:rtl/>
        </w:rPr>
      </w:pPr>
      <w:r>
        <w:rPr>
          <w:rFonts w:ascii="David" w:hAnsi="David" w:hint="cs"/>
          <w:b/>
          <w:rtl/>
        </w:rPr>
        <w:t>9.</w:t>
      </w:r>
      <w:r>
        <w:rPr>
          <w:rFonts w:ascii="David" w:hAnsi="David" w:hint="cs"/>
          <w:b/>
          <w:rtl/>
        </w:rPr>
        <w:tab/>
        <w:t>כן הפנה ב"כ המאשימה לתסקיר שירות המבחן, הסוקר את קורותיו של הנאשם ומלמד על כוחותיו הדלים. בנוסף ציין ב"כ המאשימה בנקודה זו, כי מהתסקיר עולה שהנאשם נוטה למזער מחומרת העבירות בנשק, כמו גם מחומרת העבירה הנוספת בה הורשע, שעניינה  שיבוש  מהלכי משפט (הנאשם טען כי התכוון, במעשיו, להגן על הקטין). עוד נטען ע"י המאשימה, כי הנאשם שלל בפני שירות המבחן כל נזקקות טיפולית, ולפיכך נמנע שירות המבחן ממתן המלצה שיקומית בעניינו של הנאשם.</w:t>
      </w:r>
    </w:p>
    <w:p w14:paraId="185803A4" w14:textId="77777777" w:rsidR="00334F4A" w:rsidRDefault="00334F4A" w:rsidP="00334F4A">
      <w:pPr>
        <w:spacing w:line="360" w:lineRule="auto"/>
        <w:contextualSpacing/>
        <w:jc w:val="both"/>
        <w:rPr>
          <w:rFonts w:ascii="David" w:hAnsi="David"/>
          <w:b/>
          <w:rtl/>
        </w:rPr>
      </w:pPr>
    </w:p>
    <w:p w14:paraId="03905A2A" w14:textId="77777777" w:rsidR="00334F4A" w:rsidRDefault="00334F4A" w:rsidP="00334F4A">
      <w:pPr>
        <w:spacing w:line="360" w:lineRule="auto"/>
        <w:contextualSpacing/>
        <w:jc w:val="both"/>
        <w:rPr>
          <w:rFonts w:ascii="David" w:hAnsi="David"/>
          <w:b/>
          <w:rtl/>
        </w:rPr>
      </w:pPr>
      <w:r>
        <w:rPr>
          <w:rFonts w:ascii="David" w:hAnsi="David" w:hint="cs"/>
          <w:b/>
          <w:rtl/>
        </w:rPr>
        <w:t>10.</w:t>
      </w:r>
      <w:r>
        <w:rPr>
          <w:rFonts w:ascii="David" w:hAnsi="David" w:hint="cs"/>
          <w:b/>
          <w:rtl/>
        </w:rPr>
        <w:tab/>
        <w:t>בסיכומו של דבר, סבורה המאשימה כי מתחם העונש ההולם בתיק זה הינו בין 3 ל- 5 שנות מאסר, לריצוי בפועל, לצד עונש של מאסר מותנה, ולפיכך היא עותרת לגזור על הנאשם עונש במסגרת המתחם הנ"ל.</w:t>
      </w:r>
    </w:p>
    <w:p w14:paraId="53DFA2FC" w14:textId="77777777" w:rsidR="00334F4A" w:rsidRDefault="00334F4A" w:rsidP="00334F4A">
      <w:pPr>
        <w:spacing w:line="360" w:lineRule="auto"/>
        <w:ind w:left="360"/>
        <w:contextualSpacing/>
        <w:jc w:val="both"/>
        <w:rPr>
          <w:rFonts w:ascii="David" w:hAnsi="David"/>
          <w:b/>
          <w:rtl/>
        </w:rPr>
      </w:pPr>
    </w:p>
    <w:p w14:paraId="457C75B3" w14:textId="77777777" w:rsidR="00334F4A" w:rsidRPr="00A70B8E" w:rsidRDefault="00334F4A" w:rsidP="00334F4A">
      <w:pPr>
        <w:spacing w:line="360" w:lineRule="auto"/>
        <w:contextualSpacing/>
        <w:jc w:val="both"/>
        <w:rPr>
          <w:rFonts w:ascii="David" w:hAnsi="David" w:cs="Miriam"/>
          <w:bCs/>
          <w:u w:val="single"/>
          <w:rtl/>
        </w:rPr>
      </w:pPr>
      <w:r w:rsidRPr="00A70B8E">
        <w:rPr>
          <w:rFonts w:ascii="David" w:hAnsi="David" w:cs="Miriam" w:hint="cs"/>
          <w:bCs/>
          <w:u w:val="single"/>
          <w:rtl/>
        </w:rPr>
        <w:t>טיעוני ההגנה לעונש</w:t>
      </w:r>
    </w:p>
    <w:p w14:paraId="52BC3595" w14:textId="77777777" w:rsidR="00334F4A" w:rsidRDefault="00334F4A" w:rsidP="00334F4A">
      <w:pPr>
        <w:spacing w:line="360" w:lineRule="auto"/>
        <w:ind w:left="360"/>
        <w:contextualSpacing/>
        <w:jc w:val="both"/>
        <w:rPr>
          <w:rFonts w:ascii="David" w:hAnsi="David"/>
          <w:b/>
        </w:rPr>
      </w:pPr>
    </w:p>
    <w:p w14:paraId="19608201" w14:textId="77777777" w:rsidR="00334F4A" w:rsidRDefault="00334F4A" w:rsidP="00334F4A">
      <w:pPr>
        <w:spacing w:line="360" w:lineRule="auto"/>
        <w:jc w:val="both"/>
        <w:rPr>
          <w:rtl/>
        </w:rPr>
      </w:pPr>
      <w:r>
        <w:rPr>
          <w:rFonts w:hint="cs"/>
          <w:rtl/>
        </w:rPr>
        <w:t>11.</w:t>
      </w:r>
      <w:r>
        <w:rPr>
          <w:rFonts w:hint="cs"/>
          <w:rtl/>
        </w:rPr>
        <w:tab/>
        <w:t>ב"כ הנאשם ציין, בטיעוניו לעונש בפניי, כי הנאשם לא הביע נזקקות טיפולית בפני שירות המבחן, זאת מפאת העובדה שהוא אינו משתמש בסמים ואינו אלכוהוליסט. ב"כ הנאשם הטעים בנקודה זו כי הנאשם הביע נכונות להשתקם בדרך של התרחקות מהחברה העבריינית.</w:t>
      </w:r>
    </w:p>
    <w:p w14:paraId="266810EB" w14:textId="77777777" w:rsidR="00334F4A" w:rsidRDefault="00334F4A" w:rsidP="00334F4A">
      <w:pPr>
        <w:spacing w:line="360" w:lineRule="auto"/>
        <w:jc w:val="both"/>
        <w:rPr>
          <w:rtl/>
        </w:rPr>
      </w:pPr>
    </w:p>
    <w:p w14:paraId="015DD5D3" w14:textId="77777777" w:rsidR="00334F4A" w:rsidRDefault="00334F4A" w:rsidP="00334F4A">
      <w:pPr>
        <w:spacing w:line="360" w:lineRule="auto"/>
        <w:jc w:val="both"/>
        <w:rPr>
          <w:rtl/>
        </w:rPr>
      </w:pPr>
      <w:r>
        <w:rPr>
          <w:rFonts w:hint="cs"/>
          <w:rtl/>
        </w:rPr>
        <w:t>12.</w:t>
      </w:r>
      <w:r>
        <w:rPr>
          <w:rFonts w:hint="cs"/>
          <w:rtl/>
        </w:rPr>
        <w:tab/>
        <w:t xml:space="preserve">עוד טען ב"כ הנאשם, כי הנאשם נשא את הנשק מרחק קצר, פחות מ-400 מטר, זאת עד למפגש עם הקטין. לפיכך, לדידו, ניתן היה לייחס לנאשם אך עבירה של החזקת נשק שלא כדין, ולא מעבר לכך. ב"כ הנאשם הוסיף וציין את הודאת הנאשם בעובדות כתב האישום המתוקן, אשר חסכה הן מזמנו היקר של בית המשפט והן את העדת העדים. נטען בנקודה זו כי הנאשם לקח אחריות מלאה לביצוע העבירה. עוד ציין ב"כ הנאשם, לקולה, את היות הנאשם בחור צעיר, בן 23, ללא עבר פלילי. ב"כ הנאשם הפנה לאמור בתסקיר שירות המבחן באשר לנסיבות חייו הקשות של הנאשם, אשר נאלץ לפרנס את משפחתו. </w:t>
      </w:r>
    </w:p>
    <w:p w14:paraId="07E0B9F3" w14:textId="77777777" w:rsidR="00334F4A" w:rsidRDefault="00334F4A" w:rsidP="00334F4A">
      <w:pPr>
        <w:spacing w:line="360" w:lineRule="auto"/>
        <w:jc w:val="both"/>
        <w:rPr>
          <w:rtl/>
        </w:rPr>
      </w:pPr>
    </w:p>
    <w:p w14:paraId="534A5EE4" w14:textId="77777777" w:rsidR="00334F4A" w:rsidRDefault="00334F4A" w:rsidP="00334F4A">
      <w:pPr>
        <w:spacing w:line="360" w:lineRule="auto"/>
        <w:jc w:val="both"/>
        <w:rPr>
          <w:rtl/>
        </w:rPr>
      </w:pPr>
      <w:r>
        <w:rPr>
          <w:rFonts w:hint="cs"/>
          <w:rtl/>
        </w:rPr>
        <w:t>13.</w:t>
      </w:r>
      <w:r>
        <w:rPr>
          <w:rFonts w:hint="cs"/>
          <w:rtl/>
        </w:rPr>
        <w:tab/>
        <w:t xml:space="preserve">ב"כ הנאשם הפנה למספר פסקי דין (נ/1-נ/7) בהם הושתו על נאשמים שהורשעו בביצוע עבירת נשק דומה, עונשים של מאסר בפועל לתקופה של 6 חודשים בדרך של עבודות שירות. יוער בנקודה זו כי עיון בפסקי הדין הנ"ל מלמד, כי ברובם אומצה המלצתו העונשית של שירות המבחן ובחלקם דובר בהסדרי טיעון שגיבשו הצדדים. </w:t>
      </w:r>
    </w:p>
    <w:p w14:paraId="67273E55" w14:textId="77777777" w:rsidR="00334F4A" w:rsidRDefault="00334F4A" w:rsidP="00334F4A">
      <w:pPr>
        <w:spacing w:line="360" w:lineRule="auto"/>
        <w:jc w:val="both"/>
        <w:rPr>
          <w:rtl/>
        </w:rPr>
      </w:pPr>
    </w:p>
    <w:p w14:paraId="678F41CE" w14:textId="77777777" w:rsidR="00334F4A" w:rsidRDefault="00334F4A" w:rsidP="00334F4A">
      <w:pPr>
        <w:spacing w:line="360" w:lineRule="auto"/>
        <w:jc w:val="both"/>
        <w:rPr>
          <w:rtl/>
        </w:rPr>
      </w:pPr>
      <w:r>
        <w:rPr>
          <w:rFonts w:hint="cs"/>
          <w:rtl/>
        </w:rPr>
        <w:t>14.</w:t>
      </w:r>
      <w:r>
        <w:rPr>
          <w:rFonts w:hint="cs"/>
          <w:rtl/>
        </w:rPr>
        <w:tab/>
        <w:t xml:space="preserve">בהסתמך על הפסיקה הנ"ל ובהתייחס לפסיקה נוספת, ביקש הסנגור כי בית המשפט יקבע, כי מתחם העונש ההולם בתיק זה כולל בחובו עונש של 6 חודשי מאסר בפועל, ולא מעבר לכך. בד בבד, טען הסנגור כי יש מקום להשית על הנאשם עונש של מאסר בפועל, העומד על תקופת מעצרו. בנקודה זו הלין הסנגור על התנהלות המאשימה וטען כי יש בה כדי להצדיק היעתרות לבקשתו להסתפק בתיק זה אך בימי מעצרו של הנאשם ולא להטיל עליו מאסר בפועל מעבר לכך. הסנגור טען כי המאשימה השתהתה זמן רב בהגשת כתב האישום נגד הקטין וכי הגישה אותו לאחר שהנאשם כבר הודה בעובדות כתב האישום המתוקן, דבר שלטענת הסנגור, מנע מההגנה בתיק זה אפשרות של התייחסות לענישת הקטין. לגרסת הסנגור, יש מקום להשוות בין עונשו של הנאשם לבין עונשו של הקטין, זאת בהינתן גילו הצעיר של הנאשם. לפיכך, טען הסנגור כי קמה לנאשם בתיק זה טענה של הגנה מן הצדק, המצדיקה התחשבות בדינו. יצוין כבר עתה, כי אין ממש בטענתו הנ"ל של הסנגור, שכן מדברי ב"כ המאשימה בדיון בפניי עולה, כי כתב האישום נגד הקטין הוגש אך בחודש דצמבר 2016, זאת בהינתן הצורך לקיים הליכים של "יידוע ושימוע" בעניינו של הקטין עובר להגשת כתב האישום. עוד הבהיר ב"כ המאשימה, כי המאשימה פעלה להגשת כתב האישום כנגד הקטין במהירות המרבית, בכפוף לדרישות החוק לקיים, כאמור, בעניינו הליך של שימוע. אשר על כן, אין לקבל את טענתה הנ"ל של ההגנה להתנהגות שערורייתית של המאשימה ויש לדחות בד בבד את טענת ההגנה מן הצדק שכאמור הועלתה ע"י הסנגור. יתרה מכך,  אף אם הייתה משתהה המאשימה בהגשת כתב האישום נגד הקטין, ספק אם היה בכך כדי לבסס עבור הנאשם טענת הגנה מן הצדק בתיק זה, מה גם ששיקולי הענישה בעניינו של קטין שונים משיקולי הענישה בעניינו של בגיר. </w:t>
      </w:r>
    </w:p>
    <w:p w14:paraId="7DDC707F" w14:textId="77777777" w:rsidR="00334F4A" w:rsidRDefault="00334F4A" w:rsidP="00334F4A">
      <w:pPr>
        <w:spacing w:line="360" w:lineRule="auto"/>
        <w:jc w:val="both"/>
        <w:rPr>
          <w:rtl/>
        </w:rPr>
      </w:pPr>
    </w:p>
    <w:p w14:paraId="0CD4B139" w14:textId="77777777" w:rsidR="00334F4A" w:rsidRPr="009C0FD4" w:rsidRDefault="00334F4A" w:rsidP="00334F4A">
      <w:pPr>
        <w:spacing w:line="360" w:lineRule="auto"/>
        <w:jc w:val="both"/>
        <w:rPr>
          <w:rFonts w:cs="Miriam"/>
          <w:b/>
          <w:bCs/>
          <w:u w:val="single"/>
          <w:rtl/>
        </w:rPr>
      </w:pPr>
      <w:r w:rsidRPr="009C0FD4">
        <w:rPr>
          <w:rFonts w:cs="Miriam" w:hint="cs"/>
          <w:b/>
          <w:bCs/>
          <w:u w:val="single"/>
          <w:rtl/>
        </w:rPr>
        <w:t>דיון והכרעה</w:t>
      </w:r>
    </w:p>
    <w:p w14:paraId="569F9F90" w14:textId="77777777" w:rsidR="00334F4A" w:rsidRPr="009C0CB8" w:rsidRDefault="00334F4A" w:rsidP="00334F4A">
      <w:pPr>
        <w:spacing w:line="360" w:lineRule="auto"/>
        <w:jc w:val="both"/>
        <w:rPr>
          <w:rFonts w:cs="Miriam"/>
          <w:rtl/>
        </w:rPr>
      </w:pPr>
    </w:p>
    <w:p w14:paraId="44B93892" w14:textId="77777777" w:rsidR="00334F4A" w:rsidRDefault="00334F4A" w:rsidP="00334F4A">
      <w:pPr>
        <w:spacing w:line="360" w:lineRule="auto"/>
        <w:jc w:val="both"/>
        <w:rPr>
          <w:rtl/>
        </w:rPr>
      </w:pPr>
      <w:r w:rsidRPr="00894B62">
        <w:rPr>
          <w:rFonts w:hint="cs"/>
          <w:rtl/>
        </w:rPr>
        <w:t>15.</w:t>
      </w:r>
      <w:r>
        <w:rPr>
          <w:rFonts w:cs="Miriam" w:hint="cs"/>
          <w:rtl/>
        </w:rPr>
        <w:tab/>
      </w:r>
      <w:r>
        <w:rPr>
          <w:rtl/>
        </w:rPr>
        <w:t xml:space="preserve">תיקון מס' 113 </w:t>
      </w:r>
      <w:r>
        <w:rPr>
          <w:rFonts w:hint="cs"/>
          <w:rtl/>
        </w:rPr>
        <w:t>ל</w:t>
      </w:r>
      <w:hyperlink r:id="rId20" w:history="1">
        <w:r w:rsidR="0000226A" w:rsidRPr="0000226A">
          <w:rPr>
            <w:color w:val="0000FF"/>
            <w:u w:val="single"/>
            <w:rtl/>
          </w:rPr>
          <w:t>חוק העונשין</w:t>
        </w:r>
      </w:hyperlink>
      <w:r>
        <w:rPr>
          <w:rFonts w:hint="cs"/>
          <w:rtl/>
        </w:rPr>
        <w:t xml:space="preserve"> ש</w:t>
      </w:r>
      <w:r>
        <w:rPr>
          <w:rtl/>
        </w:rPr>
        <w:t xml:space="preserve">מתווה את העיקרון המנחה כיום את ביהמ"ש בבואו לגזור דינו של נאשם, שהינו, לפי </w:t>
      </w:r>
      <w:hyperlink r:id="rId21" w:history="1">
        <w:r w:rsidR="00F473C2" w:rsidRPr="00F473C2">
          <w:rPr>
            <w:rStyle w:val="Hyperlink"/>
            <w:rtl/>
          </w:rPr>
          <w:t>סעיף 40 ב</w:t>
        </w:r>
      </w:hyperlink>
      <w:r>
        <w:rPr>
          <w:rtl/>
        </w:rPr>
        <w:t xml:space="preserve"> לחוק העונשין, עיקרון ההלימה, לפיו צריך להתקיים יחס הולם בין חומרת מעש</w:t>
      </w:r>
      <w:r>
        <w:rPr>
          <w:rFonts w:hint="cs"/>
          <w:rtl/>
        </w:rPr>
        <w:t>ה</w:t>
      </w:r>
      <w:r>
        <w:rPr>
          <w:rtl/>
        </w:rPr>
        <w:t xml:space="preserve"> העבירה בנסיבותיו ומידת אשמו של הנאשם לבין סוג ומידת העונש המוטל עליו. יחס זה מבטא, למעשה, את עיקרון הגמול (ראה </w:t>
      </w:r>
      <w:hyperlink r:id="rId22" w:history="1">
        <w:r w:rsidR="0000226A" w:rsidRPr="0000226A">
          <w:rPr>
            <w:color w:val="0000FF"/>
            <w:u w:val="single"/>
            <w:rtl/>
          </w:rPr>
          <w:t>ע.פ. 1523/10</w:t>
        </w:r>
      </w:hyperlink>
      <w:r>
        <w:rPr>
          <w:rtl/>
        </w:rPr>
        <w:t xml:space="preserve"> </w:t>
      </w:r>
      <w:r w:rsidRPr="00894B62">
        <w:rPr>
          <w:rFonts w:cs="Miriam"/>
          <w:rtl/>
        </w:rPr>
        <w:t>פלוני נ' מדינת ישראל</w:t>
      </w:r>
      <w:r>
        <w:rPr>
          <w:rtl/>
        </w:rPr>
        <w:t xml:space="preserve">, 18/4/12). </w:t>
      </w:r>
      <w:hyperlink r:id="rId23" w:history="1">
        <w:r w:rsidR="00F473C2" w:rsidRPr="00F473C2">
          <w:rPr>
            <w:rStyle w:val="Hyperlink"/>
            <w:rtl/>
          </w:rPr>
          <w:t>סעיף 40 ג'</w:t>
        </w:r>
      </w:hyperlink>
      <w:r>
        <w:rPr>
          <w:rtl/>
        </w:rPr>
        <w:t xml:space="preserve"> ל</w:t>
      </w:r>
      <w:hyperlink r:id="rId24" w:history="1">
        <w:r w:rsidR="0000226A" w:rsidRPr="0000226A">
          <w:rPr>
            <w:color w:val="0000FF"/>
            <w:u w:val="single"/>
            <w:rtl/>
          </w:rPr>
          <w:t>חוק העונשין</w:t>
        </w:r>
      </w:hyperlink>
      <w:r>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25" w:history="1">
        <w:r w:rsidR="00F473C2" w:rsidRPr="00F473C2">
          <w:rPr>
            <w:color w:val="0000FF"/>
            <w:u w:val="single"/>
            <w:rtl/>
          </w:rPr>
          <w:t>בסעיף 40 ט'</w:t>
        </w:r>
      </w:hyperlink>
      <w:r>
        <w:rPr>
          <w:rtl/>
        </w:rPr>
        <w:t xml:space="preserve"> ל</w:t>
      </w:r>
      <w:hyperlink r:id="rId26" w:history="1">
        <w:r w:rsidR="0000226A" w:rsidRPr="0000226A">
          <w:rPr>
            <w:color w:val="0000FF"/>
            <w:u w:val="single"/>
            <w:rtl/>
          </w:rPr>
          <w:t>חוק העונשין</w:t>
        </w:r>
      </w:hyperlink>
      <w:r>
        <w:rPr>
          <w:rtl/>
        </w:rPr>
        <w:t>.</w:t>
      </w:r>
    </w:p>
    <w:p w14:paraId="10BC0A0A" w14:textId="77777777" w:rsidR="00334F4A" w:rsidRDefault="00334F4A" w:rsidP="00334F4A">
      <w:pPr>
        <w:spacing w:line="360" w:lineRule="auto"/>
        <w:rPr>
          <w:rtl/>
        </w:rPr>
      </w:pPr>
    </w:p>
    <w:p w14:paraId="18D9E2AC" w14:textId="77777777" w:rsidR="00334F4A" w:rsidRDefault="00334F4A" w:rsidP="00334F4A">
      <w:pPr>
        <w:spacing w:line="360" w:lineRule="auto"/>
        <w:jc w:val="both"/>
        <w:rPr>
          <w:rtl/>
        </w:rPr>
      </w:pPr>
      <w:r>
        <w:rPr>
          <w:rFonts w:hint="cs"/>
          <w:rtl/>
        </w:rPr>
        <w:t>16</w:t>
      </w:r>
      <w:r>
        <w:rPr>
          <w:rtl/>
        </w:rPr>
        <w:t>.</w:t>
      </w:r>
      <w:r>
        <w:rPr>
          <w:rtl/>
        </w:rPr>
        <w:tab/>
        <w:t>על בית המשפט בשלב הראשון של יישום תיקון 113 ל</w:t>
      </w:r>
      <w:hyperlink r:id="rId27" w:history="1">
        <w:r w:rsidR="0000226A" w:rsidRPr="0000226A">
          <w:rPr>
            <w:color w:val="0000FF"/>
            <w:u w:val="single"/>
            <w:rtl/>
          </w:rPr>
          <w:t>חוק העונשין</w:t>
        </w:r>
      </w:hyperlink>
      <w:r>
        <w:rPr>
          <w:rtl/>
        </w:rPr>
        <w:t>, לבדוק האם העבירות בהן הורשע הנאשם מהוות אירוע אחד או כמה אירועים נפרדים, שאז לקבוע מתחם ענישה הולם לכל אירוע בנפרד ולאחר מכן לגזור עונש נפרד לכל אירוע (בד בבד עם קביעה האם ירוצו העונשים בחופף או במצטבר) או עונש כולל לאירועים כולם (</w:t>
      </w:r>
      <w:hyperlink r:id="rId28" w:history="1">
        <w:r w:rsidR="00F473C2" w:rsidRPr="00F473C2">
          <w:rPr>
            <w:rStyle w:val="Hyperlink"/>
            <w:rtl/>
          </w:rPr>
          <w:t>סעיף 40י"ג (ב)</w:t>
        </w:r>
      </w:hyperlink>
      <w:r>
        <w:rPr>
          <w:rtl/>
        </w:rPr>
        <w:t xml:space="preserve"> לחוק העונשין) (רא</w:t>
      </w:r>
      <w:r>
        <w:rPr>
          <w:rFonts w:hint="cs"/>
          <w:rtl/>
        </w:rPr>
        <w:t>ו:</w:t>
      </w:r>
      <w:r>
        <w:rPr>
          <w:rtl/>
        </w:rPr>
        <w:t xml:space="preserve"> </w:t>
      </w:r>
      <w:hyperlink r:id="rId29" w:history="1">
        <w:r w:rsidR="0000226A" w:rsidRPr="0000226A">
          <w:rPr>
            <w:color w:val="0000FF"/>
            <w:u w:val="single"/>
            <w:rtl/>
          </w:rPr>
          <w:t>ע"פ 8641-12</w:t>
        </w:r>
      </w:hyperlink>
      <w:r>
        <w:rPr>
          <w:rtl/>
        </w:rPr>
        <w:t xml:space="preserve"> </w:t>
      </w:r>
      <w:r w:rsidRPr="00894B62">
        <w:rPr>
          <w:rFonts w:cs="Miriam"/>
          <w:rtl/>
        </w:rPr>
        <w:t>מוחמד סעד נ' מ"י,</w:t>
      </w:r>
      <w:r>
        <w:rPr>
          <w:rtl/>
        </w:rPr>
        <w:t xml:space="preserve">  ניתן ביום 5.8.13). במקרה דנן </w:t>
      </w:r>
      <w:r>
        <w:rPr>
          <w:rFonts w:hint="cs"/>
          <w:rtl/>
        </w:rPr>
        <w:t>אין חולק, כאמור,</w:t>
      </w:r>
      <w:r>
        <w:rPr>
          <w:rtl/>
        </w:rPr>
        <w:t xml:space="preserve"> כי יש לראות את העביר</w:t>
      </w:r>
      <w:r>
        <w:rPr>
          <w:rFonts w:hint="cs"/>
          <w:rtl/>
        </w:rPr>
        <w:t>ות</w:t>
      </w:r>
      <w:r>
        <w:rPr>
          <w:rtl/>
        </w:rPr>
        <w:t xml:space="preserve"> של החזק</w:t>
      </w:r>
      <w:r>
        <w:rPr>
          <w:rFonts w:hint="cs"/>
          <w:rtl/>
        </w:rPr>
        <w:t>ת</w:t>
      </w:r>
      <w:r>
        <w:rPr>
          <w:rtl/>
        </w:rPr>
        <w:t xml:space="preserve"> ונשיאת נשק </w:t>
      </w:r>
      <w:r>
        <w:rPr>
          <w:rFonts w:hint="cs"/>
          <w:rtl/>
        </w:rPr>
        <w:t xml:space="preserve">ושיבוש מהלכי משפט, </w:t>
      </w:r>
      <w:r>
        <w:rPr>
          <w:rtl/>
        </w:rPr>
        <w:t>כאירוע</w:t>
      </w:r>
      <w:r>
        <w:rPr>
          <w:rFonts w:hint="cs"/>
          <w:rtl/>
        </w:rPr>
        <w:t xml:space="preserve"> אחד.</w:t>
      </w:r>
    </w:p>
    <w:p w14:paraId="79D9AD6F" w14:textId="77777777" w:rsidR="00334F4A" w:rsidRDefault="00334F4A" w:rsidP="00334F4A">
      <w:pPr>
        <w:spacing w:line="360" w:lineRule="auto"/>
        <w:jc w:val="both"/>
        <w:rPr>
          <w:rtl/>
        </w:rPr>
      </w:pPr>
    </w:p>
    <w:p w14:paraId="2EDF6A12" w14:textId="77777777" w:rsidR="00334F4A" w:rsidRDefault="00334F4A" w:rsidP="00334F4A">
      <w:pPr>
        <w:spacing w:line="360" w:lineRule="auto"/>
        <w:jc w:val="both"/>
        <w:rPr>
          <w:rtl/>
        </w:rPr>
      </w:pPr>
      <w:r>
        <w:rPr>
          <w:rFonts w:hint="cs"/>
          <w:rtl/>
        </w:rPr>
        <w:t>17.</w:t>
      </w:r>
      <w:r>
        <w:rPr>
          <w:rFonts w:hint="cs"/>
          <w:rtl/>
        </w:rPr>
        <w:tab/>
      </w:r>
      <w:r>
        <w:rPr>
          <w:rtl/>
        </w:rPr>
        <w:t xml:space="preserve">הערך המוגן הנפגע כתוצאה מביצוע </w:t>
      </w:r>
      <w:r>
        <w:rPr>
          <w:rFonts w:hint="cs"/>
          <w:rtl/>
        </w:rPr>
        <w:t>ה</w:t>
      </w:r>
      <w:r>
        <w:rPr>
          <w:rtl/>
        </w:rPr>
        <w:t xml:space="preserve">עבירה של החזקה ונשיאת נשק הינו שלום הציבור ובטחונו. </w:t>
      </w:r>
      <w:r w:rsidRPr="009C0FD4">
        <w:rPr>
          <w:rFonts w:cs="Miriam"/>
          <w:rtl/>
        </w:rPr>
        <w:t>"עבירות בנשק לסוגיהן מגלמות בתוכן סיכון ממשי לשלום הציבור ולבטחונו, שכן לא ניתן לדעת להיכן יתגלגלו כלי הנשק המוחזקים שלא כדין, ואיזה שימוש יעשה בהם בעתיד"</w:t>
      </w:r>
      <w:r>
        <w:rPr>
          <w:rtl/>
        </w:rPr>
        <w:t xml:space="preserve"> (</w:t>
      </w:r>
      <w:hyperlink r:id="rId30" w:history="1">
        <w:r w:rsidR="0000226A" w:rsidRPr="0000226A">
          <w:rPr>
            <w:color w:val="0000FF"/>
            <w:u w:val="single"/>
            <w:rtl/>
          </w:rPr>
          <w:t>ע"פ 7502/12</w:t>
        </w:r>
      </w:hyperlink>
      <w:r>
        <w:rPr>
          <w:rtl/>
        </w:rPr>
        <w:t xml:space="preserve"> ‏</w:t>
      </w:r>
      <w:r w:rsidRPr="009C0FD4">
        <w:rPr>
          <w:rFonts w:cs="Miriam"/>
          <w:rtl/>
        </w:rPr>
        <w:t>כוויס נ' מדינת ישראל</w:t>
      </w:r>
      <w:r>
        <w:rPr>
          <w:rtl/>
        </w:rPr>
        <w:t xml:space="preserve"> (25.6.2013)). בתי המשפט עמדו לא אחת על חומרתן הרבה של עבירות הנשק למיניהן, על פוטנציאל הסיכון הרב הטמון בשימוש בנשק ללא היתר והעברתו מיד ליד ללא פיקוח, ועל התוצאות הקשות והרות-הגורל שעלולות להיגרם מביצוע עבירות אלה. </w:t>
      </w:r>
    </w:p>
    <w:p w14:paraId="4BF4F9FF" w14:textId="77777777" w:rsidR="00334F4A" w:rsidRDefault="00334F4A" w:rsidP="00334F4A">
      <w:pPr>
        <w:spacing w:line="360" w:lineRule="auto"/>
        <w:jc w:val="both"/>
        <w:rPr>
          <w:rtl/>
        </w:rPr>
      </w:pPr>
      <w:r>
        <w:rPr>
          <w:rtl/>
        </w:rPr>
        <w:t>לעניין זה יפים דבריו של כב' השופט לוי ב</w:t>
      </w:r>
      <w:hyperlink r:id="rId31" w:history="1">
        <w:r w:rsidR="0000226A" w:rsidRPr="0000226A">
          <w:rPr>
            <w:color w:val="0000FF"/>
            <w:u w:val="single"/>
            <w:rtl/>
          </w:rPr>
          <w:t>ע"פ 5833/07</w:t>
        </w:r>
      </w:hyperlink>
      <w:r>
        <w:rPr>
          <w:rtl/>
        </w:rPr>
        <w:t xml:space="preserve"> </w:t>
      </w:r>
      <w:r w:rsidRPr="009C0FD4">
        <w:rPr>
          <w:rFonts w:cs="Miriam"/>
          <w:rtl/>
        </w:rPr>
        <w:t>ח'ורי נ' מדינת ישראל</w:t>
      </w:r>
      <w:r>
        <w:rPr>
          <w:rtl/>
        </w:rPr>
        <w:t xml:space="preserve"> </w:t>
      </w:r>
      <w:r>
        <w:rPr>
          <w:rFonts w:hint="cs"/>
          <w:rtl/>
        </w:rPr>
        <w:t>(</w:t>
      </w:r>
      <w:r>
        <w:rPr>
          <w:rtl/>
        </w:rPr>
        <w:t>18.11.2007):</w:t>
      </w:r>
    </w:p>
    <w:p w14:paraId="10279417" w14:textId="77777777" w:rsidR="00334F4A" w:rsidRDefault="00334F4A" w:rsidP="00334F4A">
      <w:pPr>
        <w:spacing w:line="360" w:lineRule="auto"/>
        <w:jc w:val="both"/>
        <w:rPr>
          <w:rFonts w:cs="Miriam"/>
          <w:rtl/>
        </w:rPr>
      </w:pPr>
      <w:r w:rsidRPr="009C0FD4">
        <w:rPr>
          <w:rFonts w:cs="Miriam"/>
          <w:rtl/>
        </w:rPr>
        <w:t xml:space="preserve">"הניסיון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לפיכך, התרענו בעבר ונחזור ונתריע גם הפעם, כי כל החוטא בעבירות מסוג זה עלול להידרש לשלם מחיר יקר, ואף באובדן חירותו לתקופה ממושכת...". </w:t>
      </w:r>
    </w:p>
    <w:p w14:paraId="5968F1C6" w14:textId="77777777" w:rsidR="00334F4A" w:rsidRDefault="00334F4A" w:rsidP="00334F4A">
      <w:pPr>
        <w:spacing w:line="360" w:lineRule="auto"/>
        <w:rPr>
          <w:rFonts w:cs="Miriam"/>
          <w:rtl/>
        </w:rPr>
      </w:pPr>
    </w:p>
    <w:p w14:paraId="2A101458" w14:textId="77777777" w:rsidR="00334F4A" w:rsidRDefault="00334F4A" w:rsidP="00334F4A">
      <w:pPr>
        <w:spacing w:line="360" w:lineRule="auto"/>
        <w:jc w:val="both"/>
        <w:rPr>
          <w:rtl/>
        </w:rPr>
      </w:pPr>
      <w:r w:rsidRPr="009C0FD4">
        <w:rPr>
          <w:rFonts w:hint="cs"/>
          <w:rtl/>
        </w:rPr>
        <w:t>1</w:t>
      </w:r>
      <w:r>
        <w:rPr>
          <w:rFonts w:hint="cs"/>
          <w:rtl/>
        </w:rPr>
        <w:t>8</w:t>
      </w:r>
      <w:r w:rsidRPr="009C0FD4">
        <w:rPr>
          <w:rFonts w:hint="cs"/>
          <w:rtl/>
        </w:rPr>
        <w:t>.</w:t>
      </w:r>
      <w:r w:rsidRPr="009C0FD4">
        <w:rPr>
          <w:rFonts w:hint="cs"/>
          <w:rtl/>
        </w:rPr>
        <w:tab/>
      </w:r>
      <w:r>
        <w:rPr>
          <w:rFonts w:hint="cs"/>
          <w:rtl/>
        </w:rPr>
        <w:t xml:space="preserve">ומהתם להכא: כך גם במקרה דנן יש לזקוף, לחובת הנאשם, את העובדה שהנאשם העביר את הנשק, בצירוף המחסנית והכדורים, לידי קטין, קרוב משפחה, שהיה בעת הרלוונטית אך בן 14 ו-5 חודשים. הנאשם ביקש מהקטין להוביל את התיק שהכיל את הנשק, המחסנית והתחמושת ולהחביאו עבורו. אין צורך להכביר במילים באשר לחומרת התנהלותו הנ"ל של הנאשם, אשר הפקיד בידיו של קטין הן נשק מסוג תת מקלע מאולתר, שהינו נשק אוטומטי, והן מחסנית ותחמושת רבה לנשק. בנקודה זו יודגש כי עסקינן בכמות אדירה של כדורים לנשק </w:t>
      </w:r>
      <w:r>
        <w:rPr>
          <w:rtl/>
        </w:rPr>
        <w:t>–</w:t>
      </w:r>
      <w:r>
        <w:rPr>
          <w:rFonts w:hint="cs"/>
          <w:rtl/>
        </w:rPr>
        <w:t xml:space="preserve"> 237 כדורים, דבר המשווה להתנהלותו של הנאשם נופך נוסף של חומרה. עוד אוסיף, במסגרת סקירת הנסיבות הקשורות בביצוע העבירות, כי חלקו של הנאשם בפרשה מושא כתב האישום הינו חלק בלתי מבוטל. ודוק, הנאשם הוא זה שהעביר את הנשק לקטין, אשר הביאו, בסופו של דבר, לביתו של נאשם 2, זאת כאמור בכתב האישום שבפנינו. זאת ועוד, הנאשם ביצע, בצד העבירות בנשק, גם עבירה של שיבוש מהלכי משפט, הפוגעת בערך המוגן של שלטון החוק והמשפט במדינתנו. ודוק, נאשם 1 אמר לקטין, עת שהיו השניים נתונים במעצר בתחנת המשטרה, כי לא יקשור עצמו, במסגרת חקירתו, לנשק, זאת כפי שעולה מסעיף 8 לעובדות כתב האישום המתוקן.</w:t>
      </w:r>
    </w:p>
    <w:p w14:paraId="45E93E86" w14:textId="77777777" w:rsidR="00334F4A" w:rsidRDefault="00334F4A" w:rsidP="00334F4A">
      <w:pPr>
        <w:spacing w:line="360" w:lineRule="auto"/>
        <w:jc w:val="both"/>
        <w:rPr>
          <w:rtl/>
        </w:rPr>
      </w:pPr>
    </w:p>
    <w:p w14:paraId="20106A41" w14:textId="77777777" w:rsidR="00334F4A" w:rsidRDefault="00334F4A" w:rsidP="00334F4A">
      <w:pPr>
        <w:spacing w:line="360" w:lineRule="auto"/>
        <w:jc w:val="both"/>
        <w:rPr>
          <w:rtl/>
        </w:rPr>
      </w:pPr>
      <w:r>
        <w:rPr>
          <w:rFonts w:hint="cs"/>
          <w:rtl/>
        </w:rPr>
        <w:t>19.</w:t>
      </w:r>
      <w:r>
        <w:rPr>
          <w:rtl/>
        </w:rPr>
        <w:tab/>
      </w:r>
      <w:r>
        <w:rPr>
          <w:rFonts w:hint="cs"/>
          <w:rtl/>
        </w:rPr>
        <w:t xml:space="preserve">מנגד, יש ליתן את הדעת במידת מה, לטובת הנאשם, לכך שנשא את הנשק למרחק קצר יחסית, כפי שנטען בנקודה זו ע"י הסנגור. יובהר כי ממקרא כתב האישום שבפנינו עולה, כי המרחק מביתו של הנאשם ועד לביתו של נאשם 2 בו הוטמן הנשק, הוא מרחק של 400 מטרים בלבד, וכן כי הנאשם החזיק והוביל את הנשק, המחסנית והתחמושת מביתו למקום המפגש עם הקטין, המצוי בקרבת מקום מגוריהם של הנאשמים. </w:t>
      </w:r>
    </w:p>
    <w:p w14:paraId="30C915B5" w14:textId="77777777" w:rsidR="00334F4A" w:rsidRDefault="00334F4A" w:rsidP="00334F4A">
      <w:pPr>
        <w:spacing w:line="360" w:lineRule="auto"/>
        <w:rPr>
          <w:rtl/>
        </w:rPr>
      </w:pPr>
    </w:p>
    <w:p w14:paraId="2D528F48" w14:textId="77777777" w:rsidR="00334F4A" w:rsidRDefault="00334F4A" w:rsidP="00334F4A">
      <w:pPr>
        <w:spacing w:line="360" w:lineRule="auto"/>
        <w:jc w:val="both"/>
        <w:rPr>
          <w:rtl/>
        </w:rPr>
      </w:pPr>
      <w:r>
        <w:rPr>
          <w:rFonts w:hint="cs"/>
          <w:rtl/>
        </w:rPr>
        <w:t>20.</w:t>
      </w:r>
      <w:r>
        <w:rPr>
          <w:rtl/>
        </w:rPr>
        <w:tab/>
      </w:r>
      <w:r>
        <w:rPr>
          <w:rFonts w:hint="cs"/>
          <w:rtl/>
        </w:rPr>
        <w:t xml:space="preserve"> </w:t>
      </w:r>
      <w:r>
        <w:rPr>
          <w:rtl/>
        </w:rPr>
        <w:t>במסגרת סקירת מדיניות הענישה הנהוגה בגין העביר</w:t>
      </w:r>
      <w:r>
        <w:rPr>
          <w:rFonts w:hint="cs"/>
          <w:rtl/>
        </w:rPr>
        <w:t>ות שעיקרן החזקת ו</w:t>
      </w:r>
      <w:r>
        <w:rPr>
          <w:rtl/>
        </w:rPr>
        <w:t>נשיאת נשק, תובא הפסיקה הבאה:</w:t>
      </w:r>
    </w:p>
    <w:p w14:paraId="534F7E6B" w14:textId="77777777" w:rsidR="00334F4A" w:rsidRDefault="00334F4A" w:rsidP="00334F4A">
      <w:pPr>
        <w:spacing w:line="360" w:lineRule="auto"/>
        <w:rPr>
          <w:rtl/>
        </w:rPr>
      </w:pPr>
    </w:p>
    <w:p w14:paraId="2BB1B0BB" w14:textId="77777777" w:rsidR="00334F4A" w:rsidRDefault="00334F4A" w:rsidP="00334F4A">
      <w:pPr>
        <w:spacing w:line="360" w:lineRule="auto"/>
        <w:jc w:val="both"/>
        <w:rPr>
          <w:rtl/>
        </w:rPr>
      </w:pPr>
      <w:r>
        <w:rPr>
          <w:rtl/>
        </w:rPr>
        <w:t>•</w:t>
      </w:r>
      <w:r>
        <w:rPr>
          <w:rtl/>
        </w:rPr>
        <w:tab/>
        <w:t>ב</w:t>
      </w:r>
      <w:hyperlink r:id="rId32" w:history="1">
        <w:r w:rsidR="0000226A" w:rsidRPr="0000226A">
          <w:rPr>
            <w:color w:val="0000FF"/>
            <w:u w:val="single"/>
            <w:rtl/>
          </w:rPr>
          <w:t>ת"פ (מחוזי באר שבע) 4338-04-13</w:t>
        </w:r>
      </w:hyperlink>
      <w:r>
        <w:rPr>
          <w:rtl/>
        </w:rPr>
        <w:t xml:space="preserve">  </w:t>
      </w:r>
      <w:r w:rsidRPr="00E4188C">
        <w:rPr>
          <w:rFonts w:cs="Miriam"/>
          <w:rtl/>
        </w:rPr>
        <w:t>מדינת ישראל נ' אביעוז</w:t>
      </w:r>
      <w:r>
        <w:rPr>
          <w:rtl/>
        </w:rPr>
        <w:t xml:space="preserve"> ( 11.12.16) הושת על נאשם שהורשע, לאחר שמיעת ראיות, בעבירה של תגרה ובעבירות של נשיאת והובלת נשק - עונש של 14 חודשי מאסר בפועל, בצירוף ענישה נלווית. במקרה הנ"ל דובר בנאשם שנשא במכנסיו מאחור אקדח מסוג ברטה, טעון במחסנית מלאה בכדורים ודרוך בכדור בבית הבליעה ובכיס מכנסיו של אותו נאשם נמצאה מחסנית נוספת, מלאה בכדורים.</w:t>
      </w:r>
      <w:r>
        <w:rPr>
          <w:rFonts w:hint="cs"/>
          <w:rtl/>
        </w:rPr>
        <w:t xml:space="preserve"> יודגש בנקודה זו כי בענייננו מדובר, כאמור,  בנשק מסוג תת מקלע מאולתר, הטומן בחובו מסוכנות פוטנציאלית רבה יותר מזו של אקדח.</w:t>
      </w:r>
    </w:p>
    <w:p w14:paraId="5AD5B1F3" w14:textId="77777777" w:rsidR="00334F4A" w:rsidRDefault="00334F4A" w:rsidP="00334F4A">
      <w:pPr>
        <w:spacing w:line="360" w:lineRule="auto"/>
        <w:rPr>
          <w:rtl/>
        </w:rPr>
      </w:pPr>
    </w:p>
    <w:p w14:paraId="5318A413" w14:textId="77777777" w:rsidR="00334F4A" w:rsidRDefault="00334F4A" w:rsidP="00334F4A">
      <w:pPr>
        <w:spacing w:line="360" w:lineRule="auto"/>
        <w:jc w:val="both"/>
        <w:rPr>
          <w:rtl/>
        </w:rPr>
      </w:pPr>
      <w:r>
        <w:rPr>
          <w:rtl/>
        </w:rPr>
        <w:t>•</w:t>
      </w:r>
      <w:r>
        <w:rPr>
          <w:rtl/>
        </w:rPr>
        <w:tab/>
        <w:t xml:space="preserve"> ב</w:t>
      </w:r>
      <w:hyperlink r:id="rId33" w:history="1">
        <w:r w:rsidR="0000226A" w:rsidRPr="0000226A">
          <w:rPr>
            <w:color w:val="0000FF"/>
            <w:u w:val="single"/>
            <w:rtl/>
          </w:rPr>
          <w:t>ת"פ (מחוזי חיפה) 31862-05-13</w:t>
        </w:r>
      </w:hyperlink>
      <w:r>
        <w:rPr>
          <w:rtl/>
        </w:rPr>
        <w:t xml:space="preserve">  </w:t>
      </w:r>
      <w:r w:rsidRPr="00E4188C">
        <w:rPr>
          <w:rFonts w:cs="Miriam"/>
          <w:rtl/>
        </w:rPr>
        <w:t>מ"י נ' מוחמד מחאמיד</w:t>
      </w:r>
      <w:r>
        <w:rPr>
          <w:rtl/>
        </w:rPr>
        <w:t xml:space="preserve"> (1.10.13) הוטל על נאשם צעיר, בן פחות מ- 21, עונש של 21 חודשי מאסר בפועל בגין עבירה של נשיאת נשק (אקדח) שלא כדין בצד עבירה של הפרעה לשוטר בשעת מילוי תפקידו כדין.   </w:t>
      </w:r>
    </w:p>
    <w:p w14:paraId="735B3CD9" w14:textId="77777777" w:rsidR="00334F4A" w:rsidRDefault="00334F4A" w:rsidP="00334F4A">
      <w:pPr>
        <w:spacing w:line="360" w:lineRule="auto"/>
        <w:jc w:val="both"/>
        <w:rPr>
          <w:rtl/>
        </w:rPr>
      </w:pPr>
      <w:r>
        <w:rPr>
          <w:rtl/>
        </w:rPr>
        <w:t xml:space="preserve"> </w:t>
      </w:r>
    </w:p>
    <w:p w14:paraId="0E3A49C5" w14:textId="77777777" w:rsidR="00334F4A" w:rsidRDefault="00334F4A" w:rsidP="00334F4A">
      <w:pPr>
        <w:spacing w:line="360" w:lineRule="auto"/>
        <w:jc w:val="both"/>
        <w:rPr>
          <w:rtl/>
        </w:rPr>
      </w:pPr>
      <w:r>
        <w:rPr>
          <w:rtl/>
        </w:rPr>
        <w:t>•</w:t>
      </w:r>
      <w:r>
        <w:rPr>
          <w:rtl/>
        </w:rPr>
        <w:tab/>
        <w:t xml:space="preserve"> בת"פ (מחוזי חיפה) 2011/06 </w:t>
      </w:r>
      <w:r w:rsidRPr="00A70847">
        <w:rPr>
          <w:rFonts w:cs="Miriam"/>
          <w:rtl/>
        </w:rPr>
        <w:t>מ"י נ' אבו סנינה</w:t>
      </w:r>
      <w:r>
        <w:rPr>
          <w:rtl/>
        </w:rPr>
        <w:t xml:space="preserve"> (07.03.06) הושת על נאשם שהורשע, עפ"י הודאתו, </w:t>
      </w:r>
      <w:r>
        <w:rPr>
          <w:rFonts w:hint="cs"/>
          <w:rtl/>
        </w:rPr>
        <w:t>בב</w:t>
      </w:r>
      <w:r>
        <w:rPr>
          <w:rtl/>
        </w:rPr>
        <w:t xml:space="preserve">יצוע עבירה של נשיאת נשק שלא כדין עונש של 18 חודשי מאסר בפועל, שם דובר  באקדח שהוחזק בנסיבות מיוחדות ע"י הנאשם,  ואשר לא נעשה בו שימוש כלשהו לאורך שנים.  </w:t>
      </w:r>
    </w:p>
    <w:p w14:paraId="6D2CC4A2" w14:textId="77777777" w:rsidR="00334F4A" w:rsidRDefault="00334F4A" w:rsidP="00334F4A">
      <w:pPr>
        <w:spacing w:line="360" w:lineRule="auto"/>
        <w:rPr>
          <w:rtl/>
        </w:rPr>
      </w:pPr>
    </w:p>
    <w:p w14:paraId="69807249" w14:textId="77777777" w:rsidR="00334F4A" w:rsidRDefault="00334F4A" w:rsidP="00334F4A">
      <w:pPr>
        <w:spacing w:line="360" w:lineRule="auto"/>
        <w:jc w:val="both"/>
        <w:rPr>
          <w:rtl/>
        </w:rPr>
      </w:pPr>
      <w:r>
        <w:rPr>
          <w:rtl/>
        </w:rPr>
        <w:t>•</w:t>
      </w:r>
      <w:r>
        <w:rPr>
          <w:rtl/>
        </w:rPr>
        <w:tab/>
      </w:r>
      <w:r>
        <w:rPr>
          <w:rFonts w:hint="cs"/>
          <w:rtl/>
        </w:rPr>
        <w:t>ב</w:t>
      </w:r>
      <w:hyperlink r:id="rId34" w:history="1">
        <w:r w:rsidR="0000226A" w:rsidRPr="0000226A">
          <w:rPr>
            <w:color w:val="0000FF"/>
            <w:u w:val="single"/>
            <w:rtl/>
          </w:rPr>
          <w:t>ת"פ (מחוזי חיפה) 3451-02-14</w:t>
        </w:r>
      </w:hyperlink>
      <w:r>
        <w:rPr>
          <w:rFonts w:hint="cs"/>
          <w:rtl/>
        </w:rPr>
        <w:t xml:space="preserve"> </w:t>
      </w:r>
      <w:r w:rsidRPr="00832C14">
        <w:rPr>
          <w:rFonts w:cs="Miriam" w:hint="cs"/>
          <w:rtl/>
        </w:rPr>
        <w:t xml:space="preserve">מדינת ישראל נ' </w:t>
      </w:r>
      <w:r>
        <w:rPr>
          <w:rFonts w:cs="Miriam" w:hint="cs"/>
          <w:rtl/>
        </w:rPr>
        <w:t xml:space="preserve">עבד </w:t>
      </w:r>
      <w:r w:rsidRPr="00832C14">
        <w:rPr>
          <w:rFonts w:cs="Miriam" w:hint="cs"/>
          <w:rtl/>
        </w:rPr>
        <w:t>אלעאל</w:t>
      </w:r>
      <w:r>
        <w:rPr>
          <w:rFonts w:hint="cs"/>
          <w:rtl/>
        </w:rPr>
        <w:t xml:space="preserve"> (23.9.14) הושת על נאשם בן 21 בעל עבר נקי שהורשע, לאחר שמיעת ראיות, בביצוע עבירות של נשיאת והחזקת נשק (תת מקלע מאולתר ובתוכו מחסנית וכדורים), בצד עבירה של הפרעה לשוטר במילוי תפקידו כדין, עונש של 18 חודשי מאסר בפועל, וכן ענישה נלווית.</w:t>
      </w:r>
    </w:p>
    <w:p w14:paraId="7FAD4909" w14:textId="77777777" w:rsidR="00334F4A" w:rsidRDefault="00334F4A" w:rsidP="00334F4A">
      <w:pPr>
        <w:spacing w:line="360" w:lineRule="auto"/>
        <w:rPr>
          <w:rtl/>
        </w:rPr>
      </w:pPr>
    </w:p>
    <w:p w14:paraId="35D7DB67" w14:textId="77777777" w:rsidR="00334F4A" w:rsidRDefault="00334F4A" w:rsidP="00334F4A">
      <w:pPr>
        <w:spacing w:line="360" w:lineRule="auto"/>
        <w:jc w:val="both"/>
        <w:rPr>
          <w:rtl/>
        </w:rPr>
      </w:pPr>
      <w:r>
        <w:rPr>
          <w:rFonts w:hint="cs"/>
          <w:rtl/>
        </w:rPr>
        <w:t>21.</w:t>
      </w:r>
      <w:r>
        <w:rPr>
          <w:rFonts w:hint="cs"/>
          <w:rtl/>
        </w:rPr>
        <w:tab/>
        <w:t xml:space="preserve">לאחר שסקרתי, כאמור, את הערכים שנפגעו כתוצאה מביצוע העבירות על ידי הנאשם, כמו גם את נסיבות ביצוע העבירות ואת מדיניות הענישה הנהוגה, ובתיתי את הדעת לכך שבצד עבירות הנשק, ביצע הנאשם גם עבירה של שיבוש מהלכי משפט, הגעתי לכלל מסקנה כי מתחם העונש ההולם בתיק זה נע בין עונש של 24 חודשי מאסר בפועל לבין עונש של 48 חודשי מאסר בפועל. </w:t>
      </w:r>
    </w:p>
    <w:p w14:paraId="3508BF15" w14:textId="77777777" w:rsidR="00334F4A" w:rsidRDefault="00334F4A" w:rsidP="00334F4A">
      <w:pPr>
        <w:spacing w:line="360" w:lineRule="auto"/>
        <w:rPr>
          <w:rtl/>
        </w:rPr>
      </w:pPr>
    </w:p>
    <w:p w14:paraId="2B97591A" w14:textId="77777777" w:rsidR="00334F4A" w:rsidRDefault="00334F4A" w:rsidP="00334F4A">
      <w:pPr>
        <w:spacing w:line="360" w:lineRule="auto"/>
        <w:jc w:val="both"/>
        <w:rPr>
          <w:rtl/>
        </w:rPr>
      </w:pPr>
      <w:r>
        <w:rPr>
          <w:rFonts w:hint="cs"/>
          <w:rtl/>
        </w:rPr>
        <w:t>22.</w:t>
      </w:r>
      <w:r>
        <w:rPr>
          <w:rFonts w:hint="cs"/>
          <w:rtl/>
        </w:rPr>
        <w:tab/>
        <w:t xml:space="preserve">במסגרת בחינת הנסיבות שאינן קשורות בביצוע העבירות, כאמור </w:t>
      </w:r>
      <w:hyperlink r:id="rId35" w:history="1">
        <w:r w:rsidR="00F473C2" w:rsidRPr="00F473C2">
          <w:rPr>
            <w:rStyle w:val="Hyperlink"/>
            <w:rFonts w:hint="eastAsia"/>
            <w:rtl/>
          </w:rPr>
          <w:t>בסעיף</w:t>
        </w:r>
        <w:r w:rsidR="00F473C2" w:rsidRPr="00F473C2">
          <w:rPr>
            <w:rStyle w:val="Hyperlink"/>
            <w:rtl/>
          </w:rPr>
          <w:t xml:space="preserve"> 40 י"א</w:t>
        </w:r>
      </w:hyperlink>
      <w:r>
        <w:rPr>
          <w:rFonts w:hint="cs"/>
          <w:rtl/>
        </w:rPr>
        <w:t xml:space="preserve"> ל</w:t>
      </w:r>
      <w:hyperlink r:id="rId36" w:history="1">
        <w:r w:rsidR="0000226A" w:rsidRPr="0000226A">
          <w:rPr>
            <w:color w:val="0000FF"/>
            <w:u w:val="single"/>
            <w:rtl/>
          </w:rPr>
          <w:t>חוק העונשין</w:t>
        </w:r>
      </w:hyperlink>
      <w:r>
        <w:rPr>
          <w:rFonts w:hint="cs"/>
          <w:rtl/>
        </w:rPr>
        <w:t>, אציין בראש ובראשונה את עברו הנקי ללא רבב של הנאשם, שהינו בחור צעיר ( הנאשם ביצע את העבירה בהיותו בן 23). כמו כן, אזקוף, לטובת הנאשם, את הודאתו בעובדות כתב האישום המתוקן, אשר חסכה הן מזמנו היקר של בית המשפט והן את העדת העדים בתיק זה. לאמור לעיל אוסיף את נסיבות חייו הקשות של הנאשם, כמתואר בתסקיר שירות המבחן. בעטיין של נסיבות אלו, נאלץ הנאשם לדאוג לפרנסת משפחתו. מתסקיר שירות המבחן עולה, כי הנאשם לוקח אחריות לביצוע העבירות, אולם ממעיט מחומרתן. הנאשם לא הביע נזקקות טיפולית בפני שירות המבחן, ולפיכך נמנע האחרון מלבוא בהמלצה טיפולית בעניינו.</w:t>
      </w:r>
    </w:p>
    <w:p w14:paraId="6842176E" w14:textId="77777777" w:rsidR="00334F4A" w:rsidRDefault="00334F4A" w:rsidP="00334F4A">
      <w:pPr>
        <w:spacing w:line="360" w:lineRule="auto"/>
        <w:rPr>
          <w:rtl/>
        </w:rPr>
      </w:pPr>
    </w:p>
    <w:p w14:paraId="4A89C0C2" w14:textId="77777777" w:rsidR="00334F4A" w:rsidRDefault="00334F4A" w:rsidP="00334F4A">
      <w:pPr>
        <w:spacing w:line="360" w:lineRule="auto"/>
        <w:jc w:val="both"/>
        <w:rPr>
          <w:rtl/>
        </w:rPr>
      </w:pPr>
      <w:r>
        <w:rPr>
          <w:rFonts w:hint="cs"/>
          <w:rtl/>
        </w:rPr>
        <w:t>23.</w:t>
      </w:r>
      <w:r>
        <w:rPr>
          <w:rFonts w:hint="cs"/>
          <w:rtl/>
        </w:rPr>
        <w:tab/>
        <w:t xml:space="preserve">לאחר ששקלתי את הנסיבות הנ"ל שאינן קשורות בביצוע העבירות, הגעתי לכלל מסקנה, כי יש בהן כדי לקבוע את תקופת מאסרו של הנאשם ברף התחתון של מתחם העונש ההולם, אשר נקבע על ידי לעיל. בצד עונש של מאסר בפועל, יושת על הנאשם גם עונש של מאסר על תנאי משמעותי ומרתיע. </w:t>
      </w:r>
    </w:p>
    <w:p w14:paraId="21B4BE9A" w14:textId="77777777" w:rsidR="00334F4A" w:rsidRDefault="00334F4A" w:rsidP="00334F4A">
      <w:pPr>
        <w:spacing w:line="360" w:lineRule="auto"/>
        <w:rPr>
          <w:rtl/>
        </w:rPr>
      </w:pPr>
    </w:p>
    <w:p w14:paraId="2E00D18B" w14:textId="77777777" w:rsidR="00334F4A" w:rsidRDefault="00334F4A" w:rsidP="00334F4A">
      <w:pPr>
        <w:spacing w:line="360" w:lineRule="auto"/>
        <w:jc w:val="both"/>
        <w:rPr>
          <w:rtl/>
        </w:rPr>
      </w:pPr>
      <w:r>
        <w:rPr>
          <w:rFonts w:hint="cs"/>
          <w:rtl/>
        </w:rPr>
        <w:t>24.</w:t>
      </w:r>
      <w:r>
        <w:rPr>
          <w:rtl/>
        </w:rPr>
        <w:tab/>
      </w:r>
      <w:r>
        <w:rPr>
          <w:rFonts w:hint="cs"/>
          <w:rtl/>
        </w:rPr>
        <w:t>סיכומו של דבר, אני דנה את הנאשם, כדלקמן:</w:t>
      </w:r>
    </w:p>
    <w:p w14:paraId="707392CA" w14:textId="77777777" w:rsidR="00334F4A" w:rsidRDefault="00334F4A" w:rsidP="00334F4A">
      <w:pPr>
        <w:spacing w:line="360" w:lineRule="auto"/>
        <w:jc w:val="both"/>
        <w:rPr>
          <w:rtl/>
        </w:rPr>
      </w:pPr>
    </w:p>
    <w:p w14:paraId="1CD352A9" w14:textId="77777777" w:rsidR="00334F4A" w:rsidRDefault="00334F4A" w:rsidP="00334F4A">
      <w:pPr>
        <w:spacing w:line="360" w:lineRule="auto"/>
        <w:jc w:val="both"/>
        <w:rPr>
          <w:rtl/>
        </w:rPr>
      </w:pPr>
      <w:r>
        <w:rPr>
          <w:rFonts w:hint="cs"/>
          <w:rtl/>
        </w:rPr>
        <w:t>למאסר בפועל לתקופה של 24 חודשים, בניכוי ימי מעצרו (מיום 09.08.16).</w:t>
      </w:r>
    </w:p>
    <w:p w14:paraId="7216D9DC" w14:textId="77777777" w:rsidR="00334F4A" w:rsidRDefault="00334F4A" w:rsidP="00334F4A">
      <w:pPr>
        <w:spacing w:line="360" w:lineRule="auto"/>
        <w:jc w:val="both"/>
        <w:rPr>
          <w:rtl/>
        </w:rPr>
      </w:pPr>
    </w:p>
    <w:p w14:paraId="71B0BD29" w14:textId="77777777" w:rsidR="00334F4A" w:rsidRDefault="00334F4A" w:rsidP="00334F4A">
      <w:pPr>
        <w:spacing w:line="360" w:lineRule="auto"/>
        <w:jc w:val="both"/>
        <w:rPr>
          <w:rtl/>
        </w:rPr>
      </w:pPr>
      <w:r>
        <w:rPr>
          <w:rtl/>
        </w:rPr>
        <w:t xml:space="preserve">למאסר על תנאי לתקופה של 12 חודשים למשך 3 שנים, והתנאי הוא כי הנאשם לא יעבור עבירה מסוג פשע לפי </w:t>
      </w:r>
      <w:hyperlink r:id="rId37" w:history="1">
        <w:r w:rsidR="00F473C2" w:rsidRPr="00F473C2">
          <w:rPr>
            <w:rStyle w:val="Hyperlink"/>
            <w:rtl/>
          </w:rPr>
          <w:t>סעיף 144</w:t>
        </w:r>
      </w:hyperlink>
      <w:r>
        <w:rPr>
          <w:rtl/>
        </w:rPr>
        <w:t xml:space="preserve"> ל</w:t>
      </w:r>
      <w:hyperlink r:id="rId38" w:history="1">
        <w:r w:rsidR="0000226A" w:rsidRPr="0000226A">
          <w:rPr>
            <w:color w:val="0000FF"/>
            <w:u w:val="single"/>
            <w:rtl/>
          </w:rPr>
          <w:t>חוק העונשין</w:t>
        </w:r>
      </w:hyperlink>
      <w:r>
        <w:rPr>
          <w:rtl/>
        </w:rPr>
        <w:t>, התשל"ז-1977 ויורשע בגינה.</w:t>
      </w:r>
    </w:p>
    <w:p w14:paraId="2455D1FF" w14:textId="77777777" w:rsidR="00334F4A" w:rsidRDefault="00334F4A" w:rsidP="00334F4A">
      <w:pPr>
        <w:spacing w:line="360" w:lineRule="auto"/>
        <w:jc w:val="both"/>
        <w:rPr>
          <w:rtl/>
        </w:rPr>
      </w:pPr>
    </w:p>
    <w:p w14:paraId="0B65E01B" w14:textId="77777777" w:rsidR="00334F4A" w:rsidRDefault="00334F4A" w:rsidP="00334F4A">
      <w:pPr>
        <w:spacing w:line="360" w:lineRule="auto"/>
        <w:jc w:val="both"/>
        <w:rPr>
          <w:rtl/>
        </w:rPr>
      </w:pPr>
      <w:r>
        <w:rPr>
          <w:rtl/>
        </w:rPr>
        <w:t xml:space="preserve">למאסר על תנאי לתקופה של 6 חודשים למשך 3 שנים, והתנאי הוא כי הנאשם לא יעבור עבירה מסוג עוון לפי </w:t>
      </w:r>
      <w:hyperlink r:id="rId39" w:history="1">
        <w:r w:rsidR="00F473C2" w:rsidRPr="00F473C2">
          <w:rPr>
            <w:rStyle w:val="Hyperlink"/>
            <w:rtl/>
          </w:rPr>
          <w:t>סעיף 144</w:t>
        </w:r>
      </w:hyperlink>
      <w:r>
        <w:rPr>
          <w:rtl/>
        </w:rPr>
        <w:t xml:space="preserve"> ל</w:t>
      </w:r>
      <w:hyperlink r:id="rId40" w:history="1">
        <w:r w:rsidR="0000226A" w:rsidRPr="0000226A">
          <w:rPr>
            <w:color w:val="0000FF"/>
            <w:u w:val="single"/>
            <w:rtl/>
          </w:rPr>
          <w:t>חוק העונשין</w:t>
        </w:r>
      </w:hyperlink>
      <w:r>
        <w:rPr>
          <w:rtl/>
        </w:rPr>
        <w:t xml:space="preserve">, התשל"ז-1977 </w:t>
      </w:r>
      <w:r>
        <w:rPr>
          <w:rFonts w:hint="cs"/>
          <w:rtl/>
        </w:rPr>
        <w:t xml:space="preserve">ו/או עבירה לפי 244 לחוק העונשין </w:t>
      </w:r>
      <w:r>
        <w:rPr>
          <w:rtl/>
        </w:rPr>
        <w:t>ויורשע בגי</w:t>
      </w:r>
      <w:r>
        <w:rPr>
          <w:rFonts w:hint="cs"/>
          <w:rtl/>
        </w:rPr>
        <w:t>ן אחת או יותר מהן</w:t>
      </w:r>
      <w:r>
        <w:rPr>
          <w:rtl/>
        </w:rPr>
        <w:t>.</w:t>
      </w:r>
    </w:p>
    <w:p w14:paraId="5E5335B0" w14:textId="77777777" w:rsidR="00334F4A" w:rsidRDefault="00334F4A" w:rsidP="00334F4A">
      <w:pPr>
        <w:spacing w:line="360" w:lineRule="auto"/>
        <w:jc w:val="both"/>
        <w:rPr>
          <w:rtl/>
        </w:rPr>
      </w:pPr>
    </w:p>
    <w:p w14:paraId="393F7E86" w14:textId="77777777" w:rsidR="00334F4A" w:rsidRDefault="00334F4A" w:rsidP="00334F4A">
      <w:pPr>
        <w:spacing w:line="360" w:lineRule="auto"/>
        <w:jc w:val="both"/>
        <w:rPr>
          <w:rtl/>
        </w:rPr>
      </w:pPr>
    </w:p>
    <w:p w14:paraId="53E5AF7F" w14:textId="77777777" w:rsidR="00334F4A" w:rsidRDefault="00334F4A" w:rsidP="00334F4A">
      <w:pPr>
        <w:spacing w:line="360" w:lineRule="auto"/>
        <w:jc w:val="both"/>
        <w:rPr>
          <w:rtl/>
        </w:rPr>
      </w:pPr>
      <w:r>
        <w:rPr>
          <w:rtl/>
        </w:rPr>
        <w:t>זכות ערעור תוך 45 יום לבית המשפט העליון.</w:t>
      </w:r>
    </w:p>
    <w:p w14:paraId="2D8A8CA8" w14:textId="77777777" w:rsidR="00334F4A" w:rsidRDefault="00334F4A" w:rsidP="00334F4A">
      <w:pPr>
        <w:spacing w:line="360" w:lineRule="auto"/>
        <w:rPr>
          <w:rtl/>
        </w:rPr>
      </w:pPr>
    </w:p>
    <w:p w14:paraId="3742C3A0" w14:textId="77777777" w:rsidR="00334F4A" w:rsidRPr="009C0FD4" w:rsidRDefault="00334F4A" w:rsidP="00334F4A">
      <w:pPr>
        <w:spacing w:line="360" w:lineRule="auto"/>
        <w:rPr>
          <w:rtl/>
        </w:rPr>
      </w:pPr>
      <w:r>
        <w:rPr>
          <w:rFonts w:hint="cs"/>
          <w:rtl/>
        </w:rPr>
        <w:t>המזכירות תמציא העתק מגזר הדין לשרות המבחן.</w:t>
      </w:r>
    </w:p>
    <w:p w14:paraId="1757AC9E" w14:textId="77777777" w:rsidR="00334F4A" w:rsidRDefault="00334F4A" w:rsidP="00334F4A">
      <w:pPr>
        <w:spacing w:line="360" w:lineRule="auto"/>
        <w:jc w:val="both"/>
        <w:rPr>
          <w:rtl/>
        </w:rPr>
      </w:pPr>
    </w:p>
    <w:p w14:paraId="1985D48F" w14:textId="77777777" w:rsidR="00334F4A" w:rsidRPr="00B05847" w:rsidRDefault="00334F4A" w:rsidP="00334F4A">
      <w:pPr>
        <w:spacing w:line="360" w:lineRule="auto"/>
        <w:jc w:val="both"/>
        <w:rPr>
          <w:rtl/>
        </w:rPr>
      </w:pPr>
    </w:p>
    <w:p w14:paraId="3E383D67" w14:textId="77777777" w:rsidR="00334F4A" w:rsidRDefault="0000226A" w:rsidP="00334F4A">
      <w:pPr>
        <w:spacing w:line="360" w:lineRule="auto"/>
        <w:jc w:val="both"/>
        <w:rPr>
          <w:rFonts w:ascii="Arial" w:hAnsi="Arial"/>
        </w:rPr>
      </w:pPr>
      <w:r w:rsidRPr="0000226A">
        <w:rPr>
          <w:rFonts w:ascii="Arial" w:hAnsi="Arial"/>
          <w:color w:val="FFFFFF"/>
          <w:sz w:val="2"/>
          <w:szCs w:val="2"/>
          <w:rtl/>
        </w:rPr>
        <w:t>5129371</w:t>
      </w:r>
      <w:r>
        <w:rPr>
          <w:rFonts w:ascii="Arial" w:hAnsi="Arial"/>
          <w:rtl/>
        </w:rPr>
        <w:t xml:space="preserve">ניתן היום,  כ"ח טבת תשע"ז, 26 ינואר 2017, במעמד ב"כ המאשימה עו"ד הגב' קוזמינר, ב"כ </w:t>
      </w:r>
      <w:r w:rsidR="00334F4A">
        <w:rPr>
          <w:rFonts w:ascii="Arial" w:hAnsi="Arial" w:hint="cs"/>
          <w:rtl/>
        </w:rPr>
        <w:t>הנאשם עו"ד ברייה מוחמד והנאשם בעצמו (הובא באמצעות שב"ס).</w:t>
      </w:r>
    </w:p>
    <w:p w14:paraId="0E986EE3" w14:textId="77777777" w:rsidR="00334F4A" w:rsidRPr="0000226A" w:rsidRDefault="0000226A" w:rsidP="00334F4A">
      <w:pPr>
        <w:spacing w:line="360" w:lineRule="auto"/>
        <w:rPr>
          <w:rFonts w:cs="FrankRuehl"/>
          <w:color w:val="FFFFFF"/>
          <w:sz w:val="2"/>
          <w:szCs w:val="2"/>
          <w:rtl/>
        </w:rPr>
      </w:pPr>
      <w:r w:rsidRPr="0000226A">
        <w:rPr>
          <w:rFonts w:cs="FrankRuehl"/>
          <w:color w:val="FFFFFF"/>
          <w:sz w:val="2"/>
          <w:szCs w:val="2"/>
          <w:rtl/>
        </w:rPr>
        <w:t>54678313</w:t>
      </w:r>
    </w:p>
    <w:p w14:paraId="08E2C579" w14:textId="77777777" w:rsidR="00334F4A" w:rsidRDefault="00334F4A" w:rsidP="00334F4A">
      <w:pPr>
        <w:spacing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EBE5F9C" w14:textId="77777777" w:rsidR="00334F4A" w:rsidRDefault="00334F4A" w:rsidP="00334F4A">
      <w:pPr>
        <w:spacing w:line="360" w:lineRule="auto"/>
        <w:jc w:val="center"/>
        <w:rPr>
          <w:rFonts w:ascii="Arial" w:hAnsi="Arial" w:cs="FrankRuehl"/>
          <w:sz w:val="28"/>
          <w:szCs w:val="28"/>
          <w:rtl/>
        </w:rPr>
      </w:pPr>
    </w:p>
    <w:p w14:paraId="6866EDC3" w14:textId="77777777" w:rsidR="00334F4A" w:rsidRDefault="00334F4A" w:rsidP="00334F4A">
      <w:pPr>
        <w:rPr>
          <w:rFonts w:cs="FrankRuehl"/>
          <w:sz w:val="28"/>
          <w:szCs w:val="28"/>
          <w:rtl/>
        </w:rPr>
      </w:pPr>
    </w:p>
    <w:p w14:paraId="4FBC490D" w14:textId="77777777" w:rsidR="00334F4A" w:rsidRDefault="00334F4A" w:rsidP="00334F4A">
      <w:pPr>
        <w:pStyle w:val="a3"/>
        <w:jc w:val="center"/>
        <w:rPr>
          <w:rtl/>
        </w:rPr>
      </w:pPr>
    </w:p>
    <w:p w14:paraId="054B5131" w14:textId="77777777" w:rsidR="0000226A" w:rsidRPr="0000226A" w:rsidRDefault="0000226A" w:rsidP="0000226A">
      <w:pPr>
        <w:keepNext/>
        <w:rPr>
          <w:rFonts w:ascii="David" w:hAnsi="David" w:hint="cs"/>
          <w:color w:val="000000"/>
          <w:sz w:val="22"/>
          <w:szCs w:val="22"/>
          <w:rtl/>
        </w:rPr>
      </w:pPr>
    </w:p>
    <w:p w14:paraId="357673A2" w14:textId="77777777" w:rsidR="0000226A" w:rsidRPr="0000226A" w:rsidRDefault="0000226A" w:rsidP="0000226A">
      <w:pPr>
        <w:keepNext/>
        <w:rPr>
          <w:rFonts w:ascii="David" w:hAnsi="David"/>
          <w:color w:val="000000"/>
          <w:sz w:val="22"/>
          <w:szCs w:val="22"/>
          <w:rtl/>
        </w:rPr>
      </w:pPr>
      <w:r w:rsidRPr="0000226A">
        <w:rPr>
          <w:rFonts w:ascii="David" w:hAnsi="David"/>
          <w:color w:val="000000"/>
          <w:sz w:val="22"/>
          <w:szCs w:val="22"/>
          <w:rtl/>
        </w:rPr>
        <w:t>רונית בש 54678313</w:t>
      </w:r>
    </w:p>
    <w:p w14:paraId="1C3ED57C" w14:textId="77777777" w:rsidR="0000226A" w:rsidRDefault="0000226A" w:rsidP="0000226A">
      <w:r w:rsidRPr="0000226A">
        <w:rPr>
          <w:color w:val="000000"/>
          <w:rtl/>
        </w:rPr>
        <w:t>נוסח מסמך זה כפוף לשינויי ניסוח ועריכה</w:t>
      </w:r>
    </w:p>
    <w:p w14:paraId="3190C266" w14:textId="77777777" w:rsidR="0000226A" w:rsidRDefault="0000226A" w:rsidP="0000226A">
      <w:pPr>
        <w:rPr>
          <w:rtl/>
        </w:rPr>
      </w:pPr>
    </w:p>
    <w:p w14:paraId="197EA06B" w14:textId="77777777" w:rsidR="0000226A" w:rsidRDefault="0000226A" w:rsidP="0000226A">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29DCE8C9" w14:textId="77777777" w:rsidR="00DF27D7" w:rsidRPr="0000226A" w:rsidRDefault="00DF27D7" w:rsidP="0000226A">
      <w:pPr>
        <w:jc w:val="center"/>
        <w:rPr>
          <w:rFonts w:hint="cs"/>
          <w:color w:val="0000FF"/>
          <w:u w:val="single"/>
        </w:rPr>
      </w:pPr>
    </w:p>
    <w:sectPr w:rsidR="00DF27D7" w:rsidRPr="0000226A" w:rsidSect="0000226A">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1E7693" w14:textId="77777777" w:rsidR="00433872" w:rsidRDefault="00433872">
      <w:r>
        <w:separator/>
      </w:r>
    </w:p>
  </w:endnote>
  <w:endnote w:type="continuationSeparator" w:id="0">
    <w:p w14:paraId="4A0A72FC" w14:textId="77777777" w:rsidR="00433872" w:rsidRDefault="00433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1306E" w14:textId="77777777" w:rsidR="00752F78" w:rsidRDefault="00752F78" w:rsidP="0000226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w:t>
    </w:r>
    <w:r>
      <w:rPr>
        <w:rFonts w:ascii="FrankRuehl" w:hAnsi="FrankRuehl" w:cs="FrankRuehl"/>
        <w:rtl/>
      </w:rPr>
      <w:fldChar w:fldCharType="end"/>
    </w:r>
  </w:p>
  <w:p w14:paraId="6E1BAFEB" w14:textId="77777777" w:rsidR="00752F78" w:rsidRPr="0000226A" w:rsidRDefault="00752F78" w:rsidP="0000226A">
    <w:pPr>
      <w:pStyle w:val="a4"/>
      <w:pBdr>
        <w:top w:val="single" w:sz="4" w:space="1" w:color="auto"/>
        <w:between w:val="single" w:sz="4" w:space="0" w:color="auto"/>
      </w:pBdr>
      <w:spacing w:after="60"/>
      <w:jc w:val="center"/>
      <w:rPr>
        <w:rFonts w:ascii="FrankRuehl" w:hAnsi="FrankRuehl" w:cs="FrankRuehl"/>
        <w:color w:val="000000"/>
      </w:rPr>
    </w:pPr>
    <w:r w:rsidRPr="0000226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D6BE9" w14:textId="77777777" w:rsidR="00752F78" w:rsidRDefault="00752F78" w:rsidP="0000226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B2876">
      <w:rPr>
        <w:rFonts w:ascii="FrankRuehl" w:hAnsi="FrankRuehl" w:cs="FrankRuehl"/>
        <w:noProof/>
        <w:rtl/>
      </w:rPr>
      <w:t>1</w:t>
    </w:r>
    <w:r>
      <w:rPr>
        <w:rFonts w:ascii="FrankRuehl" w:hAnsi="FrankRuehl" w:cs="FrankRuehl"/>
        <w:rtl/>
      </w:rPr>
      <w:fldChar w:fldCharType="end"/>
    </w:r>
  </w:p>
  <w:p w14:paraId="10318524" w14:textId="77777777" w:rsidR="00752F78" w:rsidRPr="0000226A" w:rsidRDefault="00752F78" w:rsidP="0000226A">
    <w:pPr>
      <w:pStyle w:val="a4"/>
      <w:pBdr>
        <w:top w:val="single" w:sz="4" w:space="1" w:color="auto"/>
        <w:between w:val="single" w:sz="4" w:space="0" w:color="auto"/>
      </w:pBdr>
      <w:spacing w:after="60"/>
      <w:jc w:val="center"/>
      <w:rPr>
        <w:rFonts w:ascii="FrankRuehl" w:hAnsi="FrankRuehl" w:cs="FrankRuehl"/>
        <w:color w:val="000000"/>
      </w:rPr>
    </w:pPr>
    <w:r w:rsidRPr="0000226A">
      <w:rPr>
        <w:rFonts w:ascii="FrankRuehl" w:hAnsi="FrankRuehl" w:cs="FrankRuehl"/>
        <w:color w:val="000000"/>
      </w:rPr>
      <w:pict w14:anchorId="46576A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FAED9A" w14:textId="77777777" w:rsidR="00433872" w:rsidRDefault="00433872">
      <w:r>
        <w:separator/>
      </w:r>
    </w:p>
  </w:footnote>
  <w:footnote w:type="continuationSeparator" w:id="0">
    <w:p w14:paraId="0637A99D" w14:textId="77777777" w:rsidR="00433872" w:rsidRDefault="004338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2B124" w14:textId="77777777" w:rsidR="00752F78" w:rsidRPr="0000226A" w:rsidRDefault="00752F78" w:rsidP="0000226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50071-08-16</w:t>
    </w:r>
    <w:r>
      <w:rPr>
        <w:rFonts w:ascii="David" w:hAnsi="David"/>
        <w:color w:val="000000"/>
        <w:sz w:val="22"/>
        <w:szCs w:val="22"/>
        <w:rtl/>
      </w:rPr>
      <w:tab/>
      <w:t xml:space="preserve"> מדינת ישראל נ' מוחמד מראענה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2DD0E" w14:textId="77777777" w:rsidR="00752F78" w:rsidRPr="0000226A" w:rsidRDefault="00752F78" w:rsidP="0000226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50071-08-16</w:t>
    </w:r>
    <w:r>
      <w:rPr>
        <w:rFonts w:ascii="David" w:hAnsi="David"/>
        <w:color w:val="000000"/>
        <w:sz w:val="22"/>
        <w:szCs w:val="22"/>
        <w:rtl/>
      </w:rPr>
      <w:tab/>
      <w:t xml:space="preserve"> מדינת ישראל נ' מוחמד מראענה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34F4A"/>
    <w:rsid w:val="0000226A"/>
    <w:rsid w:val="00334F4A"/>
    <w:rsid w:val="003E3DD7"/>
    <w:rsid w:val="00433872"/>
    <w:rsid w:val="004E08D0"/>
    <w:rsid w:val="006F7D2B"/>
    <w:rsid w:val="00752F78"/>
    <w:rsid w:val="008B2876"/>
    <w:rsid w:val="0092289B"/>
    <w:rsid w:val="00A06655"/>
    <w:rsid w:val="00AB67AE"/>
    <w:rsid w:val="00B63FEF"/>
    <w:rsid w:val="00DF27D7"/>
    <w:rsid w:val="00E37020"/>
    <w:rsid w:val="00F473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FDF85B1"/>
  <w15:chartTrackingRefBased/>
  <w15:docId w15:val="{E5511563-F88A-4C64-99E5-EAEA540F1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4F4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34F4A"/>
    <w:pPr>
      <w:tabs>
        <w:tab w:val="center" w:pos="4153"/>
        <w:tab w:val="right" w:pos="8306"/>
      </w:tabs>
    </w:pPr>
  </w:style>
  <w:style w:type="paragraph" w:styleId="a4">
    <w:name w:val="footer"/>
    <w:basedOn w:val="a"/>
    <w:rsid w:val="00334F4A"/>
    <w:pPr>
      <w:tabs>
        <w:tab w:val="center" w:pos="4153"/>
        <w:tab w:val="right" w:pos="8306"/>
      </w:tabs>
    </w:pPr>
  </w:style>
  <w:style w:type="character" w:styleId="a5">
    <w:name w:val="page number"/>
    <w:basedOn w:val="a0"/>
    <w:rsid w:val="00334F4A"/>
  </w:style>
  <w:style w:type="character" w:styleId="Hyperlink">
    <w:name w:val="Hyperlink"/>
    <w:rsid w:val="000022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44"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144" TargetMode="External"/><Relationship Id="rId21" Type="http://schemas.openxmlformats.org/officeDocument/2006/relationships/hyperlink" Target="http://www.nevo.co.il/law/70301/40b" TargetMode="External"/><Relationship Id="rId34" Type="http://schemas.openxmlformats.org/officeDocument/2006/relationships/hyperlink" Target="http://www.nevo.co.il/case/11289545"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40b" TargetMode="External"/><Relationship Id="rId2" Type="http://schemas.openxmlformats.org/officeDocument/2006/relationships/settings" Target="settings.xml"/><Relationship Id="rId16" Type="http://schemas.openxmlformats.org/officeDocument/2006/relationships/hyperlink" Target="http://www.nevo.co.il/law/70301/144.a" TargetMode="External"/><Relationship Id="rId29" Type="http://schemas.openxmlformats.org/officeDocument/2006/relationships/hyperlink" Target="http://www.nevo.co.il/case/5573417"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6864329" TargetMode="External"/><Relationship Id="rId37" Type="http://schemas.openxmlformats.org/officeDocument/2006/relationships/hyperlink" Target="http://www.nevo.co.il/law/70301/144" TargetMode="External"/><Relationship Id="rId40" Type="http://schemas.openxmlformats.org/officeDocument/2006/relationships/hyperlink" Target="http://www.nevo.co.il/law/70301" TargetMode="External"/><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40jc.b" TargetMode="External"/><Relationship Id="rId23" Type="http://schemas.openxmlformats.org/officeDocument/2006/relationships/hyperlink" Target="http://www.nevo.co.il/law/70301/40c" TargetMode="External"/><Relationship Id="rId28" Type="http://schemas.openxmlformats.org/officeDocument/2006/relationships/hyperlink" Target="http://www.nevo.co.il/law/70301/40jc.b"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144" TargetMode="External"/><Relationship Id="rId19" Type="http://schemas.openxmlformats.org/officeDocument/2006/relationships/hyperlink" Target="http://www.nevo.co.il/law/70301/244" TargetMode="External"/><Relationship Id="rId31" Type="http://schemas.openxmlformats.org/officeDocument/2006/relationships/hyperlink" Target="http://www.nevo.co.il/case/6034921" TargetMode="External"/><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40i"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6243627"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5601503" TargetMode="External"/><Relationship Id="rId35" Type="http://schemas.openxmlformats.org/officeDocument/2006/relationships/hyperlink" Target="http://www.nevo.co.il/law/70301/40ja" TargetMode="External"/><Relationship Id="rId43" Type="http://schemas.openxmlformats.org/officeDocument/2006/relationships/header" Target="header2.xml"/><Relationship Id="rId8" Type="http://schemas.openxmlformats.org/officeDocument/2006/relationships/hyperlink" Target="http://www.nevo.co.il/law/70301/40c" TargetMode="External"/><Relationship Id="rId3" Type="http://schemas.openxmlformats.org/officeDocument/2006/relationships/webSettings" Target="web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40i" TargetMode="External"/><Relationship Id="rId33" Type="http://schemas.openxmlformats.org/officeDocument/2006/relationships/hyperlink" Target="http://www.nevo.co.il/case/7840699" TargetMode="External"/><Relationship Id="rId38" Type="http://schemas.openxmlformats.org/officeDocument/2006/relationships/hyperlink" Target="http://www.nevo.co.il/law/70301" TargetMode="External"/><Relationship Id="rId46" Type="http://schemas.openxmlformats.org/officeDocument/2006/relationships/fontTable" Target="fontTable.xml"/><Relationship Id="rId20" Type="http://schemas.openxmlformats.org/officeDocument/2006/relationships/hyperlink" Target="http://www.nevo.co.il/law/70301"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3033</Words>
  <Characters>15166</Characters>
  <Application>Microsoft Office Word</Application>
  <DocSecurity>0</DocSecurity>
  <Lines>126</Lines>
  <Paragraphs>36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18163</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6357092</vt:i4>
      </vt:variant>
      <vt:variant>
        <vt:i4>99</vt:i4>
      </vt:variant>
      <vt:variant>
        <vt:i4>0</vt:i4>
      </vt:variant>
      <vt:variant>
        <vt:i4>5</vt:i4>
      </vt:variant>
      <vt:variant>
        <vt:lpwstr>http://www.nevo.co.il/law/70301/144</vt:lpwstr>
      </vt:variant>
      <vt:variant>
        <vt:lpwstr/>
      </vt:variant>
      <vt:variant>
        <vt:i4>7995492</vt:i4>
      </vt:variant>
      <vt:variant>
        <vt:i4>96</vt:i4>
      </vt:variant>
      <vt:variant>
        <vt:i4>0</vt:i4>
      </vt:variant>
      <vt:variant>
        <vt:i4>5</vt:i4>
      </vt:variant>
      <vt:variant>
        <vt:lpwstr>http://www.nevo.co.il/law/70301</vt:lpwstr>
      </vt:variant>
      <vt:variant>
        <vt:lpwstr/>
      </vt:variant>
      <vt:variant>
        <vt:i4>6357092</vt:i4>
      </vt:variant>
      <vt:variant>
        <vt:i4>93</vt:i4>
      </vt:variant>
      <vt:variant>
        <vt:i4>0</vt:i4>
      </vt:variant>
      <vt:variant>
        <vt:i4>5</vt:i4>
      </vt:variant>
      <vt:variant>
        <vt:lpwstr>http://www.nevo.co.il/law/70301/144</vt:lpwstr>
      </vt:variant>
      <vt:variant>
        <vt:lpwstr/>
      </vt:variant>
      <vt:variant>
        <vt:i4>7995492</vt:i4>
      </vt:variant>
      <vt:variant>
        <vt:i4>90</vt:i4>
      </vt:variant>
      <vt:variant>
        <vt:i4>0</vt:i4>
      </vt:variant>
      <vt:variant>
        <vt:i4>5</vt:i4>
      </vt:variant>
      <vt:variant>
        <vt:lpwstr>http://www.nevo.co.il/law/70301</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4063352</vt:i4>
      </vt:variant>
      <vt:variant>
        <vt:i4>84</vt:i4>
      </vt:variant>
      <vt:variant>
        <vt:i4>0</vt:i4>
      </vt:variant>
      <vt:variant>
        <vt:i4>5</vt:i4>
      </vt:variant>
      <vt:variant>
        <vt:lpwstr>http://www.nevo.co.il/case/11289545</vt:lpwstr>
      </vt:variant>
      <vt:variant>
        <vt:lpwstr/>
      </vt:variant>
      <vt:variant>
        <vt:i4>3932277</vt:i4>
      </vt:variant>
      <vt:variant>
        <vt:i4>81</vt:i4>
      </vt:variant>
      <vt:variant>
        <vt:i4>0</vt:i4>
      </vt:variant>
      <vt:variant>
        <vt:i4>5</vt:i4>
      </vt:variant>
      <vt:variant>
        <vt:lpwstr>http://www.nevo.co.il/case/7840699</vt:lpwstr>
      </vt:variant>
      <vt:variant>
        <vt:lpwstr/>
      </vt:variant>
      <vt:variant>
        <vt:i4>3801210</vt:i4>
      </vt:variant>
      <vt:variant>
        <vt:i4>78</vt:i4>
      </vt:variant>
      <vt:variant>
        <vt:i4>0</vt:i4>
      </vt:variant>
      <vt:variant>
        <vt:i4>5</vt:i4>
      </vt:variant>
      <vt:variant>
        <vt:lpwstr>http://www.nevo.co.il/case/6864329</vt:lpwstr>
      </vt:variant>
      <vt:variant>
        <vt:lpwstr/>
      </vt:variant>
      <vt:variant>
        <vt:i4>3997810</vt:i4>
      </vt:variant>
      <vt:variant>
        <vt:i4>75</vt:i4>
      </vt:variant>
      <vt:variant>
        <vt:i4>0</vt:i4>
      </vt:variant>
      <vt:variant>
        <vt:i4>5</vt:i4>
      </vt:variant>
      <vt:variant>
        <vt:lpwstr>http://www.nevo.co.il/case/6034921</vt:lpwstr>
      </vt:variant>
      <vt:variant>
        <vt:lpwstr/>
      </vt:variant>
      <vt:variant>
        <vt:i4>3342451</vt:i4>
      </vt:variant>
      <vt:variant>
        <vt:i4>72</vt:i4>
      </vt:variant>
      <vt:variant>
        <vt:i4>0</vt:i4>
      </vt:variant>
      <vt:variant>
        <vt:i4>5</vt:i4>
      </vt:variant>
      <vt:variant>
        <vt:lpwstr>http://www.nevo.co.il/case/5601503</vt:lpwstr>
      </vt:variant>
      <vt:variant>
        <vt:lpwstr/>
      </vt:variant>
      <vt:variant>
        <vt:i4>3211379</vt:i4>
      </vt:variant>
      <vt:variant>
        <vt:i4>69</vt:i4>
      </vt:variant>
      <vt:variant>
        <vt:i4>0</vt:i4>
      </vt:variant>
      <vt:variant>
        <vt:i4>5</vt:i4>
      </vt:variant>
      <vt:variant>
        <vt:lpwstr>http://www.nevo.co.il/case/5573417</vt:lpwstr>
      </vt:variant>
      <vt:variant>
        <vt:lpwstr/>
      </vt:variant>
      <vt:variant>
        <vt:i4>6553637</vt:i4>
      </vt:variant>
      <vt:variant>
        <vt:i4>66</vt:i4>
      </vt:variant>
      <vt:variant>
        <vt:i4>0</vt:i4>
      </vt:variant>
      <vt:variant>
        <vt:i4>5</vt:i4>
      </vt:variant>
      <vt:variant>
        <vt:lpwstr>http://www.nevo.co.il/law/70301/40jc.b</vt:lpwstr>
      </vt:variant>
      <vt:variant>
        <vt:lpwstr/>
      </vt:variant>
      <vt:variant>
        <vt:i4>7995492</vt:i4>
      </vt:variant>
      <vt:variant>
        <vt:i4>63</vt:i4>
      </vt:variant>
      <vt:variant>
        <vt:i4>0</vt:i4>
      </vt:variant>
      <vt:variant>
        <vt:i4>5</vt:i4>
      </vt:variant>
      <vt:variant>
        <vt:lpwstr>http://www.nevo.co.il/law/70301</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http://www.nevo.co.il/law/70301/40c</vt:lpwstr>
      </vt:variant>
      <vt:variant>
        <vt:lpwstr/>
      </vt:variant>
      <vt:variant>
        <vt:i4>3342455</vt:i4>
      </vt:variant>
      <vt:variant>
        <vt:i4>48</vt:i4>
      </vt:variant>
      <vt:variant>
        <vt:i4>0</vt:i4>
      </vt:variant>
      <vt:variant>
        <vt:i4>5</vt:i4>
      </vt:variant>
      <vt:variant>
        <vt:lpwstr>http://www.nevo.co.il/case/6243627</vt:lpwstr>
      </vt:variant>
      <vt:variant>
        <vt:lpwstr/>
      </vt:variant>
      <vt:variant>
        <vt:i4>6619233</vt:i4>
      </vt:variant>
      <vt:variant>
        <vt:i4>45</vt:i4>
      </vt:variant>
      <vt:variant>
        <vt:i4>0</vt:i4>
      </vt:variant>
      <vt:variant>
        <vt:i4>5</vt:i4>
      </vt:variant>
      <vt:variant>
        <vt:lpwstr>http://www.nevo.co.il/law/70301/40b</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6357095</vt:i4>
      </vt:variant>
      <vt:variant>
        <vt:i4>39</vt:i4>
      </vt:variant>
      <vt:variant>
        <vt:i4>0</vt:i4>
      </vt:variant>
      <vt:variant>
        <vt:i4>5</vt:i4>
      </vt:variant>
      <vt:variant>
        <vt:lpwstr>http://www.nevo.co.il/law/70301/244</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6553637</vt:i4>
      </vt:variant>
      <vt:variant>
        <vt:i4>27</vt:i4>
      </vt:variant>
      <vt:variant>
        <vt:i4>0</vt:i4>
      </vt:variant>
      <vt:variant>
        <vt:i4>5</vt:i4>
      </vt:variant>
      <vt:variant>
        <vt:lpwstr>http://www.nevo.co.il/law/70301/40jc.b</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6357095</vt:i4>
      </vt:variant>
      <vt:variant>
        <vt:i4>21</vt:i4>
      </vt:variant>
      <vt:variant>
        <vt:i4>0</vt:i4>
      </vt:variant>
      <vt:variant>
        <vt:i4>5</vt:i4>
      </vt:variant>
      <vt:variant>
        <vt:lpwstr>http://www.nevo.co.il/law/70301/244</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2025-04-25T10:40:00Z</dcterms:created>
  <dcterms:modified xsi:type="dcterms:W3CDTF">2025-04-25T10:40:00Z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50071</vt:lpwstr>
  </property>
  <property fmtid="{D5CDD505-2E9C-101B-9397-08002B2CF9AE}" pid="6" name="NEWPARTB">
    <vt:lpwstr>08</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מוחמד מראענה;מוסא מראענה</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20170126</vt:lpwstr>
  </property>
  <property fmtid="{D5CDD505-2E9C-101B-9397-08002B2CF9AE}" pid="13" name="TYPE_N_DATE">
    <vt:lpwstr>39020170126</vt:lpwstr>
  </property>
  <property fmtid="{D5CDD505-2E9C-101B-9397-08002B2CF9AE}" pid="14" name="WORDNUMPAGES">
    <vt:lpwstr>8</vt:lpwstr>
  </property>
  <property fmtid="{D5CDD505-2E9C-101B-9397-08002B2CF9AE}" pid="15" name="TYPE_ABS_DATE">
    <vt:lpwstr>390020170126</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6243627;5573417;5601503;6034921;6864329;7840699;11289545</vt:lpwstr>
  </property>
  <property fmtid="{D5CDD505-2E9C-101B-9397-08002B2CF9AE}" pid="36" name="LAWLISTTMP1">
    <vt:lpwstr>70301/144.a;144.b;244;040b;040c;040i;40jc.b;40ja;144:2</vt:lpwstr>
  </property>
</Properties>
</file>