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5615ED" w:rsidRPr="005615ED" w14:paraId="242B8397" w14:textId="77777777" w:rsidTr="005615ED">
        <w:trPr>
          <w:trHeight w:hRule="exact" w:val="418"/>
          <w:jc w:val="center"/>
        </w:trPr>
        <w:tc>
          <w:tcPr>
            <w:tcW w:w="8720" w:type="dxa"/>
            <w:gridSpan w:val="3"/>
          </w:tcPr>
          <w:p w14:paraId="496E3672" w14:textId="77777777" w:rsidR="005615ED" w:rsidRPr="0019511D" w:rsidRDefault="005615ED" w:rsidP="005615ED">
            <w:pPr>
              <w:pStyle w:val="a3"/>
              <w:tabs>
                <w:tab w:val="clear" w:pos="8306"/>
              </w:tabs>
              <w:jc w:val="center"/>
              <w:rPr>
                <w:rFonts w:ascii="Tahoma" w:hAnsi="Tahoma" w:cs="Tahoma"/>
                <w:b/>
                <w:bCs/>
                <w:color w:val="000080"/>
                <w:rtl/>
              </w:rPr>
            </w:pPr>
            <w:bookmarkStart w:id="0" w:name="FirstLawyer"/>
            <w:r w:rsidRPr="0019511D">
              <w:rPr>
                <w:rFonts w:ascii="Tahoma" w:hAnsi="Tahoma" w:cs="Tahoma"/>
                <w:b/>
                <w:bCs/>
                <w:color w:val="000080"/>
                <w:rtl/>
              </w:rPr>
              <w:t>בית המשפט המחוזי בנצרת</w:t>
            </w:r>
          </w:p>
        </w:tc>
      </w:tr>
      <w:tr w:rsidR="005615ED" w:rsidRPr="005615ED" w14:paraId="374B413D" w14:textId="77777777" w:rsidTr="005615ED">
        <w:trPr>
          <w:trHeight w:val="337"/>
          <w:jc w:val="center"/>
        </w:trPr>
        <w:tc>
          <w:tcPr>
            <w:tcW w:w="6396" w:type="dxa"/>
          </w:tcPr>
          <w:p w14:paraId="3463F8F8" w14:textId="77777777" w:rsidR="005615ED" w:rsidRPr="005615ED" w:rsidRDefault="005615ED" w:rsidP="005615ED">
            <w:pPr>
              <w:spacing w:line="360" w:lineRule="auto"/>
              <w:rPr>
                <w:b/>
                <w:bCs/>
                <w:rtl/>
              </w:rPr>
            </w:pPr>
            <w:r w:rsidRPr="005615ED">
              <w:rPr>
                <w:b/>
                <w:bCs/>
                <w:rtl/>
              </w:rPr>
              <w:t>ת"פ 13355-09-16 מדינת ישראל נ' נסרה</w:t>
            </w:r>
          </w:p>
        </w:tc>
        <w:tc>
          <w:tcPr>
            <w:tcW w:w="236" w:type="dxa"/>
          </w:tcPr>
          <w:p w14:paraId="7A531603" w14:textId="77777777" w:rsidR="005615ED" w:rsidRPr="005615ED" w:rsidRDefault="005615ED" w:rsidP="005615ED">
            <w:pPr>
              <w:pStyle w:val="a3"/>
              <w:spacing w:line="360" w:lineRule="auto"/>
              <w:jc w:val="right"/>
              <w:rPr>
                <w:b/>
                <w:bCs/>
                <w:rtl/>
              </w:rPr>
            </w:pPr>
          </w:p>
        </w:tc>
        <w:tc>
          <w:tcPr>
            <w:tcW w:w="2088" w:type="dxa"/>
          </w:tcPr>
          <w:p w14:paraId="60805BB6" w14:textId="77777777" w:rsidR="005615ED" w:rsidRPr="005615ED" w:rsidRDefault="005615ED" w:rsidP="005615ED">
            <w:pPr>
              <w:pStyle w:val="a3"/>
              <w:tabs>
                <w:tab w:val="clear" w:pos="4153"/>
              </w:tabs>
              <w:spacing w:line="360" w:lineRule="auto"/>
              <w:jc w:val="right"/>
              <w:rPr>
                <w:b/>
                <w:bCs/>
                <w:rtl/>
              </w:rPr>
            </w:pPr>
            <w:r w:rsidRPr="005615ED">
              <w:rPr>
                <w:b/>
                <w:bCs/>
                <w:rtl/>
              </w:rPr>
              <w:t>30 ינואר 2017</w:t>
            </w:r>
          </w:p>
        </w:tc>
      </w:tr>
    </w:tbl>
    <w:p w14:paraId="5D129F1E" w14:textId="77777777" w:rsidR="005615ED" w:rsidRPr="005615ED" w:rsidRDefault="005615ED" w:rsidP="00C93A03">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5615ED" w:rsidRPr="005615ED" w14:paraId="7BFFFFDB" w14:textId="77777777" w:rsidTr="005615ED">
        <w:trPr>
          <w:gridAfter w:val="1"/>
          <w:wAfter w:w="56" w:type="dxa"/>
        </w:trPr>
        <w:tc>
          <w:tcPr>
            <w:tcW w:w="8718" w:type="dxa"/>
            <w:gridSpan w:val="2"/>
          </w:tcPr>
          <w:p w14:paraId="2E6F398F" w14:textId="77777777" w:rsidR="005615ED" w:rsidRPr="005615ED" w:rsidRDefault="005615ED" w:rsidP="005615ED">
            <w:pPr>
              <w:spacing w:line="360" w:lineRule="auto"/>
              <w:jc w:val="right"/>
              <w:rPr>
                <w:rFonts w:ascii="Times New Roman" w:hAnsi="Times New Roman"/>
                <w:b/>
                <w:bCs/>
                <w:rtl/>
              </w:rPr>
            </w:pPr>
            <w:r w:rsidRPr="005615ED">
              <w:rPr>
                <w:rFonts w:ascii="Times New Roman" w:hAnsi="Times New Roman"/>
                <w:b/>
                <w:bCs/>
                <w:rtl/>
              </w:rPr>
              <w:t>כבוד השופטת ס. הנשיא, אסתר הלמן</w:t>
            </w:r>
            <w:r w:rsidRPr="005615ED">
              <w:rPr>
                <w:rStyle w:val="TimesNewRomanTimesNewRoman"/>
                <w:rtl/>
              </w:rPr>
              <w:t xml:space="preserve"> </w:t>
            </w:r>
          </w:p>
        </w:tc>
      </w:tr>
      <w:tr w:rsidR="005615ED" w:rsidRPr="005615ED" w14:paraId="474FDDA2" w14:textId="77777777" w:rsidTr="005615ED">
        <w:trPr>
          <w:cantSplit/>
          <w:trHeight w:val="724"/>
        </w:trPr>
        <w:tc>
          <w:tcPr>
            <w:tcW w:w="2880" w:type="dxa"/>
          </w:tcPr>
          <w:p w14:paraId="27077DC1" w14:textId="77777777" w:rsidR="005615ED" w:rsidRPr="005615ED" w:rsidRDefault="005615ED" w:rsidP="005615ED">
            <w:pPr>
              <w:spacing w:line="360" w:lineRule="auto"/>
              <w:ind w:left="26"/>
              <w:rPr>
                <w:rFonts w:ascii="Times New Roman" w:hAnsi="Times New Roman"/>
                <w:b/>
                <w:bCs/>
                <w:rtl/>
              </w:rPr>
            </w:pPr>
            <w:bookmarkStart w:id="1" w:name="FirstAppellant"/>
            <w:bookmarkStart w:id="2" w:name="LastJudge"/>
            <w:bookmarkEnd w:id="2"/>
            <w:r w:rsidRPr="005615ED">
              <w:rPr>
                <w:rFonts w:ascii="Times New Roman" w:hAnsi="Times New Roman"/>
                <w:b/>
                <w:bCs/>
                <w:rtl/>
              </w:rPr>
              <w:t>המאשימה</w:t>
            </w:r>
          </w:p>
        </w:tc>
        <w:tc>
          <w:tcPr>
            <w:tcW w:w="5922" w:type="dxa"/>
            <w:gridSpan w:val="2"/>
          </w:tcPr>
          <w:p w14:paraId="65701F11" w14:textId="77777777" w:rsidR="005615ED" w:rsidRPr="005615ED" w:rsidRDefault="005615ED" w:rsidP="005615ED">
            <w:pPr>
              <w:spacing w:line="360" w:lineRule="auto"/>
              <w:rPr>
                <w:rFonts w:ascii="Times New Roman" w:hAnsi="Times New Roman"/>
                <w:b/>
                <w:bCs/>
                <w:rtl/>
              </w:rPr>
            </w:pPr>
            <w:r w:rsidRPr="005615ED">
              <w:rPr>
                <w:rFonts w:ascii="Times New Roman" w:hAnsi="Times New Roman"/>
                <w:b/>
                <w:bCs/>
                <w:rtl/>
              </w:rPr>
              <w:t>מדינת ישראל</w:t>
            </w:r>
          </w:p>
          <w:p w14:paraId="1964B3BB" w14:textId="77777777" w:rsidR="005615ED" w:rsidRPr="005615ED" w:rsidRDefault="005615ED" w:rsidP="005615ED">
            <w:pPr>
              <w:spacing w:line="360" w:lineRule="auto"/>
              <w:jc w:val="right"/>
              <w:rPr>
                <w:rFonts w:ascii="Times New Roman" w:hAnsi="Times New Roman"/>
                <w:b/>
                <w:bCs/>
                <w:rtl/>
              </w:rPr>
            </w:pPr>
          </w:p>
        </w:tc>
      </w:tr>
      <w:bookmarkEnd w:id="1"/>
      <w:tr w:rsidR="005615ED" w:rsidRPr="005615ED" w14:paraId="11DB34BC" w14:textId="77777777" w:rsidTr="005615ED">
        <w:tc>
          <w:tcPr>
            <w:tcW w:w="8802" w:type="dxa"/>
            <w:gridSpan w:val="3"/>
            <w:vAlign w:val="center"/>
          </w:tcPr>
          <w:p w14:paraId="5DF65B61" w14:textId="77777777" w:rsidR="005615ED" w:rsidRPr="005615ED" w:rsidRDefault="005615ED" w:rsidP="005615ED">
            <w:pPr>
              <w:spacing w:line="360" w:lineRule="auto"/>
              <w:jc w:val="center"/>
              <w:rPr>
                <w:rFonts w:ascii="Arial" w:hAnsi="Arial"/>
                <w:b/>
                <w:bCs/>
                <w:rtl/>
              </w:rPr>
            </w:pPr>
            <w:r w:rsidRPr="005615ED">
              <w:rPr>
                <w:rFonts w:ascii="Arial" w:hAnsi="Arial"/>
                <w:b/>
                <w:bCs/>
                <w:rtl/>
              </w:rPr>
              <w:t>נגד</w:t>
            </w:r>
          </w:p>
          <w:p w14:paraId="4F1C75AC" w14:textId="77777777" w:rsidR="005615ED" w:rsidRPr="005615ED" w:rsidRDefault="005615ED" w:rsidP="005615ED">
            <w:pPr>
              <w:spacing w:line="360" w:lineRule="auto"/>
              <w:jc w:val="right"/>
              <w:rPr>
                <w:rFonts w:ascii="Arial" w:hAnsi="Arial"/>
                <w:b/>
                <w:bCs/>
                <w:rtl/>
              </w:rPr>
            </w:pPr>
          </w:p>
        </w:tc>
      </w:tr>
      <w:tr w:rsidR="005615ED" w:rsidRPr="005615ED" w14:paraId="4A92739D" w14:textId="77777777" w:rsidTr="005615ED">
        <w:tc>
          <w:tcPr>
            <w:tcW w:w="2880" w:type="dxa"/>
          </w:tcPr>
          <w:p w14:paraId="2182BD55" w14:textId="77777777" w:rsidR="005615ED" w:rsidRPr="005615ED" w:rsidRDefault="005615ED" w:rsidP="005615ED">
            <w:pPr>
              <w:spacing w:line="360" w:lineRule="auto"/>
              <w:ind w:left="26"/>
              <w:rPr>
                <w:rFonts w:ascii="Times New Roman" w:hAnsi="Times New Roman"/>
                <w:b/>
                <w:bCs/>
              </w:rPr>
            </w:pPr>
            <w:r w:rsidRPr="005615ED">
              <w:rPr>
                <w:rFonts w:ascii="Times New Roman" w:hAnsi="Times New Roman"/>
                <w:b/>
                <w:bCs/>
                <w:rtl/>
              </w:rPr>
              <w:t>הנאשמים</w:t>
            </w:r>
          </w:p>
        </w:tc>
        <w:tc>
          <w:tcPr>
            <w:tcW w:w="5922" w:type="dxa"/>
            <w:gridSpan w:val="2"/>
          </w:tcPr>
          <w:p w14:paraId="2FA61FBA" w14:textId="77777777" w:rsidR="005615ED" w:rsidRPr="005615ED" w:rsidRDefault="005615ED" w:rsidP="005615ED">
            <w:pPr>
              <w:spacing w:line="360" w:lineRule="auto"/>
              <w:rPr>
                <w:rFonts w:ascii="Times New Roman" w:hAnsi="Times New Roman"/>
                <w:b/>
                <w:bCs/>
                <w:rtl/>
              </w:rPr>
            </w:pPr>
            <w:r w:rsidRPr="005615ED">
              <w:rPr>
                <w:rFonts w:ascii="Times New Roman" w:hAnsi="Times New Roman"/>
                <w:b/>
                <w:bCs/>
              </w:rPr>
              <w:t>.1</w:t>
            </w:r>
            <w:r w:rsidRPr="005615ED">
              <w:rPr>
                <w:rFonts w:ascii="Times New Roman" w:hAnsi="Times New Roman" w:cs="Times New Roman"/>
                <w:rtl/>
              </w:rPr>
              <w:t xml:space="preserve"> </w:t>
            </w:r>
            <w:r w:rsidRPr="005615ED">
              <w:rPr>
                <w:rFonts w:ascii="Times New Roman" w:hAnsi="Times New Roman"/>
                <w:b/>
                <w:bCs/>
                <w:rtl/>
              </w:rPr>
              <w:t xml:space="preserve">מחמוד נסרה </w:t>
            </w:r>
            <w:r w:rsidRPr="005615ED">
              <w:rPr>
                <w:rFonts w:ascii="Times New Roman" w:hAnsi="Times New Roman" w:cs="Times New Roman"/>
                <w:rtl/>
              </w:rPr>
              <w:t xml:space="preserve"> </w:t>
            </w:r>
            <w:r w:rsidRPr="005615ED">
              <w:rPr>
                <w:rFonts w:ascii="Times New Roman" w:hAnsi="Times New Roman"/>
                <w:b/>
                <w:bCs/>
              </w:rPr>
              <w:t xml:space="preserve"> </w:t>
            </w:r>
            <w:r w:rsidRPr="005615ED">
              <w:rPr>
                <w:rFonts w:ascii="Times New Roman" w:hAnsi="Times New Roman"/>
                <w:b/>
                <w:bCs/>
                <w:rtl/>
              </w:rPr>
              <w:t xml:space="preserve"> </w:t>
            </w:r>
          </w:p>
          <w:p w14:paraId="131BDEBE" w14:textId="77777777" w:rsidR="005615ED" w:rsidRPr="005615ED" w:rsidRDefault="005615ED" w:rsidP="005615ED">
            <w:pPr>
              <w:spacing w:line="360" w:lineRule="auto"/>
              <w:rPr>
                <w:rFonts w:ascii="Times New Roman" w:hAnsi="Times New Roman"/>
                <w:b/>
                <w:bCs/>
                <w:rtl/>
              </w:rPr>
            </w:pPr>
            <w:r w:rsidRPr="005615ED">
              <w:rPr>
                <w:rFonts w:ascii="Times New Roman" w:hAnsi="Times New Roman"/>
                <w:b/>
                <w:bCs/>
              </w:rPr>
              <w:t>.2</w:t>
            </w:r>
            <w:r w:rsidRPr="005615ED">
              <w:rPr>
                <w:rFonts w:ascii="Times New Roman" w:hAnsi="Times New Roman" w:cs="Times New Roman"/>
                <w:rtl/>
              </w:rPr>
              <w:t xml:space="preserve"> </w:t>
            </w:r>
            <w:r w:rsidRPr="005615ED">
              <w:rPr>
                <w:rFonts w:ascii="Times New Roman" w:hAnsi="Times New Roman"/>
                <w:b/>
                <w:bCs/>
                <w:rtl/>
              </w:rPr>
              <w:t>מוחמד נסרה</w:t>
            </w:r>
            <w:r w:rsidRPr="005615ED">
              <w:rPr>
                <w:rFonts w:ascii="Times New Roman" w:hAnsi="Times New Roman" w:cs="Times New Roman"/>
                <w:rtl/>
              </w:rPr>
              <w:t xml:space="preserve"> </w:t>
            </w:r>
            <w:r w:rsidRPr="005615ED">
              <w:rPr>
                <w:rFonts w:ascii="Times New Roman" w:hAnsi="Times New Roman"/>
                <w:b/>
                <w:bCs/>
              </w:rPr>
              <w:t xml:space="preserve">  </w:t>
            </w:r>
            <w:r w:rsidRPr="005615ED">
              <w:rPr>
                <w:rFonts w:ascii="Times New Roman" w:hAnsi="Times New Roman"/>
                <w:b/>
                <w:bCs/>
                <w:rtl/>
              </w:rPr>
              <w:t xml:space="preserve"> </w:t>
            </w:r>
          </w:p>
          <w:p w14:paraId="2F3CCD08" w14:textId="77777777" w:rsidR="005615ED" w:rsidRPr="005615ED" w:rsidRDefault="005615ED" w:rsidP="005615ED">
            <w:pPr>
              <w:spacing w:line="360" w:lineRule="auto"/>
              <w:rPr>
                <w:rFonts w:ascii="Times New Roman" w:hAnsi="Times New Roman"/>
                <w:b/>
                <w:bCs/>
                <w:rtl/>
              </w:rPr>
            </w:pPr>
            <w:r w:rsidRPr="005615ED">
              <w:rPr>
                <w:rFonts w:ascii="Times New Roman" w:hAnsi="Times New Roman"/>
                <w:b/>
                <w:bCs/>
              </w:rPr>
              <w:t>.3</w:t>
            </w:r>
            <w:r w:rsidRPr="005615ED">
              <w:rPr>
                <w:rFonts w:ascii="Times New Roman" w:hAnsi="Times New Roman" w:cs="Times New Roman"/>
                <w:rtl/>
              </w:rPr>
              <w:t xml:space="preserve"> </w:t>
            </w:r>
            <w:r w:rsidRPr="005615ED">
              <w:rPr>
                <w:rFonts w:ascii="Times New Roman" w:hAnsi="Times New Roman"/>
                <w:b/>
                <w:bCs/>
                <w:rtl/>
              </w:rPr>
              <w:t xml:space="preserve">לואי אבו רג'ב </w:t>
            </w:r>
            <w:r w:rsidRPr="005615ED">
              <w:rPr>
                <w:rFonts w:ascii="Times New Roman" w:hAnsi="Times New Roman" w:cs="Times New Roman"/>
                <w:rtl/>
              </w:rPr>
              <w:t xml:space="preserve"> </w:t>
            </w:r>
            <w:r w:rsidRPr="005615ED">
              <w:rPr>
                <w:rFonts w:ascii="Times New Roman" w:hAnsi="Times New Roman"/>
                <w:b/>
                <w:bCs/>
              </w:rPr>
              <w:t xml:space="preserve"> </w:t>
            </w:r>
            <w:r w:rsidRPr="005615ED">
              <w:rPr>
                <w:rFonts w:ascii="Times New Roman" w:hAnsi="Times New Roman"/>
                <w:b/>
                <w:bCs/>
                <w:rtl/>
              </w:rPr>
              <w:t xml:space="preserve"> </w:t>
            </w:r>
          </w:p>
        </w:tc>
      </w:tr>
    </w:tbl>
    <w:p w14:paraId="6F6A215A" w14:textId="77777777" w:rsidR="00C34038" w:rsidRPr="005615ED" w:rsidRDefault="00C34038" w:rsidP="00CB5526">
      <w:pPr>
        <w:spacing w:line="360" w:lineRule="auto"/>
        <w:jc w:val="both"/>
        <w:rPr>
          <w:b/>
          <w:bCs/>
          <w:rtl/>
        </w:rPr>
      </w:pPr>
      <w:r w:rsidRPr="005615ED">
        <w:rPr>
          <w:b/>
          <w:bCs/>
          <w:rtl/>
        </w:rPr>
        <w:t xml:space="preserve">נוכחים: </w:t>
      </w:r>
      <w:r w:rsidRPr="005615ED">
        <w:rPr>
          <w:b/>
          <w:bCs/>
          <w:rtl/>
        </w:rPr>
        <w:tab/>
        <w:t xml:space="preserve">בשם המאשימה עו"ד ויאאם קבלאוי. </w:t>
      </w:r>
    </w:p>
    <w:p w14:paraId="558E794C" w14:textId="77777777" w:rsidR="00C34038" w:rsidRPr="005615ED" w:rsidRDefault="00C34038" w:rsidP="00C93A03">
      <w:pPr>
        <w:spacing w:line="360" w:lineRule="auto"/>
        <w:jc w:val="both"/>
        <w:rPr>
          <w:b/>
          <w:bCs/>
          <w:rtl/>
        </w:rPr>
      </w:pPr>
      <w:r w:rsidRPr="005615ED">
        <w:rPr>
          <w:b/>
          <w:bCs/>
          <w:rtl/>
        </w:rPr>
        <w:tab/>
      </w:r>
      <w:r w:rsidRPr="005615ED">
        <w:rPr>
          <w:b/>
          <w:bCs/>
          <w:rtl/>
        </w:rPr>
        <w:tab/>
        <w:t>בשם הנאשמים 1 ו-3 עו"ד מוסטפא אבו אחמד.</w:t>
      </w:r>
    </w:p>
    <w:p w14:paraId="55D03F56" w14:textId="77777777" w:rsidR="00C34038" w:rsidRPr="005615ED" w:rsidRDefault="00C34038" w:rsidP="00AA6DD4">
      <w:pPr>
        <w:spacing w:line="360" w:lineRule="auto"/>
        <w:jc w:val="both"/>
        <w:rPr>
          <w:b/>
          <w:bCs/>
          <w:rtl/>
        </w:rPr>
      </w:pPr>
      <w:r w:rsidRPr="005615ED">
        <w:rPr>
          <w:b/>
          <w:bCs/>
          <w:rtl/>
        </w:rPr>
        <w:tab/>
      </w:r>
      <w:r w:rsidRPr="005615ED">
        <w:rPr>
          <w:b/>
          <w:bCs/>
          <w:rtl/>
        </w:rPr>
        <w:tab/>
        <w:t xml:space="preserve">בשם הנאשם 2 עו"ד זוהר ארבל.  </w:t>
      </w:r>
    </w:p>
    <w:p w14:paraId="311AA135" w14:textId="77777777" w:rsidR="00C34038" w:rsidRPr="005615ED" w:rsidRDefault="00C34038" w:rsidP="00C93A03">
      <w:pPr>
        <w:spacing w:line="360" w:lineRule="auto"/>
        <w:jc w:val="both"/>
        <w:rPr>
          <w:b/>
          <w:bCs/>
          <w:rtl/>
        </w:rPr>
      </w:pPr>
      <w:r w:rsidRPr="005615ED">
        <w:rPr>
          <w:b/>
          <w:bCs/>
          <w:rtl/>
        </w:rPr>
        <w:tab/>
      </w:r>
      <w:r w:rsidRPr="005615ED">
        <w:rPr>
          <w:b/>
          <w:bCs/>
          <w:rtl/>
        </w:rPr>
        <w:tab/>
        <w:t xml:space="preserve">הנאשמים בעצמם, הובאו ע"י הליווי. </w:t>
      </w:r>
    </w:p>
    <w:p w14:paraId="65A7355C" w14:textId="77777777" w:rsidR="00C63B2C" w:rsidRDefault="00C63B2C" w:rsidP="00E06ED4">
      <w:pPr>
        <w:pStyle w:val="12"/>
        <w:rPr>
          <w:b w:val="0"/>
          <w:bCs w:val="0"/>
          <w:u w:val="none"/>
          <w:rtl/>
        </w:rPr>
      </w:pPr>
      <w:bookmarkStart w:id="3" w:name="LawTable"/>
      <w:bookmarkEnd w:id="3"/>
    </w:p>
    <w:p w14:paraId="5AB6F2B9" w14:textId="77777777" w:rsidR="00C63B2C" w:rsidRPr="00C63B2C" w:rsidRDefault="00C63B2C" w:rsidP="00C63B2C">
      <w:pPr>
        <w:pStyle w:val="12"/>
        <w:spacing w:after="120" w:line="240" w:lineRule="exact"/>
        <w:ind w:left="283" w:hanging="283"/>
        <w:jc w:val="both"/>
        <w:rPr>
          <w:rFonts w:ascii="FrankRuehl" w:hAnsi="FrankRuehl" w:cs="FrankRuehl"/>
          <w:b w:val="0"/>
          <w:bCs w:val="0"/>
          <w:u w:val="none"/>
          <w:rtl/>
        </w:rPr>
      </w:pPr>
      <w:r w:rsidRPr="00C63B2C">
        <w:rPr>
          <w:rFonts w:ascii="FrankRuehl" w:hAnsi="FrankRuehl" w:cs="FrankRuehl"/>
          <w:b w:val="0"/>
          <w:bCs w:val="0"/>
          <w:u w:val="none"/>
          <w:rtl/>
        </w:rPr>
        <w:t xml:space="preserve">חקיקה שאוזכרה: </w:t>
      </w:r>
    </w:p>
    <w:p w14:paraId="378A770D" w14:textId="77777777" w:rsidR="00C63B2C" w:rsidRPr="00C63B2C" w:rsidRDefault="00C63B2C" w:rsidP="00C63B2C">
      <w:pPr>
        <w:pStyle w:val="12"/>
        <w:spacing w:after="120" w:line="240" w:lineRule="exact"/>
        <w:ind w:left="283" w:hanging="283"/>
        <w:jc w:val="both"/>
        <w:rPr>
          <w:rFonts w:ascii="FrankRuehl" w:hAnsi="FrankRuehl" w:cs="FrankRuehl"/>
          <w:b w:val="0"/>
          <w:bCs w:val="0"/>
          <w:u w:val="none"/>
          <w:rtl/>
        </w:rPr>
      </w:pPr>
      <w:hyperlink r:id="rId8" w:history="1">
        <w:r w:rsidRPr="00C63B2C">
          <w:rPr>
            <w:rFonts w:ascii="FrankRuehl" w:hAnsi="FrankRuehl" w:cs="FrankRuehl"/>
            <w:b w:val="0"/>
            <w:bCs w:val="0"/>
            <w:color w:val="0000FF"/>
            <w:rtl/>
          </w:rPr>
          <w:t>חוק העונשין, תשל"ז-1977</w:t>
        </w:r>
      </w:hyperlink>
      <w:r w:rsidRPr="00C63B2C">
        <w:rPr>
          <w:rFonts w:ascii="FrankRuehl" w:hAnsi="FrankRuehl" w:cs="FrankRuehl"/>
          <w:b w:val="0"/>
          <w:bCs w:val="0"/>
          <w:u w:val="none"/>
          <w:rtl/>
        </w:rPr>
        <w:t xml:space="preserve">: סע'  </w:t>
      </w:r>
      <w:hyperlink r:id="rId9" w:history="1">
        <w:r w:rsidRPr="00C63B2C">
          <w:rPr>
            <w:rFonts w:ascii="FrankRuehl" w:hAnsi="FrankRuehl" w:cs="FrankRuehl"/>
            <w:b w:val="0"/>
            <w:bCs w:val="0"/>
            <w:color w:val="0000FF"/>
            <w:rtl/>
          </w:rPr>
          <w:t>29</w:t>
        </w:r>
      </w:hyperlink>
      <w:r w:rsidRPr="00C63B2C">
        <w:rPr>
          <w:rFonts w:ascii="FrankRuehl" w:hAnsi="FrankRuehl" w:cs="FrankRuehl"/>
          <w:b w:val="0"/>
          <w:bCs w:val="0"/>
          <w:u w:val="none"/>
          <w:rtl/>
        </w:rPr>
        <w:t xml:space="preserve">, </w:t>
      </w:r>
      <w:hyperlink r:id="rId10" w:history="1">
        <w:r w:rsidRPr="00C63B2C">
          <w:rPr>
            <w:rFonts w:ascii="FrankRuehl" w:hAnsi="FrankRuehl" w:cs="FrankRuehl"/>
            <w:b w:val="0"/>
            <w:bCs w:val="0"/>
            <w:color w:val="0000FF"/>
            <w:rtl/>
          </w:rPr>
          <w:t>144(א)</w:t>
        </w:r>
      </w:hyperlink>
      <w:r w:rsidRPr="00C63B2C">
        <w:rPr>
          <w:rFonts w:ascii="FrankRuehl" w:hAnsi="FrankRuehl" w:cs="FrankRuehl"/>
          <w:b w:val="0"/>
          <w:bCs w:val="0"/>
          <w:u w:val="none"/>
          <w:rtl/>
        </w:rPr>
        <w:t xml:space="preserve">, </w:t>
      </w:r>
      <w:hyperlink r:id="rId11" w:history="1">
        <w:r w:rsidRPr="00C63B2C">
          <w:rPr>
            <w:rFonts w:ascii="FrankRuehl" w:hAnsi="FrankRuehl" w:cs="FrankRuehl"/>
            <w:b w:val="0"/>
            <w:bCs w:val="0"/>
            <w:color w:val="0000FF"/>
            <w:rtl/>
          </w:rPr>
          <w:t>144(ב)</w:t>
        </w:r>
      </w:hyperlink>
      <w:r w:rsidRPr="00C63B2C">
        <w:rPr>
          <w:rFonts w:ascii="FrankRuehl" w:hAnsi="FrankRuehl" w:cs="FrankRuehl"/>
          <w:b w:val="0"/>
          <w:bCs w:val="0"/>
          <w:u w:val="none"/>
          <w:rtl/>
        </w:rPr>
        <w:t xml:space="preserve">, </w:t>
      </w:r>
      <w:hyperlink r:id="rId12" w:history="1">
        <w:r w:rsidRPr="00C63B2C">
          <w:rPr>
            <w:rFonts w:ascii="FrankRuehl" w:hAnsi="FrankRuehl" w:cs="FrankRuehl"/>
            <w:b w:val="0"/>
            <w:bCs w:val="0"/>
            <w:color w:val="0000FF"/>
            <w:rtl/>
          </w:rPr>
          <w:t>340א</w:t>
        </w:r>
      </w:hyperlink>
      <w:r w:rsidRPr="00C63B2C">
        <w:rPr>
          <w:rFonts w:ascii="FrankRuehl" w:hAnsi="FrankRuehl" w:cs="FrankRuehl"/>
          <w:b w:val="0"/>
          <w:bCs w:val="0"/>
          <w:u w:val="none"/>
          <w:rtl/>
        </w:rPr>
        <w:t xml:space="preserve">, </w:t>
      </w:r>
      <w:hyperlink r:id="rId13" w:history="1">
        <w:r w:rsidRPr="00C63B2C">
          <w:rPr>
            <w:rFonts w:ascii="FrankRuehl" w:hAnsi="FrankRuehl" w:cs="FrankRuehl"/>
            <w:b w:val="0"/>
            <w:bCs w:val="0"/>
            <w:color w:val="0000FF"/>
            <w:rtl/>
          </w:rPr>
          <w:t>499(א)(1)</w:t>
        </w:r>
      </w:hyperlink>
    </w:p>
    <w:p w14:paraId="56061160" w14:textId="77777777" w:rsidR="00C63B2C" w:rsidRPr="00C63B2C" w:rsidRDefault="00C63B2C" w:rsidP="00C63B2C">
      <w:pPr>
        <w:pStyle w:val="12"/>
        <w:spacing w:after="120" w:line="240" w:lineRule="exact"/>
        <w:ind w:left="283" w:hanging="283"/>
        <w:jc w:val="both"/>
        <w:rPr>
          <w:rFonts w:ascii="FrankRuehl" w:hAnsi="FrankRuehl" w:cs="FrankRuehl"/>
          <w:b w:val="0"/>
          <w:bCs w:val="0"/>
          <w:u w:val="none"/>
          <w:rtl/>
        </w:rPr>
      </w:pPr>
      <w:hyperlink r:id="rId14" w:history="1">
        <w:r w:rsidRPr="00C63B2C">
          <w:rPr>
            <w:rFonts w:ascii="FrankRuehl" w:hAnsi="FrankRuehl" w:cs="FrankRuehl"/>
            <w:b w:val="0"/>
            <w:bCs w:val="0"/>
            <w:color w:val="0000FF"/>
            <w:rtl/>
          </w:rPr>
          <w:t>פקודת הסמים המסוכנים [נוסח חדש], תשל"ג-1973</w:t>
        </w:r>
      </w:hyperlink>
      <w:r w:rsidRPr="00C63B2C">
        <w:rPr>
          <w:rFonts w:ascii="FrankRuehl" w:hAnsi="FrankRuehl" w:cs="FrankRuehl"/>
          <w:b w:val="0"/>
          <w:bCs w:val="0"/>
          <w:u w:val="none"/>
          <w:rtl/>
        </w:rPr>
        <w:t xml:space="preserve">: סע'  </w:t>
      </w:r>
      <w:hyperlink r:id="rId15" w:history="1">
        <w:r w:rsidRPr="00C63B2C">
          <w:rPr>
            <w:rFonts w:ascii="FrankRuehl" w:hAnsi="FrankRuehl" w:cs="FrankRuehl"/>
            <w:b w:val="0"/>
            <w:bCs w:val="0"/>
            <w:color w:val="0000FF"/>
            <w:rtl/>
          </w:rPr>
          <w:t>7.א.</w:t>
        </w:r>
      </w:hyperlink>
      <w:r w:rsidRPr="00C63B2C">
        <w:rPr>
          <w:rFonts w:ascii="FrankRuehl" w:hAnsi="FrankRuehl" w:cs="FrankRuehl"/>
          <w:b w:val="0"/>
          <w:bCs w:val="0"/>
          <w:u w:val="none"/>
          <w:rtl/>
        </w:rPr>
        <w:t xml:space="preserve">, </w:t>
      </w:r>
      <w:hyperlink r:id="rId16" w:history="1">
        <w:r w:rsidRPr="00C63B2C">
          <w:rPr>
            <w:rFonts w:ascii="FrankRuehl" w:hAnsi="FrankRuehl" w:cs="FrankRuehl"/>
            <w:b w:val="0"/>
            <w:bCs w:val="0"/>
            <w:color w:val="0000FF"/>
            <w:rtl/>
          </w:rPr>
          <w:t>7.ג</w:t>
        </w:r>
      </w:hyperlink>
    </w:p>
    <w:p w14:paraId="41D5800B" w14:textId="77777777" w:rsidR="00C63B2C" w:rsidRPr="00C63B2C" w:rsidRDefault="00C63B2C" w:rsidP="00C63B2C">
      <w:pPr>
        <w:pStyle w:val="12"/>
        <w:spacing w:after="120" w:line="240" w:lineRule="exact"/>
        <w:ind w:left="283" w:hanging="283"/>
        <w:jc w:val="both"/>
        <w:rPr>
          <w:rFonts w:ascii="FrankRuehl" w:hAnsi="FrankRuehl" w:cs="FrankRuehl"/>
          <w:b w:val="0"/>
          <w:bCs w:val="0"/>
          <w:u w:val="none"/>
          <w:rtl/>
        </w:rPr>
      </w:pPr>
    </w:p>
    <w:p w14:paraId="369DFC9D" w14:textId="77777777" w:rsidR="0039031E" w:rsidRDefault="0039031E" w:rsidP="0039031E">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LawTable_End"/>
      <w:bookmarkStart w:id="5" w:name="ABSTRACT_START"/>
      <w:bookmarkEnd w:id="4"/>
      <w:bookmarkEnd w:id="5"/>
      <w:r>
        <w:rPr>
          <w:rFonts w:ascii="Times New Roman" w:hAnsi="Times New Roman" w:cs="FrankRuehl"/>
          <w:szCs w:val="26"/>
          <w:rtl/>
        </w:rPr>
        <w:t>מיני-רציו:</w:t>
      </w:r>
    </w:p>
    <w:p w14:paraId="65F0EBF9" w14:textId="77777777" w:rsidR="0039031E" w:rsidRPr="0039031E" w:rsidRDefault="0039031E" w:rsidP="0039031E">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39031E">
        <w:rPr>
          <w:rFonts w:ascii="Times New Roman" w:hAnsi="Times New Roman" w:cs="FrankRuehl" w:hint="cs"/>
          <w:szCs w:val="26"/>
          <w:rtl/>
        </w:rPr>
        <w:t>בית המשפט אישר הסדר טיעון בעניינם של נאשמים שהורשעו בעבירות נשק ובעבירות נוספות, והטיל על כל אחד מהם מאסר בפועל, מאסר מותנה וקנס.</w:t>
      </w:r>
    </w:p>
    <w:p w14:paraId="6699A099" w14:textId="77777777" w:rsidR="0039031E" w:rsidRDefault="0039031E" w:rsidP="0039031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דיון פלילי – הסדר טיעון – אישורו</w:t>
      </w:r>
    </w:p>
    <w:p w14:paraId="2EB2F210" w14:textId="77777777" w:rsidR="0039031E" w:rsidRDefault="0039031E" w:rsidP="0039031E">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הסדר טיעון</w:t>
      </w:r>
    </w:p>
    <w:p w14:paraId="21FD198B" w14:textId="77777777" w:rsidR="0039031E" w:rsidRDefault="0039031E" w:rsidP="0039031E">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05C9B926" w14:textId="77777777" w:rsidR="0039031E" w:rsidRPr="0039031E" w:rsidRDefault="0039031E" w:rsidP="0039031E">
      <w:pPr>
        <w:pBdr>
          <w:top w:val="single" w:sz="4" w:space="1" w:color="auto"/>
          <w:bottom w:val="single" w:sz="4" w:space="1" w:color="auto"/>
        </w:pBdr>
        <w:spacing w:after="120" w:line="320" w:lineRule="exact"/>
        <w:jc w:val="both"/>
        <w:rPr>
          <w:rFonts w:ascii="Times New Roman" w:hAnsi="Times New Roman" w:cs="FrankRuehl" w:hint="cs"/>
          <w:szCs w:val="26"/>
          <w:rtl/>
        </w:rPr>
      </w:pPr>
      <w:r w:rsidRPr="0039031E">
        <w:rPr>
          <w:rFonts w:ascii="Times New Roman" w:hAnsi="Times New Roman" w:cs="FrankRuehl"/>
          <w:szCs w:val="26"/>
          <w:rtl/>
        </w:rPr>
        <w:t>הנאשמים הורשעו, במסגרת הסדר טיעון</w:t>
      </w:r>
      <w:r w:rsidRPr="0039031E">
        <w:rPr>
          <w:rFonts w:ascii="Times New Roman" w:hAnsi="Times New Roman" w:cs="FrankRuehl" w:hint="cs"/>
          <w:szCs w:val="26"/>
          <w:rtl/>
        </w:rPr>
        <w:t xml:space="preserve"> "סגור"</w:t>
      </w:r>
      <w:r w:rsidRPr="0039031E">
        <w:rPr>
          <w:rFonts w:ascii="Times New Roman" w:hAnsi="Times New Roman" w:cs="FrankRuehl"/>
          <w:szCs w:val="26"/>
          <w:rtl/>
        </w:rPr>
        <w:t>, בעבירות נשיאה והובלה של נשק ותחמושת, רכישה והחזקת נשק התחמושת</w:t>
      </w:r>
      <w:r w:rsidRPr="0039031E">
        <w:rPr>
          <w:rFonts w:ascii="Times New Roman" w:hAnsi="Times New Roman" w:cs="FrankRuehl" w:hint="cs"/>
          <w:szCs w:val="26"/>
          <w:rtl/>
        </w:rPr>
        <w:t xml:space="preserve"> </w:t>
      </w:r>
      <w:r w:rsidRPr="0039031E">
        <w:rPr>
          <w:rFonts w:ascii="Times New Roman" w:hAnsi="Times New Roman" w:cs="FrankRuehl"/>
          <w:szCs w:val="26"/>
          <w:rtl/>
        </w:rPr>
        <w:t>וירי במקום מגורים</w:t>
      </w:r>
      <w:r w:rsidRPr="0039031E">
        <w:rPr>
          <w:rFonts w:ascii="Times New Roman" w:hAnsi="Times New Roman" w:cs="FrankRuehl" w:hint="cs"/>
          <w:szCs w:val="26"/>
          <w:rtl/>
        </w:rPr>
        <w:t xml:space="preserve">. </w:t>
      </w:r>
      <w:r w:rsidRPr="0039031E">
        <w:rPr>
          <w:rFonts w:ascii="Times New Roman" w:hAnsi="Times New Roman" w:cs="FrankRuehl"/>
          <w:szCs w:val="26"/>
          <w:rtl/>
        </w:rPr>
        <w:t xml:space="preserve">נאשמים 1 ו-3 הורשעו בנוסף, גם בקשירת קשר לפשע ונאשם 2 הורשע בנוסף בהחזקה ושימוש בסם מסוכן לצריכה עצמית. </w:t>
      </w:r>
    </w:p>
    <w:p w14:paraId="26D09D81" w14:textId="77777777" w:rsidR="0039031E" w:rsidRDefault="0039031E" w:rsidP="0039031E">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2C372845" w14:textId="77777777" w:rsidR="0039031E" w:rsidRPr="0039031E" w:rsidRDefault="0039031E" w:rsidP="0039031E">
      <w:pPr>
        <w:pBdr>
          <w:top w:val="single" w:sz="4" w:space="1" w:color="auto"/>
          <w:bottom w:val="single" w:sz="4" w:space="1" w:color="auto"/>
        </w:pBdr>
        <w:spacing w:after="120" w:line="320" w:lineRule="exact"/>
        <w:jc w:val="both"/>
        <w:rPr>
          <w:rFonts w:ascii="Times New Roman" w:hAnsi="Times New Roman" w:cs="FrankRuehl" w:hint="cs"/>
          <w:szCs w:val="26"/>
          <w:rtl/>
        </w:rPr>
      </w:pPr>
      <w:r w:rsidRPr="0039031E">
        <w:rPr>
          <w:rFonts w:ascii="Times New Roman" w:hAnsi="Times New Roman" w:cs="FrankRuehl"/>
          <w:szCs w:val="26"/>
          <w:rtl/>
        </w:rPr>
        <w:t>בית המשפט המחוזי</w:t>
      </w:r>
      <w:r w:rsidRPr="0039031E">
        <w:rPr>
          <w:rFonts w:ascii="Times New Roman" w:hAnsi="Times New Roman" w:cs="FrankRuehl" w:hint="cs"/>
          <w:szCs w:val="26"/>
          <w:rtl/>
        </w:rPr>
        <w:t xml:space="preserve"> אישר את ההסדר ופסק:</w:t>
      </w:r>
    </w:p>
    <w:p w14:paraId="5B10A0B4" w14:textId="77777777" w:rsidR="0039031E" w:rsidRPr="0039031E" w:rsidRDefault="0039031E" w:rsidP="0039031E">
      <w:pPr>
        <w:pBdr>
          <w:top w:val="single" w:sz="4" w:space="1" w:color="auto"/>
          <w:bottom w:val="single" w:sz="4" w:space="1" w:color="auto"/>
        </w:pBdr>
        <w:spacing w:after="120" w:line="320" w:lineRule="exact"/>
        <w:jc w:val="both"/>
        <w:rPr>
          <w:rFonts w:ascii="Times New Roman" w:hAnsi="Times New Roman" w:cs="FrankRuehl"/>
          <w:szCs w:val="26"/>
          <w:rtl/>
        </w:rPr>
      </w:pPr>
      <w:r w:rsidRPr="0039031E">
        <w:rPr>
          <w:rFonts w:ascii="Times New Roman" w:hAnsi="Times New Roman" w:cs="FrankRuehl"/>
          <w:szCs w:val="26"/>
          <w:rtl/>
        </w:rPr>
        <w:t xml:space="preserve">לאחר </w:t>
      </w:r>
      <w:r w:rsidRPr="0039031E">
        <w:rPr>
          <w:rFonts w:ascii="Times New Roman" w:hAnsi="Times New Roman" w:cs="FrankRuehl" w:hint="cs"/>
          <w:szCs w:val="26"/>
          <w:rtl/>
        </w:rPr>
        <w:t>בחינת</w:t>
      </w:r>
      <w:r w:rsidRPr="0039031E">
        <w:rPr>
          <w:rFonts w:ascii="Times New Roman" w:hAnsi="Times New Roman" w:cs="FrankRuehl"/>
          <w:szCs w:val="26"/>
          <w:rtl/>
        </w:rPr>
        <w:t xml:space="preserve"> מתחם העונש ההולם, הערך המוגן שנפגע מביצוע העבירות</w:t>
      </w:r>
      <w:r w:rsidRPr="0039031E">
        <w:rPr>
          <w:rFonts w:ascii="Times New Roman" w:hAnsi="Times New Roman" w:cs="FrankRuehl" w:hint="cs"/>
          <w:szCs w:val="26"/>
          <w:rtl/>
        </w:rPr>
        <w:t xml:space="preserve">, </w:t>
      </w:r>
      <w:r w:rsidRPr="0039031E">
        <w:rPr>
          <w:rFonts w:ascii="Times New Roman" w:hAnsi="Times New Roman" w:cs="FrankRuehl"/>
          <w:szCs w:val="26"/>
          <w:rtl/>
        </w:rPr>
        <w:t xml:space="preserve">נסיבות </w:t>
      </w:r>
      <w:r w:rsidRPr="0039031E">
        <w:rPr>
          <w:rFonts w:ascii="Times New Roman" w:hAnsi="Times New Roman" w:cs="FrankRuehl" w:hint="cs"/>
          <w:szCs w:val="26"/>
          <w:rtl/>
        </w:rPr>
        <w:t>ביצוען</w:t>
      </w:r>
      <w:r w:rsidRPr="0039031E">
        <w:rPr>
          <w:rFonts w:ascii="Times New Roman" w:hAnsi="Times New Roman" w:cs="FrankRuehl"/>
          <w:szCs w:val="26"/>
          <w:rtl/>
        </w:rPr>
        <w:t xml:space="preserve"> ומדיניות הענישה המחמירה בעבירות נשק, לצד השיקולים הנעוצים בנסיבות שאינן קשורות בביצוע העבירות, העונש המוסכם מצוי בתוך מתחם העונש ההולם ונותן ביטוי ראוי לכל השיקולים הנוגעים לקביעת העונש בתוך המתחם.</w:t>
      </w:r>
      <w:r w:rsidRPr="0039031E">
        <w:rPr>
          <w:rFonts w:ascii="Times New Roman" w:hAnsi="Times New Roman" w:cs="FrankRuehl" w:hint="cs"/>
          <w:szCs w:val="26"/>
          <w:rtl/>
        </w:rPr>
        <w:t xml:space="preserve"> לפיכך יש לאשר את ההסדר ובהתאם למוסכם לגזור על הנאשמים את העונשים </w:t>
      </w:r>
      <w:r w:rsidRPr="0039031E">
        <w:rPr>
          <w:rFonts w:ascii="Times New Roman" w:hAnsi="Times New Roman" w:cs="FrankRuehl" w:hint="cs"/>
          <w:szCs w:val="26"/>
          <w:rtl/>
        </w:rPr>
        <w:lastRenderedPageBreak/>
        <w:t>הבאים:</w:t>
      </w:r>
      <w:r w:rsidRPr="0039031E">
        <w:rPr>
          <w:rFonts w:ascii="Times New Roman" w:hAnsi="Times New Roman" w:cs="FrankRuehl"/>
          <w:szCs w:val="26"/>
          <w:rtl/>
        </w:rPr>
        <w:t xml:space="preserve"> על הנאשמים 1 ו-3: 21 חודשי מאסר בפועל</w:t>
      </w:r>
      <w:r w:rsidRPr="0039031E">
        <w:rPr>
          <w:rFonts w:ascii="Times New Roman" w:hAnsi="Times New Roman" w:cs="FrankRuehl" w:hint="cs"/>
          <w:szCs w:val="26"/>
          <w:rtl/>
        </w:rPr>
        <w:t xml:space="preserve">, שני מאסרים מותנים ועל הנאשם 3 מאסר מותנה נוסף, </w:t>
      </w:r>
      <w:r w:rsidRPr="0039031E">
        <w:rPr>
          <w:rFonts w:ascii="Times New Roman" w:hAnsi="Times New Roman" w:cs="FrankRuehl"/>
          <w:szCs w:val="26"/>
          <w:rtl/>
        </w:rPr>
        <w:t>קנס בסך 7,500 ₪ או 90 ימי מאסר</w:t>
      </w:r>
      <w:r w:rsidRPr="0039031E">
        <w:rPr>
          <w:rFonts w:ascii="Times New Roman" w:hAnsi="Times New Roman" w:cs="FrankRuehl" w:hint="cs"/>
          <w:szCs w:val="26"/>
          <w:rtl/>
        </w:rPr>
        <w:t xml:space="preserve">. </w:t>
      </w:r>
      <w:r w:rsidRPr="0039031E">
        <w:rPr>
          <w:rFonts w:ascii="Times New Roman" w:hAnsi="Times New Roman" w:cs="FrankRuehl"/>
          <w:szCs w:val="26"/>
          <w:rtl/>
        </w:rPr>
        <w:t>על הנאשם מס' 2</w:t>
      </w:r>
      <w:r w:rsidRPr="0039031E">
        <w:rPr>
          <w:rFonts w:ascii="Times New Roman" w:hAnsi="Times New Roman" w:cs="FrankRuehl"/>
          <w:szCs w:val="26"/>
        </w:rPr>
        <w:t xml:space="preserve">: </w:t>
      </w:r>
      <w:r w:rsidRPr="0039031E">
        <w:rPr>
          <w:rFonts w:ascii="Times New Roman" w:hAnsi="Times New Roman" w:cs="FrankRuehl"/>
          <w:szCs w:val="26"/>
          <w:rtl/>
        </w:rPr>
        <w:t xml:space="preserve">14 </w:t>
      </w:r>
      <w:r w:rsidRPr="0039031E">
        <w:rPr>
          <w:rFonts w:ascii="Times New Roman" w:hAnsi="Times New Roman" w:cs="FrankRuehl" w:hint="eastAsia"/>
          <w:szCs w:val="26"/>
          <w:rtl/>
        </w:rPr>
        <w:t>חודשי</w:t>
      </w:r>
      <w:r w:rsidRPr="0039031E">
        <w:rPr>
          <w:rFonts w:ascii="Times New Roman" w:hAnsi="Times New Roman" w:cs="FrankRuehl"/>
          <w:szCs w:val="26"/>
          <w:rtl/>
        </w:rPr>
        <w:t xml:space="preserve"> </w:t>
      </w:r>
      <w:r w:rsidRPr="0039031E">
        <w:rPr>
          <w:rFonts w:ascii="Times New Roman" w:hAnsi="Times New Roman" w:cs="FrankRuehl" w:hint="eastAsia"/>
          <w:szCs w:val="26"/>
          <w:rtl/>
        </w:rPr>
        <w:t>מאסר</w:t>
      </w:r>
      <w:r w:rsidRPr="0039031E">
        <w:rPr>
          <w:rFonts w:ascii="Times New Roman" w:hAnsi="Times New Roman" w:cs="FrankRuehl"/>
          <w:szCs w:val="26"/>
          <w:rtl/>
        </w:rPr>
        <w:t xml:space="preserve"> </w:t>
      </w:r>
      <w:r w:rsidRPr="0039031E">
        <w:rPr>
          <w:rFonts w:ascii="Times New Roman" w:hAnsi="Times New Roman" w:cs="FrankRuehl" w:hint="eastAsia"/>
          <w:szCs w:val="26"/>
          <w:rtl/>
        </w:rPr>
        <w:t>בפועל</w:t>
      </w:r>
      <w:r w:rsidRPr="0039031E">
        <w:rPr>
          <w:rFonts w:ascii="Times New Roman" w:hAnsi="Times New Roman" w:cs="FrankRuehl" w:hint="cs"/>
          <w:szCs w:val="26"/>
          <w:rtl/>
        </w:rPr>
        <w:t>, שני מאסרים מותנים ו</w:t>
      </w:r>
      <w:r w:rsidRPr="0039031E">
        <w:rPr>
          <w:rFonts w:ascii="Times New Roman" w:hAnsi="Times New Roman" w:cs="FrankRuehl" w:hint="eastAsia"/>
          <w:szCs w:val="26"/>
          <w:rtl/>
        </w:rPr>
        <w:t>קנס</w:t>
      </w:r>
      <w:r w:rsidRPr="0039031E">
        <w:rPr>
          <w:rFonts w:ascii="Times New Roman" w:hAnsi="Times New Roman" w:cs="FrankRuehl"/>
          <w:szCs w:val="26"/>
          <w:rtl/>
        </w:rPr>
        <w:t xml:space="preserve"> </w:t>
      </w:r>
      <w:r w:rsidRPr="0039031E">
        <w:rPr>
          <w:rFonts w:ascii="Times New Roman" w:hAnsi="Times New Roman" w:cs="FrankRuehl" w:hint="eastAsia"/>
          <w:szCs w:val="26"/>
          <w:rtl/>
        </w:rPr>
        <w:t>בסך</w:t>
      </w:r>
      <w:r w:rsidRPr="0039031E">
        <w:rPr>
          <w:rFonts w:ascii="Times New Roman" w:hAnsi="Times New Roman" w:cs="FrankRuehl"/>
          <w:szCs w:val="26"/>
          <w:rtl/>
        </w:rPr>
        <w:t xml:space="preserve"> 15,000 </w:t>
      </w:r>
      <w:r w:rsidRPr="0039031E">
        <w:rPr>
          <w:rFonts w:ascii="Times New Roman" w:hAnsi="Times New Roman" w:cs="FrankRuehl" w:hint="eastAsia"/>
          <w:szCs w:val="26"/>
          <w:rtl/>
        </w:rPr>
        <w:t>₪</w:t>
      </w:r>
      <w:r w:rsidRPr="0039031E">
        <w:rPr>
          <w:rFonts w:ascii="Times New Roman" w:hAnsi="Times New Roman" w:cs="FrankRuehl"/>
          <w:szCs w:val="26"/>
          <w:rtl/>
        </w:rPr>
        <w:t xml:space="preserve"> </w:t>
      </w:r>
      <w:r w:rsidRPr="0039031E">
        <w:rPr>
          <w:rFonts w:ascii="Times New Roman" w:hAnsi="Times New Roman" w:cs="FrankRuehl" w:hint="eastAsia"/>
          <w:szCs w:val="26"/>
          <w:rtl/>
        </w:rPr>
        <w:t>או</w:t>
      </w:r>
      <w:r w:rsidRPr="0039031E">
        <w:rPr>
          <w:rFonts w:ascii="Times New Roman" w:hAnsi="Times New Roman" w:cs="FrankRuehl"/>
          <w:szCs w:val="26"/>
          <w:rtl/>
        </w:rPr>
        <w:t xml:space="preserve"> 20 </w:t>
      </w:r>
      <w:r w:rsidRPr="0039031E">
        <w:rPr>
          <w:rFonts w:ascii="Times New Roman" w:hAnsi="Times New Roman" w:cs="FrankRuehl" w:hint="eastAsia"/>
          <w:szCs w:val="26"/>
          <w:rtl/>
        </w:rPr>
        <w:t>ימי</w:t>
      </w:r>
      <w:r w:rsidRPr="0039031E">
        <w:rPr>
          <w:rFonts w:ascii="Times New Roman" w:hAnsi="Times New Roman" w:cs="FrankRuehl"/>
          <w:szCs w:val="26"/>
          <w:rtl/>
        </w:rPr>
        <w:t xml:space="preserve"> </w:t>
      </w:r>
      <w:r w:rsidRPr="0039031E">
        <w:rPr>
          <w:rFonts w:ascii="Times New Roman" w:hAnsi="Times New Roman" w:cs="FrankRuehl" w:hint="eastAsia"/>
          <w:szCs w:val="26"/>
          <w:rtl/>
        </w:rPr>
        <w:t>מאסר</w:t>
      </w:r>
      <w:r w:rsidRPr="0039031E">
        <w:rPr>
          <w:rFonts w:ascii="Times New Roman" w:hAnsi="Times New Roman" w:cs="FrankRuehl"/>
          <w:szCs w:val="26"/>
          <w:rtl/>
        </w:rPr>
        <w:t>.</w:t>
      </w:r>
    </w:p>
    <w:p w14:paraId="27F1F7BA" w14:textId="77777777" w:rsidR="00C34038" w:rsidRPr="00C63B2C" w:rsidRDefault="00C34038" w:rsidP="00E06ED4">
      <w:pPr>
        <w:pStyle w:val="12"/>
        <w:rPr>
          <w:b w:val="0"/>
          <w:bCs w:val="0"/>
          <w:u w:val="none"/>
          <w:rtl/>
        </w:rPr>
      </w:pPr>
      <w:bookmarkStart w:id="6" w:name="ABSTRACT_END"/>
      <w:bookmarkEnd w:id="6"/>
    </w:p>
    <w:p w14:paraId="08B96859" w14:textId="77777777" w:rsidR="005615ED" w:rsidRPr="005615ED" w:rsidRDefault="005615ED" w:rsidP="005615ED">
      <w:pPr>
        <w:spacing w:line="360" w:lineRule="auto"/>
        <w:jc w:val="center"/>
        <w:rPr>
          <w:rFonts w:ascii="Arial" w:hAnsi="Arial"/>
          <w:b/>
          <w:bCs/>
          <w:sz w:val="28"/>
          <w:szCs w:val="28"/>
          <w:u w:val="single"/>
          <w:rtl/>
        </w:rPr>
      </w:pPr>
      <w:bookmarkStart w:id="7" w:name="_GoBack"/>
      <w:bookmarkStart w:id="8" w:name="PsakDin"/>
      <w:bookmarkEnd w:id="0"/>
      <w:bookmarkEnd w:id="7"/>
      <w:r w:rsidRPr="005615ED">
        <w:rPr>
          <w:rFonts w:ascii="Arial" w:hAnsi="Arial"/>
          <w:b/>
          <w:bCs/>
          <w:sz w:val="28"/>
          <w:szCs w:val="28"/>
          <w:u w:val="single"/>
          <w:rtl/>
        </w:rPr>
        <w:t>גזר דין</w:t>
      </w:r>
    </w:p>
    <w:bookmarkEnd w:id="8"/>
    <w:p w14:paraId="4BE4E6A3" w14:textId="77777777" w:rsidR="00C34038" w:rsidRDefault="00C34038" w:rsidP="00D340CC">
      <w:pPr>
        <w:spacing w:line="360" w:lineRule="auto"/>
        <w:ind w:left="720" w:hanging="720"/>
        <w:jc w:val="both"/>
        <w:rPr>
          <w:rtl/>
        </w:rPr>
      </w:pPr>
      <w:r>
        <w:rPr>
          <w:rtl/>
        </w:rPr>
        <w:t>1.</w:t>
      </w:r>
      <w:r>
        <w:rPr>
          <w:rtl/>
        </w:rPr>
        <w:tab/>
      </w:r>
      <w:r w:rsidRPr="00172D60">
        <w:rPr>
          <w:rtl/>
        </w:rPr>
        <w:t xml:space="preserve">הנאשמים הורשעו, על פי הודאתם ובמסגרת הסדר טיעון, בעבירות בנשק, שעניינן נשיאה והובלה של נשק ותחמושת, עבירות לפי </w:t>
      </w:r>
      <w:hyperlink r:id="rId17" w:history="1">
        <w:r w:rsidR="00C63B2C" w:rsidRPr="00C63B2C">
          <w:rPr>
            <w:color w:val="0000FF"/>
            <w:u w:val="single"/>
            <w:rtl/>
          </w:rPr>
          <w:t>סעיף 144(ב)</w:t>
        </w:r>
      </w:hyperlink>
      <w:r w:rsidRPr="00172D60">
        <w:rPr>
          <w:rtl/>
        </w:rPr>
        <w:t xml:space="preserve"> רישא + סיפא + </w:t>
      </w:r>
      <w:hyperlink r:id="rId18" w:history="1">
        <w:r w:rsidR="00C63B2C" w:rsidRPr="00C63B2C">
          <w:rPr>
            <w:color w:val="0000FF"/>
            <w:u w:val="single"/>
            <w:rtl/>
          </w:rPr>
          <w:t>סעיף 29</w:t>
        </w:r>
      </w:hyperlink>
      <w:r w:rsidRPr="00172D60">
        <w:rPr>
          <w:rtl/>
        </w:rPr>
        <w:t xml:space="preserve"> ל</w:t>
      </w:r>
      <w:hyperlink r:id="rId19" w:history="1">
        <w:r w:rsidR="005615ED" w:rsidRPr="005615ED">
          <w:rPr>
            <w:rStyle w:val="Hyperlink"/>
            <w:rtl/>
          </w:rPr>
          <w:t>חוק העונשין</w:t>
        </w:r>
      </w:hyperlink>
      <w:r w:rsidRPr="00172D60">
        <w:rPr>
          <w:rtl/>
        </w:rPr>
        <w:t xml:space="preserve">, </w:t>
      </w:r>
      <w:r>
        <w:rPr>
          <w:rtl/>
        </w:rPr>
        <w:t>התשל"ז - 1977, (להלן: "</w:t>
      </w:r>
      <w:r w:rsidRPr="00D340CC">
        <w:rPr>
          <w:b/>
          <w:bCs/>
          <w:rtl/>
        </w:rPr>
        <w:t>חוק העונשין"),</w:t>
      </w:r>
      <w:r>
        <w:rPr>
          <w:rtl/>
        </w:rPr>
        <w:t xml:space="preserve"> </w:t>
      </w:r>
      <w:r w:rsidRPr="00172D60">
        <w:rPr>
          <w:rtl/>
        </w:rPr>
        <w:t xml:space="preserve">רכישה והחזקת נשק התחמושת, עבירות לפי </w:t>
      </w:r>
      <w:hyperlink r:id="rId20" w:history="1">
        <w:r w:rsidR="00C63B2C" w:rsidRPr="00C63B2C">
          <w:rPr>
            <w:color w:val="0000FF"/>
            <w:u w:val="single"/>
            <w:rtl/>
          </w:rPr>
          <w:t>סעיף 144(א)</w:t>
        </w:r>
      </w:hyperlink>
      <w:r>
        <w:rPr>
          <w:rtl/>
        </w:rPr>
        <w:t xml:space="preserve"> רישא + סיפא + </w:t>
      </w:r>
      <w:hyperlink r:id="rId21" w:history="1">
        <w:r w:rsidR="00C63B2C" w:rsidRPr="00C63B2C">
          <w:rPr>
            <w:color w:val="0000FF"/>
            <w:u w:val="single"/>
            <w:rtl/>
          </w:rPr>
          <w:t>סעיף 29</w:t>
        </w:r>
      </w:hyperlink>
      <w:r>
        <w:rPr>
          <w:rtl/>
        </w:rPr>
        <w:t xml:space="preserve"> לחוק העונשין, וירי במקום מגורים, עבירה לפי </w:t>
      </w:r>
      <w:hyperlink r:id="rId22" w:history="1">
        <w:r w:rsidR="00C63B2C" w:rsidRPr="00C63B2C">
          <w:rPr>
            <w:color w:val="0000FF"/>
            <w:u w:val="single"/>
            <w:rtl/>
          </w:rPr>
          <w:t>סעיף 340א</w:t>
        </w:r>
      </w:hyperlink>
      <w:r>
        <w:rPr>
          <w:rtl/>
        </w:rPr>
        <w:t xml:space="preserve"> לחוק העונשין. </w:t>
      </w:r>
    </w:p>
    <w:p w14:paraId="2770DFEC" w14:textId="77777777" w:rsidR="00C34038" w:rsidRDefault="00C34038" w:rsidP="00172D60">
      <w:pPr>
        <w:spacing w:line="360" w:lineRule="auto"/>
        <w:jc w:val="both"/>
        <w:rPr>
          <w:rtl/>
        </w:rPr>
      </w:pPr>
    </w:p>
    <w:p w14:paraId="304B1902" w14:textId="77777777" w:rsidR="00C34038" w:rsidRDefault="00C34038" w:rsidP="00D340CC">
      <w:pPr>
        <w:spacing w:line="360" w:lineRule="auto"/>
        <w:ind w:left="720"/>
        <w:jc w:val="both"/>
        <w:rPr>
          <w:rtl/>
        </w:rPr>
      </w:pPr>
      <w:r>
        <w:rPr>
          <w:rtl/>
        </w:rPr>
        <w:t xml:space="preserve">נאשמים 1 ו-3 הורשעו בנוסף, גם בקשירת קשר לפשע, עבירה לפי </w:t>
      </w:r>
      <w:hyperlink r:id="rId23" w:history="1">
        <w:r w:rsidR="00C63B2C" w:rsidRPr="00C63B2C">
          <w:rPr>
            <w:color w:val="0000FF"/>
            <w:u w:val="single"/>
            <w:rtl/>
          </w:rPr>
          <w:t>סעיף 499(א)(1)</w:t>
        </w:r>
      </w:hyperlink>
      <w:r>
        <w:rPr>
          <w:rtl/>
        </w:rPr>
        <w:t xml:space="preserve"> ל</w:t>
      </w:r>
      <w:hyperlink r:id="rId24" w:history="1">
        <w:r w:rsidR="005615ED" w:rsidRPr="005615ED">
          <w:rPr>
            <w:rStyle w:val="Hyperlink"/>
            <w:rtl/>
          </w:rPr>
          <w:t>חוק העונשין</w:t>
        </w:r>
      </w:hyperlink>
      <w:r>
        <w:rPr>
          <w:rtl/>
        </w:rPr>
        <w:t xml:space="preserve">, ואילו נאשם מס' 2 הורשע בנוסף, בהחזקה ושימוש בסם מסוכן לצריכה עצמית, עבירה לפי </w:t>
      </w:r>
      <w:hyperlink r:id="rId25" w:history="1">
        <w:r w:rsidR="00C63B2C" w:rsidRPr="00C63B2C">
          <w:rPr>
            <w:color w:val="0000FF"/>
            <w:u w:val="single"/>
            <w:rtl/>
          </w:rPr>
          <w:t>סעיף 7(א)+(ג)</w:t>
        </w:r>
      </w:hyperlink>
      <w:r>
        <w:rPr>
          <w:rtl/>
        </w:rPr>
        <w:t xml:space="preserve"> סיפא ל</w:t>
      </w:r>
      <w:hyperlink r:id="rId26" w:history="1">
        <w:r w:rsidR="005615ED" w:rsidRPr="005615ED">
          <w:rPr>
            <w:rStyle w:val="Hyperlink"/>
            <w:rtl/>
          </w:rPr>
          <w:t>פקודת הסמים המסוכנים</w:t>
        </w:r>
      </w:hyperlink>
      <w:r>
        <w:rPr>
          <w:rtl/>
        </w:rPr>
        <w:t xml:space="preserve"> (נוסח חדש), התשל"ג-1973. </w:t>
      </w:r>
    </w:p>
    <w:p w14:paraId="4C0B2503" w14:textId="77777777" w:rsidR="00C34038" w:rsidRDefault="00C34038" w:rsidP="00172D60">
      <w:pPr>
        <w:spacing w:line="360" w:lineRule="auto"/>
        <w:jc w:val="both"/>
        <w:rPr>
          <w:rtl/>
        </w:rPr>
      </w:pPr>
    </w:p>
    <w:p w14:paraId="6297C246" w14:textId="77777777" w:rsidR="00C34038" w:rsidRDefault="00C34038" w:rsidP="00D340CC">
      <w:pPr>
        <w:spacing w:line="360" w:lineRule="auto"/>
        <w:ind w:left="720" w:hanging="720"/>
        <w:jc w:val="both"/>
        <w:rPr>
          <w:rtl/>
        </w:rPr>
      </w:pPr>
      <w:r>
        <w:rPr>
          <w:rtl/>
        </w:rPr>
        <w:t>2.</w:t>
      </w:r>
      <w:r>
        <w:rPr>
          <w:rtl/>
        </w:rPr>
        <w:tab/>
        <w:t xml:space="preserve">לפי עובדות כתב האישום המתוקן </w:t>
      </w:r>
      <w:r w:rsidRPr="002C1F0B">
        <w:rPr>
          <w:b/>
          <w:bCs/>
          <w:rtl/>
        </w:rPr>
        <w:t>(כא/1)</w:t>
      </w:r>
      <w:r>
        <w:rPr>
          <w:rtl/>
        </w:rPr>
        <w:t xml:space="preserve"> בו הודו הנאשמים, כשנה וחצי עובר להגשת כתב האישום, רכש נאשם מס' 1 תת מקלע מאולתר מסוג "קרל גוסטב", החזיק אותו, וכן שתי מחסניות מלאות בכדורים, ללא רשות על פי דין להחזקתם, נשא והוביל אותם והסתירם באדמה הסמוכה לביתו. </w:t>
      </w:r>
    </w:p>
    <w:p w14:paraId="7304DDA1" w14:textId="77777777" w:rsidR="00C34038" w:rsidRDefault="00C34038" w:rsidP="00172D60">
      <w:pPr>
        <w:spacing w:line="360" w:lineRule="auto"/>
        <w:jc w:val="both"/>
        <w:rPr>
          <w:rtl/>
        </w:rPr>
      </w:pPr>
    </w:p>
    <w:p w14:paraId="1CB76067" w14:textId="77777777" w:rsidR="00C34038" w:rsidRDefault="00C34038" w:rsidP="00D340CC">
      <w:pPr>
        <w:spacing w:line="360" w:lineRule="auto"/>
        <w:ind w:left="720"/>
        <w:jc w:val="both"/>
        <w:rPr>
          <w:rtl/>
        </w:rPr>
      </w:pPr>
      <w:r>
        <w:rPr>
          <w:rtl/>
        </w:rPr>
        <w:t xml:space="preserve">כשנה עובר להגשת כתב האישום, ביקש הנאשם מס' 3 מהנאשם 1 נשק, כדי לירות בו במהלך חתונה של קרוב משפחתו. הנאשם 1 הציע לו את הרובה או אקדח שברשותו, ובסופו של דבר, העביר לו את האקדח, שבאמצעותו בוצע ירי במהלך החתונה והוא הוחזר לנאשם מס' 1. </w:t>
      </w:r>
    </w:p>
    <w:p w14:paraId="41FA0D16" w14:textId="77777777" w:rsidR="00C34038" w:rsidRDefault="00C34038" w:rsidP="00172D60">
      <w:pPr>
        <w:spacing w:line="360" w:lineRule="auto"/>
        <w:jc w:val="both"/>
        <w:rPr>
          <w:rtl/>
        </w:rPr>
      </w:pPr>
    </w:p>
    <w:p w14:paraId="30D4CB47" w14:textId="77777777" w:rsidR="00C34038" w:rsidRDefault="00C34038" w:rsidP="00D340CC">
      <w:pPr>
        <w:spacing w:line="360" w:lineRule="auto"/>
        <w:ind w:firstLine="720"/>
        <w:jc w:val="both"/>
        <w:rPr>
          <w:rtl/>
        </w:rPr>
      </w:pPr>
      <w:r>
        <w:rPr>
          <w:rtl/>
        </w:rPr>
        <w:t xml:space="preserve">הנאשם מס' 1 סיפר לנאשם מס' 3 בהמשך, כי מכר את האקדח תמורת סכום של 17,000 ₪. </w:t>
      </w:r>
    </w:p>
    <w:p w14:paraId="6E8724CD" w14:textId="77777777" w:rsidR="00C34038" w:rsidRDefault="00C34038" w:rsidP="00172D60">
      <w:pPr>
        <w:spacing w:line="360" w:lineRule="auto"/>
        <w:jc w:val="both"/>
        <w:rPr>
          <w:rtl/>
        </w:rPr>
      </w:pPr>
    </w:p>
    <w:p w14:paraId="519BCDA6" w14:textId="77777777" w:rsidR="00C34038" w:rsidRDefault="00C34038" w:rsidP="00D340CC">
      <w:pPr>
        <w:spacing w:line="360" w:lineRule="auto"/>
        <w:ind w:left="720"/>
        <w:jc w:val="both"/>
        <w:rPr>
          <w:rtl/>
        </w:rPr>
      </w:pPr>
      <w:r>
        <w:rPr>
          <w:rtl/>
        </w:rPr>
        <w:t xml:space="preserve">בחודש מאי 2016, במסגרת סכסוך בין אחד מחבריהם של הנאשמים, מועתז אבו אדבה, לבין משפחת כנענה, הגיעו בני משפחת כנענה לביתו של מועתז. הנאשמים הגיעו אל ביתו של מועתז, כשהנאשם מס' 1 הביא עמו את הרובה, ולאחר דין ודברים עם משפחת כנענה, ירו מועתז והנאשם מס' 1 בנשק לאוויר, כדי להרחיק את בני משפחת כנענה. </w:t>
      </w:r>
    </w:p>
    <w:p w14:paraId="612D38D6" w14:textId="77777777" w:rsidR="00C34038" w:rsidRDefault="00C34038" w:rsidP="002C1F0B">
      <w:pPr>
        <w:spacing w:line="360" w:lineRule="auto"/>
        <w:jc w:val="both"/>
        <w:rPr>
          <w:rtl/>
        </w:rPr>
      </w:pPr>
    </w:p>
    <w:p w14:paraId="1EEA5A49" w14:textId="77777777" w:rsidR="00C34038" w:rsidRDefault="00C34038" w:rsidP="008E1571">
      <w:pPr>
        <w:spacing w:line="360" w:lineRule="auto"/>
        <w:ind w:left="720"/>
        <w:jc w:val="both"/>
        <w:rPr>
          <w:rtl/>
        </w:rPr>
      </w:pPr>
      <w:r>
        <w:rPr>
          <w:rtl/>
        </w:rPr>
        <w:t xml:space="preserve">בחודש יולי 2016, במהלך עיד אל פיטר, יצאו הנאשמים 1 ו-2 לחגיגות בעיר נצרת, כאשר נאשם מס' 1 נושא את הרובה ונאשם מס' 2 נושא עמו קופסת כדורי 9 מ"מ והשניים ירו באוויר ברובה. </w:t>
      </w:r>
    </w:p>
    <w:p w14:paraId="1F96759E" w14:textId="77777777" w:rsidR="00C34038" w:rsidRDefault="00C34038" w:rsidP="002C1F0B">
      <w:pPr>
        <w:spacing w:line="360" w:lineRule="auto"/>
        <w:jc w:val="both"/>
        <w:rPr>
          <w:rtl/>
        </w:rPr>
      </w:pPr>
    </w:p>
    <w:p w14:paraId="6A2AF2BB" w14:textId="77777777" w:rsidR="00C34038" w:rsidRDefault="00C34038" w:rsidP="008E1571">
      <w:pPr>
        <w:spacing w:line="360" w:lineRule="auto"/>
        <w:ind w:left="720"/>
        <w:jc w:val="both"/>
        <w:rPr>
          <w:rtl/>
        </w:rPr>
      </w:pPr>
      <w:r>
        <w:rPr>
          <w:rtl/>
        </w:rPr>
        <w:lastRenderedPageBreak/>
        <w:t xml:space="preserve">בתחילת חודש אוגוסט 2016 ביקש הנאשם מס' 3 מהנאשם מס' 2 את הרובה שנמצא ברשותו של נאשם מס' 1, וזאת בשל סכסוך בינו ובין משפחת אלוש והנאשם מס' 2 הסכים לבקשתו זו. בשעת ערב יצא הנאשם מס' 2 לשטח הסמוך לביתו של נאשם מס' 1, (מקום בו החביא נאשם מס' 1 את הרובה וסיפר על כך לנאשם מס' 2), הוציא את הרובה והתחמושת ונשא אותם אל ביתו של נאשם מס' 3 והעבירם לידיו. נאשם מס' 3 הסתיר את הרובה והתחמושת בגג ביתו. </w:t>
      </w:r>
    </w:p>
    <w:p w14:paraId="0CAEE2F4" w14:textId="77777777" w:rsidR="00C34038" w:rsidRDefault="00C34038" w:rsidP="008E1571">
      <w:pPr>
        <w:spacing w:line="360" w:lineRule="auto"/>
        <w:ind w:left="720"/>
        <w:jc w:val="both"/>
        <w:rPr>
          <w:rtl/>
        </w:rPr>
      </w:pPr>
    </w:p>
    <w:p w14:paraId="2C455726" w14:textId="77777777" w:rsidR="00C34038" w:rsidRDefault="00C34038" w:rsidP="008E1571">
      <w:pPr>
        <w:spacing w:line="360" w:lineRule="auto"/>
        <w:ind w:left="720"/>
        <w:jc w:val="both"/>
        <w:rPr>
          <w:rtl/>
        </w:rPr>
      </w:pPr>
      <w:r>
        <w:rPr>
          <w:rtl/>
        </w:rPr>
        <w:t xml:space="preserve">ביום 11/08/16, יום מעצרם של הנאשמים 1 ו-2 התקשר נאשם מס' 3 למועתז ואמר לו כי הוא מתכוון להסתיר את הרובה והתחמושת, כדי שהמשטרה לא תמצא אותם אצלו. בהמשך נשא נאשם מס' 3 את הרובה והתחמושת שהייתה ברשותו, נפגש עם מועתז, שהביא עמו שקית ובה 20 כדורי 9 מ"מ ומחסנית לאקדח, את כל אלה הסתירו באורווה בנצרת ולאחר מכן בשטח פתוח בין אכסאל לדבוריה, לא לפני שהנאשם מס' 3 הכניס מחסנית מלאה כדורים לרובה, דרך אותו וירה את כל הכדורים באוויר.  </w:t>
      </w:r>
    </w:p>
    <w:p w14:paraId="7B2D2298" w14:textId="77777777" w:rsidR="00C34038" w:rsidRDefault="00C34038" w:rsidP="002C1F0B">
      <w:pPr>
        <w:spacing w:line="360" w:lineRule="auto"/>
        <w:jc w:val="both"/>
        <w:rPr>
          <w:rtl/>
        </w:rPr>
      </w:pPr>
    </w:p>
    <w:p w14:paraId="0D95209A" w14:textId="77777777" w:rsidR="00C34038" w:rsidRDefault="00C34038" w:rsidP="008E1571">
      <w:pPr>
        <w:spacing w:line="360" w:lineRule="auto"/>
        <w:ind w:left="720" w:hanging="720"/>
        <w:jc w:val="both"/>
        <w:rPr>
          <w:rtl/>
        </w:rPr>
      </w:pPr>
      <w:r>
        <w:rPr>
          <w:rtl/>
        </w:rPr>
        <w:t>3.</w:t>
      </w:r>
      <w:r>
        <w:rPr>
          <w:rtl/>
        </w:rPr>
        <w:tab/>
        <w:t xml:space="preserve">הודאות הנאשמים, במיוחס להם בכתב האישום המתוקן, באה, כאמור, בעקבות הסדר טיעון שהושג בין הצדדים, במסגרתו סוכמו גם רכיבי הענישה, תקופות המאסר בפועל והקנסות  שיושתו על הנאשמים, לצד מאסר על תנאי, לשיקול דעת של בית המשפט. </w:t>
      </w:r>
    </w:p>
    <w:p w14:paraId="2D105F55" w14:textId="77777777" w:rsidR="00C34038" w:rsidRDefault="00C34038" w:rsidP="001D34D9">
      <w:pPr>
        <w:spacing w:line="360" w:lineRule="auto"/>
        <w:jc w:val="both"/>
        <w:rPr>
          <w:rtl/>
        </w:rPr>
      </w:pPr>
    </w:p>
    <w:p w14:paraId="6825F9DF" w14:textId="77777777" w:rsidR="00C34038" w:rsidRDefault="00C34038" w:rsidP="00C53008">
      <w:pPr>
        <w:spacing w:line="360" w:lineRule="auto"/>
        <w:ind w:firstLine="720"/>
        <w:jc w:val="both"/>
        <w:rPr>
          <w:rtl/>
        </w:rPr>
      </w:pPr>
      <w:r>
        <w:rPr>
          <w:rtl/>
        </w:rPr>
        <w:t xml:space="preserve">טרם גזירת הדין ונוכח גילם של הנאשמים, הוזמנו תסקירי שירות המבחן בעניינם. </w:t>
      </w:r>
    </w:p>
    <w:p w14:paraId="13EFD07B" w14:textId="77777777" w:rsidR="00C34038" w:rsidRDefault="00C34038" w:rsidP="001D34D9">
      <w:pPr>
        <w:spacing w:line="360" w:lineRule="auto"/>
        <w:jc w:val="both"/>
        <w:rPr>
          <w:rtl/>
        </w:rPr>
      </w:pPr>
    </w:p>
    <w:p w14:paraId="721DCACF" w14:textId="77777777" w:rsidR="00C34038" w:rsidRDefault="00C34038" w:rsidP="008E1571">
      <w:pPr>
        <w:spacing w:line="360" w:lineRule="auto"/>
        <w:ind w:left="720" w:hanging="720"/>
        <w:jc w:val="both"/>
        <w:rPr>
          <w:rtl/>
        </w:rPr>
      </w:pPr>
      <w:r>
        <w:rPr>
          <w:rtl/>
        </w:rPr>
        <w:t>4.</w:t>
      </w:r>
      <w:r>
        <w:rPr>
          <w:rtl/>
        </w:rPr>
        <w:tab/>
        <w:t xml:space="preserve">בעקבות קבלת התסקירים ובהמשך להסדר אליו הגיעו, עתרו הצדדים במשותף, לאמץ את ההסדר ולהשית על הנאשמים את העונשים כפי שסוכמו, כעונשים ראויים ומידתיים, המשקפים מחד את חומרת המעשים, ומנגד את הנתונים האישיים, עברם הנקי של הנאשמים, הודאתם, לקיחת האחריות, הפנמת החומרה וחרטתם על המעשים שביצעו. </w:t>
      </w:r>
    </w:p>
    <w:p w14:paraId="7BFA5604" w14:textId="77777777" w:rsidR="00C34038" w:rsidRDefault="00C34038" w:rsidP="001D34D9">
      <w:pPr>
        <w:spacing w:line="360" w:lineRule="auto"/>
        <w:jc w:val="both"/>
        <w:rPr>
          <w:rtl/>
        </w:rPr>
      </w:pPr>
    </w:p>
    <w:p w14:paraId="4DC2CA2B" w14:textId="77777777" w:rsidR="00C34038" w:rsidRDefault="00C34038" w:rsidP="00C53008">
      <w:pPr>
        <w:spacing w:line="360" w:lineRule="auto"/>
        <w:ind w:left="720" w:hanging="720"/>
        <w:jc w:val="both"/>
      </w:pPr>
      <w:r>
        <w:rPr>
          <w:rtl/>
        </w:rPr>
        <w:t>5.</w:t>
      </w:r>
      <w:r>
        <w:rPr>
          <w:rtl/>
        </w:rPr>
        <w:tab/>
        <w:t>כאמור, הצדדים הגיעו לידי הסדר, הכולל הסכמה גם באשר לעונשים שיוטלו על הנאשמים. בהקשר זה, נפסק על ידי בית המשפט העליון, כי על אף שבית המשפט איננו פטור מלבחון בעצמו את שיקולי הענישה במתווה תיקון 113 ל</w:t>
      </w:r>
      <w:hyperlink r:id="rId27" w:history="1">
        <w:r w:rsidR="005615ED" w:rsidRPr="005615ED">
          <w:rPr>
            <w:rStyle w:val="Hyperlink"/>
            <w:rtl/>
          </w:rPr>
          <w:t>חוק העונשין</w:t>
        </w:r>
      </w:hyperlink>
      <w:r>
        <w:rPr>
          <w:rtl/>
        </w:rPr>
        <w:t>, גם כאשר מוצג בפניו הסדר טיעון, הרי שלא ימהר להתערב בעונש שהוסכם בין הצדדים, וזאת בשים לב להלכות שנקבעו בעבר באשר למידת ההתערבות בהסדרי טיעון, לאור שיקול הדעת הנתון למאשימה והחזקה כי היא פועלת במסגרת שיקול דעתה בהשגת ההסדר, תוך שכלול מלוא הנתונים הנדרשים. (</w:t>
      </w:r>
      <w:hyperlink r:id="rId28" w:history="1">
        <w:r w:rsidR="005615ED" w:rsidRPr="005615ED">
          <w:rPr>
            <w:rStyle w:val="Hyperlink"/>
            <w:rtl/>
          </w:rPr>
          <w:t>ע"פ 3856/13</w:t>
        </w:r>
      </w:hyperlink>
      <w:r>
        <w:rPr>
          <w:rtl/>
        </w:rPr>
        <w:t xml:space="preserve"> </w:t>
      </w:r>
      <w:r>
        <w:rPr>
          <w:b/>
          <w:bCs/>
          <w:rtl/>
        </w:rPr>
        <w:t>גוני נ. מדינת ישראל</w:t>
      </w:r>
      <w:r>
        <w:rPr>
          <w:rtl/>
        </w:rPr>
        <w:t xml:space="preserve">, </w:t>
      </w:r>
      <w:r w:rsidR="0039031E" w:rsidRPr="0039031E">
        <w:rPr>
          <w:rFonts w:ascii="Times New Roman" w:hAnsi="Times New Roman"/>
          <w:sz w:val="22"/>
          <w:rtl/>
        </w:rPr>
        <w:t xml:space="preserve">[פורסם בנבו] </w:t>
      </w:r>
      <w:r>
        <w:rPr>
          <w:rtl/>
        </w:rPr>
        <w:t>(3.2.14) ו</w:t>
      </w:r>
      <w:hyperlink r:id="rId29" w:history="1">
        <w:r w:rsidR="005615ED" w:rsidRPr="005615ED">
          <w:rPr>
            <w:rStyle w:val="Hyperlink"/>
            <w:rtl/>
          </w:rPr>
          <w:t>ע"פ 5845/14</w:t>
        </w:r>
      </w:hyperlink>
      <w:r>
        <w:rPr>
          <w:rtl/>
        </w:rPr>
        <w:t xml:space="preserve"> </w:t>
      </w:r>
      <w:r>
        <w:rPr>
          <w:b/>
          <w:bCs/>
          <w:rtl/>
        </w:rPr>
        <w:t>אסט נ. מדינת ישראל</w:t>
      </w:r>
      <w:r>
        <w:rPr>
          <w:rtl/>
        </w:rPr>
        <w:t xml:space="preserve"> </w:t>
      </w:r>
      <w:r w:rsidR="0039031E" w:rsidRPr="0039031E">
        <w:rPr>
          <w:rFonts w:ascii="Times New Roman" w:hAnsi="Times New Roman"/>
          <w:sz w:val="22"/>
          <w:rtl/>
        </w:rPr>
        <w:t xml:space="preserve">[פורסם בנבו] </w:t>
      </w:r>
      <w:r>
        <w:rPr>
          <w:rtl/>
        </w:rPr>
        <w:t xml:space="preserve">(20/04/16)). </w:t>
      </w:r>
    </w:p>
    <w:p w14:paraId="44D2B10F" w14:textId="77777777" w:rsidR="00C34038" w:rsidRDefault="00C34038" w:rsidP="00C53008">
      <w:pPr>
        <w:spacing w:line="360" w:lineRule="auto"/>
        <w:jc w:val="both"/>
        <w:rPr>
          <w:rtl/>
        </w:rPr>
      </w:pPr>
    </w:p>
    <w:p w14:paraId="61DF5354" w14:textId="77777777" w:rsidR="00C34038" w:rsidRDefault="00C34038" w:rsidP="00075977">
      <w:pPr>
        <w:spacing w:line="360" w:lineRule="auto"/>
        <w:ind w:left="720" w:hanging="720"/>
        <w:jc w:val="both"/>
        <w:rPr>
          <w:rtl/>
        </w:rPr>
      </w:pPr>
      <w:r>
        <w:rPr>
          <w:rtl/>
        </w:rPr>
        <w:t>6.</w:t>
      </w:r>
      <w:r>
        <w:rPr>
          <w:rtl/>
        </w:rPr>
        <w:tab/>
        <w:t xml:space="preserve">לאחר שבחנתי את מתחם העונש ההולם בעבירות שביצעו הנאשמים בנסיבותיהן, על יסוד העקרונות הרלבנטיים, קרי, הערך המוגן שנפגע מביצוע העבירות, הנסיבות שבהן בוצעו העבירות, (בפרט הרקע לעבירות הנשק והשימוש שנעשה בו), ומדיניות הענישה המחמירה בעבירות נשק, ולצד זאת השיקולים הנעוצים בנסיבות שאינן קשורות בביצוע העבירות, כמו גילאיהם של הנאשמים, נסיבות חייהם, התרשמות שירות המבחן, ממאפייני אישיותם, התנהלותם בשלב המעצר ומידת הצורך בהרתעתם, הודאתם בשלב מוקדם מאוד של ההליך, נטילת האחריות והחרטה, שוכנעתי כי העונש המוסכם מצוי בתוך מתחם העונש ההולם והוא נותן ביטוי ראוי לכל השיקולים הנוגעים לקביעת העונש בתוך המתחם. </w:t>
      </w:r>
    </w:p>
    <w:p w14:paraId="4F8CB746" w14:textId="77777777" w:rsidR="00C34038" w:rsidRDefault="00C34038" w:rsidP="00D41DCB">
      <w:pPr>
        <w:spacing w:line="360" w:lineRule="auto"/>
        <w:jc w:val="both"/>
        <w:rPr>
          <w:rtl/>
        </w:rPr>
      </w:pPr>
    </w:p>
    <w:p w14:paraId="645FD8A3" w14:textId="77777777" w:rsidR="00C34038" w:rsidRDefault="00C34038" w:rsidP="00075977">
      <w:pPr>
        <w:spacing w:line="360" w:lineRule="auto"/>
        <w:ind w:left="720" w:hanging="720"/>
        <w:jc w:val="both"/>
        <w:rPr>
          <w:rtl/>
        </w:rPr>
      </w:pPr>
      <w:r>
        <w:rPr>
          <w:rtl/>
        </w:rPr>
        <w:t>7.</w:t>
      </w:r>
      <w:r>
        <w:rPr>
          <w:rtl/>
        </w:rPr>
        <w:tab/>
        <w:t xml:space="preserve">לאור האמור, אני מקבלת את ההסדר אליו הגיעו הצדדים וגוזרת על הנאשמים את העונשים הבאים: </w:t>
      </w:r>
    </w:p>
    <w:p w14:paraId="4C06C7BF" w14:textId="77777777" w:rsidR="00C34038" w:rsidRDefault="00C34038" w:rsidP="00D41DCB">
      <w:pPr>
        <w:spacing w:line="360" w:lineRule="auto"/>
        <w:jc w:val="both"/>
        <w:rPr>
          <w:rtl/>
        </w:rPr>
      </w:pPr>
    </w:p>
    <w:p w14:paraId="3B29BEC2" w14:textId="77777777" w:rsidR="00C34038" w:rsidRDefault="00C34038" w:rsidP="00D41DCB">
      <w:pPr>
        <w:spacing w:line="360" w:lineRule="auto"/>
        <w:jc w:val="both"/>
        <w:rPr>
          <w:b/>
          <w:bCs/>
          <w:u w:val="single"/>
          <w:rtl/>
        </w:rPr>
      </w:pPr>
    </w:p>
    <w:p w14:paraId="4B87E02F" w14:textId="77777777" w:rsidR="00C34038" w:rsidRDefault="00C34038" w:rsidP="00D41DCB">
      <w:pPr>
        <w:spacing w:line="360" w:lineRule="auto"/>
        <w:jc w:val="both"/>
        <w:rPr>
          <w:rtl/>
        </w:rPr>
      </w:pPr>
      <w:r w:rsidRPr="00D41DCB">
        <w:rPr>
          <w:b/>
          <w:bCs/>
          <w:u w:val="single"/>
          <w:rtl/>
        </w:rPr>
        <w:t>על הנאשמים 1 ו-3</w:t>
      </w:r>
      <w:r>
        <w:rPr>
          <w:rtl/>
        </w:rPr>
        <w:t xml:space="preserve">: </w:t>
      </w:r>
    </w:p>
    <w:p w14:paraId="36B03E65" w14:textId="77777777" w:rsidR="00C34038" w:rsidRDefault="00C34038" w:rsidP="00EE653C">
      <w:pPr>
        <w:spacing w:line="360" w:lineRule="auto"/>
        <w:jc w:val="both"/>
        <w:rPr>
          <w:b/>
          <w:bCs/>
          <w:rtl/>
        </w:rPr>
      </w:pPr>
    </w:p>
    <w:p w14:paraId="225681EF" w14:textId="77777777" w:rsidR="00C34038" w:rsidRDefault="00C34038" w:rsidP="00EE653C">
      <w:pPr>
        <w:spacing w:line="360" w:lineRule="auto"/>
        <w:ind w:left="720" w:hanging="720"/>
        <w:jc w:val="both"/>
        <w:rPr>
          <w:b/>
          <w:bCs/>
          <w:rtl/>
        </w:rPr>
      </w:pPr>
      <w:r w:rsidRPr="00D41DCB">
        <w:rPr>
          <w:b/>
          <w:bCs/>
          <w:rtl/>
        </w:rPr>
        <w:t>א.</w:t>
      </w:r>
      <w:r>
        <w:rPr>
          <w:rtl/>
        </w:rPr>
        <w:tab/>
        <w:t xml:space="preserve">21 חודשי מאסר בפועל, שימנו מיום מעצרם. </w:t>
      </w:r>
      <w:r w:rsidRPr="00041F98">
        <w:rPr>
          <w:b/>
          <w:bCs/>
          <w:rtl/>
        </w:rPr>
        <w:t xml:space="preserve">(נאשם 1 </w:t>
      </w:r>
      <w:r>
        <w:rPr>
          <w:b/>
          <w:bCs/>
          <w:rtl/>
        </w:rPr>
        <w:t xml:space="preserve">עצור </w:t>
      </w:r>
      <w:r w:rsidRPr="00041F98">
        <w:rPr>
          <w:b/>
          <w:bCs/>
          <w:rtl/>
        </w:rPr>
        <w:t>מיום 11/08/16 ונאשם</w:t>
      </w:r>
      <w:r>
        <w:rPr>
          <w:b/>
          <w:bCs/>
          <w:rtl/>
        </w:rPr>
        <w:tab/>
        <w:t xml:space="preserve">3 עצור </w:t>
      </w:r>
      <w:r w:rsidRPr="00041F98">
        <w:rPr>
          <w:b/>
          <w:bCs/>
          <w:rtl/>
        </w:rPr>
        <w:t xml:space="preserve">מיום 15/08/16). </w:t>
      </w:r>
    </w:p>
    <w:p w14:paraId="6BC36E1C" w14:textId="77777777" w:rsidR="00C34038" w:rsidRPr="00041F98" w:rsidRDefault="00C34038" w:rsidP="00EE653C">
      <w:pPr>
        <w:spacing w:line="360" w:lineRule="auto"/>
        <w:ind w:left="720" w:hanging="720"/>
        <w:jc w:val="both"/>
        <w:rPr>
          <w:b/>
          <w:bCs/>
          <w:rtl/>
        </w:rPr>
      </w:pPr>
    </w:p>
    <w:p w14:paraId="43642288" w14:textId="77777777" w:rsidR="00C34038" w:rsidRDefault="00C34038" w:rsidP="00EE653C">
      <w:pPr>
        <w:spacing w:line="360" w:lineRule="auto"/>
        <w:ind w:left="720" w:hanging="720"/>
        <w:jc w:val="both"/>
        <w:rPr>
          <w:rtl/>
        </w:rPr>
      </w:pPr>
      <w:r w:rsidRPr="00041F98">
        <w:rPr>
          <w:b/>
          <w:bCs/>
          <w:rtl/>
        </w:rPr>
        <w:t>ב.</w:t>
      </w:r>
      <w:r>
        <w:rPr>
          <w:rtl/>
        </w:rPr>
        <w:tab/>
        <w:t xml:space="preserve">12 חודשי מאסר על תנאי, והתנאי הוא שלא יעברו במהלך 3 שנים מהיום, עבירות בנשק מסוג פשע וירי באזור מגורים. </w:t>
      </w:r>
    </w:p>
    <w:p w14:paraId="738D86B5" w14:textId="77777777" w:rsidR="00C34038" w:rsidRDefault="00C34038" w:rsidP="00041F98">
      <w:pPr>
        <w:spacing w:line="360" w:lineRule="auto"/>
        <w:ind w:left="720" w:hanging="720"/>
        <w:jc w:val="both"/>
        <w:rPr>
          <w:rtl/>
        </w:rPr>
      </w:pPr>
    </w:p>
    <w:p w14:paraId="1775BCA7" w14:textId="77777777" w:rsidR="00C34038" w:rsidRDefault="00C34038" w:rsidP="00EE653C">
      <w:pPr>
        <w:spacing w:line="360" w:lineRule="auto"/>
        <w:ind w:left="720" w:hanging="720"/>
        <w:jc w:val="both"/>
        <w:rPr>
          <w:rtl/>
        </w:rPr>
      </w:pPr>
      <w:r w:rsidRPr="00041F98">
        <w:rPr>
          <w:b/>
          <w:bCs/>
          <w:rtl/>
        </w:rPr>
        <w:t>ג</w:t>
      </w:r>
      <w:r>
        <w:rPr>
          <w:rtl/>
        </w:rPr>
        <w:t>.</w:t>
      </w:r>
      <w:r>
        <w:rPr>
          <w:rtl/>
        </w:rPr>
        <w:tab/>
        <w:t xml:space="preserve">7 חודשי מאסר על תנאי, והתנאי הוא שלא יעברו במהלך 3 שנים מהיום, עבירות בנשק מסוג עוון. </w:t>
      </w:r>
    </w:p>
    <w:p w14:paraId="1AD2FF8D" w14:textId="77777777" w:rsidR="00C34038" w:rsidRDefault="00C34038" w:rsidP="00041F98">
      <w:pPr>
        <w:spacing w:line="360" w:lineRule="auto"/>
        <w:ind w:left="720" w:hanging="720"/>
        <w:jc w:val="both"/>
        <w:rPr>
          <w:rtl/>
        </w:rPr>
      </w:pPr>
    </w:p>
    <w:p w14:paraId="2BA2967F" w14:textId="77777777" w:rsidR="00C34038" w:rsidRDefault="00C34038" w:rsidP="00EE653C">
      <w:pPr>
        <w:spacing w:line="360" w:lineRule="auto"/>
        <w:ind w:left="720" w:hanging="720"/>
        <w:jc w:val="both"/>
        <w:rPr>
          <w:rtl/>
        </w:rPr>
      </w:pPr>
      <w:r w:rsidRPr="00041F98">
        <w:rPr>
          <w:b/>
          <w:bCs/>
          <w:rtl/>
        </w:rPr>
        <w:t>ד</w:t>
      </w:r>
      <w:r>
        <w:rPr>
          <w:rtl/>
        </w:rPr>
        <w:t>.</w:t>
      </w:r>
      <w:r>
        <w:rPr>
          <w:rtl/>
        </w:rPr>
        <w:tab/>
        <w:t>ביחס לנאשם מס' 3 בלבד - 3 חודשי מאסר על תנאי, והתנאי הוא שלא יעבור במהלך</w:t>
      </w:r>
      <w:r>
        <w:rPr>
          <w:rtl/>
        </w:rPr>
        <w:tab/>
        <w:t xml:space="preserve">3 שנים מהיום, עבירה של החזקה או שימוש בסם לצריכה עצמית. </w:t>
      </w:r>
    </w:p>
    <w:p w14:paraId="17744A8D" w14:textId="77777777" w:rsidR="00C34038" w:rsidRDefault="00C34038" w:rsidP="00EE653C">
      <w:pPr>
        <w:spacing w:line="360" w:lineRule="auto"/>
        <w:ind w:left="140" w:hanging="720"/>
        <w:jc w:val="both"/>
        <w:rPr>
          <w:rtl/>
        </w:rPr>
      </w:pPr>
    </w:p>
    <w:p w14:paraId="635CB07A" w14:textId="77777777" w:rsidR="00C34038" w:rsidRDefault="00C34038" w:rsidP="00EE653C">
      <w:pPr>
        <w:spacing w:line="360" w:lineRule="auto"/>
        <w:jc w:val="both"/>
        <w:rPr>
          <w:rtl/>
        </w:rPr>
      </w:pPr>
      <w:r w:rsidRPr="00041F98">
        <w:rPr>
          <w:b/>
          <w:bCs/>
          <w:rtl/>
        </w:rPr>
        <w:t>ה</w:t>
      </w:r>
      <w:r>
        <w:rPr>
          <w:rtl/>
        </w:rPr>
        <w:t>.</w:t>
      </w:r>
      <w:r>
        <w:rPr>
          <w:rtl/>
        </w:rPr>
        <w:tab/>
        <w:t xml:space="preserve">קנס בסך 7,500 ₪ או 90 ימי מאסר כנגדו, על כל אחד מן הנאשמים 1 ו-3. </w:t>
      </w:r>
    </w:p>
    <w:p w14:paraId="75EB2D6E" w14:textId="77777777" w:rsidR="00C34038" w:rsidRDefault="00C34038" w:rsidP="00EE653C">
      <w:pPr>
        <w:spacing w:line="360" w:lineRule="auto"/>
        <w:ind w:left="720"/>
        <w:jc w:val="both"/>
        <w:rPr>
          <w:rtl/>
        </w:rPr>
      </w:pPr>
      <w:r>
        <w:rPr>
          <w:rtl/>
        </w:rPr>
        <w:t xml:space="preserve">הקנס ישולם ב-10 תשלומים חודשיים, שווים ורצופים, החל מיום </w:t>
      </w:r>
      <w:r>
        <w:rPr>
          <w:b/>
          <w:bCs/>
          <w:rtl/>
        </w:rPr>
        <w:t>01/05/17</w:t>
      </w:r>
      <w:r>
        <w:rPr>
          <w:rtl/>
        </w:rPr>
        <w:t xml:space="preserve"> ובכל 1 לחודש שלאחריו, כאשר אי פירעון אחד התשלומים במועדו, יעמיד את מלוא הקנס לפירעון מידי. </w:t>
      </w:r>
    </w:p>
    <w:p w14:paraId="5A3AD17E" w14:textId="77777777" w:rsidR="00C34038" w:rsidRDefault="00C34038" w:rsidP="00EE653C">
      <w:pPr>
        <w:spacing w:line="360" w:lineRule="auto"/>
        <w:ind w:left="140" w:hanging="720"/>
        <w:jc w:val="both"/>
        <w:rPr>
          <w:b/>
          <w:bCs/>
          <w:u w:val="single"/>
          <w:rtl/>
        </w:rPr>
      </w:pPr>
    </w:p>
    <w:p w14:paraId="1D83A46B" w14:textId="77777777" w:rsidR="00C34038" w:rsidRDefault="00C34038" w:rsidP="00041F98">
      <w:pPr>
        <w:spacing w:line="360" w:lineRule="auto"/>
        <w:ind w:left="720" w:hanging="720"/>
        <w:jc w:val="both"/>
        <w:rPr>
          <w:rFonts w:ascii="Calibri" w:hAnsi="Calibri"/>
          <w:rtl/>
        </w:rPr>
      </w:pPr>
      <w:r w:rsidRPr="00041F98">
        <w:rPr>
          <w:b/>
          <w:bCs/>
          <w:u w:val="single"/>
          <w:rtl/>
        </w:rPr>
        <w:t>על הנאשם מס' 2</w:t>
      </w:r>
      <w:r>
        <w:rPr>
          <w:rFonts w:ascii="Calibri" w:hAnsi="Calibri"/>
        </w:rPr>
        <w:t xml:space="preserve">: </w:t>
      </w:r>
    </w:p>
    <w:p w14:paraId="5E4767F3" w14:textId="77777777" w:rsidR="00C34038" w:rsidRDefault="00C34038" w:rsidP="00041F98">
      <w:pPr>
        <w:spacing w:line="360" w:lineRule="auto"/>
        <w:ind w:left="720" w:hanging="720"/>
        <w:jc w:val="both"/>
        <w:rPr>
          <w:rFonts w:ascii="Calibri" w:hAnsi="Calibri"/>
          <w:rtl/>
        </w:rPr>
      </w:pPr>
    </w:p>
    <w:p w14:paraId="746BAF43" w14:textId="77777777" w:rsidR="00C34038" w:rsidRDefault="00C34038" w:rsidP="00EE653C">
      <w:pPr>
        <w:spacing w:line="360" w:lineRule="auto"/>
        <w:jc w:val="both"/>
        <w:rPr>
          <w:rFonts w:ascii="Calibri" w:hAnsi="Calibri"/>
          <w:b/>
          <w:bCs/>
          <w:rtl/>
        </w:rPr>
      </w:pPr>
      <w:r w:rsidRPr="009E15BE">
        <w:rPr>
          <w:rFonts w:ascii="Calibri" w:hAnsi="Calibri" w:hint="eastAsia"/>
          <w:b/>
          <w:bCs/>
          <w:rtl/>
        </w:rPr>
        <w:t>א</w:t>
      </w:r>
      <w:r>
        <w:rPr>
          <w:rFonts w:ascii="Calibri" w:hAnsi="Calibri"/>
          <w:rtl/>
        </w:rPr>
        <w:t>.</w:t>
      </w:r>
      <w:r>
        <w:rPr>
          <w:rFonts w:ascii="Calibri" w:hAnsi="Calibri"/>
          <w:rtl/>
        </w:rPr>
        <w:tab/>
        <w:t xml:space="preserve">14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שימנו</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מעצרו</w:t>
      </w:r>
      <w:r>
        <w:rPr>
          <w:rFonts w:ascii="Calibri" w:hAnsi="Calibri"/>
          <w:rtl/>
        </w:rPr>
        <w:t xml:space="preserve"> </w:t>
      </w:r>
      <w:r w:rsidRPr="00041F98">
        <w:rPr>
          <w:rFonts w:ascii="Calibri" w:hAnsi="Calibri"/>
          <w:b/>
          <w:bCs/>
          <w:rtl/>
        </w:rPr>
        <w:t xml:space="preserve">11/08/16. </w:t>
      </w:r>
    </w:p>
    <w:p w14:paraId="622FA34F" w14:textId="77777777" w:rsidR="00C34038" w:rsidRDefault="00C34038" w:rsidP="00041F98">
      <w:pPr>
        <w:spacing w:line="360" w:lineRule="auto"/>
        <w:ind w:left="720" w:hanging="720"/>
        <w:jc w:val="both"/>
        <w:rPr>
          <w:rFonts w:ascii="Calibri" w:hAnsi="Calibri"/>
          <w:b/>
          <w:bCs/>
          <w:rtl/>
        </w:rPr>
      </w:pPr>
    </w:p>
    <w:p w14:paraId="58990535" w14:textId="77777777" w:rsidR="00C34038" w:rsidRDefault="00C34038" w:rsidP="00EE653C">
      <w:pPr>
        <w:spacing w:line="360" w:lineRule="auto"/>
        <w:ind w:left="720" w:hanging="720"/>
        <w:jc w:val="both"/>
        <w:rPr>
          <w:rtl/>
        </w:rPr>
      </w:pPr>
      <w:r w:rsidRPr="009E15BE">
        <w:rPr>
          <w:rFonts w:ascii="Calibri" w:hAnsi="Calibri" w:hint="eastAsia"/>
          <w:b/>
          <w:bCs/>
          <w:rtl/>
        </w:rPr>
        <w:t>ב</w:t>
      </w:r>
      <w:r>
        <w:rPr>
          <w:rFonts w:ascii="Calibri" w:hAnsi="Calibri"/>
          <w:rtl/>
        </w:rPr>
        <w:t>.</w:t>
      </w:r>
      <w:r>
        <w:rPr>
          <w:rFonts w:ascii="Calibri" w:hAnsi="Calibri"/>
          <w:rtl/>
        </w:rPr>
        <w:tab/>
        <w:t xml:space="preserve">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tl/>
        </w:rPr>
        <w:t xml:space="preserve"> והתנאי הוא שלא יעבור במהלך 3 שנים מהיום, עבירות בנשק מסוג פשע וירי באזור מגורים. </w:t>
      </w:r>
    </w:p>
    <w:p w14:paraId="0169B799" w14:textId="77777777" w:rsidR="00C34038" w:rsidRDefault="00C34038" w:rsidP="00041F98">
      <w:pPr>
        <w:spacing w:line="360" w:lineRule="auto"/>
        <w:ind w:left="720" w:hanging="720"/>
        <w:jc w:val="both"/>
        <w:rPr>
          <w:rFonts w:ascii="Calibri" w:hAnsi="Calibri"/>
          <w:rtl/>
        </w:rPr>
      </w:pPr>
    </w:p>
    <w:p w14:paraId="4FB506ED" w14:textId="77777777" w:rsidR="00C34038" w:rsidRDefault="00C34038" w:rsidP="00EE653C">
      <w:pPr>
        <w:spacing w:line="360" w:lineRule="auto"/>
        <w:jc w:val="both"/>
        <w:rPr>
          <w:rtl/>
        </w:rPr>
      </w:pPr>
      <w:r w:rsidRPr="009E15BE">
        <w:rPr>
          <w:rFonts w:ascii="Calibri" w:hAnsi="Calibri" w:hint="eastAsia"/>
          <w:b/>
          <w:bCs/>
          <w:rtl/>
        </w:rPr>
        <w:t>ג</w:t>
      </w:r>
      <w:r>
        <w:rPr>
          <w:rFonts w:ascii="Calibri" w:hAnsi="Calibri"/>
          <w:rtl/>
        </w:rPr>
        <w:t>.</w:t>
      </w:r>
      <w:r>
        <w:rPr>
          <w:rFonts w:ascii="Calibri" w:hAnsi="Calibri"/>
          <w:rtl/>
        </w:rPr>
        <w:tab/>
        <w:t xml:space="preserve">7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tl/>
        </w:rPr>
        <w:t xml:space="preserve">והתנאי הוא שלא יעברו במהלך 3 שנים עבירות בנשק מסוג עוון. </w:t>
      </w:r>
    </w:p>
    <w:p w14:paraId="6ED7A197" w14:textId="77777777" w:rsidR="00C34038" w:rsidRDefault="00C34038" w:rsidP="00041F98">
      <w:pPr>
        <w:spacing w:line="360" w:lineRule="auto"/>
        <w:ind w:left="720" w:hanging="720"/>
        <w:jc w:val="both"/>
        <w:rPr>
          <w:rFonts w:ascii="Calibri" w:hAnsi="Calibri"/>
          <w:rtl/>
        </w:rPr>
      </w:pPr>
    </w:p>
    <w:p w14:paraId="615F0DF2" w14:textId="77777777" w:rsidR="00C34038" w:rsidRDefault="00C34038" w:rsidP="00EE653C">
      <w:pPr>
        <w:spacing w:line="360" w:lineRule="auto"/>
        <w:jc w:val="both"/>
        <w:rPr>
          <w:rFonts w:ascii="Calibri" w:hAnsi="Calibri"/>
          <w:rtl/>
        </w:rPr>
      </w:pPr>
      <w:r w:rsidRPr="009E15BE">
        <w:rPr>
          <w:rFonts w:ascii="Calibri" w:hAnsi="Calibri" w:hint="eastAsia"/>
          <w:b/>
          <w:bCs/>
          <w:rtl/>
        </w:rPr>
        <w:t>ד</w:t>
      </w:r>
      <w:r>
        <w:rPr>
          <w:rFonts w:ascii="Calibri" w:hAnsi="Calibri"/>
          <w:rtl/>
        </w:rPr>
        <w:t>.</w:t>
      </w:r>
      <w:r>
        <w:rPr>
          <w:rFonts w:ascii="Calibri" w:hAnsi="Calibri"/>
          <w:rtl/>
        </w:rPr>
        <w:tab/>
      </w:r>
      <w:r>
        <w:rPr>
          <w:rFonts w:ascii="Calibri" w:hAnsi="Calibri" w:hint="eastAsia"/>
          <w:rtl/>
        </w:rPr>
        <w:t>קנס</w:t>
      </w:r>
      <w:r>
        <w:rPr>
          <w:rFonts w:ascii="Calibri" w:hAnsi="Calibri"/>
          <w:rtl/>
        </w:rPr>
        <w:t xml:space="preserve"> </w:t>
      </w:r>
      <w:r>
        <w:rPr>
          <w:rFonts w:ascii="Calibri" w:hAnsi="Calibri" w:hint="eastAsia"/>
          <w:rtl/>
        </w:rPr>
        <w:t>בסך</w:t>
      </w:r>
      <w:r>
        <w:rPr>
          <w:rFonts w:ascii="Calibri" w:hAnsi="Calibri"/>
          <w:rtl/>
        </w:rPr>
        <w:t xml:space="preserve"> 15,000 </w:t>
      </w:r>
      <w:r>
        <w:rPr>
          <w:rFonts w:ascii="Calibri" w:hAnsi="Calibri" w:hint="eastAsia"/>
          <w:rtl/>
        </w:rPr>
        <w:t>₪</w:t>
      </w:r>
      <w:r>
        <w:rPr>
          <w:rFonts w:ascii="Calibri" w:hAnsi="Calibri"/>
          <w:rtl/>
        </w:rPr>
        <w:t xml:space="preserve"> </w:t>
      </w:r>
      <w:r>
        <w:rPr>
          <w:rFonts w:ascii="Calibri" w:hAnsi="Calibri" w:hint="eastAsia"/>
          <w:rtl/>
        </w:rPr>
        <w:t>או</w:t>
      </w:r>
      <w:r>
        <w:rPr>
          <w:rFonts w:ascii="Calibri" w:hAnsi="Calibri"/>
          <w:rtl/>
        </w:rPr>
        <w:t xml:space="preserve"> 20 </w:t>
      </w:r>
      <w:r>
        <w:rPr>
          <w:rFonts w:ascii="Calibri" w:hAnsi="Calibri" w:hint="eastAsia"/>
          <w:rtl/>
        </w:rPr>
        <w:t>ימי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כנגדו</w:t>
      </w:r>
      <w:r>
        <w:rPr>
          <w:rFonts w:ascii="Calibri" w:hAnsi="Calibri"/>
          <w:rtl/>
        </w:rPr>
        <w:t xml:space="preserve">. </w:t>
      </w:r>
    </w:p>
    <w:p w14:paraId="16A6F2EE" w14:textId="77777777" w:rsidR="00C34038" w:rsidRPr="00041F98" w:rsidRDefault="00C34038" w:rsidP="00EE653C">
      <w:pPr>
        <w:spacing w:line="360" w:lineRule="auto"/>
        <w:ind w:left="720"/>
        <w:jc w:val="both"/>
        <w:rPr>
          <w:rFonts w:ascii="Calibri" w:hAnsi="Calibri"/>
          <w:rtl/>
        </w:rPr>
      </w:pPr>
      <w:r>
        <w:rPr>
          <w:rFonts w:ascii="Calibri" w:hAnsi="Calibri" w:hint="eastAsia"/>
          <w:rtl/>
        </w:rPr>
        <w:t>הקנס</w:t>
      </w:r>
      <w:r>
        <w:rPr>
          <w:rFonts w:ascii="Calibri" w:hAnsi="Calibri"/>
          <w:rtl/>
        </w:rPr>
        <w:t xml:space="preserve"> </w:t>
      </w:r>
      <w:r>
        <w:rPr>
          <w:rFonts w:ascii="Calibri" w:hAnsi="Calibri" w:hint="eastAsia"/>
          <w:rtl/>
        </w:rPr>
        <w:t>ישולם</w:t>
      </w:r>
      <w:r>
        <w:rPr>
          <w:rFonts w:ascii="Calibri" w:hAnsi="Calibri"/>
          <w:rtl/>
        </w:rPr>
        <w:t xml:space="preserve"> </w:t>
      </w:r>
      <w:r>
        <w:rPr>
          <w:rFonts w:ascii="Calibri" w:hAnsi="Calibri" w:hint="eastAsia"/>
          <w:rtl/>
        </w:rPr>
        <w:t>ב</w:t>
      </w:r>
      <w:r>
        <w:rPr>
          <w:rFonts w:ascii="Calibri" w:hAnsi="Calibri"/>
          <w:rtl/>
        </w:rPr>
        <w:t xml:space="preserve">-10 </w:t>
      </w:r>
      <w:r>
        <w:rPr>
          <w:rFonts w:ascii="Calibri" w:hAnsi="Calibri" w:hint="eastAsia"/>
          <w:rtl/>
        </w:rPr>
        <w:t>תשלומים</w:t>
      </w:r>
      <w:r>
        <w:rPr>
          <w:rFonts w:ascii="Calibri" w:hAnsi="Calibri"/>
          <w:rtl/>
        </w:rPr>
        <w:t xml:space="preserve"> </w:t>
      </w:r>
      <w:r>
        <w:rPr>
          <w:rFonts w:ascii="Calibri" w:hAnsi="Calibri" w:hint="eastAsia"/>
          <w:rtl/>
        </w:rPr>
        <w:t>חודשיים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מיום</w:t>
      </w:r>
      <w:r>
        <w:rPr>
          <w:rFonts w:ascii="Calibri" w:hAnsi="Calibri"/>
          <w:rtl/>
        </w:rPr>
        <w:t xml:space="preserve"> </w:t>
      </w:r>
      <w:r w:rsidRPr="009E15BE">
        <w:rPr>
          <w:rFonts w:ascii="Calibri" w:hAnsi="Calibri"/>
          <w:b/>
          <w:bCs/>
          <w:rtl/>
        </w:rPr>
        <w:t xml:space="preserve">01/05/17 </w:t>
      </w:r>
      <w:r>
        <w:rPr>
          <w:rFonts w:ascii="Calibri" w:hAnsi="Calibri" w:hint="eastAsia"/>
          <w:rtl/>
        </w:rPr>
        <w:t>ובכל</w:t>
      </w:r>
      <w:r>
        <w:rPr>
          <w:rFonts w:ascii="Calibri" w:hAnsi="Calibri"/>
          <w:rtl/>
        </w:rPr>
        <w:t xml:space="preserve"> </w:t>
      </w:r>
      <w:r>
        <w:rPr>
          <w:rFonts w:ascii="Calibri" w:hAnsi="Calibri" w:hint="eastAsia"/>
          <w:rtl/>
        </w:rPr>
        <w:t>ראשון</w:t>
      </w:r>
      <w:r>
        <w:rPr>
          <w:rFonts w:ascii="Calibri" w:hAnsi="Calibri"/>
          <w:rtl/>
        </w:rPr>
        <w:t xml:space="preserve"> </w:t>
      </w:r>
      <w:r>
        <w:rPr>
          <w:rFonts w:ascii="Calibri" w:hAnsi="Calibri" w:hint="eastAsia"/>
          <w:rtl/>
        </w:rPr>
        <w:t>לחודש</w:t>
      </w:r>
      <w:r>
        <w:rPr>
          <w:rFonts w:ascii="Calibri" w:hAnsi="Calibri"/>
          <w:rtl/>
        </w:rPr>
        <w:t xml:space="preserve"> </w:t>
      </w:r>
      <w:r>
        <w:rPr>
          <w:rFonts w:ascii="Calibri" w:hAnsi="Calibri" w:hint="eastAsia"/>
          <w:rtl/>
        </w:rPr>
        <w:t>שלאחריו</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פירעון</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במועדו</w:t>
      </w:r>
      <w:r>
        <w:rPr>
          <w:rFonts w:ascii="Calibri" w:hAnsi="Calibri"/>
          <w:rtl/>
        </w:rPr>
        <w:t xml:space="preserve">, </w:t>
      </w:r>
      <w:r>
        <w:rPr>
          <w:rFonts w:ascii="Calibri" w:hAnsi="Calibri" w:hint="eastAsia"/>
          <w:rtl/>
        </w:rPr>
        <w:t>יעמיד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מלוא</w:t>
      </w:r>
      <w:r>
        <w:rPr>
          <w:rFonts w:ascii="Calibri" w:hAnsi="Calibri"/>
          <w:rtl/>
        </w:rPr>
        <w:t xml:space="preserve"> </w:t>
      </w:r>
      <w:r>
        <w:rPr>
          <w:rFonts w:ascii="Calibri" w:hAnsi="Calibri" w:hint="eastAsia"/>
          <w:rtl/>
        </w:rPr>
        <w:t>הקנס</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מידי</w:t>
      </w:r>
      <w:r>
        <w:rPr>
          <w:rFonts w:ascii="Calibri" w:hAnsi="Calibri"/>
          <w:rtl/>
        </w:rPr>
        <w:t xml:space="preserve">. </w:t>
      </w:r>
    </w:p>
    <w:p w14:paraId="1DC24B29" w14:textId="77777777" w:rsidR="00C34038" w:rsidRDefault="00C34038" w:rsidP="002C1F0B">
      <w:pPr>
        <w:spacing w:line="360" w:lineRule="auto"/>
        <w:jc w:val="both"/>
        <w:rPr>
          <w:rtl/>
        </w:rPr>
      </w:pPr>
    </w:p>
    <w:p w14:paraId="41CA2E4C" w14:textId="77777777" w:rsidR="00C34038" w:rsidRDefault="00C34038" w:rsidP="00F16537">
      <w:pPr>
        <w:spacing w:line="360" w:lineRule="auto"/>
        <w:rPr>
          <w:b/>
          <w:bCs/>
          <w:rtl/>
        </w:rPr>
      </w:pPr>
    </w:p>
    <w:p w14:paraId="045F019D" w14:textId="77777777" w:rsidR="00C34038" w:rsidRDefault="00C34038" w:rsidP="00F16537">
      <w:pPr>
        <w:spacing w:line="360" w:lineRule="auto"/>
        <w:rPr>
          <w:b/>
          <w:bCs/>
          <w:rtl/>
        </w:rPr>
      </w:pPr>
      <w:r>
        <w:rPr>
          <w:b/>
          <w:bCs/>
          <w:rtl/>
        </w:rPr>
        <w:t xml:space="preserve">הודעה זכות ערעור לבית המשפט העליון בתוך 45 יום מהיום. </w:t>
      </w:r>
    </w:p>
    <w:p w14:paraId="4BCD9C02" w14:textId="77777777" w:rsidR="00C34038" w:rsidRDefault="00C34038" w:rsidP="00F16537">
      <w:pPr>
        <w:spacing w:line="360" w:lineRule="auto"/>
        <w:rPr>
          <w:b/>
          <w:bCs/>
          <w:u w:val="single"/>
          <w:rtl/>
        </w:rPr>
      </w:pPr>
    </w:p>
    <w:p w14:paraId="29E6C681" w14:textId="77777777" w:rsidR="00C34038" w:rsidRDefault="005615ED">
      <w:pPr>
        <w:jc w:val="center"/>
        <w:rPr>
          <w:rtl/>
        </w:rPr>
      </w:pPr>
      <w:r>
        <w:rPr>
          <w:b/>
          <w:bCs/>
          <w:rtl/>
        </w:rPr>
        <w:t xml:space="preserve">ניתן והודע היום ג' שבט תשע"ז, 30/01/2017 במעמד הנוכחים. </w:t>
      </w:r>
    </w:p>
    <w:p w14:paraId="155A0B2C" w14:textId="77777777" w:rsidR="005615ED" w:rsidRPr="005615ED" w:rsidRDefault="005615ED" w:rsidP="00D41DCB">
      <w:pPr>
        <w:spacing w:line="360" w:lineRule="auto"/>
        <w:jc w:val="both"/>
        <w:rPr>
          <w:color w:val="FFFFFF"/>
          <w:sz w:val="2"/>
          <w:szCs w:val="2"/>
          <w:rtl/>
        </w:rPr>
      </w:pPr>
      <w:r w:rsidRPr="005615ED">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615ED" w14:paraId="42B52FC9" w14:textId="77777777" w:rsidTr="005615ED">
        <w:trPr>
          <w:trHeight w:val="316"/>
          <w:jc w:val="right"/>
        </w:trPr>
        <w:tc>
          <w:tcPr>
            <w:tcW w:w="3936" w:type="dxa"/>
          </w:tcPr>
          <w:p w14:paraId="3A6B5553" w14:textId="77777777" w:rsidR="005615ED" w:rsidRPr="005615ED" w:rsidRDefault="005615ED" w:rsidP="005615ED">
            <w:pPr>
              <w:jc w:val="center"/>
              <w:rPr>
                <w:rFonts w:ascii="Times New Roman" w:hAnsi="Times New Roman" w:cs="Times New Roman"/>
                <w:color w:val="FFFFFF"/>
                <w:sz w:val="2"/>
                <w:szCs w:val="2"/>
                <w:rtl/>
              </w:rPr>
            </w:pPr>
            <w:r w:rsidRPr="005615ED">
              <w:rPr>
                <w:rFonts w:ascii="Times New Roman" w:hAnsi="Times New Roman" w:cs="Times New Roman"/>
                <w:color w:val="FFFFFF"/>
                <w:sz w:val="2"/>
                <w:szCs w:val="2"/>
                <w:rtl/>
              </w:rPr>
              <w:t>54678313</w:t>
            </w:r>
          </w:p>
        </w:tc>
      </w:tr>
      <w:tr w:rsidR="005615ED" w14:paraId="11ED4D4F" w14:textId="77777777" w:rsidTr="005615ED">
        <w:trPr>
          <w:trHeight w:val="361"/>
          <w:jc w:val="right"/>
        </w:trPr>
        <w:tc>
          <w:tcPr>
            <w:tcW w:w="3936" w:type="dxa"/>
          </w:tcPr>
          <w:p w14:paraId="3BF71BAB" w14:textId="77777777" w:rsidR="005615ED" w:rsidRPr="008255A5" w:rsidRDefault="005615ED" w:rsidP="005615ED">
            <w:pPr>
              <w:jc w:val="center"/>
              <w:rPr>
                <w:rFonts w:ascii="Times New Roman" w:hAnsi="Times New Roman"/>
                <w:b/>
                <w:bCs/>
                <w:rtl/>
              </w:rPr>
            </w:pPr>
            <w:r w:rsidRPr="008255A5">
              <w:rPr>
                <w:rFonts w:ascii="Times New Roman" w:hAnsi="Times New Roman"/>
                <w:b/>
                <w:bCs/>
                <w:rtl/>
              </w:rPr>
              <w:t xml:space="preserve">אסתר הלמן, סגנית נשיא </w:t>
            </w:r>
          </w:p>
        </w:tc>
      </w:tr>
    </w:tbl>
    <w:p w14:paraId="57BB8F89" w14:textId="77777777" w:rsidR="00C34038" w:rsidRDefault="00C34038" w:rsidP="00D41DCB">
      <w:pPr>
        <w:spacing w:line="360" w:lineRule="auto"/>
        <w:jc w:val="both"/>
        <w:rPr>
          <w:rtl/>
        </w:rPr>
      </w:pPr>
      <w:r>
        <w:rPr>
          <w:rtl/>
        </w:rPr>
        <w:t xml:space="preserve">  </w:t>
      </w:r>
    </w:p>
    <w:p w14:paraId="517E71AE" w14:textId="77777777" w:rsidR="00C34038" w:rsidRDefault="00C34038"/>
    <w:p w14:paraId="7ADC0429" w14:textId="77777777" w:rsidR="00C34038" w:rsidRDefault="00C34038" w:rsidP="009E15BE">
      <w:pPr>
        <w:spacing w:line="360" w:lineRule="auto"/>
        <w:jc w:val="center"/>
        <w:rPr>
          <w:rtl/>
        </w:rPr>
      </w:pPr>
    </w:p>
    <w:p w14:paraId="6598A4EF" w14:textId="77777777" w:rsidR="00C34038" w:rsidRPr="00997260" w:rsidRDefault="00997260" w:rsidP="000847ED">
      <w:pPr>
        <w:spacing w:line="360" w:lineRule="auto"/>
        <w:jc w:val="both"/>
        <w:rPr>
          <w:color w:val="FFFFFF"/>
          <w:sz w:val="2"/>
          <w:szCs w:val="2"/>
          <w:rtl/>
        </w:rPr>
      </w:pPr>
      <w:r w:rsidRPr="00997260">
        <w:rPr>
          <w:color w:val="FFFFFF"/>
          <w:sz w:val="2"/>
          <w:szCs w:val="2"/>
          <w:rtl/>
        </w:rPr>
        <w:t>5129371</w:t>
      </w:r>
      <w:r w:rsidR="00C34038" w:rsidRPr="00997260">
        <w:rPr>
          <w:color w:val="FFFFFF"/>
          <w:sz w:val="2"/>
          <w:szCs w:val="2"/>
          <w:rtl/>
        </w:rPr>
        <w:t xml:space="preserve">  </w:t>
      </w:r>
    </w:p>
    <w:p w14:paraId="2BFC5166" w14:textId="77777777" w:rsidR="005615ED" w:rsidRPr="005615ED" w:rsidRDefault="00997260" w:rsidP="005615ED">
      <w:pPr>
        <w:keepNext/>
        <w:rPr>
          <w:color w:val="000000"/>
          <w:sz w:val="22"/>
          <w:szCs w:val="22"/>
          <w:rtl/>
        </w:rPr>
      </w:pPr>
      <w:r w:rsidRPr="00997260">
        <w:rPr>
          <w:color w:val="FFFFFF"/>
          <w:sz w:val="2"/>
          <w:szCs w:val="2"/>
          <w:rtl/>
        </w:rPr>
        <w:t>54678313</w:t>
      </w:r>
      <w:r w:rsidR="00C34038">
        <w:rPr>
          <w:rtl/>
        </w:rPr>
        <w:t>הוקלד</w:t>
      </w:r>
      <w:r w:rsidR="00C34038">
        <w:t xml:space="preserve"> </w:t>
      </w:r>
      <w:r w:rsidR="00C34038">
        <w:rPr>
          <w:rtl/>
        </w:rPr>
        <w:t>על</w:t>
      </w:r>
      <w:r w:rsidR="00C34038">
        <w:t xml:space="preserve"> </w:t>
      </w:r>
      <w:r w:rsidR="00C34038">
        <w:rPr>
          <w:rtl/>
        </w:rPr>
        <w:t>ידי</w:t>
      </w:r>
      <w:r w:rsidR="00C34038">
        <w:t xml:space="preserve"> </w:t>
      </w:r>
      <w:r w:rsidR="00C34038">
        <w:rPr>
          <w:rtl/>
        </w:rPr>
        <w:t>חנה</w:t>
      </w:r>
      <w:r w:rsidR="00C34038">
        <w:t xml:space="preserve"> </w:t>
      </w:r>
      <w:r w:rsidR="00C34038">
        <w:rPr>
          <w:rtl/>
        </w:rPr>
        <w:t>טוריק</w:t>
      </w:r>
    </w:p>
    <w:p w14:paraId="09CB711A" w14:textId="77777777" w:rsidR="005615ED" w:rsidRDefault="005615ED" w:rsidP="005615ED">
      <w:pPr>
        <w:rPr>
          <w:rtl/>
        </w:rPr>
      </w:pPr>
    </w:p>
    <w:p w14:paraId="5CBEAB04" w14:textId="77777777" w:rsidR="005615ED" w:rsidRDefault="005615ED" w:rsidP="005615ED">
      <w:pPr>
        <w:jc w:val="center"/>
        <w:rPr>
          <w:color w:val="0000FF"/>
          <w:u w:val="single"/>
          <w:rtl/>
        </w:rPr>
      </w:pPr>
      <w:hyperlink r:id="rId30" w:history="1">
        <w:r>
          <w:rPr>
            <w:rStyle w:val="Hyperlink"/>
            <w:rtl/>
          </w:rPr>
          <w:t>בעניין עריכה ושינויים במסמכי פסיקה, חקיקה ועוד באתר נבו – הקש כאן</w:t>
        </w:r>
      </w:hyperlink>
    </w:p>
    <w:p w14:paraId="19B3979D" w14:textId="77777777" w:rsidR="00997260" w:rsidRPr="00997260" w:rsidRDefault="00997260" w:rsidP="00997260">
      <w:pPr>
        <w:keepNext/>
        <w:rPr>
          <w:color w:val="000000"/>
          <w:sz w:val="22"/>
          <w:szCs w:val="22"/>
          <w:rtl/>
        </w:rPr>
      </w:pPr>
    </w:p>
    <w:p w14:paraId="19CC2FBD" w14:textId="77777777" w:rsidR="00997260" w:rsidRPr="00997260" w:rsidRDefault="00997260" w:rsidP="00997260">
      <w:pPr>
        <w:keepNext/>
        <w:rPr>
          <w:color w:val="000000"/>
          <w:sz w:val="22"/>
          <w:szCs w:val="22"/>
          <w:rtl/>
        </w:rPr>
      </w:pPr>
      <w:r w:rsidRPr="00997260">
        <w:rPr>
          <w:color w:val="000000"/>
          <w:sz w:val="22"/>
          <w:szCs w:val="22"/>
          <w:rtl/>
        </w:rPr>
        <w:t>אסתר הלמן 54678313-/</w:t>
      </w:r>
    </w:p>
    <w:p w14:paraId="495026FF" w14:textId="77777777" w:rsidR="00C34038" w:rsidRPr="005615ED" w:rsidRDefault="00997260" w:rsidP="00997260">
      <w:pPr>
        <w:rPr>
          <w:color w:val="0000FF"/>
          <w:u w:val="single"/>
        </w:rPr>
      </w:pPr>
      <w:r w:rsidRPr="00997260">
        <w:rPr>
          <w:color w:val="000000"/>
          <w:u w:val="single"/>
          <w:rtl/>
        </w:rPr>
        <w:t>נוסח מסמך זה כפוף לשינויי ניסוח ועריכה</w:t>
      </w:r>
    </w:p>
    <w:sectPr w:rsidR="00C34038" w:rsidRPr="005615ED" w:rsidSect="00997260">
      <w:headerReference w:type="even" r:id="rId31"/>
      <w:headerReference w:type="default" r:id="rId32"/>
      <w:footerReference w:type="even" r:id="rId33"/>
      <w:footerReference w:type="default" r:id="rId34"/>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FC950" w14:textId="77777777" w:rsidR="00E62649" w:rsidRDefault="00E62649">
      <w:r>
        <w:separator/>
      </w:r>
    </w:p>
  </w:endnote>
  <w:endnote w:type="continuationSeparator" w:id="0">
    <w:p w14:paraId="223395ED" w14:textId="77777777" w:rsidR="00E62649" w:rsidRDefault="00E62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C490D" w14:textId="77777777" w:rsidR="0019511D" w:rsidRDefault="0019511D" w:rsidP="0099726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1CB4B31" w14:textId="77777777" w:rsidR="0019511D" w:rsidRPr="00997260" w:rsidRDefault="0019511D" w:rsidP="00997260">
    <w:pPr>
      <w:pStyle w:val="a4"/>
      <w:pBdr>
        <w:top w:val="single" w:sz="4" w:space="1" w:color="auto"/>
        <w:between w:val="single" w:sz="4" w:space="0" w:color="auto"/>
      </w:pBdr>
      <w:spacing w:after="60"/>
      <w:jc w:val="center"/>
      <w:rPr>
        <w:rFonts w:ascii="FrankRuehl" w:hAnsi="FrankRuehl" w:cs="FrankRuehl"/>
        <w:color w:val="000000"/>
      </w:rPr>
    </w:pPr>
    <w:r w:rsidRPr="0099726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DBE3B" w14:textId="77777777" w:rsidR="0019511D" w:rsidRDefault="0019511D" w:rsidP="0099726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93306">
      <w:rPr>
        <w:rFonts w:ascii="FrankRuehl" w:hAnsi="FrankRuehl" w:cs="FrankRuehl"/>
        <w:noProof/>
        <w:rtl/>
      </w:rPr>
      <w:t>1</w:t>
    </w:r>
    <w:r>
      <w:rPr>
        <w:rFonts w:ascii="FrankRuehl" w:hAnsi="FrankRuehl" w:cs="FrankRuehl"/>
        <w:rtl/>
      </w:rPr>
      <w:fldChar w:fldCharType="end"/>
    </w:r>
  </w:p>
  <w:p w14:paraId="5837B22D" w14:textId="77777777" w:rsidR="0019511D" w:rsidRPr="00997260" w:rsidRDefault="0019511D" w:rsidP="00997260">
    <w:pPr>
      <w:pStyle w:val="a4"/>
      <w:pBdr>
        <w:top w:val="single" w:sz="4" w:space="1" w:color="auto"/>
        <w:between w:val="single" w:sz="4" w:space="0" w:color="auto"/>
      </w:pBdr>
      <w:spacing w:after="60"/>
      <w:jc w:val="center"/>
      <w:rPr>
        <w:rFonts w:ascii="FrankRuehl" w:hAnsi="FrankRuehl" w:cs="FrankRuehl"/>
        <w:color w:val="000000"/>
      </w:rPr>
    </w:pPr>
    <w:r w:rsidRPr="00997260">
      <w:rPr>
        <w:rFonts w:ascii="FrankRuehl" w:hAnsi="FrankRuehl" w:cs="FrankRuehl"/>
        <w:color w:val="000000"/>
      </w:rPr>
      <w:pict w14:anchorId="0CDF3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6A621" w14:textId="77777777" w:rsidR="00E62649" w:rsidRDefault="00E62649">
      <w:r>
        <w:separator/>
      </w:r>
    </w:p>
  </w:footnote>
  <w:footnote w:type="continuationSeparator" w:id="0">
    <w:p w14:paraId="7CF18C88" w14:textId="77777777" w:rsidR="00E62649" w:rsidRDefault="00E62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E0B15" w14:textId="77777777" w:rsidR="0019511D" w:rsidRPr="00997260" w:rsidRDefault="0019511D" w:rsidP="0099726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13355-09-16</w:t>
    </w:r>
    <w:r>
      <w:rPr>
        <w:color w:val="000000"/>
        <w:sz w:val="22"/>
        <w:szCs w:val="22"/>
        <w:rtl/>
      </w:rPr>
      <w:tab/>
      <w:t xml:space="preserve"> מדינת ישראל נ' מחמוד נסרה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C1B99" w14:textId="77777777" w:rsidR="0019511D" w:rsidRPr="00997260" w:rsidRDefault="0019511D" w:rsidP="0099726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13355-09-16</w:t>
    </w:r>
    <w:r>
      <w:rPr>
        <w:color w:val="000000"/>
        <w:sz w:val="22"/>
        <w:szCs w:val="22"/>
        <w:rtl/>
      </w:rPr>
      <w:tab/>
      <w:t xml:space="preserve"> מדינת ישראל נ' מחמוד נסרה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351685442">
    <w:abstractNumId w:val="14"/>
  </w:num>
  <w:num w:numId="2" w16cid:durableId="1187871084">
    <w:abstractNumId w:val="5"/>
  </w:num>
  <w:num w:numId="3" w16cid:durableId="1701006935">
    <w:abstractNumId w:val="12"/>
  </w:num>
  <w:num w:numId="4" w16cid:durableId="640963082">
    <w:abstractNumId w:val="11"/>
  </w:num>
  <w:num w:numId="5" w16cid:durableId="499201682">
    <w:abstractNumId w:val="4"/>
  </w:num>
  <w:num w:numId="6" w16cid:durableId="739064923">
    <w:abstractNumId w:val="6"/>
  </w:num>
  <w:num w:numId="7" w16cid:durableId="1029138017">
    <w:abstractNumId w:val="16"/>
  </w:num>
  <w:num w:numId="8" w16cid:durableId="1453090304">
    <w:abstractNumId w:val="0"/>
  </w:num>
  <w:num w:numId="9" w16cid:durableId="1294412003">
    <w:abstractNumId w:val="10"/>
  </w:num>
  <w:num w:numId="10" w16cid:durableId="1055273133">
    <w:abstractNumId w:val="8"/>
  </w:num>
  <w:num w:numId="11" w16cid:durableId="409084425">
    <w:abstractNumId w:val="3"/>
  </w:num>
  <w:num w:numId="12" w16cid:durableId="1763649752">
    <w:abstractNumId w:val="15"/>
  </w:num>
  <w:num w:numId="13" w16cid:durableId="762795982">
    <w:abstractNumId w:val="9"/>
  </w:num>
  <w:num w:numId="14" w16cid:durableId="921261764">
    <w:abstractNumId w:val="2"/>
  </w:num>
  <w:num w:numId="15" w16cid:durableId="1600721246">
    <w:abstractNumId w:val="13"/>
  </w:num>
  <w:num w:numId="16" w16cid:durableId="1984849311">
    <w:abstractNumId w:val="1"/>
  </w:num>
  <w:num w:numId="17" w16cid:durableId="14415306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3355-09-16"/>
    <w:docVar w:name="caseId" w:val="73874476"/>
    <w:docVar w:name="deriveClass" w:val="NGCS.Protocol.BL.Client.ProtocolBLClientCriminal"/>
    <w:docVar w:name="firstPageNumber" w:val="4"/>
    <w:docVar w:name="MyInfo" w:val="This document was extracted from Nevo's site"/>
    <w:docVar w:name="NGCS.caseTypeID" w:val="-1"/>
    <w:docVar w:name="NGCS.courtID" w:val="12"/>
    <w:docVar w:name="NGCS.isReservedAddressPlace" w:val="0"/>
    <w:docVar w:name="NGCS.isReservedVoucherPlace" w:val="0"/>
    <w:docVar w:name="NGCS.proceedingID" w:val="2"/>
    <w:docVar w:name="NGCS.TemplateCategoryID" w:val="14"/>
    <w:docVar w:name="NGCS.userUPN" w:val="056829138@GOV.IL"/>
    <w:docVar w:name="privellegeId" w:val="1"/>
    <w:docVar w:name="protocolId" w:val="7356347"/>
    <w:docVar w:name="releaseSign" w:val="0"/>
    <w:docVar w:name="sittingDateTime" w:val="30/01/2017 09:30     "/>
    <w:docVar w:name="sittingId" w:val="81838827"/>
    <w:docVar w:name="sittingTypeId" w:val="-1"/>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41F98"/>
    <w:rsid w:val="00053909"/>
    <w:rsid w:val="000555F0"/>
    <w:rsid w:val="000608AB"/>
    <w:rsid w:val="00074BD2"/>
    <w:rsid w:val="00075977"/>
    <w:rsid w:val="000847ED"/>
    <w:rsid w:val="000A4C4B"/>
    <w:rsid w:val="000C3D5F"/>
    <w:rsid w:val="000C7499"/>
    <w:rsid w:val="000E37CD"/>
    <w:rsid w:val="00100FD9"/>
    <w:rsid w:val="00115104"/>
    <w:rsid w:val="00131385"/>
    <w:rsid w:val="00137D59"/>
    <w:rsid w:val="0014434E"/>
    <w:rsid w:val="001526FC"/>
    <w:rsid w:val="0015476A"/>
    <w:rsid w:val="0016231B"/>
    <w:rsid w:val="00163279"/>
    <w:rsid w:val="001666D0"/>
    <w:rsid w:val="001705B8"/>
    <w:rsid w:val="00172D60"/>
    <w:rsid w:val="00174C6C"/>
    <w:rsid w:val="001765AD"/>
    <w:rsid w:val="00180246"/>
    <w:rsid w:val="0019511D"/>
    <w:rsid w:val="001A63A4"/>
    <w:rsid w:val="001B1A12"/>
    <w:rsid w:val="001D34D9"/>
    <w:rsid w:val="001D4218"/>
    <w:rsid w:val="001E6DFB"/>
    <w:rsid w:val="001F4B39"/>
    <w:rsid w:val="002063A6"/>
    <w:rsid w:val="00220B29"/>
    <w:rsid w:val="00227A15"/>
    <w:rsid w:val="00237F64"/>
    <w:rsid w:val="00245547"/>
    <w:rsid w:val="00252C05"/>
    <w:rsid w:val="0027012F"/>
    <w:rsid w:val="002736EA"/>
    <w:rsid w:val="00296868"/>
    <w:rsid w:val="002A1C94"/>
    <w:rsid w:val="002C1F0B"/>
    <w:rsid w:val="002E24EE"/>
    <w:rsid w:val="002F455E"/>
    <w:rsid w:val="002F5A82"/>
    <w:rsid w:val="00301481"/>
    <w:rsid w:val="00302F95"/>
    <w:rsid w:val="00310626"/>
    <w:rsid w:val="00340759"/>
    <w:rsid w:val="0034100C"/>
    <w:rsid w:val="00342243"/>
    <w:rsid w:val="00342D84"/>
    <w:rsid w:val="00347ACF"/>
    <w:rsid w:val="00382FC7"/>
    <w:rsid w:val="0039031E"/>
    <w:rsid w:val="003F6EFC"/>
    <w:rsid w:val="00431BAF"/>
    <w:rsid w:val="00440118"/>
    <w:rsid w:val="00442655"/>
    <w:rsid w:val="004473FE"/>
    <w:rsid w:val="004720C1"/>
    <w:rsid w:val="004752AF"/>
    <w:rsid w:val="00486DEE"/>
    <w:rsid w:val="00494C2F"/>
    <w:rsid w:val="004C0CA7"/>
    <w:rsid w:val="004D4B57"/>
    <w:rsid w:val="004F4B4A"/>
    <w:rsid w:val="00503959"/>
    <w:rsid w:val="00510083"/>
    <w:rsid w:val="00532A9F"/>
    <w:rsid w:val="00551705"/>
    <w:rsid w:val="00560CB1"/>
    <w:rsid w:val="005615ED"/>
    <w:rsid w:val="00564AAC"/>
    <w:rsid w:val="00577444"/>
    <w:rsid w:val="0058186B"/>
    <w:rsid w:val="005832BA"/>
    <w:rsid w:val="00594F89"/>
    <w:rsid w:val="005A426A"/>
    <w:rsid w:val="005B395D"/>
    <w:rsid w:val="005D47FD"/>
    <w:rsid w:val="005D68B0"/>
    <w:rsid w:val="005D6FD9"/>
    <w:rsid w:val="00600219"/>
    <w:rsid w:val="00601F75"/>
    <w:rsid w:val="006110FD"/>
    <w:rsid w:val="0061652F"/>
    <w:rsid w:val="00620E3F"/>
    <w:rsid w:val="00623CCF"/>
    <w:rsid w:val="00631222"/>
    <w:rsid w:val="00633BA9"/>
    <w:rsid w:val="00635C8E"/>
    <w:rsid w:val="006424C7"/>
    <w:rsid w:val="006830E7"/>
    <w:rsid w:val="006A4D3D"/>
    <w:rsid w:val="006A4F99"/>
    <w:rsid w:val="006A750A"/>
    <w:rsid w:val="006B2B25"/>
    <w:rsid w:val="006B639D"/>
    <w:rsid w:val="006D72D1"/>
    <w:rsid w:val="006D7CB8"/>
    <w:rsid w:val="006E3A90"/>
    <w:rsid w:val="006F0E02"/>
    <w:rsid w:val="006F4248"/>
    <w:rsid w:val="006F7703"/>
    <w:rsid w:val="00700409"/>
    <w:rsid w:val="00701199"/>
    <w:rsid w:val="007378AE"/>
    <w:rsid w:val="007378FE"/>
    <w:rsid w:val="00770F7C"/>
    <w:rsid w:val="00777711"/>
    <w:rsid w:val="00781736"/>
    <w:rsid w:val="00791EB6"/>
    <w:rsid w:val="007A0B3A"/>
    <w:rsid w:val="007B6499"/>
    <w:rsid w:val="007C0D02"/>
    <w:rsid w:val="007D4DDF"/>
    <w:rsid w:val="007D71BF"/>
    <w:rsid w:val="007E4ADE"/>
    <w:rsid w:val="007F46CA"/>
    <w:rsid w:val="007F4959"/>
    <w:rsid w:val="008100EF"/>
    <w:rsid w:val="0081212E"/>
    <w:rsid w:val="00813513"/>
    <w:rsid w:val="008138D1"/>
    <w:rsid w:val="008147C4"/>
    <w:rsid w:val="00815867"/>
    <w:rsid w:val="00816980"/>
    <w:rsid w:val="008255A5"/>
    <w:rsid w:val="0083639D"/>
    <w:rsid w:val="00837CE3"/>
    <w:rsid w:val="0085535F"/>
    <w:rsid w:val="00881926"/>
    <w:rsid w:val="0088228B"/>
    <w:rsid w:val="008B1531"/>
    <w:rsid w:val="008B5819"/>
    <w:rsid w:val="008C7753"/>
    <w:rsid w:val="008D15AB"/>
    <w:rsid w:val="008D278F"/>
    <w:rsid w:val="008D2C69"/>
    <w:rsid w:val="008D7896"/>
    <w:rsid w:val="008E1571"/>
    <w:rsid w:val="008E7204"/>
    <w:rsid w:val="00901D8E"/>
    <w:rsid w:val="00927BB3"/>
    <w:rsid w:val="00934BA1"/>
    <w:rsid w:val="0094049A"/>
    <w:rsid w:val="0094092B"/>
    <w:rsid w:val="00943E5D"/>
    <w:rsid w:val="009474AF"/>
    <w:rsid w:val="009521C7"/>
    <w:rsid w:val="00960E66"/>
    <w:rsid w:val="00966439"/>
    <w:rsid w:val="0097713F"/>
    <w:rsid w:val="0098094C"/>
    <w:rsid w:val="009857E4"/>
    <w:rsid w:val="00997260"/>
    <w:rsid w:val="009B24E2"/>
    <w:rsid w:val="009C08D6"/>
    <w:rsid w:val="009D7934"/>
    <w:rsid w:val="009E15BE"/>
    <w:rsid w:val="009E46EC"/>
    <w:rsid w:val="009E6E0A"/>
    <w:rsid w:val="00A04531"/>
    <w:rsid w:val="00A1573A"/>
    <w:rsid w:val="00A25356"/>
    <w:rsid w:val="00A44D33"/>
    <w:rsid w:val="00A4780B"/>
    <w:rsid w:val="00A535FA"/>
    <w:rsid w:val="00A64302"/>
    <w:rsid w:val="00A64696"/>
    <w:rsid w:val="00A67D1A"/>
    <w:rsid w:val="00A910BF"/>
    <w:rsid w:val="00A9385E"/>
    <w:rsid w:val="00AA3C0A"/>
    <w:rsid w:val="00AA6DD4"/>
    <w:rsid w:val="00AB1CE7"/>
    <w:rsid w:val="00AC50D5"/>
    <w:rsid w:val="00AC7677"/>
    <w:rsid w:val="00AD1366"/>
    <w:rsid w:val="00B11421"/>
    <w:rsid w:val="00B24CA7"/>
    <w:rsid w:val="00B30584"/>
    <w:rsid w:val="00B44123"/>
    <w:rsid w:val="00B6568E"/>
    <w:rsid w:val="00B66459"/>
    <w:rsid w:val="00B66EA8"/>
    <w:rsid w:val="00B82C03"/>
    <w:rsid w:val="00B870E1"/>
    <w:rsid w:val="00B970D8"/>
    <w:rsid w:val="00BA3141"/>
    <w:rsid w:val="00BD13A0"/>
    <w:rsid w:val="00BF00B0"/>
    <w:rsid w:val="00C34038"/>
    <w:rsid w:val="00C4595F"/>
    <w:rsid w:val="00C471D1"/>
    <w:rsid w:val="00C50277"/>
    <w:rsid w:val="00C518EA"/>
    <w:rsid w:val="00C53008"/>
    <w:rsid w:val="00C63B2C"/>
    <w:rsid w:val="00C667A1"/>
    <w:rsid w:val="00C8613B"/>
    <w:rsid w:val="00C93306"/>
    <w:rsid w:val="00C93A03"/>
    <w:rsid w:val="00CA022A"/>
    <w:rsid w:val="00CA26CF"/>
    <w:rsid w:val="00CB5526"/>
    <w:rsid w:val="00CB6B34"/>
    <w:rsid w:val="00CC100E"/>
    <w:rsid w:val="00CE35C6"/>
    <w:rsid w:val="00D01BB1"/>
    <w:rsid w:val="00D0615F"/>
    <w:rsid w:val="00D202EF"/>
    <w:rsid w:val="00D23D09"/>
    <w:rsid w:val="00D2736A"/>
    <w:rsid w:val="00D340CC"/>
    <w:rsid w:val="00D41DCB"/>
    <w:rsid w:val="00D52C0D"/>
    <w:rsid w:val="00D57D9B"/>
    <w:rsid w:val="00D86190"/>
    <w:rsid w:val="00DA7A07"/>
    <w:rsid w:val="00DC12B4"/>
    <w:rsid w:val="00DC3CD8"/>
    <w:rsid w:val="00DC4526"/>
    <w:rsid w:val="00DC7E11"/>
    <w:rsid w:val="00DD4926"/>
    <w:rsid w:val="00DF69AA"/>
    <w:rsid w:val="00E06ED4"/>
    <w:rsid w:val="00E15F20"/>
    <w:rsid w:val="00E24A31"/>
    <w:rsid w:val="00E37759"/>
    <w:rsid w:val="00E4581A"/>
    <w:rsid w:val="00E45930"/>
    <w:rsid w:val="00E620AB"/>
    <w:rsid w:val="00E62649"/>
    <w:rsid w:val="00E679BB"/>
    <w:rsid w:val="00E74FCF"/>
    <w:rsid w:val="00E866B5"/>
    <w:rsid w:val="00EA1241"/>
    <w:rsid w:val="00EA333A"/>
    <w:rsid w:val="00EB1D9D"/>
    <w:rsid w:val="00EE653C"/>
    <w:rsid w:val="00EF5867"/>
    <w:rsid w:val="00F16537"/>
    <w:rsid w:val="00F16DEC"/>
    <w:rsid w:val="00F24B4E"/>
    <w:rsid w:val="00F30675"/>
    <w:rsid w:val="00F449AC"/>
    <w:rsid w:val="00F53B32"/>
    <w:rsid w:val="00F56690"/>
    <w:rsid w:val="00F56B3A"/>
    <w:rsid w:val="00F579C4"/>
    <w:rsid w:val="00F704E6"/>
    <w:rsid w:val="00F70D59"/>
    <w:rsid w:val="00F773E3"/>
    <w:rsid w:val="00F861D3"/>
    <w:rsid w:val="00F91F7D"/>
    <w:rsid w:val="00F941D7"/>
    <w:rsid w:val="00F971BC"/>
    <w:rsid w:val="00FA2034"/>
    <w:rsid w:val="00FA308E"/>
    <w:rsid w:val="00FA615F"/>
    <w:rsid w:val="00FC44A3"/>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38AD0F"/>
  <w15:chartTrackingRefBased/>
  <w15:docId w15:val="{EAA6BA89-4518-404B-9092-244702C1E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basedOn w:val="a0"/>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basedOn w:val="a0"/>
    <w:rPr>
      <w:rFonts w:cs="Times New Roman"/>
    </w:rPr>
  </w:style>
  <w:style w:type="character" w:styleId="aa">
    <w:name w:val="line number"/>
    <w:basedOn w:val="a0"/>
    <w:rPr>
      <w:rFonts w:cs="Arial"/>
      <w:sz w:val="20"/>
      <w:szCs w:val="20"/>
    </w:rPr>
  </w:style>
  <w:style w:type="character" w:customStyle="1" w:styleId="TimesNewRomanTimesNewRoman">
    <w:name w:val="סגנון (לטיני) Times New Roman (עברית ושפות אחרות) Times New Roman..."/>
    <w:basedOn w:val="a0"/>
    <w:rsid w:val="0000736A"/>
    <w:rPr>
      <w:rFonts w:ascii="Times New Roman" w:hAnsi="Times New Roman" w:cs="David"/>
      <w:b/>
      <w:bCs/>
      <w:sz w:val="26"/>
      <w:szCs w:val="26"/>
      <w:lang w:bidi="he-IL"/>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basedOn w:val="a0"/>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C93A03"/>
    <w:rPr>
      <w:rFonts w:ascii="Times New Roman" w:eastAsia="David" w:hAnsi="Times New Roman"/>
      <w:b/>
      <w:bCs/>
      <w:u w:val="single"/>
    </w:rPr>
  </w:style>
  <w:style w:type="character" w:styleId="Hyperlink">
    <w:name w:val="Hyperlink"/>
    <w:basedOn w:val="a0"/>
    <w:rsid w:val="00561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70301/29" TargetMode="External"/><Relationship Id="rId26" Type="http://schemas.openxmlformats.org/officeDocument/2006/relationships/hyperlink" Target="http://www.nevo.co.il/law/4216" TargetMode="External"/><Relationship Id="rId3" Type="http://schemas.openxmlformats.org/officeDocument/2006/relationships/styles" Target="styles.xml"/><Relationship Id="rId21" Type="http://schemas.openxmlformats.org/officeDocument/2006/relationships/hyperlink" Target="http://www.nevo.co.il/law/70301/29"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nevo.co.il/law/70301/340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4216/7.a.;7.c"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evo.co.il/law/4216/7.c" TargetMode="External"/><Relationship Id="rId20" Type="http://schemas.openxmlformats.org/officeDocument/2006/relationships/hyperlink" Target="http://www.nevo.co.il/law/70301/144.a" TargetMode="External"/><Relationship Id="rId29" Type="http://schemas.openxmlformats.org/officeDocument/2006/relationships/hyperlink" Target="http://www.nevo.co.il/case/17948120"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44.b" TargetMode="External"/><Relationship Id="rId24" Type="http://schemas.openxmlformats.org/officeDocument/2006/relationships/hyperlink" Target="http://www.nevo.co.il/law/70301"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nevo.co.il/law/4216/7.a." TargetMode="External"/><Relationship Id="rId23" Type="http://schemas.openxmlformats.org/officeDocument/2006/relationships/hyperlink" Target="http://www.nevo.co.il/law/70301/499.a.1" TargetMode="External"/><Relationship Id="rId28" Type="http://schemas.openxmlformats.org/officeDocument/2006/relationships/hyperlink" Target="http://www.nevo.co.il/case/7029339" TargetMode="External"/><Relationship Id="rId36"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vo.co.il/law/70301/29"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340a" TargetMode="External"/><Relationship Id="rId27" Type="http://schemas.openxmlformats.org/officeDocument/2006/relationships/hyperlink" Target="http://www.nevo.co.il/law/7030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1421</Words>
  <Characters>7107</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8511</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3276918</vt:i4>
      </vt:variant>
      <vt:variant>
        <vt:i4>63</vt:i4>
      </vt:variant>
      <vt:variant>
        <vt:i4>0</vt:i4>
      </vt:variant>
      <vt:variant>
        <vt:i4>5</vt:i4>
      </vt:variant>
      <vt:variant>
        <vt:lpwstr>http://www.nevo.co.il/case/17948120</vt:lpwstr>
      </vt:variant>
      <vt:variant>
        <vt:lpwstr/>
      </vt:variant>
      <vt:variant>
        <vt:i4>4128894</vt:i4>
      </vt:variant>
      <vt:variant>
        <vt:i4>60</vt:i4>
      </vt:variant>
      <vt:variant>
        <vt:i4>0</vt:i4>
      </vt:variant>
      <vt:variant>
        <vt:i4>5</vt:i4>
      </vt:variant>
      <vt:variant>
        <vt:lpwstr>http://www.nevo.co.il/case/7029339</vt:lpwstr>
      </vt:variant>
      <vt:variant>
        <vt:lpwstr/>
      </vt:variant>
      <vt:variant>
        <vt:i4>7995492</vt:i4>
      </vt:variant>
      <vt:variant>
        <vt:i4>57</vt:i4>
      </vt:variant>
      <vt:variant>
        <vt:i4>0</vt:i4>
      </vt:variant>
      <vt:variant>
        <vt:i4>5</vt:i4>
      </vt:variant>
      <vt:variant>
        <vt:lpwstr>http://www.nevo.co.il/law/70301</vt:lpwstr>
      </vt:variant>
      <vt:variant>
        <vt:lpwstr/>
      </vt:variant>
      <vt:variant>
        <vt:i4>8257637</vt:i4>
      </vt:variant>
      <vt:variant>
        <vt:i4>54</vt:i4>
      </vt:variant>
      <vt:variant>
        <vt:i4>0</vt:i4>
      </vt:variant>
      <vt:variant>
        <vt:i4>5</vt:i4>
      </vt:variant>
      <vt:variant>
        <vt:lpwstr>http://www.nevo.co.il/law/4216</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7077945</vt:i4>
      </vt:variant>
      <vt:variant>
        <vt:i4>45</vt:i4>
      </vt:variant>
      <vt:variant>
        <vt:i4>0</vt:i4>
      </vt:variant>
      <vt:variant>
        <vt:i4>5</vt:i4>
      </vt:variant>
      <vt:variant>
        <vt:lpwstr>http://www.nevo.co.il/law/70301/499.a.1</vt:lpwstr>
      </vt:variant>
      <vt:variant>
        <vt:lpwstr/>
      </vt:variant>
      <vt:variant>
        <vt:i4>86</vt:i4>
      </vt:variant>
      <vt:variant>
        <vt:i4>42</vt:i4>
      </vt:variant>
      <vt:variant>
        <vt:i4>0</vt:i4>
      </vt:variant>
      <vt:variant>
        <vt:i4>5</vt:i4>
      </vt:variant>
      <vt:variant>
        <vt:lpwstr>http://www.nevo.co.il/law/70301/340a</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86</vt:i4>
      </vt:variant>
      <vt:variant>
        <vt:i4>12</vt:i4>
      </vt:variant>
      <vt:variant>
        <vt:i4>0</vt:i4>
      </vt:variant>
      <vt:variant>
        <vt:i4>5</vt:i4>
      </vt:variant>
      <vt:variant>
        <vt:lpwstr>http://www.nevo.co.il/law/70301/340a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2025-04-25T10:40:00Z</dcterms:created>
  <dcterms:modified xsi:type="dcterms:W3CDTF">2025-04-25T10:40:00Z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13355</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מחמוד נסרה;מוחמד נסרה;לואי אבו רג'ב</vt:lpwstr>
  </property>
  <property fmtid="{D5CDD505-2E9C-101B-9397-08002B2CF9AE}" pid="10" name="LAWYER">
    <vt:lpwstr>ויאאם קבלאוי;מוסטפא אבו אחמד;זוהר ארבל</vt:lpwstr>
  </property>
  <property fmtid="{D5CDD505-2E9C-101B-9397-08002B2CF9AE}" pid="11" name="JUDGE">
    <vt:lpwstr>אסתר הלמן</vt:lpwstr>
  </property>
  <property fmtid="{D5CDD505-2E9C-101B-9397-08002B2CF9AE}" pid="12" name="CITY">
    <vt:lpwstr>נצ'</vt:lpwstr>
  </property>
  <property fmtid="{D5CDD505-2E9C-101B-9397-08002B2CF9AE}" pid="13" name="DATE">
    <vt:lpwstr>20170130</vt:lpwstr>
  </property>
  <property fmtid="{D5CDD505-2E9C-101B-9397-08002B2CF9AE}" pid="14" name="TYPE_N_DATE">
    <vt:lpwstr>39020170130</vt:lpwstr>
  </property>
  <property fmtid="{D5CDD505-2E9C-101B-9397-08002B2CF9AE}" pid="15" name="CASESLISTTMP1">
    <vt:lpwstr>7029339;17948120</vt:lpwstr>
  </property>
  <property fmtid="{D5CDD505-2E9C-101B-9397-08002B2CF9AE}" pid="16" name="WORDNUMPAGES">
    <vt:lpwstr>5</vt:lpwstr>
  </property>
  <property fmtid="{D5CDD505-2E9C-101B-9397-08002B2CF9AE}" pid="17" name="TYPE_ABS_DATE">
    <vt:lpwstr>390120170130</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YES</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70301/144.b;029:2;144.a;340a;499.a.1</vt:lpwstr>
  </property>
  <property fmtid="{D5CDD505-2E9C-101B-9397-08002B2CF9AE}" pid="37" name="LAWLISTTMP2">
    <vt:lpwstr>4216/007.a;007.c</vt:lpwstr>
  </property>
  <property fmtid="{D5CDD505-2E9C-101B-9397-08002B2CF9AE}" pid="38" name="NOSE1ID">
    <vt:lpwstr>18;77</vt:lpwstr>
  </property>
  <property fmtid="{D5CDD505-2E9C-101B-9397-08002B2CF9AE}" pid="39" name="NOSE2ID">
    <vt:lpwstr>461;1446</vt:lpwstr>
  </property>
  <property fmtid="{D5CDD505-2E9C-101B-9397-08002B2CF9AE}" pid="40" name="NOSE3ID">
    <vt:lpwstr>3608;15822</vt:lpwstr>
  </property>
  <property fmtid="{D5CDD505-2E9C-101B-9397-08002B2CF9AE}" pid="41" name="NOSE11">
    <vt:lpwstr>דיון פלילי</vt:lpwstr>
  </property>
  <property fmtid="{D5CDD505-2E9C-101B-9397-08002B2CF9AE}" pid="42" name="NOSE21">
    <vt:lpwstr>הסדר טיעון</vt:lpwstr>
  </property>
  <property fmtid="{D5CDD505-2E9C-101B-9397-08002B2CF9AE}" pid="43" name="NOSE31">
    <vt:lpwstr>אישורו</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הסדר טיעון</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20170212</vt:lpwstr>
  </property>
  <property fmtid="{D5CDD505-2E9C-101B-9397-08002B2CF9AE}" pid="72" name="METAKZER">
    <vt:lpwstr>מיכל</vt:lpwstr>
  </property>
</Properties>
</file>