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A2140" w:rsidRPr="00A40BEE" w14:paraId="0B2D21EB" w14:textId="77777777" w:rsidTr="00042211">
        <w:trPr>
          <w:trHeight w:hRule="exact" w:val="418"/>
          <w:jc w:val="center"/>
        </w:trPr>
        <w:tc>
          <w:tcPr>
            <w:tcW w:w="8721" w:type="dxa"/>
            <w:gridSpan w:val="2"/>
          </w:tcPr>
          <w:p w14:paraId="6140BA04" w14:textId="77777777" w:rsidR="00AA2140" w:rsidRPr="00A40BEE" w:rsidRDefault="00AA2140" w:rsidP="00A40BEE">
            <w:pPr>
              <w:pStyle w:val="a3"/>
              <w:jc w:val="center"/>
              <w:rPr>
                <w:rFonts w:ascii="Tahoma" w:hAnsi="Tahoma" w:cs="Tahoma"/>
                <w:color w:val="000080"/>
                <w:rtl/>
              </w:rPr>
            </w:pPr>
            <w:r w:rsidRPr="00A40BEE">
              <w:rPr>
                <w:rFonts w:ascii="Tahoma" w:hAnsi="Tahoma" w:cs="Tahoma"/>
                <w:b/>
                <w:bCs/>
                <w:color w:val="000080"/>
                <w:rtl/>
              </w:rPr>
              <w:t>בית המשפט המחוזי בחיפה</w:t>
            </w:r>
          </w:p>
        </w:tc>
      </w:tr>
      <w:tr w:rsidR="00AA2140" w:rsidRPr="00A40BEE" w14:paraId="18182CE3" w14:textId="77777777" w:rsidTr="00042211">
        <w:trPr>
          <w:trHeight w:val="337"/>
          <w:jc w:val="center"/>
        </w:trPr>
        <w:tc>
          <w:tcPr>
            <w:tcW w:w="5054" w:type="dxa"/>
          </w:tcPr>
          <w:p w14:paraId="5D7AEE84" w14:textId="77777777" w:rsidR="00AA2140" w:rsidRPr="00A40BEE" w:rsidRDefault="00AA2140" w:rsidP="00A40BEE">
            <w:pPr>
              <w:rPr>
                <w:rFonts w:cs="FrankRuehl"/>
                <w:sz w:val="28"/>
                <w:szCs w:val="28"/>
                <w:rtl/>
              </w:rPr>
            </w:pPr>
            <w:r w:rsidRPr="00A40BEE">
              <w:rPr>
                <w:rFonts w:cs="FrankRuehl"/>
                <w:sz w:val="28"/>
                <w:szCs w:val="28"/>
                <w:rtl/>
              </w:rPr>
              <w:t>ת"פ</w:t>
            </w:r>
            <w:r w:rsidRPr="00A40BEE">
              <w:rPr>
                <w:rFonts w:cs="FrankRuehl" w:hint="cs"/>
                <w:sz w:val="28"/>
                <w:szCs w:val="28"/>
                <w:rtl/>
              </w:rPr>
              <w:t xml:space="preserve"> </w:t>
            </w:r>
            <w:r w:rsidRPr="00A40BEE">
              <w:rPr>
                <w:rFonts w:cs="FrankRuehl"/>
                <w:sz w:val="28"/>
                <w:szCs w:val="28"/>
                <w:rtl/>
              </w:rPr>
              <w:t>13416-09-16</w:t>
            </w:r>
            <w:r w:rsidRPr="00A40BEE">
              <w:rPr>
                <w:rFonts w:cs="FrankRuehl" w:hint="cs"/>
                <w:sz w:val="28"/>
                <w:szCs w:val="28"/>
                <w:rtl/>
              </w:rPr>
              <w:t xml:space="preserve"> </w:t>
            </w:r>
            <w:r w:rsidRPr="00A40BEE">
              <w:rPr>
                <w:rFonts w:cs="FrankRuehl"/>
                <w:sz w:val="28"/>
                <w:szCs w:val="28"/>
                <w:rtl/>
              </w:rPr>
              <w:t>מדינת ישראל נ' ג'אלולי</w:t>
            </w:r>
          </w:p>
          <w:p w14:paraId="501D15FE" w14:textId="77777777" w:rsidR="00AA2140" w:rsidRPr="00A40BEE" w:rsidRDefault="00AA2140" w:rsidP="00A40BEE">
            <w:pPr>
              <w:pStyle w:val="a3"/>
              <w:rPr>
                <w:rFonts w:cs="FrankRuehl"/>
                <w:sz w:val="28"/>
                <w:szCs w:val="28"/>
                <w:rtl/>
              </w:rPr>
            </w:pPr>
          </w:p>
        </w:tc>
        <w:tc>
          <w:tcPr>
            <w:tcW w:w="3667" w:type="dxa"/>
          </w:tcPr>
          <w:p w14:paraId="06E19B87" w14:textId="77777777" w:rsidR="00AA2140" w:rsidRPr="00A40BEE" w:rsidRDefault="00AA2140" w:rsidP="00A40BEE">
            <w:pPr>
              <w:pStyle w:val="a3"/>
              <w:jc w:val="right"/>
              <w:rPr>
                <w:rFonts w:cs="FrankRuehl"/>
                <w:sz w:val="28"/>
                <w:szCs w:val="28"/>
                <w:rtl/>
              </w:rPr>
            </w:pPr>
          </w:p>
        </w:tc>
      </w:tr>
    </w:tbl>
    <w:p w14:paraId="727EC5B2" w14:textId="77777777" w:rsidR="00AA2140" w:rsidRPr="00A40BEE" w:rsidRDefault="00AA2140" w:rsidP="00AA2140">
      <w:pPr>
        <w:pStyle w:val="a3"/>
        <w:rPr>
          <w:rtl/>
        </w:rPr>
      </w:pPr>
      <w:r w:rsidRPr="00A40BEE">
        <w:rPr>
          <w:rFonts w:hint="cs"/>
          <w:rtl/>
        </w:rPr>
        <w:t xml:space="preserve"> </w:t>
      </w:r>
    </w:p>
    <w:p w14:paraId="04733794" w14:textId="77777777" w:rsidR="00AA2140" w:rsidRPr="00A40BEE" w:rsidRDefault="00AA2140" w:rsidP="00AA2140">
      <w:pPr>
        <w:rPr>
          <w:rtl/>
        </w:rPr>
      </w:pPr>
    </w:p>
    <w:tbl>
      <w:tblPr>
        <w:bidiVisual/>
        <w:tblW w:w="0" w:type="auto"/>
        <w:jc w:val="center"/>
        <w:tblLook w:val="04A0" w:firstRow="1" w:lastRow="0" w:firstColumn="1" w:lastColumn="0" w:noHBand="0" w:noVBand="1"/>
      </w:tblPr>
      <w:tblGrid>
        <w:gridCol w:w="5856"/>
        <w:gridCol w:w="236"/>
        <w:gridCol w:w="2628"/>
      </w:tblGrid>
      <w:tr w:rsidR="00AA2140" w:rsidRPr="00A40BEE" w14:paraId="4D7226C1" w14:textId="77777777" w:rsidTr="00A40BEE">
        <w:trPr>
          <w:trHeight w:val="337"/>
          <w:jc w:val="center"/>
        </w:trPr>
        <w:tc>
          <w:tcPr>
            <w:tcW w:w="5856" w:type="dxa"/>
          </w:tcPr>
          <w:p w14:paraId="5327CA42" w14:textId="77777777" w:rsidR="00AA2140" w:rsidRPr="00A40BEE" w:rsidRDefault="00AA2140" w:rsidP="00A40BEE">
            <w:pPr>
              <w:spacing w:line="360" w:lineRule="auto"/>
            </w:pPr>
            <w:r w:rsidRPr="00A40BEE">
              <w:rPr>
                <w:rFonts w:ascii="Arial" w:hAnsi="Arial" w:hint="cs"/>
                <w:b/>
                <w:bCs/>
                <w:rtl/>
              </w:rPr>
              <w:t>בפני כב' השופט אברהם אליקים, סגן נשיא</w:t>
            </w:r>
          </w:p>
          <w:p w14:paraId="3887273C" w14:textId="77777777" w:rsidR="00AA2140" w:rsidRPr="00A40BEE" w:rsidRDefault="00AA2140" w:rsidP="00A40BEE">
            <w:pPr>
              <w:jc w:val="both"/>
              <w:rPr>
                <w:b/>
                <w:bCs/>
                <w:sz w:val="26"/>
                <w:szCs w:val="26"/>
              </w:rPr>
            </w:pPr>
          </w:p>
        </w:tc>
        <w:tc>
          <w:tcPr>
            <w:tcW w:w="236" w:type="dxa"/>
          </w:tcPr>
          <w:p w14:paraId="33F8F9CC" w14:textId="77777777" w:rsidR="00AA2140" w:rsidRPr="00A40BEE" w:rsidRDefault="00AA2140" w:rsidP="00A40BEE">
            <w:pPr>
              <w:pStyle w:val="a3"/>
              <w:jc w:val="both"/>
              <w:rPr>
                <w:b/>
                <w:bCs/>
                <w:sz w:val="26"/>
                <w:szCs w:val="26"/>
                <w:rtl/>
              </w:rPr>
            </w:pPr>
          </w:p>
        </w:tc>
        <w:tc>
          <w:tcPr>
            <w:tcW w:w="2628" w:type="dxa"/>
          </w:tcPr>
          <w:p w14:paraId="7193C825" w14:textId="77777777" w:rsidR="00AA2140" w:rsidRPr="00A40BEE" w:rsidRDefault="00AA2140" w:rsidP="00A40BEE">
            <w:pPr>
              <w:pStyle w:val="a3"/>
              <w:jc w:val="both"/>
              <w:rPr>
                <w:b/>
                <w:bCs/>
                <w:sz w:val="26"/>
                <w:szCs w:val="26"/>
                <w:rtl/>
              </w:rPr>
            </w:pPr>
            <w:r w:rsidRPr="00A40BEE">
              <w:rPr>
                <w:rFonts w:hint="cs"/>
                <w:rtl/>
              </w:rPr>
              <w:t>13466-09-16</w:t>
            </w:r>
          </w:p>
        </w:tc>
      </w:tr>
    </w:tbl>
    <w:p w14:paraId="2F45A8EF" w14:textId="77777777" w:rsidR="00AA2140" w:rsidRPr="00A40BEE" w:rsidRDefault="00AA2140" w:rsidP="00AA2140">
      <w:pPr>
        <w:rPr>
          <w:rtl/>
        </w:rPr>
      </w:pPr>
      <w:bookmarkStart w:id="0" w:name="LastJudge"/>
      <w:bookmarkEnd w:id="0"/>
    </w:p>
    <w:tbl>
      <w:tblPr>
        <w:bidiVisual/>
        <w:tblW w:w="8805" w:type="dxa"/>
        <w:tblInd w:w="-28" w:type="dxa"/>
        <w:tblLayout w:type="fixed"/>
        <w:tblLook w:val="01E0" w:firstRow="1" w:lastRow="1" w:firstColumn="1" w:lastColumn="1" w:noHBand="0" w:noVBand="0"/>
      </w:tblPr>
      <w:tblGrid>
        <w:gridCol w:w="3241"/>
        <w:gridCol w:w="5564"/>
      </w:tblGrid>
      <w:tr w:rsidR="00AA2140" w:rsidRPr="00A40BEE" w14:paraId="1BB37825" w14:textId="77777777" w:rsidTr="00A40BEE">
        <w:tc>
          <w:tcPr>
            <w:tcW w:w="3240" w:type="dxa"/>
            <w:shd w:val="clear" w:color="auto" w:fill="auto"/>
          </w:tcPr>
          <w:p w14:paraId="1E6EA51B" w14:textId="77777777" w:rsidR="00AA2140" w:rsidRPr="00A40BEE" w:rsidRDefault="00AA2140" w:rsidP="00A40BEE">
            <w:pPr>
              <w:ind w:left="26"/>
              <w:rPr>
                <w:b/>
                <w:bCs/>
                <w:sz w:val="26"/>
                <w:szCs w:val="26"/>
                <w:rtl/>
              </w:rPr>
            </w:pPr>
            <w:bookmarkStart w:id="1" w:name="FirstAppellant"/>
            <w:r w:rsidRPr="00A40BEE">
              <w:rPr>
                <w:rFonts w:hint="cs"/>
                <w:b/>
                <w:bCs/>
                <w:sz w:val="26"/>
                <w:szCs w:val="26"/>
                <w:rtl/>
              </w:rPr>
              <w:t>ה</w:t>
            </w:r>
            <w:r w:rsidRPr="00A40BEE">
              <w:rPr>
                <w:rFonts w:hint="cs"/>
                <w:rtl/>
              </w:rPr>
              <w:t>מאשימה</w:t>
            </w:r>
          </w:p>
        </w:tc>
        <w:tc>
          <w:tcPr>
            <w:tcW w:w="5562" w:type="dxa"/>
            <w:shd w:val="clear" w:color="auto" w:fill="auto"/>
          </w:tcPr>
          <w:p w14:paraId="15C0ACD7" w14:textId="77777777" w:rsidR="00AA2140" w:rsidRPr="00A40BEE" w:rsidRDefault="00AA2140" w:rsidP="00A40BEE">
            <w:pPr>
              <w:rPr>
                <w:b/>
                <w:bCs/>
                <w:sz w:val="26"/>
                <w:szCs w:val="26"/>
                <w:rtl/>
              </w:rPr>
            </w:pPr>
            <w:r w:rsidRPr="00A40BEE">
              <w:rPr>
                <w:rFonts w:hint="cs"/>
                <w:b/>
                <w:bCs/>
                <w:sz w:val="26"/>
                <w:szCs w:val="26"/>
                <w:rtl/>
              </w:rPr>
              <w:t xml:space="preserve"> </w:t>
            </w:r>
            <w:r w:rsidRPr="00A40BEE">
              <w:rPr>
                <w:rFonts w:hint="cs"/>
                <w:rtl/>
              </w:rPr>
              <w:t>מדינת ישראל</w:t>
            </w:r>
          </w:p>
        </w:tc>
      </w:tr>
      <w:bookmarkEnd w:id="1"/>
      <w:tr w:rsidR="00AA2140" w:rsidRPr="00A40BEE" w14:paraId="5A72BEF7" w14:textId="77777777" w:rsidTr="00A40BEE">
        <w:tc>
          <w:tcPr>
            <w:tcW w:w="8802" w:type="dxa"/>
            <w:gridSpan w:val="2"/>
            <w:shd w:val="clear" w:color="auto" w:fill="auto"/>
          </w:tcPr>
          <w:p w14:paraId="4F14D438" w14:textId="77777777" w:rsidR="00AA2140" w:rsidRPr="00A40BEE" w:rsidRDefault="00AA2140" w:rsidP="00A40BEE">
            <w:pPr>
              <w:jc w:val="both"/>
              <w:rPr>
                <w:rFonts w:ascii="Arial" w:hAnsi="Arial"/>
                <w:b/>
                <w:bCs/>
                <w:sz w:val="26"/>
                <w:szCs w:val="26"/>
                <w:rtl/>
              </w:rPr>
            </w:pPr>
          </w:p>
          <w:p w14:paraId="6D1E4BB2" w14:textId="77777777" w:rsidR="00AA2140" w:rsidRPr="00A40BEE" w:rsidRDefault="00AA2140" w:rsidP="00A40BEE">
            <w:pPr>
              <w:jc w:val="center"/>
              <w:rPr>
                <w:rFonts w:ascii="Arial" w:hAnsi="Arial"/>
                <w:b/>
                <w:bCs/>
                <w:sz w:val="26"/>
                <w:szCs w:val="26"/>
                <w:rtl/>
              </w:rPr>
            </w:pPr>
            <w:r w:rsidRPr="00A40BEE">
              <w:rPr>
                <w:rFonts w:ascii="Arial" w:hAnsi="Arial" w:hint="cs"/>
                <w:b/>
                <w:bCs/>
                <w:sz w:val="26"/>
                <w:szCs w:val="26"/>
                <w:rtl/>
              </w:rPr>
              <w:t>נגד</w:t>
            </w:r>
          </w:p>
          <w:p w14:paraId="3E4AE652" w14:textId="77777777" w:rsidR="00AA2140" w:rsidRPr="00A40BEE" w:rsidRDefault="00AA2140" w:rsidP="00A40BEE">
            <w:pPr>
              <w:jc w:val="center"/>
              <w:rPr>
                <w:rFonts w:ascii="Arial" w:hAnsi="Arial"/>
                <w:b/>
                <w:bCs/>
                <w:sz w:val="26"/>
                <w:szCs w:val="26"/>
                <w:rtl/>
              </w:rPr>
            </w:pPr>
          </w:p>
        </w:tc>
      </w:tr>
      <w:tr w:rsidR="00AA2140" w:rsidRPr="00A40BEE" w14:paraId="73F33FE9" w14:textId="77777777" w:rsidTr="00A40BEE">
        <w:tc>
          <w:tcPr>
            <w:tcW w:w="3240" w:type="dxa"/>
            <w:shd w:val="clear" w:color="auto" w:fill="auto"/>
          </w:tcPr>
          <w:p w14:paraId="7F14E823" w14:textId="77777777" w:rsidR="00AA2140" w:rsidRPr="00A40BEE" w:rsidRDefault="00AA2140" w:rsidP="00A40BEE">
            <w:pPr>
              <w:ind w:left="26"/>
              <w:rPr>
                <w:b/>
                <w:bCs/>
                <w:sz w:val="26"/>
                <w:szCs w:val="26"/>
              </w:rPr>
            </w:pPr>
            <w:r w:rsidRPr="00A40BEE">
              <w:rPr>
                <w:rFonts w:hint="cs"/>
                <w:b/>
                <w:bCs/>
                <w:sz w:val="26"/>
                <w:szCs w:val="26"/>
                <w:rtl/>
              </w:rPr>
              <w:t>ה</w:t>
            </w:r>
            <w:r w:rsidRPr="00A40BEE">
              <w:rPr>
                <w:rFonts w:hint="cs"/>
                <w:rtl/>
              </w:rPr>
              <w:t>נאשם</w:t>
            </w:r>
          </w:p>
        </w:tc>
        <w:tc>
          <w:tcPr>
            <w:tcW w:w="5562" w:type="dxa"/>
            <w:shd w:val="clear" w:color="auto" w:fill="auto"/>
          </w:tcPr>
          <w:p w14:paraId="601A81D2" w14:textId="77777777" w:rsidR="00AA2140" w:rsidRPr="00A40BEE" w:rsidRDefault="00AA2140" w:rsidP="00A40BEE">
            <w:pPr>
              <w:rPr>
                <w:b/>
                <w:bCs/>
                <w:sz w:val="26"/>
                <w:szCs w:val="26"/>
                <w:rtl/>
              </w:rPr>
            </w:pPr>
            <w:r w:rsidRPr="00A40BEE">
              <w:rPr>
                <w:rtl/>
              </w:rPr>
              <w:t xml:space="preserve">     </w:t>
            </w:r>
            <w:r w:rsidRPr="00A40BEE">
              <w:rPr>
                <w:rFonts w:hint="cs"/>
                <w:b/>
                <w:bCs/>
                <w:sz w:val="26"/>
                <w:szCs w:val="26"/>
                <w:rtl/>
              </w:rPr>
              <w:t xml:space="preserve"> </w:t>
            </w:r>
            <w:r w:rsidRPr="00A40BEE">
              <w:rPr>
                <w:rFonts w:hint="cs"/>
                <w:rtl/>
              </w:rPr>
              <w:t xml:space="preserve">מוחמד ג'אלולי ת.ז. </w:t>
            </w:r>
            <w:r w:rsidR="00A40BEE">
              <w:t>xxxxxxxxx</w:t>
            </w:r>
          </w:p>
        </w:tc>
      </w:tr>
    </w:tbl>
    <w:p w14:paraId="55E7B9B1" w14:textId="77777777" w:rsidR="00A40BEE" w:rsidRDefault="00A40BEE" w:rsidP="00AA2140">
      <w:pPr>
        <w:rPr>
          <w:rtl/>
        </w:rPr>
      </w:pPr>
    </w:p>
    <w:p w14:paraId="35CB9271" w14:textId="77777777" w:rsidR="00D51A17" w:rsidRDefault="00A40BEE" w:rsidP="00D51A17">
      <w:pPr>
        <w:spacing w:after="120" w:line="240" w:lineRule="exact"/>
        <w:ind w:left="283" w:hanging="283"/>
        <w:jc w:val="both"/>
        <w:rPr>
          <w:rFonts w:ascii="FrankRuehl" w:hAnsi="FrankRuehl" w:cs="FrankRuehl"/>
          <w:rtl/>
        </w:rPr>
      </w:pPr>
      <w:r w:rsidRPr="00A40BEE">
        <w:rPr>
          <w:rFonts w:ascii="FrankRuehl" w:hAnsi="FrankRuehl" w:cs="FrankRuehl"/>
          <w:rtl/>
        </w:rPr>
        <w:t>ספרו</w:t>
      </w:r>
      <w:bookmarkStart w:id="2" w:name="LawTable"/>
      <w:bookmarkEnd w:id="2"/>
    </w:p>
    <w:p w14:paraId="5DBDDC67" w14:textId="77777777" w:rsidR="00D51A17" w:rsidRPr="00D51A17" w:rsidRDefault="00D51A17" w:rsidP="00D51A17">
      <w:pPr>
        <w:spacing w:after="120" w:line="240" w:lineRule="exact"/>
        <w:ind w:left="283" w:hanging="283"/>
        <w:jc w:val="both"/>
        <w:rPr>
          <w:rFonts w:ascii="FrankRuehl" w:hAnsi="FrankRuehl" w:cs="FrankRuehl"/>
          <w:rtl/>
        </w:rPr>
      </w:pPr>
    </w:p>
    <w:p w14:paraId="57BD5613" w14:textId="77777777" w:rsidR="00D51A17" w:rsidRPr="00D51A17" w:rsidRDefault="00D51A17" w:rsidP="00D51A17">
      <w:pPr>
        <w:spacing w:after="120" w:line="240" w:lineRule="exact"/>
        <w:ind w:left="283" w:hanging="283"/>
        <w:jc w:val="both"/>
        <w:rPr>
          <w:rFonts w:ascii="FrankRuehl" w:hAnsi="FrankRuehl" w:cs="FrankRuehl"/>
          <w:rtl/>
        </w:rPr>
      </w:pPr>
      <w:r w:rsidRPr="00D51A17">
        <w:rPr>
          <w:rFonts w:ascii="FrankRuehl" w:hAnsi="FrankRuehl" w:cs="FrankRuehl"/>
          <w:rtl/>
        </w:rPr>
        <w:t xml:space="preserve">חקיקה שאוזכרה: </w:t>
      </w:r>
    </w:p>
    <w:p w14:paraId="159BFE02" w14:textId="77777777" w:rsidR="00D51A17" w:rsidRPr="00D51A17" w:rsidRDefault="00D51A17" w:rsidP="00D51A17">
      <w:pPr>
        <w:spacing w:after="120" w:line="240" w:lineRule="exact"/>
        <w:ind w:left="283" w:hanging="283"/>
        <w:jc w:val="both"/>
        <w:rPr>
          <w:rFonts w:ascii="FrankRuehl" w:hAnsi="FrankRuehl" w:cs="FrankRuehl"/>
          <w:rtl/>
        </w:rPr>
      </w:pPr>
      <w:hyperlink r:id="rId7" w:history="1">
        <w:r w:rsidRPr="00D51A17">
          <w:rPr>
            <w:rFonts w:ascii="FrankRuehl" w:hAnsi="FrankRuehl" w:cs="FrankRuehl"/>
            <w:color w:val="0000FF"/>
            <w:u w:val="single"/>
            <w:rtl/>
          </w:rPr>
          <w:t>חוק העונשין, תשל"ז-1977</w:t>
        </w:r>
      </w:hyperlink>
      <w:r w:rsidRPr="00D51A17">
        <w:rPr>
          <w:rFonts w:ascii="FrankRuehl" w:hAnsi="FrankRuehl" w:cs="FrankRuehl"/>
          <w:rtl/>
        </w:rPr>
        <w:t xml:space="preserve">: סע'  </w:t>
      </w:r>
      <w:hyperlink r:id="rId8" w:history="1">
        <w:r w:rsidRPr="00D51A17">
          <w:rPr>
            <w:rFonts w:ascii="FrankRuehl" w:hAnsi="FrankRuehl" w:cs="FrankRuehl"/>
            <w:color w:val="0000FF"/>
            <w:u w:val="single"/>
            <w:rtl/>
          </w:rPr>
          <w:t>40ב'</w:t>
        </w:r>
      </w:hyperlink>
      <w:r w:rsidRPr="00D51A17">
        <w:rPr>
          <w:rFonts w:ascii="FrankRuehl" w:hAnsi="FrankRuehl" w:cs="FrankRuehl"/>
          <w:rtl/>
        </w:rPr>
        <w:t xml:space="preserve">, </w:t>
      </w:r>
      <w:hyperlink r:id="rId9" w:history="1">
        <w:r w:rsidRPr="00D51A17">
          <w:rPr>
            <w:rFonts w:ascii="FrankRuehl" w:hAnsi="FrankRuehl" w:cs="FrankRuehl"/>
            <w:color w:val="0000FF"/>
            <w:u w:val="single"/>
            <w:rtl/>
          </w:rPr>
          <w:t>40ט'</w:t>
        </w:r>
      </w:hyperlink>
      <w:r w:rsidRPr="00D51A17">
        <w:rPr>
          <w:rFonts w:ascii="FrankRuehl" w:hAnsi="FrankRuehl" w:cs="FrankRuehl"/>
          <w:rtl/>
        </w:rPr>
        <w:t xml:space="preserve">, </w:t>
      </w:r>
      <w:hyperlink r:id="rId10" w:history="1">
        <w:r w:rsidRPr="00D51A17">
          <w:rPr>
            <w:rFonts w:ascii="FrankRuehl" w:hAnsi="FrankRuehl" w:cs="FrankRuehl"/>
            <w:color w:val="0000FF"/>
            <w:u w:val="single"/>
            <w:rtl/>
          </w:rPr>
          <w:t>144(א)</w:t>
        </w:r>
      </w:hyperlink>
      <w:r w:rsidRPr="00D51A17">
        <w:rPr>
          <w:rFonts w:ascii="FrankRuehl" w:hAnsi="FrankRuehl" w:cs="FrankRuehl"/>
          <w:rtl/>
        </w:rPr>
        <w:t xml:space="preserve">, </w:t>
      </w:r>
      <w:hyperlink r:id="rId11" w:history="1">
        <w:r w:rsidRPr="00D51A17">
          <w:rPr>
            <w:rFonts w:ascii="FrankRuehl" w:hAnsi="FrankRuehl" w:cs="FrankRuehl"/>
            <w:color w:val="0000FF"/>
            <w:u w:val="single"/>
            <w:rtl/>
          </w:rPr>
          <w:t>144(ב)</w:t>
        </w:r>
      </w:hyperlink>
    </w:p>
    <w:p w14:paraId="1C6C43CF" w14:textId="77777777" w:rsidR="00D51A17" w:rsidRPr="00D51A17" w:rsidRDefault="00D51A17" w:rsidP="00D51A17">
      <w:pPr>
        <w:spacing w:after="120" w:line="240" w:lineRule="exact"/>
        <w:ind w:left="283" w:hanging="283"/>
        <w:jc w:val="both"/>
        <w:rPr>
          <w:rFonts w:ascii="FrankRuehl" w:hAnsi="FrankRuehl" w:cs="FrankRuehl"/>
          <w:rtl/>
        </w:rPr>
      </w:pPr>
      <w:hyperlink r:id="rId12" w:history="1">
        <w:r w:rsidRPr="00D51A17">
          <w:rPr>
            <w:rFonts w:ascii="FrankRuehl" w:hAnsi="FrankRuehl" w:cs="FrankRuehl"/>
            <w:color w:val="0000FF"/>
            <w:u w:val="single"/>
            <w:rtl/>
          </w:rPr>
          <w:t>פקודת המבחן [נוסח חדש], תשכ"ט-1969</w:t>
        </w:r>
      </w:hyperlink>
      <w:r w:rsidRPr="00D51A17">
        <w:rPr>
          <w:rFonts w:ascii="FrankRuehl" w:hAnsi="FrankRuehl" w:cs="FrankRuehl"/>
          <w:rtl/>
        </w:rPr>
        <w:t xml:space="preserve">: סע'  </w:t>
      </w:r>
      <w:hyperlink r:id="rId13" w:history="1">
        <w:r w:rsidRPr="00D51A17">
          <w:rPr>
            <w:rFonts w:ascii="FrankRuehl" w:hAnsi="FrankRuehl" w:cs="FrankRuehl"/>
            <w:color w:val="0000FF"/>
            <w:u w:val="single"/>
            <w:rtl/>
          </w:rPr>
          <w:t>1(ב)</w:t>
        </w:r>
      </w:hyperlink>
    </w:p>
    <w:p w14:paraId="00720EB5" w14:textId="77777777" w:rsidR="00D51A17" w:rsidRPr="00D51A17" w:rsidRDefault="00D51A17" w:rsidP="00D51A17">
      <w:pPr>
        <w:spacing w:after="120" w:line="240" w:lineRule="exact"/>
        <w:ind w:left="283" w:hanging="283"/>
        <w:jc w:val="both"/>
        <w:rPr>
          <w:rFonts w:ascii="FrankRuehl" w:hAnsi="FrankRuehl" w:cs="FrankRuehl"/>
          <w:rtl/>
        </w:rPr>
      </w:pPr>
    </w:p>
    <w:p w14:paraId="32AAD334" w14:textId="77777777" w:rsidR="00D51A17" w:rsidRPr="00D51A17" w:rsidRDefault="00D51A17" w:rsidP="00D51A17">
      <w:pPr>
        <w:spacing w:after="120" w:line="240" w:lineRule="exact"/>
        <w:ind w:left="283" w:hanging="283"/>
        <w:jc w:val="both"/>
        <w:rPr>
          <w:rFonts w:ascii="FrankRuehl" w:hAnsi="FrankRuehl" w:cs="FrankRuehl"/>
          <w:rtl/>
        </w:rPr>
      </w:pPr>
      <w:bookmarkStart w:id="3" w:name="LawTable_End"/>
      <w:bookmarkEnd w:id="3"/>
    </w:p>
    <w:p w14:paraId="5E753420" w14:textId="77777777" w:rsidR="00D51A17" w:rsidRPr="00D51A17" w:rsidRDefault="00D51A17" w:rsidP="00D51A17">
      <w:pPr>
        <w:spacing w:after="120" w:line="240" w:lineRule="exact"/>
        <w:ind w:left="283" w:hanging="283"/>
        <w:jc w:val="both"/>
        <w:rPr>
          <w:rFonts w:ascii="FrankRuehl" w:hAnsi="FrankRuehl" w:cs="FrankRuehl"/>
          <w:rtl/>
        </w:rPr>
      </w:pPr>
    </w:p>
    <w:p w14:paraId="515DAAD8" w14:textId="77777777" w:rsidR="00D51A17" w:rsidRPr="00D51A17" w:rsidRDefault="00A40BEE" w:rsidP="00D51A17">
      <w:pPr>
        <w:spacing w:after="120" w:line="240" w:lineRule="exact"/>
        <w:ind w:left="283" w:hanging="283"/>
        <w:jc w:val="both"/>
        <w:rPr>
          <w:rFonts w:ascii="FrankRuehl" w:hAnsi="FrankRuehl" w:cs="FrankRuehl"/>
          <w:rtl/>
        </w:rPr>
      </w:pPr>
      <w:r w:rsidRPr="00D51A17">
        <w:rPr>
          <w:rFonts w:ascii="FrankRuehl" w:hAnsi="FrankRuehl" w:cs="FrankRuehl"/>
          <w:rtl/>
        </w:rPr>
        <w:t>ת</w:t>
      </w:r>
    </w:p>
    <w:p w14:paraId="11700254" w14:textId="77777777" w:rsidR="00D51A17" w:rsidRPr="00D51A17" w:rsidRDefault="00D51A17" w:rsidP="00D51A17">
      <w:pPr>
        <w:spacing w:after="120" w:line="240" w:lineRule="exact"/>
        <w:ind w:left="283" w:hanging="283"/>
        <w:jc w:val="both"/>
        <w:rPr>
          <w:rFonts w:ascii="FrankRuehl" w:hAnsi="FrankRuehl" w:cs="FrankRuehl"/>
          <w:rtl/>
        </w:rPr>
      </w:pPr>
    </w:p>
    <w:p w14:paraId="11160C89" w14:textId="77777777" w:rsidR="00D51A17" w:rsidRPr="00D51A17" w:rsidRDefault="00D51A17" w:rsidP="00D51A17">
      <w:pPr>
        <w:spacing w:after="120" w:line="240" w:lineRule="exact"/>
        <w:ind w:left="283" w:hanging="283"/>
        <w:jc w:val="both"/>
        <w:rPr>
          <w:rFonts w:ascii="FrankRuehl" w:hAnsi="FrankRuehl" w:cs="FrankRuehl"/>
          <w:rtl/>
        </w:rPr>
      </w:pPr>
    </w:p>
    <w:p w14:paraId="15EBAA34" w14:textId="77777777" w:rsidR="00D51A17" w:rsidRPr="00D51A17" w:rsidRDefault="00A40BEE" w:rsidP="00D51A17">
      <w:pPr>
        <w:spacing w:after="120" w:line="240" w:lineRule="exact"/>
        <w:ind w:left="283" w:hanging="283"/>
        <w:jc w:val="both"/>
        <w:rPr>
          <w:rFonts w:ascii="FrankRuehl" w:hAnsi="FrankRuehl" w:cs="FrankRuehl"/>
          <w:rtl/>
        </w:rPr>
      </w:pPr>
      <w:r w:rsidRPr="00D51A17">
        <w:rPr>
          <w:rFonts w:ascii="FrankRuehl" w:hAnsi="FrankRuehl" w:cs="FrankRuehl"/>
          <w:rtl/>
        </w:rPr>
        <w:t>:</w:t>
      </w:r>
      <w:r w:rsidR="00D51A17" w:rsidRPr="00D51A17">
        <w:rPr>
          <w:rFonts w:ascii="FrankRuehl" w:hAnsi="FrankRuehl" w:cs="FrankRuehl"/>
          <w:rtl/>
        </w:rPr>
        <w:t xml:space="preserve"> </w:t>
      </w:r>
    </w:p>
    <w:p w14:paraId="0CED5CD8" w14:textId="77777777" w:rsidR="00D51A17" w:rsidRPr="00D51A17" w:rsidRDefault="00D51A17" w:rsidP="00A40BEE">
      <w:pPr>
        <w:spacing w:after="120" w:line="240" w:lineRule="exact"/>
        <w:ind w:left="283" w:hanging="283"/>
        <w:jc w:val="both"/>
        <w:rPr>
          <w:rFonts w:ascii="FrankRuehl" w:hAnsi="FrankRuehl" w:cs="FrankRuehl"/>
          <w:rtl/>
        </w:rPr>
      </w:pPr>
    </w:p>
    <w:p w14:paraId="090F76AE" w14:textId="77777777" w:rsidR="00D51A17" w:rsidRPr="00D51A17" w:rsidRDefault="00D51A17" w:rsidP="00A40BEE">
      <w:pPr>
        <w:spacing w:after="120" w:line="240" w:lineRule="exact"/>
        <w:ind w:left="283" w:hanging="283"/>
        <w:jc w:val="both"/>
        <w:rPr>
          <w:rFonts w:ascii="FrankRuehl" w:hAnsi="FrankRuehl" w:cs="FrankRuehl"/>
          <w:rtl/>
        </w:rPr>
      </w:pPr>
    </w:p>
    <w:p w14:paraId="3148AB22" w14:textId="77777777" w:rsidR="00A40BEE" w:rsidRPr="00D51A17" w:rsidRDefault="00A40BEE" w:rsidP="00A40BEE">
      <w:pPr>
        <w:spacing w:after="120" w:line="240" w:lineRule="exact"/>
        <w:ind w:left="283" w:hanging="283"/>
        <w:jc w:val="both"/>
        <w:rPr>
          <w:rStyle w:val="Hyperlink"/>
          <w:rFonts w:ascii="FrankRuehl" w:hAnsi="FrankRuehl" w:cs="FrankRuehl"/>
          <w:u w:val="none"/>
        </w:rPr>
      </w:pPr>
      <w:r w:rsidRPr="00D51A17">
        <w:rPr>
          <w:rFonts w:ascii="FrankRuehl" w:hAnsi="FrankRuehl" w:cs="FrankRuehl"/>
          <w:rtl/>
        </w:rPr>
        <w:fldChar w:fldCharType="begin"/>
      </w:r>
      <w:r w:rsidRPr="00D51A17">
        <w:rPr>
          <w:rFonts w:ascii="FrankRuehl" w:hAnsi="FrankRuehl" w:cs="FrankRuehl"/>
          <w:rtl/>
        </w:rPr>
        <w:instrText xml:space="preserve"> </w:instrText>
      </w:r>
      <w:r w:rsidRPr="00D51A17">
        <w:rPr>
          <w:rFonts w:ascii="FrankRuehl" w:hAnsi="FrankRuehl" w:cs="FrankRuehl"/>
        </w:rPr>
        <w:instrText>HYPERLINK</w:instrText>
      </w:r>
      <w:r w:rsidRPr="00D51A17">
        <w:rPr>
          <w:rFonts w:ascii="FrankRuehl" w:hAnsi="FrankRuehl" w:cs="FrankRuehl"/>
          <w:rtl/>
        </w:rPr>
        <w:instrText xml:space="preserve"> "</w:instrText>
      </w:r>
      <w:r w:rsidRPr="00D51A17">
        <w:rPr>
          <w:rFonts w:ascii="FrankRuehl" w:hAnsi="FrankRuehl" w:cs="FrankRuehl"/>
        </w:rPr>
        <w:instrText>http://www.nevo.co.il/safrut/bookgroup/393</w:instrText>
      </w:r>
      <w:r w:rsidRPr="00D51A17">
        <w:rPr>
          <w:rFonts w:ascii="FrankRuehl" w:hAnsi="FrankRuehl" w:cs="FrankRuehl"/>
          <w:rtl/>
        </w:rPr>
        <w:instrText xml:space="preserve">" </w:instrText>
      </w:r>
      <w:r w:rsidRPr="00D51A17">
        <w:rPr>
          <w:rFonts w:ascii="FrankRuehl" w:hAnsi="FrankRuehl" w:cs="FrankRuehl"/>
        </w:rPr>
      </w:r>
      <w:r w:rsidRPr="00D51A17">
        <w:rPr>
          <w:rFonts w:ascii="FrankRuehl" w:hAnsi="FrankRuehl" w:cs="FrankRuehl"/>
          <w:rtl/>
        </w:rPr>
        <w:fldChar w:fldCharType="separate"/>
      </w:r>
    </w:p>
    <w:p w14:paraId="4BD9FA7D" w14:textId="77777777" w:rsidR="00042211" w:rsidRDefault="00A40BEE" w:rsidP="00A40BEE">
      <w:pPr>
        <w:spacing w:after="120" w:line="240" w:lineRule="exact"/>
        <w:ind w:left="283" w:hanging="283"/>
        <w:jc w:val="both"/>
        <w:rPr>
          <w:rFonts w:ascii="FrankRuehl" w:hAnsi="FrankRuehl" w:cs="FrankRuehl"/>
        </w:rPr>
      </w:pPr>
      <w:r w:rsidRPr="00D51A17">
        <w:rPr>
          <w:rStyle w:val="Hyperlink"/>
          <w:rFonts w:ascii="FrankRuehl" w:hAnsi="FrankRuehl" w:cs="FrankRuehl"/>
          <w:u w:val="none"/>
          <w:rtl/>
        </w:rPr>
        <w:t>מ' טמיר, אכיפה סלקטיבית</w:t>
      </w:r>
      <w:r w:rsidRPr="00D51A17">
        <w:rPr>
          <w:rFonts w:ascii="FrankRuehl" w:hAnsi="FrankRuehl" w:cs="FrankRuehl"/>
          <w:rtl/>
        </w:rPr>
        <w:fldChar w:fldCharType="end"/>
      </w:r>
    </w:p>
    <w:p w14:paraId="046B5DAA" w14:textId="77777777" w:rsidR="00042211" w:rsidRPr="00042211" w:rsidRDefault="00042211" w:rsidP="00042211">
      <w:pPr>
        <w:spacing w:after="120" w:line="240" w:lineRule="exact"/>
        <w:ind w:left="283" w:hanging="283"/>
        <w:jc w:val="both"/>
        <w:rPr>
          <w:rFonts w:ascii="FrankRuehl" w:hAnsi="FrankRuehl" w:cs="FrankRuehl"/>
        </w:rPr>
      </w:pPr>
    </w:p>
    <w:p w14:paraId="25F4E47A" w14:textId="77777777" w:rsidR="00042211" w:rsidRPr="00042211" w:rsidRDefault="00042211" w:rsidP="00042211">
      <w:pPr>
        <w:spacing w:after="120" w:line="240" w:lineRule="exact"/>
        <w:ind w:left="283" w:hanging="283"/>
        <w:jc w:val="both"/>
        <w:rPr>
          <w:rFonts w:ascii="FrankRuehl" w:hAnsi="FrankRuehl" w:cs="FrankRuehl"/>
        </w:rPr>
      </w:pPr>
      <w:r w:rsidRPr="00042211">
        <w:rPr>
          <w:rFonts w:ascii="FrankRuehl" w:hAnsi="FrankRuehl" w:cs="FrankRuehl"/>
          <w:rtl/>
        </w:rPr>
        <w:t xml:space="preserve">חקיקה שאוזכרה: </w:t>
      </w:r>
    </w:p>
    <w:p w14:paraId="3EEDEC1F" w14:textId="77777777" w:rsidR="00042211" w:rsidRPr="00042211" w:rsidRDefault="00042211" w:rsidP="00042211">
      <w:pPr>
        <w:spacing w:after="120" w:line="240" w:lineRule="exact"/>
        <w:ind w:left="283" w:hanging="283"/>
        <w:jc w:val="both"/>
        <w:rPr>
          <w:rFonts w:ascii="FrankRuehl" w:hAnsi="FrankRuehl" w:cs="FrankRuehl"/>
        </w:rPr>
      </w:pPr>
      <w:hyperlink r:id="rId14" w:history="1">
        <w:r w:rsidRPr="00042211">
          <w:rPr>
            <w:rFonts w:ascii="FrankRuehl" w:hAnsi="FrankRuehl" w:cs="FrankRuehl"/>
            <w:color w:val="0000FF"/>
            <w:u w:val="single"/>
            <w:rtl/>
          </w:rPr>
          <w:t>חוק העונשין, תשל"ז-1977</w:t>
        </w:r>
      </w:hyperlink>
      <w:r w:rsidRPr="00042211">
        <w:rPr>
          <w:rFonts w:ascii="FrankRuehl" w:hAnsi="FrankRuehl" w:cs="FrankRuehl"/>
        </w:rPr>
        <w:t xml:space="preserve">: </w:t>
      </w:r>
      <w:r w:rsidRPr="00042211">
        <w:rPr>
          <w:rFonts w:ascii="FrankRuehl" w:hAnsi="FrankRuehl" w:cs="FrankRuehl"/>
          <w:rtl/>
        </w:rPr>
        <w:t>סע</w:t>
      </w:r>
      <w:r w:rsidRPr="00042211">
        <w:rPr>
          <w:rFonts w:ascii="FrankRuehl" w:hAnsi="FrankRuehl" w:cs="FrankRuehl"/>
        </w:rPr>
        <w:t xml:space="preserve">'  </w:t>
      </w:r>
      <w:hyperlink r:id="rId15" w:history="1">
        <w:r w:rsidRPr="00042211">
          <w:rPr>
            <w:rFonts w:ascii="FrankRuehl" w:hAnsi="FrankRuehl" w:cs="FrankRuehl"/>
            <w:color w:val="0000FF"/>
            <w:u w:val="single"/>
          </w:rPr>
          <w:t>40</w:t>
        </w:r>
        <w:r w:rsidRPr="00042211">
          <w:rPr>
            <w:rFonts w:ascii="FrankRuehl" w:hAnsi="FrankRuehl" w:cs="FrankRuehl"/>
            <w:color w:val="0000FF"/>
            <w:u w:val="single"/>
            <w:rtl/>
          </w:rPr>
          <w:t>ב</w:t>
        </w:r>
        <w:r w:rsidRPr="00042211">
          <w:rPr>
            <w:rFonts w:ascii="FrankRuehl" w:hAnsi="FrankRuehl" w:cs="FrankRuehl"/>
            <w:color w:val="0000FF"/>
            <w:u w:val="single"/>
          </w:rPr>
          <w:t>'</w:t>
        </w:r>
      </w:hyperlink>
      <w:r w:rsidRPr="00042211">
        <w:rPr>
          <w:rFonts w:ascii="FrankRuehl" w:hAnsi="FrankRuehl" w:cs="FrankRuehl"/>
        </w:rPr>
        <w:t xml:space="preserve">, </w:t>
      </w:r>
      <w:hyperlink r:id="rId16" w:history="1">
        <w:r w:rsidRPr="00042211">
          <w:rPr>
            <w:rFonts w:ascii="FrankRuehl" w:hAnsi="FrankRuehl" w:cs="FrankRuehl"/>
            <w:color w:val="0000FF"/>
            <w:u w:val="single"/>
          </w:rPr>
          <w:t>40</w:t>
        </w:r>
        <w:r w:rsidRPr="00042211">
          <w:rPr>
            <w:rFonts w:ascii="FrankRuehl" w:hAnsi="FrankRuehl" w:cs="FrankRuehl"/>
            <w:color w:val="0000FF"/>
            <w:u w:val="single"/>
            <w:rtl/>
          </w:rPr>
          <w:t>ט</w:t>
        </w:r>
        <w:r w:rsidRPr="00042211">
          <w:rPr>
            <w:rFonts w:ascii="FrankRuehl" w:hAnsi="FrankRuehl" w:cs="FrankRuehl"/>
            <w:color w:val="0000FF"/>
            <w:u w:val="single"/>
          </w:rPr>
          <w:t>'</w:t>
        </w:r>
      </w:hyperlink>
      <w:r w:rsidRPr="00042211">
        <w:rPr>
          <w:rFonts w:ascii="FrankRuehl" w:hAnsi="FrankRuehl" w:cs="FrankRuehl"/>
        </w:rPr>
        <w:t xml:space="preserve">, </w:t>
      </w:r>
      <w:hyperlink r:id="rId17" w:history="1">
        <w:r w:rsidRPr="00042211">
          <w:rPr>
            <w:rFonts w:ascii="FrankRuehl" w:hAnsi="FrankRuehl" w:cs="FrankRuehl"/>
            <w:color w:val="0000FF"/>
            <w:u w:val="single"/>
          </w:rPr>
          <w:t>144(</w:t>
        </w:r>
        <w:r w:rsidRPr="00042211">
          <w:rPr>
            <w:rFonts w:ascii="FrankRuehl" w:hAnsi="FrankRuehl" w:cs="FrankRuehl"/>
            <w:color w:val="0000FF"/>
            <w:u w:val="single"/>
            <w:rtl/>
          </w:rPr>
          <w:t>א</w:t>
        </w:r>
        <w:r w:rsidRPr="00042211">
          <w:rPr>
            <w:rFonts w:ascii="FrankRuehl" w:hAnsi="FrankRuehl" w:cs="FrankRuehl"/>
            <w:color w:val="0000FF"/>
            <w:u w:val="single"/>
          </w:rPr>
          <w:t>)</w:t>
        </w:r>
      </w:hyperlink>
      <w:r w:rsidRPr="00042211">
        <w:rPr>
          <w:rFonts w:ascii="FrankRuehl" w:hAnsi="FrankRuehl" w:cs="FrankRuehl"/>
        </w:rPr>
        <w:t xml:space="preserve">, </w:t>
      </w:r>
      <w:hyperlink r:id="rId18" w:history="1">
        <w:r w:rsidRPr="00042211">
          <w:rPr>
            <w:rFonts w:ascii="FrankRuehl" w:hAnsi="FrankRuehl" w:cs="FrankRuehl"/>
            <w:color w:val="0000FF"/>
            <w:u w:val="single"/>
          </w:rPr>
          <w:t>144(</w:t>
        </w:r>
        <w:r w:rsidRPr="00042211">
          <w:rPr>
            <w:rFonts w:ascii="FrankRuehl" w:hAnsi="FrankRuehl" w:cs="FrankRuehl"/>
            <w:color w:val="0000FF"/>
            <w:u w:val="single"/>
            <w:rtl/>
          </w:rPr>
          <w:t>ב</w:t>
        </w:r>
        <w:r w:rsidRPr="00042211">
          <w:rPr>
            <w:rFonts w:ascii="FrankRuehl" w:hAnsi="FrankRuehl" w:cs="FrankRuehl"/>
            <w:color w:val="0000FF"/>
            <w:u w:val="single"/>
          </w:rPr>
          <w:t>)</w:t>
        </w:r>
      </w:hyperlink>
    </w:p>
    <w:p w14:paraId="488825E5" w14:textId="77777777" w:rsidR="00042211" w:rsidRPr="00042211" w:rsidRDefault="00042211" w:rsidP="00042211">
      <w:pPr>
        <w:spacing w:after="120" w:line="240" w:lineRule="exact"/>
        <w:ind w:left="283" w:hanging="283"/>
        <w:jc w:val="both"/>
        <w:rPr>
          <w:rFonts w:ascii="FrankRuehl" w:hAnsi="FrankRuehl" w:cs="FrankRuehl"/>
        </w:rPr>
      </w:pPr>
      <w:hyperlink r:id="rId19" w:history="1">
        <w:r w:rsidRPr="00042211">
          <w:rPr>
            <w:rFonts w:ascii="FrankRuehl" w:hAnsi="FrankRuehl" w:cs="FrankRuehl"/>
            <w:color w:val="0000FF"/>
            <w:u w:val="single"/>
            <w:rtl/>
          </w:rPr>
          <w:t>פקודת המבחן [נוסח חדש], תשכ"ט-1969</w:t>
        </w:r>
      </w:hyperlink>
      <w:r w:rsidRPr="00042211">
        <w:rPr>
          <w:rFonts w:ascii="FrankRuehl" w:hAnsi="FrankRuehl" w:cs="FrankRuehl"/>
        </w:rPr>
        <w:t xml:space="preserve">: </w:t>
      </w:r>
      <w:r w:rsidRPr="00042211">
        <w:rPr>
          <w:rFonts w:ascii="FrankRuehl" w:hAnsi="FrankRuehl" w:cs="FrankRuehl"/>
          <w:rtl/>
        </w:rPr>
        <w:t>סע</w:t>
      </w:r>
      <w:r w:rsidRPr="00042211">
        <w:rPr>
          <w:rFonts w:ascii="FrankRuehl" w:hAnsi="FrankRuehl" w:cs="FrankRuehl"/>
        </w:rPr>
        <w:t xml:space="preserve">'  </w:t>
      </w:r>
      <w:hyperlink r:id="rId20" w:history="1">
        <w:r w:rsidRPr="00042211">
          <w:rPr>
            <w:rFonts w:ascii="FrankRuehl" w:hAnsi="FrankRuehl" w:cs="FrankRuehl"/>
            <w:color w:val="0000FF"/>
            <w:u w:val="single"/>
          </w:rPr>
          <w:t>1(</w:t>
        </w:r>
        <w:r w:rsidRPr="00042211">
          <w:rPr>
            <w:rFonts w:ascii="FrankRuehl" w:hAnsi="FrankRuehl" w:cs="FrankRuehl"/>
            <w:color w:val="0000FF"/>
            <w:u w:val="single"/>
            <w:rtl/>
          </w:rPr>
          <w:t>ב</w:t>
        </w:r>
        <w:r w:rsidRPr="00042211">
          <w:rPr>
            <w:rFonts w:ascii="FrankRuehl" w:hAnsi="FrankRuehl" w:cs="FrankRuehl"/>
            <w:color w:val="0000FF"/>
            <w:u w:val="single"/>
          </w:rPr>
          <w:t>)</w:t>
        </w:r>
      </w:hyperlink>
    </w:p>
    <w:p w14:paraId="2A22AAB8" w14:textId="77777777" w:rsidR="00D51A17" w:rsidRDefault="00D51A17" w:rsidP="00042211">
      <w:pPr>
        <w:spacing w:after="120" w:line="240" w:lineRule="exact"/>
        <w:ind w:left="283" w:hanging="283"/>
        <w:jc w:val="both"/>
        <w:rPr>
          <w:rFonts w:ascii="FrankRuehl" w:hAnsi="FrankRuehl" w:cs="FrankRuehl"/>
          <w:rtl/>
        </w:rPr>
      </w:pPr>
    </w:p>
    <w:p w14:paraId="0EFC173C" w14:textId="77777777" w:rsidR="00D51A17" w:rsidRPr="00D51A17" w:rsidRDefault="00D51A17" w:rsidP="00D51A17">
      <w:pPr>
        <w:spacing w:after="120" w:line="240" w:lineRule="exact"/>
        <w:ind w:left="283" w:hanging="283"/>
        <w:jc w:val="both"/>
        <w:rPr>
          <w:rFonts w:ascii="FrankRuehl" w:hAnsi="FrankRuehl" w:cs="FrankRuehl"/>
          <w:rtl/>
        </w:rPr>
      </w:pPr>
    </w:p>
    <w:p w14:paraId="781409B9" w14:textId="77777777" w:rsidR="00D51A17" w:rsidRPr="00D51A17" w:rsidRDefault="00D51A17" w:rsidP="00D51A17">
      <w:pPr>
        <w:spacing w:after="120" w:line="240" w:lineRule="exact"/>
        <w:ind w:left="283" w:hanging="283"/>
        <w:jc w:val="both"/>
        <w:rPr>
          <w:rStyle w:val="Hyperlink"/>
          <w:rFonts w:ascii="FrankRuehl" w:hAnsi="FrankRuehl" w:cs="FrankRuehl"/>
          <w:rtl/>
        </w:rPr>
      </w:pPr>
      <w:r w:rsidRPr="00D51A17">
        <w:rPr>
          <w:rFonts w:ascii="FrankRuehl" w:hAnsi="FrankRuehl" w:cs="FrankRuehl"/>
          <w:rtl/>
        </w:rPr>
        <w:t>ספרות:</w:t>
      </w:r>
      <w:r w:rsidRPr="00D51A17">
        <w:rPr>
          <w:rFonts w:ascii="FrankRuehl" w:hAnsi="FrankRuehl" w:cs="FrankRuehl"/>
          <w:u w:val="single"/>
          <w:rtl/>
        </w:rPr>
        <w:fldChar w:fldCharType="begin"/>
      </w:r>
      <w:r w:rsidRPr="00D51A17">
        <w:rPr>
          <w:rFonts w:ascii="FrankRuehl" w:hAnsi="FrankRuehl" w:cs="FrankRuehl"/>
          <w:u w:val="single"/>
          <w:rtl/>
        </w:rPr>
        <w:instrText xml:space="preserve"> </w:instrText>
      </w:r>
      <w:r w:rsidRPr="00D51A17">
        <w:rPr>
          <w:rFonts w:ascii="FrankRuehl" w:hAnsi="FrankRuehl" w:cs="FrankRuehl"/>
          <w:u w:val="single"/>
        </w:rPr>
        <w:instrText>HYPERLINK</w:instrText>
      </w:r>
      <w:r w:rsidRPr="00D51A17">
        <w:rPr>
          <w:rFonts w:ascii="FrankRuehl" w:hAnsi="FrankRuehl" w:cs="FrankRuehl"/>
          <w:u w:val="single"/>
          <w:rtl/>
        </w:rPr>
        <w:instrText xml:space="preserve"> "</w:instrText>
      </w:r>
      <w:r w:rsidRPr="00D51A17">
        <w:rPr>
          <w:rFonts w:ascii="FrankRuehl" w:hAnsi="FrankRuehl" w:cs="FrankRuehl"/>
          <w:u w:val="single"/>
        </w:rPr>
        <w:instrText>http://www.nevo.co.il/safrut/bookgroup/393</w:instrText>
      </w:r>
      <w:r w:rsidRPr="00D51A17">
        <w:rPr>
          <w:rFonts w:ascii="FrankRuehl" w:hAnsi="FrankRuehl" w:cs="FrankRuehl"/>
          <w:u w:val="single"/>
          <w:rtl/>
        </w:rPr>
        <w:instrText xml:space="preserve">" </w:instrText>
      </w:r>
      <w:r w:rsidRPr="00D51A17">
        <w:rPr>
          <w:rFonts w:ascii="FrankRuehl" w:hAnsi="FrankRuehl" w:cs="FrankRuehl"/>
          <w:u w:val="single"/>
          <w:rtl/>
        </w:rPr>
      </w:r>
      <w:r w:rsidRPr="00D51A17">
        <w:rPr>
          <w:rFonts w:ascii="FrankRuehl" w:hAnsi="FrankRuehl" w:cs="FrankRuehl"/>
          <w:u w:val="single"/>
          <w:rtl/>
        </w:rPr>
        <w:fldChar w:fldCharType="separate"/>
      </w:r>
    </w:p>
    <w:p w14:paraId="33C5EF80" w14:textId="77777777" w:rsidR="00D51A17" w:rsidRPr="00D51A17" w:rsidRDefault="00D51A17" w:rsidP="00D51A17">
      <w:pPr>
        <w:spacing w:after="120" w:line="240" w:lineRule="exact"/>
        <w:ind w:left="283" w:hanging="283"/>
        <w:jc w:val="both"/>
        <w:rPr>
          <w:rFonts w:ascii="FrankRuehl" w:hAnsi="FrankRuehl" w:cs="FrankRuehl"/>
          <w:rtl/>
        </w:rPr>
      </w:pPr>
      <w:r w:rsidRPr="00D51A17">
        <w:rPr>
          <w:rStyle w:val="Hyperlink"/>
          <w:rFonts w:ascii="FrankRuehl" w:hAnsi="FrankRuehl" w:cs="FrankRuehl"/>
          <w:rtl/>
        </w:rPr>
        <w:t>מ' טמיר, אכיפה סלקטיבית</w:t>
      </w:r>
      <w:r w:rsidRPr="00D51A17">
        <w:rPr>
          <w:rFonts w:ascii="FrankRuehl" w:hAnsi="FrankRuehl" w:cs="FrankRuehl"/>
          <w:u w:val="single"/>
          <w:rtl/>
        </w:rPr>
        <w:fldChar w:fldCharType="end"/>
      </w:r>
    </w:p>
    <w:p w14:paraId="4B81CD8D" w14:textId="77777777" w:rsidR="00D51A17" w:rsidRDefault="00D51A17" w:rsidP="00042211">
      <w:pPr>
        <w:spacing w:after="120" w:line="240" w:lineRule="exact"/>
        <w:ind w:left="283" w:hanging="283"/>
        <w:jc w:val="both"/>
        <w:rPr>
          <w:rFonts w:ascii="FrankRuehl" w:hAnsi="FrankRuehl" w:cs="FrankRuehl"/>
          <w:rtl/>
        </w:rPr>
      </w:pPr>
    </w:p>
    <w:p w14:paraId="4DB78213" w14:textId="77777777" w:rsidR="00D51A17" w:rsidRPr="00D51A17" w:rsidRDefault="00D51A17" w:rsidP="00D51A17">
      <w:pPr>
        <w:spacing w:after="120" w:line="240" w:lineRule="exact"/>
        <w:ind w:left="283" w:hanging="283"/>
        <w:jc w:val="both"/>
        <w:rPr>
          <w:rFonts w:ascii="FrankRuehl" w:hAnsi="FrankRuehl" w:cs="FrankRuehl"/>
          <w:rtl/>
        </w:rPr>
      </w:pPr>
    </w:p>
    <w:p w14:paraId="1405E34E" w14:textId="77777777" w:rsidR="00D51A17" w:rsidRPr="00D51A17" w:rsidRDefault="00D51A17" w:rsidP="00D51A17">
      <w:pPr>
        <w:spacing w:after="120" w:line="240" w:lineRule="exact"/>
        <w:ind w:left="283" w:hanging="283"/>
        <w:jc w:val="both"/>
        <w:rPr>
          <w:rStyle w:val="Hyperlink"/>
          <w:rFonts w:ascii="FrankRuehl" w:hAnsi="FrankRuehl" w:cs="FrankRuehl"/>
          <w:rtl/>
        </w:rPr>
      </w:pPr>
      <w:bookmarkStart w:id="4" w:name="Links_Start"/>
      <w:bookmarkEnd w:id="4"/>
      <w:r w:rsidRPr="00D51A17">
        <w:rPr>
          <w:rFonts w:ascii="FrankRuehl" w:hAnsi="FrankRuehl" w:cs="FrankRuehl"/>
          <w:rtl/>
        </w:rPr>
        <w:t>ספרות:</w:t>
      </w:r>
      <w:r w:rsidRPr="00D51A17">
        <w:rPr>
          <w:rFonts w:ascii="FrankRuehl" w:hAnsi="FrankRuehl" w:cs="FrankRuehl"/>
          <w:u w:val="single"/>
          <w:rtl/>
        </w:rPr>
        <w:fldChar w:fldCharType="begin"/>
      </w:r>
      <w:r w:rsidRPr="00D51A17">
        <w:rPr>
          <w:rFonts w:ascii="FrankRuehl" w:hAnsi="FrankRuehl" w:cs="FrankRuehl"/>
          <w:u w:val="single"/>
          <w:rtl/>
        </w:rPr>
        <w:instrText xml:space="preserve"> </w:instrText>
      </w:r>
      <w:r w:rsidRPr="00D51A17">
        <w:rPr>
          <w:rFonts w:ascii="FrankRuehl" w:hAnsi="FrankRuehl" w:cs="FrankRuehl"/>
          <w:u w:val="single"/>
        </w:rPr>
        <w:instrText>HYPERLINK</w:instrText>
      </w:r>
      <w:r w:rsidRPr="00D51A17">
        <w:rPr>
          <w:rFonts w:ascii="FrankRuehl" w:hAnsi="FrankRuehl" w:cs="FrankRuehl"/>
          <w:u w:val="single"/>
          <w:rtl/>
        </w:rPr>
        <w:instrText xml:space="preserve"> "</w:instrText>
      </w:r>
      <w:r w:rsidRPr="00D51A17">
        <w:rPr>
          <w:rFonts w:ascii="FrankRuehl" w:hAnsi="FrankRuehl" w:cs="FrankRuehl"/>
          <w:u w:val="single"/>
        </w:rPr>
        <w:instrText>http://www.nevo.co.il/safrut/bookgroup/393</w:instrText>
      </w:r>
      <w:r w:rsidRPr="00D51A17">
        <w:rPr>
          <w:rFonts w:ascii="FrankRuehl" w:hAnsi="FrankRuehl" w:cs="FrankRuehl"/>
          <w:u w:val="single"/>
          <w:rtl/>
        </w:rPr>
        <w:instrText xml:space="preserve">" </w:instrText>
      </w:r>
      <w:r w:rsidRPr="00D51A17">
        <w:rPr>
          <w:rFonts w:ascii="FrankRuehl" w:hAnsi="FrankRuehl" w:cs="FrankRuehl"/>
          <w:u w:val="single"/>
          <w:rtl/>
        </w:rPr>
      </w:r>
      <w:r w:rsidRPr="00D51A17">
        <w:rPr>
          <w:rFonts w:ascii="FrankRuehl" w:hAnsi="FrankRuehl" w:cs="FrankRuehl"/>
          <w:u w:val="single"/>
          <w:rtl/>
        </w:rPr>
        <w:fldChar w:fldCharType="separate"/>
      </w:r>
    </w:p>
    <w:p w14:paraId="40EDD6FE" w14:textId="77777777" w:rsidR="00D51A17" w:rsidRPr="00D51A17" w:rsidRDefault="00D51A17" w:rsidP="00D51A17">
      <w:pPr>
        <w:spacing w:after="120" w:line="240" w:lineRule="exact"/>
        <w:ind w:left="283" w:hanging="283"/>
        <w:jc w:val="both"/>
        <w:rPr>
          <w:rFonts w:ascii="FrankRuehl" w:hAnsi="FrankRuehl" w:cs="FrankRuehl"/>
          <w:rtl/>
        </w:rPr>
      </w:pPr>
      <w:r w:rsidRPr="00D51A17">
        <w:rPr>
          <w:rStyle w:val="Hyperlink"/>
          <w:rFonts w:ascii="FrankRuehl" w:hAnsi="FrankRuehl" w:cs="FrankRuehl"/>
          <w:rtl/>
        </w:rPr>
        <w:t>מ' טמיר, אכיפה סלקטיבית</w:t>
      </w:r>
      <w:r w:rsidRPr="00D51A17">
        <w:rPr>
          <w:rFonts w:ascii="FrankRuehl" w:hAnsi="FrankRuehl" w:cs="FrankRuehl"/>
          <w:u w:val="single"/>
          <w:rtl/>
        </w:rPr>
        <w:fldChar w:fldCharType="end"/>
      </w:r>
    </w:p>
    <w:p w14:paraId="7F5D95D4" w14:textId="77777777" w:rsidR="00042211" w:rsidRPr="00D51A17" w:rsidRDefault="00042211" w:rsidP="00042211">
      <w:pPr>
        <w:spacing w:after="120" w:line="240" w:lineRule="exact"/>
        <w:ind w:left="283" w:hanging="283"/>
        <w:jc w:val="both"/>
        <w:rPr>
          <w:rFonts w:ascii="FrankRuehl" w:hAnsi="FrankRuehl" w:cs="FrankRuehl"/>
          <w:rtl/>
        </w:rPr>
      </w:pPr>
      <w:bookmarkStart w:id="5" w:name="Links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2140" w14:paraId="45887A6F" w14:textId="77777777" w:rsidTr="00A40BEE">
        <w:trPr>
          <w:trHeight w:val="355"/>
          <w:jc w:val="center"/>
        </w:trPr>
        <w:tc>
          <w:tcPr>
            <w:tcW w:w="8820" w:type="dxa"/>
            <w:tcBorders>
              <w:top w:val="nil"/>
              <w:left w:val="nil"/>
              <w:bottom w:val="nil"/>
              <w:right w:val="nil"/>
            </w:tcBorders>
            <w:shd w:val="clear" w:color="auto" w:fill="auto"/>
          </w:tcPr>
          <w:p w14:paraId="4449D1C3" w14:textId="77777777" w:rsidR="00A40BEE" w:rsidRPr="00A40BEE" w:rsidRDefault="00A40BEE" w:rsidP="00A40BEE">
            <w:pPr>
              <w:jc w:val="center"/>
              <w:rPr>
                <w:rFonts w:ascii="Arial" w:hAnsi="Arial" w:cs="FrankRuehl"/>
                <w:b/>
                <w:bCs/>
                <w:sz w:val="32"/>
                <w:szCs w:val="32"/>
                <w:u w:val="single"/>
                <w:rtl/>
              </w:rPr>
            </w:pPr>
            <w:bookmarkStart w:id="6" w:name="PsakDin" w:colFirst="0" w:colLast="0"/>
            <w:r w:rsidRPr="00A40BEE">
              <w:rPr>
                <w:rFonts w:ascii="Arial" w:hAnsi="Arial" w:cs="FrankRuehl"/>
                <w:b/>
                <w:bCs/>
                <w:sz w:val="32"/>
                <w:szCs w:val="32"/>
                <w:u w:val="single"/>
                <w:rtl/>
              </w:rPr>
              <w:t>גזר דין</w:t>
            </w:r>
          </w:p>
          <w:p w14:paraId="5F010778" w14:textId="77777777" w:rsidR="00AA2140" w:rsidRPr="00A40BEE" w:rsidRDefault="00AA2140" w:rsidP="00A40BEE">
            <w:pPr>
              <w:jc w:val="center"/>
              <w:rPr>
                <w:rFonts w:ascii="Arial" w:hAnsi="Arial" w:cs="FrankRuehl"/>
                <w:bCs/>
                <w:sz w:val="32"/>
                <w:szCs w:val="32"/>
                <w:u w:val="single"/>
                <w:rtl/>
              </w:rPr>
            </w:pPr>
          </w:p>
        </w:tc>
      </w:tr>
      <w:bookmarkEnd w:id="6"/>
    </w:tbl>
    <w:p w14:paraId="1FCDC71F" w14:textId="77777777" w:rsidR="00AA2140" w:rsidRPr="00B05847" w:rsidRDefault="00AA2140" w:rsidP="00AA2140">
      <w:pPr>
        <w:rPr>
          <w:rFonts w:ascii="Arial" w:hAnsi="Arial"/>
          <w:rtl/>
        </w:rPr>
      </w:pPr>
    </w:p>
    <w:p w14:paraId="345CBF16" w14:textId="77777777" w:rsidR="00AA2140" w:rsidRPr="00B05847" w:rsidRDefault="00AA2140" w:rsidP="00AA2140">
      <w:pPr>
        <w:spacing w:line="360" w:lineRule="auto"/>
        <w:rPr>
          <w:rFonts w:ascii="Arial" w:hAnsi="Arial"/>
          <w:rtl/>
        </w:rPr>
      </w:pPr>
    </w:p>
    <w:p w14:paraId="651B8C20" w14:textId="77777777" w:rsidR="00AA2140" w:rsidRPr="00134D87" w:rsidRDefault="00AA2140" w:rsidP="00AA2140">
      <w:pPr>
        <w:spacing w:line="360" w:lineRule="auto"/>
        <w:ind w:left="360" w:firstLine="360"/>
        <w:jc w:val="both"/>
        <w:rPr>
          <w:rFonts w:ascii="Arial" w:hAnsi="Arial" w:cs="Miriam"/>
        </w:rPr>
      </w:pPr>
      <w:r w:rsidRPr="00134D87">
        <w:rPr>
          <w:rFonts w:ascii="Arial" w:hAnsi="Arial" w:cs="Miriam"/>
          <w:rtl/>
        </w:rPr>
        <w:t>מבוא</w:t>
      </w:r>
    </w:p>
    <w:p w14:paraId="6CDB9F5C" w14:textId="77777777" w:rsidR="00AA2140" w:rsidRDefault="00AA2140" w:rsidP="00AA2140">
      <w:pPr>
        <w:spacing w:line="360" w:lineRule="auto"/>
        <w:ind w:left="720"/>
        <w:jc w:val="both"/>
        <w:rPr>
          <w:rFonts w:ascii="Arial" w:hAnsi="Arial" w:cs="FrankRuehl"/>
          <w:szCs w:val="28"/>
          <w:rtl/>
        </w:rPr>
      </w:pPr>
      <w:bookmarkStart w:id="7" w:name="ABSTRACT_START"/>
      <w:bookmarkEnd w:id="7"/>
      <w:r w:rsidRPr="00134D87">
        <w:rPr>
          <w:rFonts w:ascii="Arial" w:hAnsi="Arial" w:cs="FrankRuehl"/>
          <w:szCs w:val="28"/>
          <w:rtl/>
        </w:rPr>
        <w:t>הנאשם הורשע על פי הודאתו בעובדות כתב האישום</w:t>
      </w:r>
      <w:r>
        <w:rPr>
          <w:rFonts w:ascii="Arial" w:hAnsi="Arial" w:cs="FrankRuehl" w:hint="cs"/>
          <w:szCs w:val="28"/>
          <w:rtl/>
        </w:rPr>
        <w:t xml:space="preserve">. </w:t>
      </w:r>
    </w:p>
    <w:p w14:paraId="407D704D" w14:textId="77777777" w:rsidR="00AA2140" w:rsidRDefault="00AA2140" w:rsidP="00AA2140">
      <w:pPr>
        <w:spacing w:line="360" w:lineRule="auto"/>
        <w:ind w:left="720"/>
        <w:jc w:val="both"/>
        <w:rPr>
          <w:rFonts w:ascii="Arial" w:hAnsi="Arial" w:cs="FrankRuehl"/>
          <w:szCs w:val="28"/>
        </w:rPr>
      </w:pPr>
      <w:r w:rsidRPr="00134D87">
        <w:rPr>
          <w:rFonts w:ascii="Arial" w:hAnsi="Arial" w:cs="FrankRuehl"/>
          <w:szCs w:val="28"/>
          <w:rtl/>
        </w:rPr>
        <w:t xml:space="preserve">מיד עם תחילת ההליכים כחלק מהודאתו טען </w:t>
      </w:r>
      <w:r>
        <w:rPr>
          <w:rFonts w:ascii="Arial" w:hAnsi="Arial" w:cs="FrankRuehl" w:hint="cs"/>
          <w:szCs w:val="28"/>
          <w:rtl/>
        </w:rPr>
        <w:t xml:space="preserve">הנאשם </w:t>
      </w:r>
      <w:r w:rsidRPr="00134D87">
        <w:rPr>
          <w:rFonts w:ascii="Arial" w:hAnsi="Arial" w:cs="FrankRuehl"/>
          <w:szCs w:val="28"/>
          <w:rtl/>
        </w:rPr>
        <w:t>לאכיפה בררנית</w:t>
      </w:r>
      <w:r>
        <w:rPr>
          <w:rFonts w:ascii="Arial" w:hAnsi="Arial" w:cs="FrankRuehl" w:hint="cs"/>
          <w:szCs w:val="28"/>
          <w:rtl/>
        </w:rPr>
        <w:t xml:space="preserve">,  </w:t>
      </w:r>
      <w:r w:rsidRPr="00134D87">
        <w:rPr>
          <w:rFonts w:ascii="Arial" w:hAnsi="Arial" w:cs="FrankRuehl"/>
          <w:szCs w:val="28"/>
          <w:rtl/>
        </w:rPr>
        <w:t>הצדדים טענו בשלב הטיעונים לעונש גם בקשר לטענה זו.</w:t>
      </w:r>
    </w:p>
    <w:p w14:paraId="274A18C2" w14:textId="77777777" w:rsidR="00AA2140" w:rsidRPr="00134D87" w:rsidRDefault="00AA2140" w:rsidP="00AA2140">
      <w:pPr>
        <w:spacing w:line="360" w:lineRule="auto"/>
        <w:ind w:left="720"/>
        <w:jc w:val="both"/>
        <w:rPr>
          <w:rFonts w:ascii="Arial" w:hAnsi="Arial" w:cs="FrankRuehl"/>
          <w:szCs w:val="28"/>
        </w:rPr>
      </w:pPr>
      <w:bookmarkStart w:id="8" w:name="ABSTRACT_END"/>
      <w:bookmarkEnd w:id="8"/>
    </w:p>
    <w:p w14:paraId="60A49BB2"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על פי עובדות כתב האישום בתאריך 28.8.2016 נהג הנאשם ברכב כשלצידו ישב בן דודו. במהלך הנסיעה החזיק, נשא והוביל ברכב תת מקלע מאולתר עם מחסנית ריקה אשר היה </w:t>
      </w:r>
      <w:r>
        <w:rPr>
          <w:rFonts w:ascii="Arial" w:hAnsi="Arial" w:cs="FrankRuehl"/>
          <w:szCs w:val="28"/>
          <w:rtl/>
        </w:rPr>
        <w:t xml:space="preserve">עטוף  במגבת ומונח מתחת למושבו, </w:t>
      </w:r>
      <w:r>
        <w:rPr>
          <w:rFonts w:ascii="Arial" w:hAnsi="Arial" w:cs="FrankRuehl" w:hint="cs"/>
          <w:szCs w:val="28"/>
          <w:rtl/>
        </w:rPr>
        <w:t>ב</w:t>
      </w:r>
      <w:r w:rsidRPr="00134D87">
        <w:rPr>
          <w:rFonts w:ascii="Arial" w:hAnsi="Arial" w:cs="FrankRuehl"/>
          <w:szCs w:val="28"/>
          <w:rtl/>
        </w:rPr>
        <w:t xml:space="preserve">מהלך חיפוש משטרתי נתפס הנשק. בהתאם לכך הורשע הנאשם בעבירות בנשק- עבירה לפי </w:t>
      </w:r>
      <w:hyperlink r:id="rId21" w:history="1">
        <w:r w:rsidR="00042211" w:rsidRPr="00042211">
          <w:rPr>
            <w:rFonts w:ascii="Arial" w:hAnsi="Arial" w:cs="FrankRuehl"/>
            <w:color w:val="0000FF"/>
            <w:szCs w:val="28"/>
            <w:u w:val="single"/>
            <w:rtl/>
          </w:rPr>
          <w:t>סעיף 144(א)</w:t>
        </w:r>
      </w:hyperlink>
      <w:r w:rsidRPr="00134D87">
        <w:rPr>
          <w:rFonts w:ascii="Arial" w:hAnsi="Arial" w:cs="FrankRuehl"/>
          <w:szCs w:val="28"/>
          <w:rtl/>
        </w:rPr>
        <w:t xml:space="preserve"> רישא+</w:t>
      </w:r>
      <w:hyperlink r:id="rId22" w:history="1">
        <w:r w:rsidR="00042211" w:rsidRPr="00042211">
          <w:rPr>
            <w:rFonts w:ascii="Arial" w:hAnsi="Arial" w:cs="FrankRuehl"/>
            <w:color w:val="0000FF"/>
            <w:szCs w:val="28"/>
            <w:u w:val="single"/>
            <w:rtl/>
          </w:rPr>
          <w:t>144(ב)</w:t>
        </w:r>
      </w:hyperlink>
      <w:r w:rsidRPr="00134D87">
        <w:rPr>
          <w:rFonts w:ascii="Arial" w:hAnsi="Arial" w:cs="FrankRuehl"/>
          <w:szCs w:val="28"/>
          <w:rtl/>
        </w:rPr>
        <w:t xml:space="preserve"> רישא </w:t>
      </w:r>
      <w:r w:rsidRPr="00134D87">
        <w:rPr>
          <w:rFonts w:ascii="Arial" w:hAnsi="Arial" w:cs="Miriam"/>
          <w:rtl/>
        </w:rPr>
        <w:t>ל</w:t>
      </w:r>
      <w:hyperlink r:id="rId23" w:history="1">
        <w:r w:rsidR="00A40BEE" w:rsidRPr="00A40BEE">
          <w:rPr>
            <w:rFonts w:ascii="Arial" w:hAnsi="Arial" w:cs="Miriam"/>
            <w:color w:val="0000FF"/>
            <w:u w:val="single"/>
            <w:rtl/>
          </w:rPr>
          <w:t>חוק העונשין</w:t>
        </w:r>
      </w:hyperlink>
      <w:r w:rsidRPr="00134D87">
        <w:rPr>
          <w:rFonts w:ascii="Arial" w:hAnsi="Arial" w:cs="Miriam"/>
          <w:rtl/>
        </w:rPr>
        <w:t xml:space="preserve"> התשל"ז-1977</w:t>
      </w:r>
      <w:r w:rsidRPr="00134D87">
        <w:rPr>
          <w:rFonts w:ascii="Arial" w:hAnsi="Arial" w:cs="FrankRuehl"/>
          <w:szCs w:val="28"/>
          <w:rtl/>
        </w:rPr>
        <w:t xml:space="preserve"> (להלן החוק).</w:t>
      </w:r>
    </w:p>
    <w:p w14:paraId="25F5F7F9" w14:textId="77777777" w:rsidR="00AA2140" w:rsidRPr="00134D87" w:rsidRDefault="00AA2140" w:rsidP="00AA2140">
      <w:pPr>
        <w:spacing w:line="360" w:lineRule="auto"/>
        <w:ind w:left="720"/>
        <w:jc w:val="both"/>
        <w:rPr>
          <w:rFonts w:ascii="Arial" w:hAnsi="Arial" w:cs="FrankRuehl"/>
          <w:szCs w:val="28"/>
        </w:rPr>
      </w:pPr>
    </w:p>
    <w:p w14:paraId="6836CC0B" w14:textId="77777777" w:rsidR="00AA2140" w:rsidRPr="00134D87" w:rsidRDefault="00AA2140" w:rsidP="00AA2140">
      <w:pPr>
        <w:spacing w:line="360" w:lineRule="auto"/>
        <w:ind w:left="720"/>
        <w:jc w:val="both"/>
        <w:rPr>
          <w:rFonts w:ascii="Arial" w:hAnsi="Arial" w:cs="Miriam"/>
          <w:rtl/>
        </w:rPr>
      </w:pPr>
      <w:r w:rsidRPr="00134D87">
        <w:rPr>
          <w:rFonts w:ascii="Arial" w:hAnsi="Arial" w:cs="Miriam"/>
          <w:rtl/>
        </w:rPr>
        <w:t>ראיות לעונש</w:t>
      </w:r>
    </w:p>
    <w:p w14:paraId="193EB1DE"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לנאשם אין הרשעות קודמות, בהסכמת הצדדים הוגש תיק החקירה לשם בחינת טענת הנאשם לאכיפה בררנית.</w:t>
      </w:r>
    </w:p>
    <w:p w14:paraId="153A4C65" w14:textId="77777777" w:rsidR="00AA2140" w:rsidRPr="00134D87" w:rsidRDefault="00AA2140" w:rsidP="00AA2140">
      <w:pPr>
        <w:spacing w:line="360" w:lineRule="auto"/>
        <w:ind w:left="720"/>
        <w:jc w:val="both"/>
        <w:rPr>
          <w:rFonts w:ascii="Arial" w:hAnsi="Arial" w:cs="FrankRuehl"/>
          <w:szCs w:val="28"/>
        </w:rPr>
      </w:pPr>
    </w:p>
    <w:p w14:paraId="789181C0" w14:textId="77777777" w:rsidR="00AA2140" w:rsidRPr="00134D87" w:rsidRDefault="00AA2140" w:rsidP="00AA2140">
      <w:pPr>
        <w:spacing w:line="360" w:lineRule="auto"/>
        <w:ind w:left="720"/>
        <w:jc w:val="both"/>
        <w:rPr>
          <w:rFonts w:ascii="Arial" w:hAnsi="Arial" w:cs="Miriam"/>
        </w:rPr>
      </w:pPr>
      <w:r w:rsidRPr="00134D87">
        <w:rPr>
          <w:rFonts w:ascii="Arial" w:hAnsi="Arial" w:cs="Miriam"/>
          <w:rtl/>
        </w:rPr>
        <w:t xml:space="preserve">תסקיר שירות המבחן </w:t>
      </w:r>
    </w:p>
    <w:p w14:paraId="012B9266" w14:textId="77777777" w:rsidR="00AA2140" w:rsidRPr="00134D87" w:rsidRDefault="00AA2140" w:rsidP="00AA2140">
      <w:pPr>
        <w:spacing w:line="360" w:lineRule="auto"/>
        <w:ind w:left="720"/>
        <w:jc w:val="both"/>
        <w:rPr>
          <w:rFonts w:ascii="Arial" w:hAnsi="Arial" w:cs="FrankRuehl"/>
          <w:szCs w:val="28"/>
        </w:rPr>
      </w:pPr>
      <w:r w:rsidRPr="00134D87">
        <w:rPr>
          <w:rFonts w:ascii="Arial" w:hAnsi="Arial" w:cs="FrankRuehl"/>
          <w:szCs w:val="28"/>
          <w:rtl/>
        </w:rPr>
        <w:t>לבקשת הסנגור ביקשתי את חוות דעתו של שירות  המבחן לעניין העונש אשר המליץ לאחר בחינת הנתונים כי הנאשם יהיה במעקב למשך שנה במסגרת צו במבחן במהלכו ישולב בהליך טיפולי אשר להערכת</w:t>
      </w:r>
      <w:r>
        <w:rPr>
          <w:rFonts w:ascii="Arial" w:hAnsi="Arial" w:cs="FrankRuehl" w:hint="cs"/>
          <w:szCs w:val="28"/>
          <w:rtl/>
        </w:rPr>
        <w:t xml:space="preserve"> שירות המבחן </w:t>
      </w:r>
      <w:r w:rsidRPr="00134D87">
        <w:rPr>
          <w:rFonts w:ascii="Arial" w:hAnsi="Arial" w:cs="FrankRuehl"/>
          <w:szCs w:val="28"/>
          <w:rtl/>
        </w:rPr>
        <w:t xml:space="preserve">עשוי להוביל להפחתת </w:t>
      </w:r>
      <w:r>
        <w:rPr>
          <w:rFonts w:ascii="Arial" w:hAnsi="Arial" w:cs="FrankRuehl" w:hint="cs"/>
          <w:szCs w:val="28"/>
          <w:rtl/>
        </w:rPr>
        <w:t>ה</w:t>
      </w:r>
      <w:r w:rsidRPr="00134D87">
        <w:rPr>
          <w:rFonts w:ascii="Arial" w:hAnsi="Arial" w:cs="FrankRuehl"/>
          <w:szCs w:val="28"/>
          <w:rtl/>
        </w:rPr>
        <w:t>סיכון להישנות התנהגות "בעייתית", עוד המליצה קצינת המבחן להסתפק בתקופת מאסר שתבוצע בדרך של עבודות שירות.</w:t>
      </w:r>
    </w:p>
    <w:p w14:paraId="7F9BF90A"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שירות המבחן הכיר את הנאשם מתקופת המעצר בתיק זה, על פי התרשמות קצינת המבחן לנאשם אין דפוסים עבריינים מושרשים, על פי האבחון שנעשה לו קיים סיכון נמוך </w:t>
      </w:r>
      <w:r w:rsidRPr="00134D87">
        <w:rPr>
          <w:rFonts w:ascii="Arial" w:hAnsi="Arial" w:cs="FrankRuehl"/>
          <w:szCs w:val="28"/>
          <w:rtl/>
        </w:rPr>
        <w:lastRenderedPageBreak/>
        <w:t>להישנות התנהגות עוברת חוק והוא נמצא מתאים להשתלבות לטיפול  שיסייע להפחתת סיכון עוד יותר.</w:t>
      </w:r>
    </w:p>
    <w:p w14:paraId="1DADF85C" w14:textId="77777777" w:rsidR="00AA2140" w:rsidRPr="00134D87" w:rsidRDefault="00AA2140" w:rsidP="00AA2140">
      <w:pPr>
        <w:spacing w:line="360" w:lineRule="auto"/>
        <w:ind w:left="720"/>
        <w:jc w:val="both"/>
        <w:rPr>
          <w:rFonts w:ascii="Arial" w:hAnsi="Arial" w:cs="FrankRuehl"/>
          <w:szCs w:val="28"/>
        </w:rPr>
      </w:pPr>
    </w:p>
    <w:p w14:paraId="361DACE0" w14:textId="77777777" w:rsidR="00AA2140" w:rsidRPr="00134D87" w:rsidRDefault="00AA2140" w:rsidP="00AA2140">
      <w:pPr>
        <w:spacing w:line="360" w:lineRule="auto"/>
        <w:ind w:left="720"/>
        <w:jc w:val="both"/>
        <w:rPr>
          <w:rFonts w:ascii="Arial" w:hAnsi="Arial" w:cs="Miriam"/>
        </w:rPr>
      </w:pPr>
      <w:r w:rsidRPr="00134D87">
        <w:rPr>
          <w:rFonts w:ascii="Arial" w:hAnsi="Arial" w:cs="Miriam"/>
          <w:rtl/>
        </w:rPr>
        <w:t>חוות דעת הממונה</w:t>
      </w:r>
    </w:p>
    <w:p w14:paraId="2B7DE3D8"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לאור  המלצת שירות המבחן ולאחר שמיעת טיעוני הצדדים ביקשתי את עמדת הממונה על </w:t>
      </w:r>
      <w:r w:rsidRPr="008C4401">
        <w:rPr>
          <w:rFonts w:ascii="Arial" w:hAnsi="Arial" w:cs="FrankRuehl"/>
          <w:szCs w:val="28"/>
          <w:rtl/>
        </w:rPr>
        <w:t>עבודות השירות אשר בחוות דעתו  קבע כי הנאשם כשיר לבצע עבודות שירות.</w:t>
      </w:r>
      <w:r w:rsidRPr="00134D87">
        <w:rPr>
          <w:rFonts w:ascii="Arial" w:hAnsi="Arial" w:cs="FrankRuehl"/>
          <w:szCs w:val="28"/>
          <w:rtl/>
        </w:rPr>
        <w:t xml:space="preserve"> </w:t>
      </w:r>
    </w:p>
    <w:p w14:paraId="179AA07A" w14:textId="77777777" w:rsidR="00AA2140" w:rsidRPr="00134D87" w:rsidRDefault="00AA2140" w:rsidP="00AA2140">
      <w:pPr>
        <w:spacing w:line="360" w:lineRule="auto"/>
        <w:ind w:left="720"/>
        <w:jc w:val="both"/>
        <w:rPr>
          <w:rFonts w:ascii="Arial" w:hAnsi="Arial" w:cs="FrankRuehl"/>
          <w:szCs w:val="28"/>
        </w:rPr>
      </w:pPr>
    </w:p>
    <w:p w14:paraId="220B14FB" w14:textId="77777777" w:rsidR="00AA2140" w:rsidRPr="00134D87" w:rsidRDefault="00AA2140" w:rsidP="00AA2140">
      <w:pPr>
        <w:spacing w:line="360" w:lineRule="auto"/>
        <w:ind w:left="720"/>
        <w:jc w:val="both"/>
        <w:rPr>
          <w:rFonts w:ascii="Arial" w:hAnsi="Arial" w:cs="Miriam"/>
        </w:rPr>
      </w:pPr>
      <w:r w:rsidRPr="00134D87">
        <w:rPr>
          <w:rFonts w:ascii="Arial" w:hAnsi="Arial" w:cs="Miriam"/>
          <w:rtl/>
        </w:rPr>
        <w:t>תמצית טענות הצדדים</w:t>
      </w:r>
    </w:p>
    <w:p w14:paraId="1E309E8D" w14:textId="77777777" w:rsidR="00AA2140" w:rsidRDefault="00AA2140" w:rsidP="00AA2140">
      <w:pPr>
        <w:numPr>
          <w:ilvl w:val="0"/>
          <w:numId w:val="1"/>
        </w:numPr>
        <w:spacing w:line="360" w:lineRule="auto"/>
        <w:jc w:val="both"/>
        <w:rPr>
          <w:rFonts w:ascii="Arial" w:hAnsi="Arial" w:cs="FrankRuehl"/>
          <w:szCs w:val="28"/>
        </w:rPr>
      </w:pPr>
      <w:r w:rsidRPr="00134D87">
        <w:rPr>
          <w:rFonts w:ascii="Arial" w:hAnsi="Arial" w:cs="FrankRuehl"/>
          <w:szCs w:val="28"/>
          <w:rtl/>
        </w:rPr>
        <w:t xml:space="preserve">ב"כ המאשימה בטיעוניו בכתב (ט/1) ובעל פה ביקש לקבוע מתחם עונש הולם שנע בין 2.5 ל-5 שנות מאסר בפועל ולגזור את עונשו בתוך המתחם ביחד עם מאסר מותנה. בטיעוניו שם דגש על חומרת העבירה ופוטנציאל הסיכון הרב הטמון בנשק המוחזק שלא כדין, תוך התייחסות לכך שמדובר בתת מקלע, </w:t>
      </w:r>
      <w:r>
        <w:rPr>
          <w:rFonts w:ascii="Arial" w:hAnsi="Arial" w:cs="FrankRuehl" w:hint="cs"/>
          <w:szCs w:val="28"/>
          <w:rtl/>
        </w:rPr>
        <w:t xml:space="preserve">ביצוע </w:t>
      </w:r>
      <w:r w:rsidRPr="00134D87">
        <w:rPr>
          <w:rFonts w:ascii="Arial" w:hAnsi="Arial" w:cs="FrankRuehl"/>
          <w:szCs w:val="28"/>
          <w:rtl/>
        </w:rPr>
        <w:t>העבירה הופסק רק בעקבות התערבות המשטרה, נשיאת הנשק הי</w:t>
      </w:r>
      <w:r>
        <w:rPr>
          <w:rFonts w:ascii="Arial" w:hAnsi="Arial" w:cs="FrankRuehl" w:hint="cs"/>
          <w:szCs w:val="28"/>
          <w:rtl/>
        </w:rPr>
        <w:t>י</w:t>
      </w:r>
      <w:r w:rsidRPr="00134D87">
        <w:rPr>
          <w:rFonts w:ascii="Arial" w:hAnsi="Arial" w:cs="FrankRuehl"/>
          <w:szCs w:val="28"/>
          <w:rtl/>
        </w:rPr>
        <w:t>תה באזור מגורים. לתמיכה בטיעוניו הפנה לפסקי דין שונים, גם במקרים של נשיאת אקדח בהם הוטלו עונשי מאסר בפועל לתקופות של 12,20,21,24 חודשי מאסר  בפועל.</w:t>
      </w:r>
    </w:p>
    <w:p w14:paraId="4A3F57FF" w14:textId="77777777" w:rsidR="00AA2140" w:rsidRPr="00134D87" w:rsidRDefault="00AA2140" w:rsidP="00AA2140">
      <w:pPr>
        <w:spacing w:line="360" w:lineRule="auto"/>
        <w:ind w:left="720"/>
        <w:jc w:val="both"/>
        <w:rPr>
          <w:rFonts w:ascii="Arial" w:hAnsi="Arial" w:cs="FrankRuehl"/>
          <w:szCs w:val="28"/>
        </w:rPr>
      </w:pPr>
    </w:p>
    <w:p w14:paraId="7B1FA421"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אשר לאכיפה הבררנית בנוסף לנאשם היו שני חשודים נוספים, מאלק שישב לצידו ברכב וסאמי שלטענת  הנאשם מסר  לו את הנשק כשהוא עטוף במגבת, מסירה שנעשתה בנוכחות מאלק. ב"כ המאשימה ניתח את הראיות והבהיר כי סיכויי ההרשעה של מאלק היו נמוכים ושל סאמי נמוכים אף יותר, עוד הוסיף כי על הנאשם להוכיח כי לא זו בלבד שהייתה הפלייה אלא </w:t>
      </w:r>
      <w:r>
        <w:rPr>
          <w:rFonts w:ascii="Arial" w:hAnsi="Arial" w:cs="FrankRuehl" w:hint="cs"/>
          <w:szCs w:val="28"/>
          <w:rtl/>
        </w:rPr>
        <w:t>ש</w:t>
      </w:r>
      <w:r w:rsidRPr="00134D87">
        <w:rPr>
          <w:rFonts w:ascii="Arial" w:hAnsi="Arial" w:cs="FrankRuehl"/>
          <w:szCs w:val="28"/>
          <w:rtl/>
        </w:rPr>
        <w:t>מניע פסול עמד בבסיס שיקולי המאשימה תוך הפנייה ל</w:t>
      </w:r>
      <w:r>
        <w:rPr>
          <w:rFonts w:ascii="Arial" w:hAnsi="Arial" w:cs="FrankRuehl" w:hint="cs"/>
          <w:szCs w:val="28"/>
          <w:rtl/>
        </w:rPr>
        <w:t>-</w:t>
      </w:r>
      <w:hyperlink r:id="rId24" w:history="1">
        <w:r w:rsidR="00A40BEE" w:rsidRPr="00A40BEE">
          <w:rPr>
            <w:rFonts w:ascii="Arial" w:hAnsi="Arial" w:cs="FrankRuehl"/>
            <w:color w:val="0000FF"/>
            <w:szCs w:val="28"/>
            <w:u w:val="single"/>
            <w:rtl/>
          </w:rPr>
          <w:t>ע"פ 5975/14</w:t>
        </w:r>
      </w:hyperlink>
      <w:r w:rsidRPr="00134D87">
        <w:rPr>
          <w:rFonts w:ascii="Arial" w:hAnsi="Arial" w:cs="FrankRuehl"/>
          <w:szCs w:val="28"/>
          <w:rtl/>
        </w:rPr>
        <w:t xml:space="preserve"> </w:t>
      </w:r>
      <w:r w:rsidRPr="00134D87">
        <w:rPr>
          <w:rFonts w:ascii="Arial" w:hAnsi="Arial" w:cs="Miriam"/>
          <w:rtl/>
        </w:rPr>
        <w:t>אגבריה נגד מדינת ישראל</w:t>
      </w:r>
      <w:r w:rsidRPr="00134D87">
        <w:rPr>
          <w:rFonts w:ascii="Arial" w:hAnsi="Arial" w:cs="FrankRuehl"/>
          <w:szCs w:val="28"/>
          <w:rtl/>
        </w:rPr>
        <w:t xml:space="preserve"> (31.12.2015)</w:t>
      </w:r>
      <w:r>
        <w:rPr>
          <w:rFonts w:ascii="Arial" w:hAnsi="Arial" w:cs="FrankRuehl" w:hint="cs"/>
          <w:szCs w:val="28"/>
          <w:rtl/>
        </w:rPr>
        <w:t xml:space="preserve">. </w:t>
      </w:r>
    </w:p>
    <w:p w14:paraId="07E885AB"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לאחר הדיון בהסכמת הסנגור הפנה ב"כ המאשימה ל</w:t>
      </w:r>
      <w:hyperlink r:id="rId25" w:history="1">
        <w:r w:rsidR="00A40BEE" w:rsidRPr="00A40BEE">
          <w:rPr>
            <w:rFonts w:ascii="Arial" w:hAnsi="Arial" w:cs="FrankRuehl"/>
            <w:color w:val="0000FF"/>
            <w:szCs w:val="28"/>
            <w:u w:val="single"/>
            <w:rtl/>
          </w:rPr>
          <w:t>ע"פ 135/17</w:t>
        </w:r>
      </w:hyperlink>
      <w:r w:rsidRPr="00134D87">
        <w:rPr>
          <w:rFonts w:ascii="Arial" w:hAnsi="Arial" w:cs="FrankRuehl"/>
          <w:szCs w:val="28"/>
          <w:rtl/>
        </w:rPr>
        <w:t xml:space="preserve"> </w:t>
      </w:r>
      <w:r w:rsidRPr="00134D87">
        <w:rPr>
          <w:rFonts w:ascii="Arial" w:hAnsi="Arial" w:cs="Miriam"/>
          <w:rtl/>
        </w:rPr>
        <w:t>מדינת ישראל נגד בסל</w:t>
      </w:r>
      <w:r w:rsidRPr="00134D87">
        <w:rPr>
          <w:rFonts w:ascii="Arial" w:hAnsi="Arial" w:cs="FrankRuehl"/>
          <w:szCs w:val="28"/>
          <w:rtl/>
        </w:rPr>
        <w:t xml:space="preserve"> (8.3.2017) (להלן-עניין בסל) באותו מקרה הורשע נאשם בהחזקה ונשיאת של תת מקלע מאולתר ומחסנית, הנאשם נדון ל-12 חודשי מאסר בפועל, ערעורה של המדינה התקבל גם בשל העובדה כי הנאשם לא נטל אחריות על מעשיו, בית המשפט העליון החמיר בעונשו והטיל עליו 18חודשי מאסר בפועל.</w:t>
      </w:r>
    </w:p>
    <w:p w14:paraId="7E5CB860" w14:textId="77777777" w:rsidR="00AA2140" w:rsidRDefault="00AA2140" w:rsidP="00AA2140">
      <w:pPr>
        <w:spacing w:line="360" w:lineRule="auto"/>
        <w:ind w:left="720"/>
        <w:jc w:val="both"/>
        <w:rPr>
          <w:rFonts w:ascii="Arial" w:hAnsi="Arial" w:cs="FrankRuehl"/>
          <w:szCs w:val="28"/>
          <w:rtl/>
        </w:rPr>
      </w:pPr>
      <w:r>
        <w:rPr>
          <w:rFonts w:ascii="Arial" w:hAnsi="Arial" w:cs="FrankRuehl" w:hint="cs"/>
          <w:szCs w:val="28"/>
          <w:rtl/>
        </w:rPr>
        <w:t xml:space="preserve">בערב לפני שימוע גזר הדין נזכר ב"כ המאשימה להפנות לפסק דין מיום 30.3.17 </w:t>
      </w:r>
      <w:hyperlink r:id="rId26" w:history="1">
        <w:r w:rsidR="00A40BEE" w:rsidRPr="00A40BEE">
          <w:rPr>
            <w:rFonts w:ascii="Arial" w:hAnsi="Arial" w:cs="FrankRuehl"/>
            <w:color w:val="0000FF"/>
            <w:szCs w:val="28"/>
            <w:u w:val="single"/>
            <w:rtl/>
          </w:rPr>
          <w:t>ע"פ 10114/16</w:t>
        </w:r>
      </w:hyperlink>
      <w:r>
        <w:rPr>
          <w:rFonts w:ascii="Arial" w:hAnsi="Arial" w:cs="FrankRuehl" w:hint="cs"/>
          <w:szCs w:val="28"/>
          <w:rtl/>
        </w:rPr>
        <w:t xml:space="preserve"> </w:t>
      </w:r>
      <w:r w:rsidRPr="0023671B">
        <w:rPr>
          <w:rFonts w:ascii="Arial" w:hAnsi="Arial" w:cs="Miriam" w:hint="cs"/>
          <w:rtl/>
        </w:rPr>
        <w:t>מדינת ישראל נגד אדעייף</w:t>
      </w:r>
      <w:r>
        <w:rPr>
          <w:rFonts w:ascii="Arial" w:hAnsi="Arial" w:cs="FrankRuehl" w:hint="cs"/>
          <w:szCs w:val="28"/>
          <w:rtl/>
        </w:rPr>
        <w:t>, בשל בקשה זו עוכבה השמעת גזר הדין למשך כשעה ובפרוטוקול הדיון מהיום נרשמו עמדות הצדדים והחלטתי לפיה מדובר בפסק דין שנסיבותיו שונות ולא ניתן ללמוד ממנו לעניין התיק שלפניי.</w:t>
      </w:r>
    </w:p>
    <w:p w14:paraId="461A311D" w14:textId="77777777" w:rsidR="00AA2140" w:rsidRPr="00134D87" w:rsidRDefault="00AA2140" w:rsidP="00AA2140">
      <w:pPr>
        <w:spacing w:line="360" w:lineRule="auto"/>
        <w:ind w:left="720"/>
        <w:jc w:val="both"/>
        <w:rPr>
          <w:rFonts w:ascii="Arial" w:hAnsi="Arial" w:cs="FrankRuehl"/>
          <w:szCs w:val="28"/>
        </w:rPr>
      </w:pPr>
    </w:p>
    <w:p w14:paraId="75DAF149" w14:textId="77777777" w:rsidR="00AA2140" w:rsidRPr="00134D87" w:rsidRDefault="00AA2140" w:rsidP="00AA2140">
      <w:pPr>
        <w:numPr>
          <w:ilvl w:val="0"/>
          <w:numId w:val="1"/>
        </w:numPr>
        <w:spacing w:line="360" w:lineRule="auto"/>
        <w:jc w:val="both"/>
        <w:rPr>
          <w:rFonts w:ascii="Arial" w:hAnsi="Arial" w:cs="FrankRuehl"/>
          <w:szCs w:val="28"/>
        </w:rPr>
      </w:pPr>
      <w:r w:rsidRPr="00134D87">
        <w:rPr>
          <w:rFonts w:ascii="Arial" w:hAnsi="Arial" w:cs="FrankRuehl"/>
          <w:szCs w:val="28"/>
          <w:rtl/>
        </w:rPr>
        <w:t xml:space="preserve"> הסנגור ביקש לאמץ את המלצת שירות המבחן, להעמיד את הנאשם במבחן, לגזור עליו מאסר בו </w:t>
      </w:r>
      <w:r>
        <w:rPr>
          <w:rFonts w:ascii="Arial" w:hAnsi="Arial" w:cs="FrankRuehl" w:hint="cs"/>
          <w:szCs w:val="28"/>
          <w:rtl/>
        </w:rPr>
        <w:t>י</w:t>
      </w:r>
      <w:r>
        <w:rPr>
          <w:rFonts w:ascii="Arial" w:hAnsi="Arial" w:cs="FrankRuehl"/>
          <w:szCs w:val="28"/>
          <w:rtl/>
        </w:rPr>
        <w:t xml:space="preserve">ישא בדרך של עבודות שירות </w:t>
      </w:r>
      <w:r w:rsidRPr="00134D87">
        <w:rPr>
          <w:rFonts w:ascii="Arial" w:hAnsi="Arial" w:cs="FrankRuehl"/>
          <w:szCs w:val="28"/>
          <w:rtl/>
        </w:rPr>
        <w:t xml:space="preserve">ביחד עם מאסר על תנאי מרתיע. </w:t>
      </w:r>
    </w:p>
    <w:p w14:paraId="6B676FDC" w14:textId="77777777" w:rsidR="00AA2140" w:rsidRDefault="00AA2140" w:rsidP="00AA2140">
      <w:pPr>
        <w:spacing w:line="360" w:lineRule="auto"/>
        <w:ind w:left="720"/>
        <w:jc w:val="both"/>
        <w:rPr>
          <w:rFonts w:ascii="Arial" w:hAnsi="Arial" w:cs="FrankRuehl"/>
          <w:szCs w:val="28"/>
          <w:rtl/>
        </w:rPr>
      </w:pPr>
      <w:r>
        <w:rPr>
          <w:rFonts w:ascii="Arial" w:hAnsi="Arial" w:cs="FrankRuehl" w:hint="cs"/>
          <w:szCs w:val="28"/>
          <w:rtl/>
        </w:rPr>
        <w:t xml:space="preserve">הוא </w:t>
      </w:r>
      <w:r w:rsidRPr="00134D87">
        <w:rPr>
          <w:rFonts w:ascii="Arial" w:hAnsi="Arial" w:cs="FrankRuehl"/>
          <w:szCs w:val="28"/>
          <w:rtl/>
        </w:rPr>
        <w:t>ניתח את הראיות על פי תיק החקירה וטען כי היו די ראיות להגיש כתב אישום נגד מאלק וסאמי, ראיות שנתמכות בידיעה מוד</w:t>
      </w:r>
      <w:r>
        <w:rPr>
          <w:rFonts w:ascii="Arial" w:hAnsi="Arial" w:cs="FrankRuehl" w:hint="cs"/>
          <w:szCs w:val="28"/>
          <w:rtl/>
        </w:rPr>
        <w:t>י</w:t>
      </w:r>
      <w:r w:rsidRPr="00134D87">
        <w:rPr>
          <w:rFonts w:ascii="Arial" w:hAnsi="Arial" w:cs="FrankRuehl"/>
          <w:szCs w:val="28"/>
          <w:rtl/>
        </w:rPr>
        <w:t>עינית, עוד הפנה למחדלי חקירה.</w:t>
      </w:r>
    </w:p>
    <w:p w14:paraId="7A3B2BF3"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לעניין העונש הזכיר </w:t>
      </w:r>
      <w:r>
        <w:rPr>
          <w:rFonts w:ascii="Arial" w:hAnsi="Arial" w:cs="FrankRuehl" w:hint="cs"/>
          <w:szCs w:val="28"/>
          <w:rtl/>
        </w:rPr>
        <w:t xml:space="preserve">כי </w:t>
      </w:r>
      <w:r w:rsidRPr="00134D87">
        <w:rPr>
          <w:rFonts w:ascii="Arial" w:hAnsi="Arial" w:cs="FrankRuehl"/>
          <w:szCs w:val="28"/>
          <w:rtl/>
        </w:rPr>
        <w:t>הנאשם שהה במעצר חודש ימים והבהיר כי ניתן שלא לנכות תקופה זו. הפנה לגילו הצעיר של הנאשם, העדר עבר פלילי והודאתו המידית ובהסתמך על פסק דין</w:t>
      </w:r>
      <w:r>
        <w:rPr>
          <w:rFonts w:ascii="Arial" w:hAnsi="Arial" w:cs="FrankRuehl"/>
          <w:szCs w:val="28"/>
          <w:rtl/>
        </w:rPr>
        <w:t xml:space="preserve"> ניתח את תורת הענישה במקרים אלו</w:t>
      </w:r>
      <w:r w:rsidRPr="00134D87">
        <w:rPr>
          <w:rFonts w:ascii="Arial" w:hAnsi="Arial" w:cs="FrankRuehl"/>
          <w:szCs w:val="28"/>
          <w:rtl/>
        </w:rPr>
        <w:t xml:space="preserve">, לרבות המלצות ועדת גולדברג והסביר כי גם </w:t>
      </w:r>
      <w:r>
        <w:rPr>
          <w:rFonts w:ascii="Arial" w:hAnsi="Arial" w:cs="FrankRuehl" w:hint="cs"/>
          <w:szCs w:val="28"/>
          <w:rtl/>
        </w:rPr>
        <w:t>א</w:t>
      </w:r>
      <w:r w:rsidRPr="00134D87">
        <w:rPr>
          <w:rFonts w:ascii="Arial" w:hAnsi="Arial" w:cs="FrankRuehl"/>
          <w:szCs w:val="28"/>
          <w:rtl/>
        </w:rPr>
        <w:t>ם קצהו התחתון של המתחם יהיה גבוה מ-6 חודשי מאסר, ניתן לסטות ממנו לצרכי שיקום. לתמיכה בטענותיו הפנה לפסק</w:t>
      </w:r>
      <w:r>
        <w:rPr>
          <w:rFonts w:ascii="Arial" w:hAnsi="Arial" w:cs="FrankRuehl" w:hint="cs"/>
          <w:szCs w:val="28"/>
          <w:rtl/>
        </w:rPr>
        <w:t>י</w:t>
      </w:r>
      <w:r w:rsidRPr="00134D87">
        <w:rPr>
          <w:rFonts w:ascii="Arial" w:hAnsi="Arial" w:cs="FrankRuehl"/>
          <w:szCs w:val="28"/>
          <w:rtl/>
        </w:rPr>
        <w:t xml:space="preserve"> דין שונים בהם הוטלו עונשים של 6 חודשי מאסר לביצוע  בעבודות שירות.</w:t>
      </w:r>
    </w:p>
    <w:p w14:paraId="4B12122C" w14:textId="77777777" w:rsidR="00AA2140" w:rsidRPr="00134D87" w:rsidRDefault="00AA2140" w:rsidP="00AA2140">
      <w:pPr>
        <w:spacing w:line="360" w:lineRule="auto"/>
        <w:ind w:left="720"/>
        <w:jc w:val="both"/>
        <w:rPr>
          <w:rFonts w:ascii="Arial" w:hAnsi="Arial" w:cs="FrankRuehl"/>
          <w:szCs w:val="28"/>
        </w:rPr>
      </w:pPr>
    </w:p>
    <w:p w14:paraId="0F4FF66F" w14:textId="77777777" w:rsidR="00AA2140" w:rsidRDefault="00AA2140" w:rsidP="00AA2140">
      <w:pPr>
        <w:spacing w:line="360" w:lineRule="auto"/>
        <w:ind w:left="720" w:firstLine="60"/>
        <w:contextualSpacing/>
        <w:rPr>
          <w:rFonts w:ascii="David" w:hAnsi="David" w:cs="FrankRuehl"/>
          <w:szCs w:val="28"/>
          <w:rtl/>
        </w:rPr>
      </w:pPr>
      <w:r w:rsidRPr="00134D87">
        <w:rPr>
          <w:rFonts w:ascii="David" w:hAnsi="David" w:cs="FrankRuehl" w:hint="eastAsia"/>
          <w:szCs w:val="28"/>
          <w:rtl/>
        </w:rPr>
        <w:t>בתום</w:t>
      </w:r>
      <w:r w:rsidRPr="00134D87">
        <w:rPr>
          <w:rFonts w:ascii="David" w:hAnsi="David" w:cs="FrankRuehl"/>
          <w:szCs w:val="28"/>
          <w:rtl/>
        </w:rPr>
        <w:t xml:space="preserve"> </w:t>
      </w:r>
      <w:r w:rsidRPr="00134D87">
        <w:rPr>
          <w:rFonts w:ascii="David" w:hAnsi="David" w:cs="FrankRuehl" w:hint="eastAsia"/>
          <w:szCs w:val="28"/>
          <w:rtl/>
        </w:rPr>
        <w:t>הטיעונים</w:t>
      </w:r>
      <w:r w:rsidRPr="00134D87">
        <w:rPr>
          <w:rFonts w:ascii="David" w:hAnsi="David" w:cs="FrankRuehl"/>
          <w:szCs w:val="28"/>
          <w:rtl/>
        </w:rPr>
        <w:t xml:space="preserve"> </w:t>
      </w:r>
      <w:r w:rsidRPr="00134D87">
        <w:rPr>
          <w:rFonts w:ascii="David" w:hAnsi="David" w:cs="FrankRuehl" w:hint="eastAsia"/>
          <w:szCs w:val="28"/>
          <w:rtl/>
        </w:rPr>
        <w:t>שב</w:t>
      </w:r>
      <w:r w:rsidRPr="00134D87">
        <w:rPr>
          <w:rFonts w:ascii="David" w:hAnsi="David" w:cs="FrankRuehl"/>
          <w:szCs w:val="28"/>
          <w:rtl/>
        </w:rPr>
        <w:t xml:space="preserve"> </w:t>
      </w:r>
      <w:r w:rsidRPr="00134D87">
        <w:rPr>
          <w:rFonts w:ascii="David" w:hAnsi="David" w:cs="FrankRuehl" w:hint="eastAsia"/>
          <w:szCs w:val="28"/>
          <w:rtl/>
        </w:rPr>
        <w:t>הנאשם</w:t>
      </w:r>
      <w:r w:rsidRPr="00134D87">
        <w:rPr>
          <w:rFonts w:ascii="David" w:hAnsi="David" w:cs="FrankRuehl"/>
          <w:szCs w:val="28"/>
          <w:rtl/>
        </w:rPr>
        <w:t xml:space="preserve"> </w:t>
      </w:r>
      <w:r w:rsidRPr="00134D87">
        <w:rPr>
          <w:rFonts w:ascii="David" w:hAnsi="David" w:cs="FrankRuehl" w:hint="eastAsia"/>
          <w:szCs w:val="28"/>
          <w:rtl/>
        </w:rPr>
        <w:t>והודה</w:t>
      </w:r>
      <w:r>
        <w:rPr>
          <w:rFonts w:ascii="David" w:hAnsi="David" w:cs="FrankRuehl" w:hint="cs"/>
          <w:szCs w:val="28"/>
          <w:rtl/>
        </w:rPr>
        <w:t xml:space="preserve"> במעשהו</w:t>
      </w:r>
      <w:r w:rsidRPr="00134D87">
        <w:rPr>
          <w:rFonts w:ascii="David" w:hAnsi="David" w:cs="FrankRuehl"/>
          <w:szCs w:val="28"/>
          <w:rtl/>
        </w:rPr>
        <w:t xml:space="preserve"> </w:t>
      </w:r>
      <w:r>
        <w:rPr>
          <w:rFonts w:ascii="David" w:hAnsi="David" w:cs="FrankRuehl" w:hint="cs"/>
          <w:szCs w:val="28"/>
          <w:rtl/>
        </w:rPr>
        <w:t>ו</w:t>
      </w:r>
      <w:r w:rsidRPr="00134D87">
        <w:rPr>
          <w:rFonts w:ascii="David" w:hAnsi="David" w:cs="FrankRuehl" w:hint="eastAsia"/>
          <w:szCs w:val="28"/>
          <w:rtl/>
        </w:rPr>
        <w:t>ביקש</w:t>
      </w:r>
      <w:r w:rsidRPr="00134D87">
        <w:rPr>
          <w:rFonts w:ascii="David" w:hAnsi="David" w:cs="FrankRuehl"/>
          <w:szCs w:val="28"/>
          <w:rtl/>
        </w:rPr>
        <w:t xml:space="preserve"> </w:t>
      </w:r>
      <w:r w:rsidRPr="00134D87">
        <w:rPr>
          <w:rFonts w:ascii="David" w:hAnsi="David" w:cs="FrankRuehl" w:hint="eastAsia"/>
          <w:szCs w:val="28"/>
          <w:rtl/>
        </w:rPr>
        <w:t>לאפשר</w:t>
      </w:r>
      <w:r w:rsidRPr="00134D87">
        <w:rPr>
          <w:rFonts w:ascii="David" w:hAnsi="David" w:cs="FrankRuehl"/>
          <w:szCs w:val="28"/>
          <w:rtl/>
        </w:rPr>
        <w:t xml:space="preserve"> </w:t>
      </w:r>
      <w:r w:rsidRPr="00134D87">
        <w:rPr>
          <w:rFonts w:ascii="David" w:hAnsi="David" w:cs="FrankRuehl" w:hint="eastAsia"/>
          <w:szCs w:val="28"/>
          <w:rtl/>
        </w:rPr>
        <w:t>לו</w:t>
      </w:r>
      <w:r w:rsidRPr="00134D87">
        <w:rPr>
          <w:rFonts w:ascii="David" w:hAnsi="David" w:cs="FrankRuehl"/>
          <w:szCs w:val="28"/>
          <w:rtl/>
        </w:rPr>
        <w:t xml:space="preserve"> </w:t>
      </w:r>
      <w:r w:rsidRPr="00134D87">
        <w:rPr>
          <w:rFonts w:ascii="David" w:hAnsi="David" w:cs="FrankRuehl" w:hint="eastAsia"/>
          <w:szCs w:val="28"/>
          <w:rtl/>
        </w:rPr>
        <w:t>להשתלב</w:t>
      </w:r>
      <w:r w:rsidRPr="00134D87">
        <w:rPr>
          <w:rFonts w:ascii="David" w:hAnsi="David" w:cs="FrankRuehl"/>
          <w:szCs w:val="28"/>
          <w:rtl/>
        </w:rPr>
        <w:t xml:space="preserve"> </w:t>
      </w:r>
      <w:r w:rsidRPr="00134D87">
        <w:rPr>
          <w:rFonts w:ascii="David" w:hAnsi="David" w:cs="FrankRuehl" w:hint="eastAsia"/>
          <w:szCs w:val="28"/>
          <w:rtl/>
        </w:rPr>
        <w:t>בטיפול</w:t>
      </w:r>
      <w:r w:rsidRPr="00134D87">
        <w:rPr>
          <w:rFonts w:ascii="David" w:hAnsi="David" w:cs="FrankRuehl"/>
          <w:szCs w:val="28"/>
          <w:rtl/>
        </w:rPr>
        <w:t xml:space="preserve"> </w:t>
      </w:r>
      <w:r w:rsidRPr="00134D87">
        <w:rPr>
          <w:rFonts w:ascii="David" w:hAnsi="David" w:cs="FrankRuehl" w:hint="eastAsia"/>
          <w:szCs w:val="28"/>
          <w:rtl/>
        </w:rPr>
        <w:t>של</w:t>
      </w:r>
      <w:r w:rsidRPr="00134D87">
        <w:rPr>
          <w:rFonts w:ascii="David" w:hAnsi="David" w:cs="FrankRuehl"/>
          <w:szCs w:val="28"/>
          <w:rtl/>
        </w:rPr>
        <w:t xml:space="preserve"> </w:t>
      </w:r>
      <w:r w:rsidRPr="00134D87">
        <w:rPr>
          <w:rFonts w:ascii="David" w:hAnsi="David" w:cs="FrankRuehl" w:hint="eastAsia"/>
          <w:szCs w:val="28"/>
          <w:rtl/>
        </w:rPr>
        <w:t>שירות</w:t>
      </w:r>
      <w:r w:rsidRPr="00134D87">
        <w:rPr>
          <w:rFonts w:ascii="David" w:hAnsi="David" w:cs="FrankRuehl"/>
          <w:szCs w:val="28"/>
          <w:rtl/>
        </w:rPr>
        <w:t xml:space="preserve"> </w:t>
      </w:r>
      <w:r w:rsidRPr="00134D87">
        <w:rPr>
          <w:rFonts w:ascii="David" w:hAnsi="David" w:cs="FrankRuehl" w:hint="eastAsia"/>
          <w:szCs w:val="28"/>
          <w:rtl/>
        </w:rPr>
        <w:t>המבחן</w:t>
      </w:r>
      <w:r w:rsidRPr="00134D87">
        <w:rPr>
          <w:rFonts w:ascii="David" w:hAnsi="David" w:cs="FrankRuehl"/>
          <w:szCs w:val="28"/>
          <w:rtl/>
        </w:rPr>
        <w:t xml:space="preserve"> </w:t>
      </w:r>
      <w:r w:rsidRPr="00134D87">
        <w:rPr>
          <w:rFonts w:ascii="David" w:hAnsi="David" w:cs="FrankRuehl" w:hint="eastAsia"/>
          <w:szCs w:val="28"/>
          <w:rtl/>
        </w:rPr>
        <w:t>כדי</w:t>
      </w:r>
      <w:r w:rsidRPr="00134D87">
        <w:rPr>
          <w:rFonts w:ascii="David" w:hAnsi="David" w:cs="FrankRuehl"/>
          <w:szCs w:val="28"/>
          <w:rtl/>
        </w:rPr>
        <w:t xml:space="preserve"> </w:t>
      </w:r>
      <w:r w:rsidRPr="00134D87">
        <w:rPr>
          <w:rFonts w:ascii="David" w:hAnsi="David" w:cs="FrankRuehl" w:hint="eastAsia"/>
          <w:szCs w:val="28"/>
          <w:rtl/>
        </w:rPr>
        <w:t>להתקדם</w:t>
      </w:r>
      <w:r w:rsidRPr="00134D87">
        <w:rPr>
          <w:rFonts w:ascii="David" w:hAnsi="David" w:cs="FrankRuehl"/>
          <w:szCs w:val="28"/>
          <w:rtl/>
        </w:rPr>
        <w:t xml:space="preserve"> </w:t>
      </w:r>
      <w:r w:rsidRPr="00134D87">
        <w:rPr>
          <w:rFonts w:ascii="David" w:hAnsi="David" w:cs="FrankRuehl" w:hint="eastAsia"/>
          <w:szCs w:val="28"/>
          <w:rtl/>
        </w:rPr>
        <w:t>בחיים</w:t>
      </w:r>
      <w:r w:rsidRPr="00134D87">
        <w:rPr>
          <w:rFonts w:ascii="David" w:hAnsi="David" w:cs="FrankRuehl"/>
          <w:szCs w:val="28"/>
          <w:rtl/>
        </w:rPr>
        <w:t>.</w:t>
      </w:r>
    </w:p>
    <w:p w14:paraId="09ADA8A4" w14:textId="77777777" w:rsidR="00AA2140" w:rsidRPr="00134D87" w:rsidRDefault="00AA2140" w:rsidP="00AA2140">
      <w:pPr>
        <w:spacing w:line="360" w:lineRule="auto"/>
        <w:ind w:left="720" w:firstLine="60"/>
        <w:contextualSpacing/>
        <w:rPr>
          <w:rFonts w:ascii="David" w:hAnsi="David" w:cs="FrankRuehl"/>
          <w:szCs w:val="28"/>
          <w:rtl/>
        </w:rPr>
      </w:pPr>
    </w:p>
    <w:p w14:paraId="662B4469" w14:textId="77777777" w:rsidR="00AA2140" w:rsidRPr="00134D87" w:rsidRDefault="00AA2140" w:rsidP="00AA2140">
      <w:pPr>
        <w:spacing w:line="360" w:lineRule="auto"/>
        <w:ind w:left="720"/>
        <w:jc w:val="both"/>
        <w:rPr>
          <w:rFonts w:ascii="Arial" w:hAnsi="Arial" w:cs="Miriam"/>
        </w:rPr>
      </w:pPr>
      <w:r w:rsidRPr="00134D87">
        <w:rPr>
          <w:rFonts w:ascii="Arial" w:hAnsi="Arial" w:cs="Miriam"/>
          <w:rtl/>
        </w:rPr>
        <w:t>דיון</w:t>
      </w:r>
    </w:p>
    <w:p w14:paraId="24EC7020" w14:textId="77777777" w:rsidR="00AA2140" w:rsidRPr="00134D87" w:rsidRDefault="00AA2140" w:rsidP="00AA2140">
      <w:pPr>
        <w:spacing w:line="360" w:lineRule="auto"/>
        <w:ind w:left="720"/>
        <w:jc w:val="both"/>
        <w:rPr>
          <w:rFonts w:ascii="Arial" w:hAnsi="Arial" w:cs="FrankRuehl"/>
          <w:color w:val="000000"/>
          <w:szCs w:val="28"/>
          <w:rtl/>
        </w:rPr>
      </w:pPr>
      <w:r w:rsidRPr="00134D87">
        <w:rPr>
          <w:rFonts w:cs="FrankRuehl"/>
          <w:szCs w:val="28"/>
          <w:rtl/>
        </w:rPr>
        <w:t xml:space="preserve">העיקרון המנחה בקביעת מתחם העונש הוא עיקרון ההלימה, שמשמעותו </w:t>
      </w:r>
      <w:r w:rsidRPr="00134D87">
        <w:rPr>
          <w:rFonts w:ascii="Century" w:hAnsi="Century" w:cs="Miriam"/>
          <w:b/>
          <w:rtl/>
        </w:rPr>
        <w:t>"</w:t>
      </w:r>
      <w:r w:rsidRPr="00134D87">
        <w:rPr>
          <w:rFonts w:ascii="Century" w:hAnsi="Century" w:cs="Miriam" w:hint="eastAsia"/>
          <w:b/>
          <w:rtl/>
        </w:rPr>
        <w:t>קיומו</w:t>
      </w:r>
      <w:r w:rsidRPr="00134D87">
        <w:rPr>
          <w:rFonts w:ascii="Century" w:hAnsi="Century" w:cs="Miriam"/>
          <w:b/>
          <w:rtl/>
        </w:rPr>
        <w:t xml:space="preserve"> </w:t>
      </w:r>
      <w:r w:rsidRPr="00134D87">
        <w:rPr>
          <w:rFonts w:ascii="Century" w:hAnsi="Century" w:cs="Miriam" w:hint="eastAsia"/>
          <w:b/>
          <w:rtl/>
        </w:rPr>
        <w:t>של</w:t>
      </w:r>
      <w:r w:rsidRPr="00134D87">
        <w:rPr>
          <w:rFonts w:ascii="Century" w:hAnsi="Century" w:cs="Miriam"/>
          <w:b/>
          <w:rtl/>
        </w:rPr>
        <w:t xml:space="preserve"> </w:t>
      </w:r>
      <w:r w:rsidRPr="00134D87">
        <w:rPr>
          <w:rFonts w:ascii="Century" w:hAnsi="Century" w:cs="Miriam" w:hint="eastAsia"/>
          <w:b/>
          <w:rtl/>
        </w:rPr>
        <w:t>יחס</w:t>
      </w:r>
      <w:r w:rsidRPr="00134D87">
        <w:rPr>
          <w:rFonts w:ascii="Century" w:hAnsi="Century" w:cs="Miriam"/>
          <w:b/>
          <w:rtl/>
        </w:rPr>
        <w:t xml:space="preserve"> </w:t>
      </w:r>
      <w:r w:rsidRPr="00134D87">
        <w:rPr>
          <w:rFonts w:ascii="Century" w:hAnsi="Century" w:cs="Miriam" w:hint="eastAsia"/>
          <w:b/>
          <w:rtl/>
        </w:rPr>
        <w:t>הולם</w:t>
      </w:r>
      <w:r w:rsidRPr="00134D87">
        <w:rPr>
          <w:rFonts w:ascii="Century" w:hAnsi="Century" w:cs="Miriam"/>
          <w:b/>
          <w:rtl/>
        </w:rPr>
        <w:t xml:space="preserve"> </w:t>
      </w:r>
      <w:r w:rsidRPr="00134D87">
        <w:rPr>
          <w:rFonts w:ascii="Century" w:hAnsi="Century" w:cs="Miriam" w:hint="eastAsia"/>
          <w:b/>
          <w:rtl/>
        </w:rPr>
        <w:t>בין</w:t>
      </w:r>
      <w:r w:rsidRPr="00134D87">
        <w:rPr>
          <w:rFonts w:ascii="Century" w:hAnsi="Century" w:cs="Miriam"/>
          <w:b/>
          <w:rtl/>
        </w:rPr>
        <w:t xml:space="preserve"> </w:t>
      </w:r>
      <w:r w:rsidRPr="00134D87">
        <w:rPr>
          <w:rFonts w:ascii="Century" w:hAnsi="Century" w:cs="Miriam" w:hint="eastAsia"/>
          <w:b/>
          <w:rtl/>
        </w:rPr>
        <w:t>חומרת</w:t>
      </w:r>
      <w:r w:rsidRPr="00134D87">
        <w:rPr>
          <w:rFonts w:ascii="Century" w:hAnsi="Century" w:cs="Miriam"/>
          <w:b/>
          <w:rtl/>
        </w:rPr>
        <w:t xml:space="preserve"> </w:t>
      </w:r>
      <w:r w:rsidRPr="00134D87">
        <w:rPr>
          <w:rFonts w:ascii="Century" w:hAnsi="Century" w:cs="Miriam" w:hint="eastAsia"/>
          <w:b/>
          <w:rtl/>
        </w:rPr>
        <w:t>מעשה</w:t>
      </w:r>
      <w:r w:rsidRPr="00134D87">
        <w:rPr>
          <w:rFonts w:ascii="Century" w:hAnsi="Century" w:cs="Miriam"/>
          <w:b/>
          <w:rtl/>
        </w:rPr>
        <w:t xml:space="preserve"> </w:t>
      </w:r>
      <w:r w:rsidRPr="00134D87">
        <w:rPr>
          <w:rFonts w:ascii="Century" w:hAnsi="Century" w:cs="Miriam" w:hint="eastAsia"/>
          <w:b/>
          <w:rtl/>
        </w:rPr>
        <w:t>העבירה</w:t>
      </w:r>
      <w:r w:rsidRPr="00134D87">
        <w:rPr>
          <w:rFonts w:ascii="Century" w:hAnsi="Century" w:cs="Miriam"/>
          <w:b/>
          <w:rtl/>
        </w:rPr>
        <w:t xml:space="preserve"> </w:t>
      </w:r>
      <w:r w:rsidRPr="00134D87">
        <w:rPr>
          <w:rFonts w:ascii="Century" w:hAnsi="Century" w:cs="Miriam" w:hint="eastAsia"/>
          <w:b/>
          <w:rtl/>
        </w:rPr>
        <w:t>בנסיבותיו</w:t>
      </w:r>
      <w:r w:rsidRPr="00134D87">
        <w:rPr>
          <w:rFonts w:ascii="Century" w:hAnsi="Century" w:cs="Miriam"/>
          <w:b/>
          <w:rtl/>
        </w:rPr>
        <w:t xml:space="preserve"> </w:t>
      </w:r>
      <w:r w:rsidRPr="00134D87">
        <w:rPr>
          <w:rFonts w:ascii="Century" w:hAnsi="Century" w:cs="Miriam" w:hint="eastAsia"/>
          <w:b/>
          <w:rtl/>
        </w:rPr>
        <w:t>ומידת</w:t>
      </w:r>
      <w:r w:rsidRPr="00134D87">
        <w:rPr>
          <w:rFonts w:ascii="Century" w:hAnsi="Century" w:cs="Miriam"/>
          <w:b/>
          <w:rtl/>
        </w:rPr>
        <w:t xml:space="preserve"> </w:t>
      </w:r>
      <w:r w:rsidRPr="00134D87">
        <w:rPr>
          <w:rFonts w:ascii="Century" w:hAnsi="Century" w:cs="Miriam" w:hint="eastAsia"/>
          <w:b/>
          <w:rtl/>
        </w:rPr>
        <w:t>אשמו</w:t>
      </w:r>
      <w:r w:rsidRPr="00134D87">
        <w:rPr>
          <w:rFonts w:ascii="Century" w:hAnsi="Century" w:cs="Miriam"/>
          <w:b/>
          <w:rtl/>
        </w:rPr>
        <w:t xml:space="preserve"> </w:t>
      </w:r>
      <w:r w:rsidRPr="00134D87">
        <w:rPr>
          <w:rFonts w:ascii="Century" w:hAnsi="Century" w:cs="Miriam" w:hint="eastAsia"/>
          <w:b/>
          <w:rtl/>
        </w:rPr>
        <w:t>של</w:t>
      </w:r>
      <w:r w:rsidRPr="00134D87">
        <w:rPr>
          <w:rFonts w:ascii="Century" w:hAnsi="Century" w:cs="Miriam"/>
          <w:b/>
          <w:rtl/>
        </w:rPr>
        <w:t xml:space="preserve"> </w:t>
      </w:r>
      <w:r w:rsidRPr="00134D87">
        <w:rPr>
          <w:rFonts w:ascii="Century" w:hAnsi="Century" w:cs="Miriam" w:hint="eastAsia"/>
          <w:b/>
          <w:rtl/>
        </w:rPr>
        <w:t>הנאשם</w:t>
      </w:r>
      <w:r w:rsidRPr="00134D87">
        <w:rPr>
          <w:rFonts w:ascii="Century" w:hAnsi="Century" w:cs="Miriam"/>
          <w:b/>
          <w:rtl/>
        </w:rPr>
        <w:t xml:space="preserve"> </w:t>
      </w:r>
      <w:r w:rsidRPr="00134D87">
        <w:rPr>
          <w:rFonts w:ascii="Century" w:hAnsi="Century" w:cs="Miriam" w:hint="eastAsia"/>
          <w:b/>
          <w:rtl/>
        </w:rPr>
        <w:t>ובין</w:t>
      </w:r>
      <w:r w:rsidRPr="00134D87">
        <w:rPr>
          <w:rFonts w:ascii="Century" w:hAnsi="Century" w:cs="Miriam"/>
          <w:b/>
          <w:rtl/>
        </w:rPr>
        <w:t xml:space="preserve"> </w:t>
      </w:r>
      <w:r w:rsidRPr="00134D87">
        <w:rPr>
          <w:rFonts w:ascii="Century" w:hAnsi="Century" w:cs="Miriam" w:hint="eastAsia"/>
          <w:b/>
          <w:rtl/>
        </w:rPr>
        <w:t>סוג</w:t>
      </w:r>
      <w:r w:rsidRPr="00134D87">
        <w:rPr>
          <w:rFonts w:ascii="Century" w:hAnsi="Century" w:cs="Miriam"/>
          <w:b/>
          <w:rtl/>
        </w:rPr>
        <w:t xml:space="preserve"> </w:t>
      </w:r>
      <w:r w:rsidRPr="00134D87">
        <w:rPr>
          <w:rFonts w:ascii="Century" w:hAnsi="Century" w:cs="Miriam" w:hint="eastAsia"/>
          <w:b/>
          <w:rtl/>
        </w:rPr>
        <w:t>ומידת</w:t>
      </w:r>
      <w:r w:rsidRPr="00134D87">
        <w:rPr>
          <w:rFonts w:ascii="Century" w:hAnsi="Century" w:cs="Miriam"/>
          <w:b/>
          <w:rtl/>
        </w:rPr>
        <w:t xml:space="preserve"> </w:t>
      </w:r>
      <w:r w:rsidRPr="00134D87">
        <w:rPr>
          <w:rFonts w:ascii="Century" w:hAnsi="Century" w:cs="Miriam" w:hint="eastAsia"/>
          <w:b/>
          <w:rtl/>
        </w:rPr>
        <w:t>העונש</w:t>
      </w:r>
      <w:r w:rsidRPr="00134D87">
        <w:rPr>
          <w:rFonts w:ascii="Century" w:hAnsi="Century" w:cs="Miriam"/>
          <w:b/>
          <w:rtl/>
        </w:rPr>
        <w:t xml:space="preserve"> </w:t>
      </w:r>
      <w:r w:rsidRPr="00134D87">
        <w:rPr>
          <w:rFonts w:ascii="Century" w:hAnsi="Century" w:cs="Miriam" w:hint="eastAsia"/>
          <w:b/>
          <w:rtl/>
        </w:rPr>
        <w:t>המוטל</w:t>
      </w:r>
      <w:r w:rsidRPr="00134D87">
        <w:rPr>
          <w:rFonts w:ascii="Century" w:hAnsi="Century" w:cs="Miriam"/>
          <w:b/>
          <w:rtl/>
        </w:rPr>
        <w:t xml:space="preserve"> </w:t>
      </w:r>
      <w:r w:rsidRPr="00134D87">
        <w:rPr>
          <w:rFonts w:ascii="Century" w:hAnsi="Century" w:cs="Miriam" w:hint="eastAsia"/>
          <w:b/>
          <w:rtl/>
        </w:rPr>
        <w:t>עליו</w:t>
      </w:r>
      <w:r w:rsidRPr="00134D87">
        <w:rPr>
          <w:rFonts w:ascii="Century" w:hAnsi="Century" w:cs="Miriam"/>
          <w:b/>
          <w:rtl/>
        </w:rPr>
        <w:t>"</w:t>
      </w:r>
      <w:r w:rsidRPr="00134D87">
        <w:rPr>
          <w:rFonts w:ascii="Arial" w:hAnsi="Arial" w:cs="FrankRuehl"/>
          <w:color w:val="000000"/>
          <w:szCs w:val="28"/>
          <w:rtl/>
        </w:rPr>
        <w:t xml:space="preserve"> (</w:t>
      </w:r>
      <w:hyperlink r:id="rId27" w:history="1">
        <w:r w:rsidR="00042211" w:rsidRPr="00042211">
          <w:rPr>
            <w:rFonts w:ascii="Arial" w:hAnsi="Arial" w:cs="FrankRuehl"/>
            <w:color w:val="0000FF"/>
            <w:szCs w:val="28"/>
            <w:u w:val="single"/>
            <w:rtl/>
          </w:rPr>
          <w:t>סעיף 40ב'</w:t>
        </w:r>
      </w:hyperlink>
      <w:r w:rsidRPr="00134D87">
        <w:rPr>
          <w:rFonts w:ascii="Arial" w:hAnsi="Arial" w:cs="FrankRuehl"/>
          <w:color w:val="000000"/>
          <w:szCs w:val="28"/>
          <w:rtl/>
        </w:rPr>
        <w:t xml:space="preserve"> לחוק).</w:t>
      </w:r>
    </w:p>
    <w:p w14:paraId="1D963865" w14:textId="77777777" w:rsidR="00AA2140" w:rsidRPr="00134D87" w:rsidRDefault="00AA2140" w:rsidP="00AA2140">
      <w:pPr>
        <w:spacing w:line="360" w:lineRule="auto"/>
        <w:ind w:left="720"/>
        <w:jc w:val="both"/>
        <w:rPr>
          <w:rFonts w:ascii="Arial" w:hAnsi="Arial" w:cs="FrankRuehl"/>
          <w:color w:val="000000"/>
          <w:szCs w:val="28"/>
          <w:rtl/>
        </w:rPr>
      </w:pPr>
      <w:r w:rsidRPr="00134D87">
        <w:rPr>
          <w:rFonts w:ascii="Arial" w:hAnsi="Arial" w:cs="FrankRuehl"/>
          <w:color w:val="000000"/>
          <w:szCs w:val="28"/>
          <w:rtl/>
        </w:rPr>
        <w:t xml:space="preserve"> </w:t>
      </w:r>
    </w:p>
    <w:p w14:paraId="26FE3A15"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color w:val="000000"/>
          <w:szCs w:val="28"/>
          <w:rtl/>
        </w:rPr>
        <w:t>במקרה זה הי</w:t>
      </w:r>
      <w:r>
        <w:rPr>
          <w:rFonts w:ascii="Arial" w:hAnsi="Arial" w:cs="FrankRuehl" w:hint="cs"/>
          <w:color w:val="000000"/>
          <w:szCs w:val="28"/>
          <w:rtl/>
        </w:rPr>
        <w:t>ת</w:t>
      </w:r>
      <w:r w:rsidRPr="00134D87">
        <w:rPr>
          <w:rFonts w:ascii="Arial" w:hAnsi="Arial" w:cs="FrankRuehl"/>
          <w:color w:val="000000"/>
          <w:szCs w:val="28"/>
          <w:rtl/>
        </w:rPr>
        <w:t xml:space="preserve">ה פגיעה </w:t>
      </w:r>
      <w:r w:rsidRPr="00134D87">
        <w:rPr>
          <w:rFonts w:ascii="Arial" w:hAnsi="Arial" w:cs="FrankRuehl"/>
          <w:szCs w:val="28"/>
          <w:rtl/>
        </w:rPr>
        <w:t>בערכים חברתיים של שלום הציבור ובטחונו, הפגיעה ה</w:t>
      </w:r>
      <w:r>
        <w:rPr>
          <w:rFonts w:ascii="Arial" w:hAnsi="Arial" w:cs="FrankRuehl" w:hint="cs"/>
          <w:szCs w:val="28"/>
          <w:rtl/>
        </w:rPr>
        <w:t>י</w:t>
      </w:r>
      <w:r w:rsidRPr="00134D87">
        <w:rPr>
          <w:rFonts w:ascii="Arial" w:hAnsi="Arial" w:cs="FrankRuehl"/>
          <w:szCs w:val="28"/>
          <w:rtl/>
        </w:rPr>
        <w:t>יתה קלה</w:t>
      </w:r>
      <w:r>
        <w:rPr>
          <w:rFonts w:ascii="Arial" w:hAnsi="Arial" w:cs="FrankRuehl" w:hint="cs"/>
          <w:szCs w:val="28"/>
          <w:rtl/>
        </w:rPr>
        <w:t>,</w:t>
      </w:r>
      <w:r>
        <w:rPr>
          <w:rFonts w:ascii="Arial" w:hAnsi="Arial" w:cs="FrankRuehl"/>
          <w:szCs w:val="28"/>
          <w:rtl/>
        </w:rPr>
        <w:t xml:space="preserve"> למשטרה הגיע</w:t>
      </w:r>
      <w:r w:rsidRPr="00134D87">
        <w:rPr>
          <w:rFonts w:ascii="Arial" w:hAnsi="Arial" w:cs="FrankRuehl"/>
          <w:szCs w:val="28"/>
          <w:rtl/>
        </w:rPr>
        <w:t xml:space="preserve"> מידע מודיעיני על העבירה שעמדה להתרחש, היא המתינה לרכבו של הנאשם עצרה אותו ותפסה את הנשק.</w:t>
      </w:r>
    </w:p>
    <w:p w14:paraId="020704BC" w14:textId="77777777" w:rsidR="00AA2140" w:rsidRPr="00134D87" w:rsidRDefault="00AA2140" w:rsidP="00AA2140">
      <w:pPr>
        <w:spacing w:line="360" w:lineRule="auto"/>
        <w:ind w:left="720"/>
        <w:jc w:val="both"/>
        <w:rPr>
          <w:rFonts w:ascii="Arial" w:hAnsi="Arial" w:cs="FrankRuehl"/>
          <w:szCs w:val="28"/>
          <w:rtl/>
        </w:rPr>
      </w:pPr>
    </w:p>
    <w:p w14:paraId="624D5040" w14:textId="77777777" w:rsidR="00AA2140" w:rsidRPr="00134D87" w:rsidRDefault="00AA2140" w:rsidP="00AA2140">
      <w:pPr>
        <w:spacing w:line="360" w:lineRule="auto"/>
        <w:ind w:left="720"/>
        <w:jc w:val="both"/>
        <w:rPr>
          <w:rFonts w:ascii="Arial" w:hAnsi="Arial" w:cs="FrankRuehl"/>
          <w:szCs w:val="28"/>
          <w:rtl/>
        </w:rPr>
      </w:pPr>
      <w:r w:rsidRPr="00134D87">
        <w:rPr>
          <w:rFonts w:ascii="Arial" w:hAnsi="Arial" w:cs="FrankRuehl"/>
          <w:sz w:val="28"/>
          <w:szCs w:val="28"/>
          <w:rtl/>
        </w:rPr>
        <w:t>אשר למדיניות הענישה הנהוגה אפנה ל</w:t>
      </w:r>
      <w:r>
        <w:rPr>
          <w:rFonts w:ascii="Arial" w:hAnsi="Arial" w:cs="FrankRuehl" w:hint="cs"/>
          <w:sz w:val="28"/>
          <w:szCs w:val="28"/>
          <w:rtl/>
        </w:rPr>
        <w:t>-</w:t>
      </w:r>
      <w:hyperlink r:id="rId28" w:history="1">
        <w:r w:rsidR="00A40BEE" w:rsidRPr="00A40BEE">
          <w:rPr>
            <w:rFonts w:ascii="Arial" w:hAnsi="Arial" w:cs="FrankRuehl"/>
            <w:color w:val="0000FF"/>
            <w:sz w:val="28"/>
            <w:szCs w:val="28"/>
            <w:u w:val="single"/>
            <w:rtl/>
          </w:rPr>
          <w:t>ע"פ 4945/13</w:t>
        </w:r>
      </w:hyperlink>
      <w:r w:rsidRPr="00134D87">
        <w:rPr>
          <w:rFonts w:ascii="Arial" w:hAnsi="Arial" w:cs="FrankRuehl"/>
          <w:sz w:val="28"/>
          <w:szCs w:val="28"/>
          <w:rtl/>
        </w:rPr>
        <w:t xml:space="preserve"> </w:t>
      </w:r>
      <w:r w:rsidRPr="00134D87">
        <w:rPr>
          <w:rFonts w:ascii="Arial" w:hAnsi="Arial" w:cs="Miriam"/>
          <w:rtl/>
        </w:rPr>
        <w:t>מדינת ישראל נגד סלימאן</w:t>
      </w:r>
      <w:r w:rsidRPr="00134D87">
        <w:rPr>
          <w:rFonts w:ascii="Arial" w:hAnsi="Arial" w:cs="FrankRuehl"/>
          <w:sz w:val="28"/>
          <w:szCs w:val="28"/>
          <w:rtl/>
        </w:rPr>
        <w:t xml:space="preserve"> (19.1.2014) (להלן—עניין סלימאן), באותו מקרה רכש המערער </w:t>
      </w:r>
      <w:r w:rsidRPr="00134D87">
        <w:rPr>
          <w:rFonts w:ascii="Arial" w:hAnsi="Arial" w:cs="FrankRuehl"/>
          <w:szCs w:val="28"/>
          <w:rtl/>
        </w:rPr>
        <w:t>נשק מסוג "קרל גוסטב" וכן מחסנית וכדורים. לאחר שרכש את הנשק והתחמושת, ירה ירייה אחת באוויר ולאחר מכן נהג ברכב בעודו נושא את הנשק והתחמושת בתא המטען עד שנעצר על ידי שוטרים, בית המשפט העליון קבע כי בית המשפט המחוזי הקל יתר על המידה בעת קביעת המתחם וקבע במקומו מתחם עונש הולם שבין 12 ל-36 חודשי מאסר בפועל וכך נקבע באותו מקרה לעניין מדיניות הענישה:</w:t>
      </w:r>
    </w:p>
    <w:p w14:paraId="4B0C8AAF" w14:textId="77777777" w:rsidR="00AA2140" w:rsidRPr="00134D87" w:rsidRDefault="00AA2140" w:rsidP="00AA2140">
      <w:pPr>
        <w:ind w:left="1440" w:right="851"/>
        <w:jc w:val="both"/>
        <w:rPr>
          <w:rFonts w:ascii="Arial" w:hAnsi="Arial" w:cs="FrankRuehl"/>
          <w:szCs w:val="28"/>
          <w:rtl/>
        </w:rPr>
      </w:pPr>
      <w:r w:rsidRPr="00134D87">
        <w:rPr>
          <w:rFonts w:ascii="Arial" w:hAnsi="Arial" w:cs="FrankRuehl"/>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p>
    <w:p w14:paraId="3B31277A" w14:textId="77777777" w:rsidR="00AA2140" w:rsidRPr="00134D87" w:rsidRDefault="00AA2140" w:rsidP="00AA2140">
      <w:pPr>
        <w:spacing w:line="360" w:lineRule="auto"/>
        <w:ind w:right="851"/>
        <w:jc w:val="both"/>
        <w:rPr>
          <w:rFonts w:ascii="Arial" w:hAnsi="Arial" w:cs="FrankRuehl"/>
          <w:szCs w:val="28"/>
          <w:rtl/>
        </w:rPr>
      </w:pPr>
    </w:p>
    <w:p w14:paraId="67C44D3B" w14:textId="77777777" w:rsidR="00AA2140" w:rsidRPr="00134D87" w:rsidRDefault="00AA2140" w:rsidP="00AA2140">
      <w:pPr>
        <w:spacing w:line="360" w:lineRule="auto"/>
        <w:ind w:left="720" w:right="142"/>
        <w:jc w:val="both"/>
        <w:rPr>
          <w:rFonts w:ascii="Arial" w:hAnsi="Arial" w:cs="FrankRuehl"/>
          <w:szCs w:val="28"/>
          <w:rtl/>
        </w:rPr>
      </w:pPr>
      <w:r w:rsidRPr="00134D87">
        <w:rPr>
          <w:rFonts w:ascii="Arial" w:hAnsi="Arial" w:cs="FrankRuehl"/>
          <w:szCs w:val="28"/>
          <w:rtl/>
        </w:rPr>
        <w:t>לאחר הדיון הפנה ב"כ המאשימה לעניין בסל שדומה מאוד לעניינו, גם באותו מקרה הוביל הנאשם תת מקלע ולאחר כשבוע הוא נתפס, בית המשפט העליון החמיר בעונשו והעמידו על 18 חודשי מאסר. המתחם שנקבע על ידי בית משפט קמא באותו מקרה נע מ-9 ל-36 חודשי מאסר (בעת קביעת הע</w:t>
      </w:r>
      <w:r>
        <w:rPr>
          <w:rFonts w:ascii="Arial" w:hAnsi="Arial" w:cs="FrankRuehl" w:hint="cs"/>
          <w:szCs w:val="28"/>
          <w:rtl/>
        </w:rPr>
        <w:t>ו</w:t>
      </w:r>
      <w:r w:rsidRPr="00134D87">
        <w:rPr>
          <w:rFonts w:ascii="Arial" w:hAnsi="Arial" w:cs="FrankRuehl"/>
          <w:szCs w:val="28"/>
          <w:rtl/>
        </w:rPr>
        <w:t>נש המתאים אתייחס גם לתיק זה) וכך נקבע באותו מקרה:</w:t>
      </w:r>
    </w:p>
    <w:p w14:paraId="70D3CF6F" w14:textId="77777777" w:rsidR="00AA2140" w:rsidRPr="00134D87" w:rsidRDefault="00AA2140" w:rsidP="00AA2140">
      <w:pPr>
        <w:ind w:left="1440" w:right="709"/>
        <w:jc w:val="both"/>
        <w:rPr>
          <w:rFonts w:ascii="Arial" w:hAnsi="Arial" w:cs="FrankRuehl"/>
          <w:szCs w:val="28"/>
          <w:rtl/>
        </w:rPr>
      </w:pPr>
      <w:r w:rsidRPr="00134D87">
        <w:rPr>
          <w:rFonts w:ascii="Arial TUR" w:hAnsi="Arial TUR"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r w:rsidRPr="00134D87">
        <w:rPr>
          <w:rFonts w:ascii="Arial" w:hAnsi="Arial" w:cs="FrankRuehl"/>
          <w:szCs w:val="28"/>
          <w:rtl/>
        </w:rPr>
        <w:t>".</w:t>
      </w:r>
    </w:p>
    <w:p w14:paraId="08C9D0F6" w14:textId="77777777" w:rsidR="00AA2140" w:rsidRPr="00134D87" w:rsidRDefault="00AA2140" w:rsidP="00AA2140">
      <w:pPr>
        <w:spacing w:line="360" w:lineRule="auto"/>
        <w:ind w:left="720" w:right="142"/>
        <w:jc w:val="both"/>
        <w:rPr>
          <w:rFonts w:ascii="Arial" w:hAnsi="Arial" w:cs="FrankRuehl"/>
          <w:szCs w:val="28"/>
          <w:rtl/>
        </w:rPr>
      </w:pPr>
    </w:p>
    <w:p w14:paraId="416215C1"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אשר לנסיבות הקשורות בביצוע העבירה (</w:t>
      </w:r>
      <w:hyperlink r:id="rId29" w:history="1">
        <w:r w:rsidR="00042211" w:rsidRPr="00042211">
          <w:rPr>
            <w:rFonts w:ascii="Arial" w:hAnsi="Arial" w:cs="FrankRuehl"/>
            <w:color w:val="0000FF"/>
            <w:szCs w:val="28"/>
            <w:u w:val="single"/>
            <w:rtl/>
          </w:rPr>
          <w:t>סעיף 40ט'</w:t>
        </w:r>
      </w:hyperlink>
      <w:r w:rsidRPr="00134D87">
        <w:rPr>
          <w:rFonts w:ascii="Arial" w:hAnsi="Arial" w:cs="FrankRuehl"/>
          <w:szCs w:val="28"/>
          <w:rtl/>
        </w:rPr>
        <w:t xml:space="preserve"> לחוק) מקרה זה הוא מקרה חריג, הנאשם הודה בעובדות כתב האישום </w:t>
      </w:r>
      <w:r>
        <w:rPr>
          <w:rFonts w:ascii="Arial" w:hAnsi="Arial" w:cs="FrankRuehl" w:hint="cs"/>
          <w:szCs w:val="28"/>
          <w:rtl/>
        </w:rPr>
        <w:t>ל</w:t>
      </w:r>
      <w:r w:rsidRPr="00134D87">
        <w:rPr>
          <w:rFonts w:ascii="Arial" w:hAnsi="Arial" w:cs="FrankRuehl"/>
          <w:szCs w:val="28"/>
          <w:rtl/>
        </w:rPr>
        <w:t>לא הסדר טיעון וללא תיקון כל שהוא. שני הצדדים בהסכמה חשפו בפניי את תיק החקירה במלואו והסתמכו על תוכנו, כך למשל הפנה ב"כ המאשימה לצילומו של הנשק ושני  הצדדים לנסיבות המתוארות  בתיק החקירה.</w:t>
      </w:r>
    </w:p>
    <w:p w14:paraId="6AE96347" w14:textId="77777777" w:rsidR="00AA2140" w:rsidRPr="00134D87" w:rsidRDefault="00AA2140" w:rsidP="00AA2140">
      <w:pPr>
        <w:spacing w:line="360" w:lineRule="auto"/>
        <w:ind w:left="720"/>
        <w:jc w:val="both"/>
        <w:rPr>
          <w:rFonts w:ascii="Arial" w:hAnsi="Arial" w:cs="FrankRuehl"/>
          <w:szCs w:val="28"/>
          <w:rtl/>
        </w:rPr>
      </w:pPr>
    </w:p>
    <w:p w14:paraId="169296A7" w14:textId="77777777" w:rsidR="00AA2140" w:rsidRPr="00134D87"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מעיון בתיק החקירה עולה כי הנאשם הגיע לאדם בשם סאמי כדי לגבות חוב והופתע לגלות כי סאמי שם ברכבו את הנשק עטוף במגבת כדי למסור אותו לאדם שישלם לו את החוב, כך שתכנון מוקדם לא היה וגם מגע ממשי עם הנשק לא היה, הנאשם נסע מאותו מקום ומיד נעצר. </w:t>
      </w:r>
    </w:p>
    <w:p w14:paraId="10AA41E3" w14:textId="77777777" w:rsidR="00AA2140" w:rsidRPr="00134D87" w:rsidRDefault="00AA2140" w:rsidP="00AA2140">
      <w:pPr>
        <w:spacing w:line="360" w:lineRule="auto"/>
        <w:ind w:left="720"/>
        <w:jc w:val="both"/>
        <w:rPr>
          <w:rFonts w:ascii="Arial" w:hAnsi="Arial" w:cs="FrankRuehl"/>
          <w:szCs w:val="28"/>
          <w:rtl/>
        </w:rPr>
      </w:pPr>
      <w:r w:rsidRPr="00134D87">
        <w:rPr>
          <w:rFonts w:ascii="Arial" w:hAnsi="Arial" w:cs="FrankRuehl"/>
          <w:szCs w:val="28"/>
          <w:rtl/>
        </w:rPr>
        <w:t xml:space="preserve"> אמנם הנשק היה עם מחסנית ריקה כך שלא ניתן היה לעשות בו שימוש מידי, אך פוטנציאל  </w:t>
      </w:r>
      <w:r>
        <w:rPr>
          <w:rFonts w:ascii="Arial" w:hAnsi="Arial" w:cs="FrankRuehl" w:hint="cs"/>
          <w:szCs w:val="28"/>
          <w:rtl/>
        </w:rPr>
        <w:t xml:space="preserve">הסיכון </w:t>
      </w:r>
      <w:r w:rsidRPr="00134D87">
        <w:rPr>
          <w:rFonts w:ascii="Arial" w:hAnsi="Arial" w:cs="FrankRuehl"/>
          <w:szCs w:val="28"/>
          <w:rtl/>
        </w:rPr>
        <w:t xml:space="preserve">הגלום בכל נשק הוא סכנה רב מאוד לשלום הציבור, כפי שציינתי לעיל נזק לא נגרם משום שהמשטרה על סמך מידע מודיעיני עצרה את הנאשם כעשר דקות לאחר צאתו מהמקום בו הוכנס הנשק לרכבו (מסמך כג בתיק החקירה). </w:t>
      </w:r>
    </w:p>
    <w:p w14:paraId="6EAE644C" w14:textId="77777777" w:rsidR="00AA2140" w:rsidRPr="00134D87" w:rsidRDefault="00AA2140" w:rsidP="00AA2140">
      <w:pPr>
        <w:spacing w:line="360" w:lineRule="auto"/>
        <w:ind w:firstLine="720"/>
        <w:jc w:val="both"/>
        <w:rPr>
          <w:rFonts w:ascii="Arial" w:hAnsi="Arial" w:cs="FrankRuehl"/>
          <w:szCs w:val="28"/>
          <w:rtl/>
        </w:rPr>
      </w:pPr>
      <w:r w:rsidRPr="00134D87">
        <w:rPr>
          <w:rFonts w:ascii="Arial" w:hAnsi="Arial"/>
          <w:szCs w:val="28"/>
          <w:rtl/>
        </w:rPr>
        <w:tab/>
      </w:r>
    </w:p>
    <w:p w14:paraId="334AB8B6" w14:textId="77777777" w:rsidR="00AA2140" w:rsidRDefault="00AA2140" w:rsidP="00AA2140">
      <w:pPr>
        <w:spacing w:line="360" w:lineRule="auto"/>
        <w:ind w:left="720"/>
        <w:jc w:val="both"/>
        <w:rPr>
          <w:rFonts w:ascii="Arial" w:hAnsi="Arial" w:cs="FrankRuehl"/>
          <w:szCs w:val="28"/>
          <w:u w:val="single"/>
          <w:rtl/>
        </w:rPr>
      </w:pPr>
      <w:r w:rsidRPr="00134D87">
        <w:rPr>
          <w:rFonts w:ascii="Arial" w:hAnsi="Arial" w:cs="FrankRuehl"/>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sidRPr="00134D87">
        <w:rPr>
          <w:rFonts w:ascii="Arial" w:hAnsi="Arial" w:cs="FrankRuehl"/>
          <w:szCs w:val="28"/>
          <w:u w:val="single"/>
          <w:rtl/>
        </w:rPr>
        <w:t>10</w:t>
      </w:r>
      <w:r w:rsidRPr="00134D87">
        <w:rPr>
          <w:rFonts w:ascii="Arial" w:hAnsi="Arial" w:cs="FrankRuehl"/>
          <w:szCs w:val="28"/>
          <w:rtl/>
        </w:rPr>
        <w:t xml:space="preserve"> ל-</w:t>
      </w:r>
      <w:r w:rsidRPr="00134D87">
        <w:rPr>
          <w:rFonts w:ascii="Arial" w:hAnsi="Arial" w:cs="FrankRuehl"/>
          <w:szCs w:val="28"/>
          <w:u w:val="single"/>
          <w:rtl/>
        </w:rPr>
        <w:t>30</w:t>
      </w:r>
      <w:r w:rsidRPr="00134D87">
        <w:rPr>
          <w:rFonts w:ascii="Arial" w:hAnsi="Arial" w:cs="FrankRuehl"/>
          <w:szCs w:val="28"/>
          <w:rtl/>
        </w:rPr>
        <w:t xml:space="preserve"> חודשי מאסר בפועל.</w:t>
      </w:r>
    </w:p>
    <w:p w14:paraId="549CF6C2" w14:textId="77777777" w:rsidR="00AA2140" w:rsidRPr="00134D87" w:rsidRDefault="00AA2140" w:rsidP="00AA2140">
      <w:pPr>
        <w:spacing w:line="360" w:lineRule="auto"/>
        <w:ind w:left="720"/>
        <w:jc w:val="both"/>
        <w:rPr>
          <w:rFonts w:ascii="Arial" w:hAnsi="Arial" w:cs="FrankRuehl"/>
          <w:szCs w:val="28"/>
          <w:u w:val="single"/>
        </w:rPr>
      </w:pPr>
    </w:p>
    <w:p w14:paraId="24B345BF" w14:textId="77777777" w:rsidR="00AA2140" w:rsidRPr="00134D87" w:rsidRDefault="00AA2140" w:rsidP="00AA2140">
      <w:pPr>
        <w:spacing w:line="360" w:lineRule="auto"/>
        <w:ind w:left="720"/>
        <w:jc w:val="both"/>
        <w:rPr>
          <w:rFonts w:ascii="Arial" w:hAnsi="Arial" w:cs="Miriam"/>
          <w:rtl/>
        </w:rPr>
      </w:pPr>
      <w:r w:rsidRPr="00134D87">
        <w:rPr>
          <w:rFonts w:ascii="Arial" w:hAnsi="Arial" w:cs="Miriam"/>
          <w:rtl/>
        </w:rPr>
        <w:t>העונש המתאים</w:t>
      </w:r>
    </w:p>
    <w:p w14:paraId="0C877EFD" w14:textId="77777777" w:rsidR="00AA2140" w:rsidRDefault="00AA2140" w:rsidP="00AA2140">
      <w:pPr>
        <w:spacing w:line="360" w:lineRule="auto"/>
        <w:ind w:left="720"/>
        <w:jc w:val="both"/>
        <w:rPr>
          <w:rFonts w:ascii="Arial" w:hAnsi="Arial" w:cs="FrankRuehl"/>
          <w:szCs w:val="28"/>
          <w:rtl/>
        </w:rPr>
      </w:pPr>
      <w:r w:rsidRPr="00134D87">
        <w:rPr>
          <w:rFonts w:ascii="Arial" w:hAnsi="Arial" w:cs="FrankRuehl"/>
          <w:szCs w:val="28"/>
          <w:rtl/>
        </w:rPr>
        <w:t>לאחר ניתוח טענות הצדדים שוכנעתי יש לסטות במקרה זה ממתחם העונש ההולם משיקולי שיקום  ובהסתמך על תסקיר שירות המבחן יש סיכוי של ממש שהנאשם ישתקם.</w:t>
      </w:r>
    </w:p>
    <w:p w14:paraId="451F7824" w14:textId="77777777" w:rsidR="00AA2140" w:rsidRPr="00134D87" w:rsidRDefault="00AA2140" w:rsidP="00AA2140">
      <w:pPr>
        <w:spacing w:line="360" w:lineRule="auto"/>
        <w:ind w:left="720"/>
        <w:jc w:val="both"/>
        <w:rPr>
          <w:rFonts w:ascii="Arial" w:hAnsi="Arial" w:cs="FrankRuehl"/>
          <w:szCs w:val="28"/>
          <w:rtl/>
        </w:rPr>
      </w:pPr>
    </w:p>
    <w:p w14:paraId="6350DAD0" w14:textId="77777777" w:rsidR="00AA2140" w:rsidRPr="00134D87" w:rsidRDefault="00AA2140" w:rsidP="00AA2140">
      <w:pPr>
        <w:spacing w:line="360" w:lineRule="auto"/>
        <w:ind w:left="720"/>
        <w:jc w:val="both"/>
        <w:rPr>
          <w:rFonts w:ascii="Arial" w:hAnsi="Arial" w:cs="FrankRuehl"/>
          <w:szCs w:val="28"/>
          <w:rtl/>
        </w:rPr>
      </w:pPr>
      <w:r w:rsidRPr="00134D87">
        <w:rPr>
          <w:rFonts w:ascii="Arial" w:hAnsi="Arial" w:cs="FrankRuehl"/>
          <w:szCs w:val="28"/>
          <w:rtl/>
        </w:rPr>
        <w:t>אשוב ואפנה לענ</w:t>
      </w:r>
      <w:r>
        <w:rPr>
          <w:rFonts w:ascii="Arial" w:hAnsi="Arial" w:cs="FrankRuehl" w:hint="cs"/>
          <w:szCs w:val="28"/>
          <w:rtl/>
        </w:rPr>
        <w:t>י</w:t>
      </w:r>
      <w:r w:rsidRPr="00134D87">
        <w:rPr>
          <w:rFonts w:ascii="Arial" w:hAnsi="Arial" w:cs="FrankRuehl"/>
          <w:szCs w:val="28"/>
          <w:rtl/>
        </w:rPr>
        <w:t>ין סלימאן הנ"ל, באותו מקרה הנסיבות היו חמורות יותר, אותו נאשם רכש את תת המקלע וגם עשה בו שימוש, בית המשפט העליון העמיד את עונשו של אותו נאשם על 6 חודשי מאסר לביצוע בעבודות שירות בין הש</w:t>
      </w:r>
      <w:r>
        <w:rPr>
          <w:rFonts w:ascii="Arial" w:hAnsi="Arial" w:cs="FrankRuehl" w:hint="cs"/>
          <w:szCs w:val="28"/>
          <w:rtl/>
        </w:rPr>
        <w:t>א</w:t>
      </w:r>
      <w:r w:rsidRPr="00134D87">
        <w:rPr>
          <w:rFonts w:ascii="Arial" w:hAnsi="Arial" w:cs="FrankRuehl"/>
          <w:szCs w:val="28"/>
          <w:rtl/>
        </w:rPr>
        <w:t>ר מהנימוקים הבאים:</w:t>
      </w:r>
    </w:p>
    <w:p w14:paraId="2FE74052" w14:textId="77777777" w:rsidR="00AA2140" w:rsidRPr="00134D87" w:rsidRDefault="00AA2140" w:rsidP="00AA2140">
      <w:pPr>
        <w:ind w:left="1440" w:right="709"/>
        <w:jc w:val="both"/>
        <w:rPr>
          <w:rFonts w:ascii="Arial" w:hAnsi="Arial" w:cs="FrankRuehl"/>
          <w:szCs w:val="28"/>
          <w:rtl/>
        </w:rPr>
      </w:pPr>
      <w:r w:rsidRPr="00134D87">
        <w:rPr>
          <w:rFonts w:ascii="Arial" w:hAnsi="Arial" w:cs="FrankRuehl"/>
          <w:szCs w:val="28"/>
          <w:rtl/>
        </w:rPr>
        <w:t>"המשיב הוא בחור צעיר שניהל אורח חיים נורמטיבי עד למעצרו בתיק זה. עברו נקי וזו הסתבכותו הראשונה עם החוק. מהתסקירים שנערכו בעניינו עולה כי הוא הודה במיוחס לו, נטל אחריות מלאה למעשיו ושיתף פעולה עם נציגי שירות המבחן. קציני המבחן התרשמו כי למשיב אין דפוסי התנהגות עבריינים וכי עצם ניהול ההליך והחזקתו במעצר ולאחר מכן במעצר בית – הרתיעו אותו, כך שהסיכוי שישוב לבצע עבירות דומות בעתיד הוא נמוך".</w:t>
      </w:r>
    </w:p>
    <w:p w14:paraId="559B4CB3" w14:textId="77777777" w:rsidR="00AA2140" w:rsidRDefault="00AA2140" w:rsidP="00AA2140">
      <w:pPr>
        <w:tabs>
          <w:tab w:val="left" w:pos="8306"/>
        </w:tabs>
        <w:spacing w:line="360" w:lineRule="auto"/>
        <w:ind w:left="720"/>
        <w:jc w:val="both"/>
        <w:rPr>
          <w:rFonts w:ascii="Arial" w:hAnsi="Arial" w:cs="FrankRuehl"/>
          <w:szCs w:val="28"/>
          <w:rtl/>
        </w:rPr>
      </w:pPr>
      <w:r w:rsidRPr="00134D87">
        <w:rPr>
          <w:rFonts w:ascii="Arial" w:hAnsi="Arial" w:cs="FrankRuehl"/>
          <w:szCs w:val="28"/>
          <w:rtl/>
        </w:rPr>
        <w:tab/>
      </w:r>
    </w:p>
    <w:p w14:paraId="41DA50BC" w14:textId="77777777" w:rsidR="00AA2140" w:rsidRPr="00134D87" w:rsidRDefault="00AA2140" w:rsidP="00AA2140">
      <w:pPr>
        <w:tabs>
          <w:tab w:val="left" w:pos="8306"/>
        </w:tabs>
        <w:spacing w:line="360" w:lineRule="auto"/>
        <w:ind w:left="720"/>
        <w:jc w:val="both"/>
        <w:rPr>
          <w:rFonts w:ascii="Arial" w:hAnsi="Arial" w:cs="FrankRuehl"/>
          <w:szCs w:val="28"/>
          <w:rtl/>
        </w:rPr>
      </w:pPr>
      <w:r>
        <w:rPr>
          <w:rFonts w:ascii="Arial" w:hAnsi="Arial" w:cs="FrankRuehl" w:hint="cs"/>
          <w:szCs w:val="28"/>
          <w:rtl/>
        </w:rPr>
        <w:t>א</w:t>
      </w:r>
      <w:r w:rsidRPr="00134D87">
        <w:rPr>
          <w:rFonts w:ascii="Arial" w:hAnsi="Arial" w:cs="FrankRuehl"/>
          <w:szCs w:val="28"/>
          <w:rtl/>
        </w:rPr>
        <w:t xml:space="preserve">מירות </w:t>
      </w:r>
      <w:r>
        <w:rPr>
          <w:rFonts w:ascii="Arial" w:hAnsi="Arial" w:cs="FrankRuehl" w:hint="cs"/>
          <w:szCs w:val="28"/>
          <w:rtl/>
        </w:rPr>
        <w:t xml:space="preserve">אלה </w:t>
      </w:r>
      <w:r w:rsidRPr="00134D87">
        <w:rPr>
          <w:rFonts w:ascii="Arial" w:hAnsi="Arial" w:cs="FrankRuehl"/>
          <w:szCs w:val="28"/>
          <w:rtl/>
        </w:rPr>
        <w:t xml:space="preserve">שכאילו נכתבו </w:t>
      </w:r>
      <w:r>
        <w:rPr>
          <w:rFonts w:ascii="Arial" w:hAnsi="Arial" w:cs="FrankRuehl" w:hint="cs"/>
          <w:szCs w:val="28"/>
          <w:rtl/>
        </w:rPr>
        <w:t>לצורך ה</w:t>
      </w:r>
      <w:r w:rsidRPr="00134D87">
        <w:rPr>
          <w:rFonts w:ascii="Arial" w:hAnsi="Arial" w:cs="FrankRuehl"/>
          <w:szCs w:val="28"/>
          <w:rtl/>
        </w:rPr>
        <w:t xml:space="preserve">מקרה שלפניי </w:t>
      </w:r>
      <w:r>
        <w:rPr>
          <w:rFonts w:ascii="Arial" w:hAnsi="Arial" w:cs="FrankRuehl" w:hint="cs"/>
          <w:szCs w:val="28"/>
          <w:rtl/>
        </w:rPr>
        <w:t>תואמות</w:t>
      </w:r>
      <w:r w:rsidRPr="00134D87">
        <w:rPr>
          <w:rFonts w:ascii="Arial" w:hAnsi="Arial" w:cs="FrankRuehl"/>
          <w:szCs w:val="28"/>
          <w:rtl/>
        </w:rPr>
        <w:t xml:space="preserve"> מילה במילה את </w:t>
      </w:r>
      <w:r>
        <w:rPr>
          <w:rFonts w:ascii="Arial" w:hAnsi="Arial" w:cs="FrankRuehl" w:hint="cs"/>
          <w:szCs w:val="28"/>
          <w:rtl/>
        </w:rPr>
        <w:t>ה</w:t>
      </w:r>
      <w:r w:rsidRPr="00134D87">
        <w:rPr>
          <w:rFonts w:ascii="Arial" w:hAnsi="Arial" w:cs="FrankRuehl"/>
          <w:szCs w:val="28"/>
          <w:rtl/>
        </w:rPr>
        <w:t>נסיבות</w:t>
      </w:r>
      <w:r>
        <w:rPr>
          <w:rFonts w:ascii="Arial" w:hAnsi="Arial" w:cs="FrankRuehl" w:hint="cs"/>
          <w:szCs w:val="28"/>
          <w:rtl/>
        </w:rPr>
        <w:t xml:space="preserve"> תיק זה, </w:t>
      </w:r>
      <w:r w:rsidRPr="00134D87">
        <w:rPr>
          <w:rFonts w:ascii="Arial" w:hAnsi="Arial" w:cs="FrankRuehl"/>
          <w:szCs w:val="28"/>
          <w:rtl/>
        </w:rPr>
        <w:t>ולזכות הנאשם עומדות נסיבות נוספות המצדיקות חריגה המתחם אך בטרם אפרטן אבהיר כי איני סבור כי ניתן ללמוד גזירה שווה מעניין בסל אליו  הפנתה המאשימה ואותו הזכרתי כחלק ממדיניות הענישה לצורך קביעת מתחם עונש הולם.</w:t>
      </w:r>
    </w:p>
    <w:p w14:paraId="6F5810BD" w14:textId="77777777" w:rsidR="00AA2140" w:rsidRPr="00134D87" w:rsidRDefault="00AA2140" w:rsidP="00AA2140">
      <w:pPr>
        <w:tabs>
          <w:tab w:val="left" w:pos="8306"/>
        </w:tabs>
        <w:spacing w:line="360" w:lineRule="auto"/>
        <w:jc w:val="both"/>
        <w:rPr>
          <w:rFonts w:ascii="Arial" w:hAnsi="Arial" w:cs="FrankRuehl"/>
          <w:szCs w:val="28"/>
          <w:rtl/>
        </w:rPr>
      </w:pPr>
    </w:p>
    <w:p w14:paraId="208717B3" w14:textId="77777777" w:rsidR="00AA2140" w:rsidRPr="00134D87" w:rsidRDefault="00AA2140" w:rsidP="00AA2140">
      <w:pPr>
        <w:tabs>
          <w:tab w:val="left" w:pos="8306"/>
        </w:tabs>
        <w:spacing w:line="360" w:lineRule="auto"/>
        <w:ind w:left="720"/>
        <w:jc w:val="both"/>
        <w:rPr>
          <w:rFonts w:ascii="Arial" w:hAnsi="Arial" w:cs="FrankRuehl"/>
          <w:szCs w:val="28"/>
          <w:rtl/>
        </w:rPr>
      </w:pPr>
      <w:r w:rsidRPr="00134D87">
        <w:rPr>
          <w:rFonts w:ascii="Arial" w:hAnsi="Arial" w:cs="FrankRuehl"/>
          <w:szCs w:val="28"/>
          <w:rtl/>
        </w:rPr>
        <w:t>ככל שמדובר בעונש המתאים יש הבדל משמעותי בין עניין בסל לבין הנאשם, לא רק משום שלבסל היה עבר פלילי,   ההבדל המהותי הוא בעמדת שירות המבחן, באותו מקרה שירות המבחן לא המליץ המלצה טיפולית ובין יתר הנימוקים  שהביא</w:t>
      </w:r>
      <w:r>
        <w:rPr>
          <w:rFonts w:ascii="Arial" w:hAnsi="Arial" w:cs="FrankRuehl" w:hint="cs"/>
          <w:szCs w:val="28"/>
          <w:rtl/>
        </w:rPr>
        <w:t>ו</w:t>
      </w:r>
      <w:r w:rsidRPr="00134D87">
        <w:rPr>
          <w:rFonts w:ascii="Arial" w:hAnsi="Arial" w:cs="FrankRuehl"/>
          <w:szCs w:val="28"/>
          <w:rtl/>
        </w:rPr>
        <w:t xml:space="preserve"> להחמרה בעונשו על ידי בית המשפט העליון </w:t>
      </w:r>
      <w:r>
        <w:rPr>
          <w:rFonts w:ascii="Arial" w:hAnsi="Arial" w:cs="FrankRuehl" w:hint="cs"/>
          <w:szCs w:val="28"/>
          <w:rtl/>
        </w:rPr>
        <w:t>נקבע כך:</w:t>
      </w:r>
      <w:r w:rsidRPr="00134D87">
        <w:rPr>
          <w:rFonts w:ascii="Arial" w:hAnsi="Arial" w:cs="FrankRuehl"/>
          <w:szCs w:val="28"/>
          <w:rtl/>
        </w:rPr>
        <w:t xml:space="preserve">  </w:t>
      </w:r>
    </w:p>
    <w:p w14:paraId="79A4FD60" w14:textId="77777777" w:rsidR="00AA2140" w:rsidRPr="00134D87" w:rsidRDefault="00AA2140" w:rsidP="00AA2140">
      <w:pPr>
        <w:tabs>
          <w:tab w:val="left" w:pos="800"/>
        </w:tabs>
        <w:overflowPunct w:val="0"/>
        <w:adjustRightInd w:val="0"/>
        <w:ind w:left="1440" w:right="1134"/>
        <w:jc w:val="both"/>
        <w:rPr>
          <w:rFonts w:ascii="Arial TUR" w:hAnsi="Arial TUR" w:cs="FrankRuehl"/>
          <w:spacing w:val="10"/>
          <w:sz w:val="28"/>
          <w:szCs w:val="28"/>
          <w:rtl/>
        </w:rPr>
      </w:pPr>
      <w:r w:rsidRPr="00134D87">
        <w:rPr>
          <w:rFonts w:ascii="Arial TUR" w:hAnsi="Arial TUR" w:cs="FrankRuehl"/>
          <w:spacing w:val="10"/>
          <w:sz w:val="28"/>
          <w:szCs w:val="28"/>
          <w:rtl/>
        </w:rPr>
        <w:t>"גם נסיבותיו האישיות של בסל אינן מצדיקות את העונש הקל שהושת עליו, בשים לב לכך שתסקיר שירות המבחן והתסקיר המשלים שהובא לעיוננו אינם מלמדים על קבלת אחריות אלא דווקא על הטלתה על אחרים. בהקשר זה אציין כי איני רואה בעין יפה את הטענה לפיה יש להקל בעונש משום שהמעשה נעשה בשל 'חוסר נעימות'. היגררות למעשים עברייניים, המסכנים את שלום הציבור וביטחונו, בשל תחושת חוסר נעימות כלפי הסובבים – הינה התנהגות שיש למנעה באופן החלטי, בין היתר באמצעות קביעת עונש מרתיע שיהא בכוחו להוות משקל נגדי לאותו לחץ חברתי או משפחתי. לפיכך, אין מנוס מן המסקנה כי העונש שנגזר על בסל חורג לקולא מן העונש ההולם, באופן המצדיק את התערבותה של ערכאת הערעור".</w:t>
      </w:r>
    </w:p>
    <w:p w14:paraId="4999336D" w14:textId="77777777" w:rsidR="00AA2140" w:rsidRPr="00134D87" w:rsidRDefault="00AA2140" w:rsidP="00AA2140">
      <w:pPr>
        <w:tabs>
          <w:tab w:val="left" w:pos="800"/>
        </w:tabs>
        <w:overflowPunct w:val="0"/>
        <w:adjustRightInd w:val="0"/>
        <w:spacing w:line="360" w:lineRule="auto"/>
        <w:ind w:left="1440" w:right="1134"/>
        <w:jc w:val="both"/>
        <w:rPr>
          <w:rFonts w:ascii="Arial TUR" w:hAnsi="Arial TUR" w:cs="FrankRuehl"/>
          <w:spacing w:val="10"/>
          <w:sz w:val="28"/>
          <w:szCs w:val="28"/>
          <w:rtl/>
        </w:rPr>
      </w:pPr>
    </w:p>
    <w:p w14:paraId="1556B7A3" w14:textId="77777777" w:rsidR="00AA2140"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r w:rsidRPr="00134D87">
        <w:rPr>
          <w:rFonts w:ascii="Arial TUR" w:hAnsi="Arial TUR" w:cs="FrankRuehl"/>
          <w:spacing w:val="10"/>
          <w:sz w:val="28"/>
          <w:szCs w:val="28"/>
          <w:rtl/>
        </w:rPr>
        <w:t>זה השלב לשוב ולסקור את תוכנו של תסקיר שירות המבחן שמציג תמונה שונה לחלוטין  מעני</w:t>
      </w:r>
      <w:r>
        <w:rPr>
          <w:rFonts w:ascii="Arial TUR" w:hAnsi="Arial TUR" w:cs="FrankRuehl" w:hint="cs"/>
          <w:spacing w:val="10"/>
          <w:sz w:val="28"/>
          <w:szCs w:val="28"/>
          <w:rtl/>
        </w:rPr>
        <w:t>י</w:t>
      </w:r>
      <w:r w:rsidRPr="00134D87">
        <w:rPr>
          <w:rFonts w:ascii="Arial TUR" w:hAnsi="Arial TUR" w:cs="FrankRuehl"/>
          <w:spacing w:val="10"/>
          <w:sz w:val="28"/>
          <w:szCs w:val="28"/>
          <w:rtl/>
        </w:rPr>
        <w:t>ן בסל.</w:t>
      </w:r>
    </w:p>
    <w:p w14:paraId="3ACFB64A" w14:textId="77777777" w:rsidR="00AA2140" w:rsidRPr="00134D87"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p>
    <w:p w14:paraId="4D911910" w14:textId="77777777" w:rsidR="00AA2140" w:rsidRPr="00134D87"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r w:rsidRPr="00134D87">
        <w:rPr>
          <w:rFonts w:ascii="Arial TUR" w:hAnsi="Arial TUR" w:cs="FrankRuehl"/>
          <w:spacing w:val="10"/>
          <w:sz w:val="28"/>
          <w:szCs w:val="28"/>
          <w:rtl/>
        </w:rPr>
        <w:t xml:space="preserve">שירותך המבחן המליץ על מסגרת שיקומית משום שלהערכתו הנאשם מתאים להשתלבות בטיפול לשם הרחבת ההתבוננות האישית שלו בגורמים והמניעים לביצוע  העבירה, טיפול שעשוי להוביל להפחתת סיכון להישנות התנהגות עוברת חוק.  עוד התרשמה קצינת המבחן כי לנאשם אין דפוסים עבריינים מושרשים ויש ביטוי לשינוי חיובי לכיוון שיקומי גם בתובנות של הנאשם. </w:t>
      </w:r>
    </w:p>
    <w:p w14:paraId="527B4F08" w14:textId="77777777" w:rsidR="00AA2140"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r w:rsidRPr="00134D87">
        <w:rPr>
          <w:rFonts w:ascii="Arial TUR" w:hAnsi="Arial TUR" w:cs="FrankRuehl"/>
          <w:spacing w:val="10"/>
          <w:sz w:val="28"/>
          <w:szCs w:val="28"/>
          <w:rtl/>
        </w:rPr>
        <w:t xml:space="preserve">בשלב המעצר שירות המבחן לא המליץ </w:t>
      </w:r>
      <w:r>
        <w:rPr>
          <w:rFonts w:ascii="Arial TUR" w:hAnsi="Arial TUR" w:cs="FrankRuehl" w:hint="cs"/>
          <w:spacing w:val="10"/>
          <w:sz w:val="28"/>
          <w:szCs w:val="28"/>
          <w:rtl/>
        </w:rPr>
        <w:t>ע</w:t>
      </w:r>
      <w:r w:rsidRPr="00134D87">
        <w:rPr>
          <w:rFonts w:ascii="Arial TUR" w:hAnsi="Arial TUR" w:cs="FrankRuehl"/>
          <w:spacing w:val="10"/>
          <w:sz w:val="28"/>
          <w:szCs w:val="28"/>
          <w:rtl/>
        </w:rPr>
        <w:t>ל</w:t>
      </w:r>
      <w:r>
        <w:rPr>
          <w:rFonts w:ascii="Arial TUR" w:hAnsi="Arial TUR" w:cs="FrankRuehl" w:hint="cs"/>
          <w:spacing w:val="10"/>
          <w:sz w:val="28"/>
          <w:szCs w:val="28"/>
          <w:rtl/>
        </w:rPr>
        <w:t xml:space="preserve"> </w:t>
      </w:r>
      <w:r w:rsidRPr="00134D87">
        <w:rPr>
          <w:rFonts w:ascii="Arial TUR" w:hAnsi="Arial TUR" w:cs="FrankRuehl"/>
          <w:spacing w:val="10"/>
          <w:sz w:val="28"/>
          <w:szCs w:val="28"/>
          <w:rtl/>
        </w:rPr>
        <w:t>שחרור לחלופת מעצר בשל התרשמות מפער בין אורח חייו של הנאשם לבין העבירה המיוחסת לו וכעת לאחר שחלפו כ-5 חודשים זיהתה קצינת  המבחן שינוי ניכר בעמדותיו של הנאשם והי</w:t>
      </w:r>
      <w:r>
        <w:rPr>
          <w:rFonts w:ascii="Arial TUR" w:hAnsi="Arial TUR" w:cs="FrankRuehl" w:hint="cs"/>
          <w:spacing w:val="10"/>
          <w:sz w:val="28"/>
          <w:szCs w:val="28"/>
          <w:rtl/>
        </w:rPr>
        <w:t>ו</w:t>
      </w:r>
      <w:r w:rsidRPr="00134D87">
        <w:rPr>
          <w:rFonts w:ascii="Arial TUR" w:hAnsi="Arial TUR" w:cs="FrankRuehl"/>
          <w:spacing w:val="10"/>
          <w:sz w:val="28"/>
          <w:szCs w:val="28"/>
          <w:rtl/>
        </w:rPr>
        <w:t>ם יש לו יכולת התבוננות ביקורתית על התנהגותו</w:t>
      </w:r>
      <w:r>
        <w:rPr>
          <w:rFonts w:ascii="Arial TUR" w:hAnsi="Arial TUR" w:cs="FrankRuehl" w:hint="cs"/>
          <w:spacing w:val="10"/>
          <w:sz w:val="28"/>
          <w:szCs w:val="28"/>
          <w:rtl/>
        </w:rPr>
        <w:t xml:space="preserve">. </w:t>
      </w:r>
    </w:p>
    <w:p w14:paraId="5F93C60A" w14:textId="77777777" w:rsidR="00AA2140"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p>
    <w:p w14:paraId="43214932" w14:textId="77777777" w:rsidR="00AA2140" w:rsidRPr="00134D87"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r w:rsidRPr="00134D87">
        <w:rPr>
          <w:rFonts w:ascii="Arial TUR" w:hAnsi="Arial TUR" w:cs="FrankRuehl"/>
          <w:spacing w:val="10"/>
          <w:sz w:val="28"/>
          <w:szCs w:val="28"/>
          <w:rtl/>
        </w:rPr>
        <w:t>אני סבור כי יש לעודד ולתמוך בכיוון חיובי זה בדרך של אימוץ המלצות שירות המבחן תוך הבהרה לנאשם מהותו של צו מבחן והיכולת לשוב ולגזור את דינו במסגרת המתחם שקבעתי.</w:t>
      </w:r>
    </w:p>
    <w:p w14:paraId="6F01DBA7" w14:textId="77777777" w:rsidR="00AA2140" w:rsidRPr="00134D87" w:rsidRDefault="00AA2140" w:rsidP="00AA2140">
      <w:pPr>
        <w:tabs>
          <w:tab w:val="left" w:pos="800"/>
        </w:tabs>
        <w:overflowPunct w:val="0"/>
        <w:adjustRightInd w:val="0"/>
        <w:spacing w:line="360" w:lineRule="auto"/>
        <w:ind w:left="720" w:right="142"/>
        <w:jc w:val="both"/>
        <w:rPr>
          <w:rFonts w:ascii="Arial TUR" w:hAnsi="Arial TUR" w:cs="FrankRuehl"/>
          <w:spacing w:val="10"/>
          <w:sz w:val="28"/>
          <w:szCs w:val="28"/>
          <w:rtl/>
        </w:rPr>
      </w:pPr>
    </w:p>
    <w:p w14:paraId="3554835D" w14:textId="77777777" w:rsidR="00AA2140" w:rsidRPr="00134D87" w:rsidRDefault="00AA2140" w:rsidP="00AA2140">
      <w:pPr>
        <w:spacing w:line="360" w:lineRule="auto"/>
        <w:ind w:left="720"/>
        <w:jc w:val="both"/>
        <w:rPr>
          <w:rFonts w:ascii="Arial" w:hAnsi="Arial" w:cs="FrankRuehl"/>
          <w:szCs w:val="28"/>
          <w:rtl/>
        </w:rPr>
      </w:pPr>
      <w:r w:rsidRPr="00134D87">
        <w:rPr>
          <w:rFonts w:ascii="Arial" w:hAnsi="Arial" w:cs="FrankRuehl"/>
          <w:sz w:val="28"/>
          <w:szCs w:val="28"/>
          <w:rtl/>
        </w:rPr>
        <w:t>חשוב להדגיש כי הנאשם בן 24 מעולם לא ביצע עבירות, הוא לא הורשע וגם לא נפתחו נגדו תיקי מב"ד אחרים.</w:t>
      </w:r>
      <w:r w:rsidRPr="00134D87">
        <w:rPr>
          <w:rFonts w:ascii="Arial" w:hAnsi="Arial" w:cs="FrankRuehl"/>
          <w:szCs w:val="28"/>
          <w:rtl/>
        </w:rPr>
        <w:t xml:space="preserve"> אין ראיה כל שהיא בחומר החקירה על כוונת הנאשם לעשות שימוש בנשק.</w:t>
      </w:r>
    </w:p>
    <w:p w14:paraId="06405DA2" w14:textId="77777777" w:rsidR="00AA2140" w:rsidRPr="00134D87" w:rsidRDefault="00AA2140" w:rsidP="00AA2140">
      <w:pPr>
        <w:tabs>
          <w:tab w:val="left" w:pos="800"/>
        </w:tabs>
        <w:overflowPunct w:val="0"/>
        <w:adjustRightInd w:val="0"/>
        <w:spacing w:line="360" w:lineRule="auto"/>
        <w:jc w:val="both"/>
        <w:rPr>
          <w:rFonts w:ascii="Arial TUR" w:hAnsi="Arial TUR"/>
          <w:spacing w:val="10"/>
          <w:rtl/>
        </w:rPr>
      </w:pPr>
    </w:p>
    <w:p w14:paraId="6E54B0F8"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8"/>
          <w:szCs w:val="28"/>
          <w:rtl/>
        </w:rPr>
      </w:pPr>
      <w:r w:rsidRPr="00134D87">
        <w:rPr>
          <w:rFonts w:ascii="Arial TUR" w:hAnsi="Arial TUR" w:cs="FrankRuehl"/>
          <w:spacing w:val="10"/>
          <w:sz w:val="28"/>
          <w:szCs w:val="28"/>
          <w:rtl/>
        </w:rPr>
        <w:t xml:space="preserve">עוד אני סבור כי יש לעודד נאשמים כמו הנאשם שלפניי שנטל אחריות מיד עם מעצרו ועשה זאת גם בפתח המשפט מבלי לבקש מהמאשימה התחשבות או הקלה. </w:t>
      </w:r>
    </w:p>
    <w:p w14:paraId="4215FEDF"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8"/>
          <w:szCs w:val="28"/>
          <w:rtl/>
        </w:rPr>
      </w:pPr>
    </w:p>
    <w:p w14:paraId="60DF96B0" w14:textId="77777777" w:rsidR="00AA2140"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r w:rsidRPr="00134D87">
        <w:rPr>
          <w:rFonts w:ascii="Arial TUR" w:hAnsi="Arial TUR" w:cs="FrankRuehl"/>
          <w:spacing w:val="10"/>
          <w:sz w:val="28"/>
          <w:szCs w:val="28"/>
          <w:rtl/>
        </w:rPr>
        <w:t xml:space="preserve">זה השלב לעבור לבחינת </w:t>
      </w:r>
      <w:r w:rsidRPr="00134D87">
        <w:rPr>
          <w:rFonts w:ascii="Arial TUR" w:hAnsi="Arial TUR" w:cs="FrankRuehl"/>
          <w:spacing w:val="10"/>
          <w:sz w:val="22"/>
          <w:szCs w:val="28"/>
          <w:rtl/>
        </w:rPr>
        <w:t>"התנהגות רשויות אכיפת החוק" במונחי תיקון 113 או טענת הסנגור לקיומה של אכיפה בררנית.</w:t>
      </w:r>
    </w:p>
    <w:p w14:paraId="7CA4CA6E"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p>
    <w:p w14:paraId="58F6DEC3"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r w:rsidRPr="00134D87">
        <w:rPr>
          <w:rFonts w:ascii="Arial TUR" w:hAnsi="Arial TUR" w:cs="FrankRuehl"/>
          <w:spacing w:val="10"/>
          <w:sz w:val="22"/>
          <w:szCs w:val="28"/>
          <w:rtl/>
        </w:rPr>
        <w:t>עיינתי בתיק החקירה ואני סבור כי היו בחומר די ראיות  להעמדה לדין של שני המעורבים הנוספים, איני רואה סיבה להבחנה  בין מאלק שהיה ברכב עם הנאשם, ראה את מסירת המגבת (שבתוכה היה הנשק) והכנסתה לרכב בה נסע. אמנם מאלק להבדיל מהנאשם לא הודה, אך הנאשם הפליל את סאמי ומאליק וניתן היה לשקול להגיש נגדם כתב אישום בנפרד ולהביא את הנאשם כעד תביעה, עוד אזכיר כי בדיקת פרופרינט (מסמך עג) שנעשתה למאלק הראתה כי כפות ידיו היו במגע עת מתכת ראיה נסיבתית שיכולה הי</w:t>
      </w:r>
      <w:r>
        <w:rPr>
          <w:rFonts w:ascii="Arial TUR" w:hAnsi="Arial TUR" w:cs="FrankRuehl" w:hint="cs"/>
          <w:spacing w:val="10"/>
          <w:sz w:val="22"/>
          <w:szCs w:val="28"/>
          <w:rtl/>
        </w:rPr>
        <w:t>י</w:t>
      </w:r>
      <w:r w:rsidRPr="00134D87">
        <w:rPr>
          <w:rFonts w:ascii="Arial TUR" w:hAnsi="Arial TUR" w:cs="FrankRuehl"/>
          <w:spacing w:val="10"/>
          <w:sz w:val="22"/>
          <w:szCs w:val="28"/>
          <w:rtl/>
        </w:rPr>
        <w:t>תה לתמוך ביתר הראיות נגדו ונשאלת השאלה אם המאשימה סברה כי ניתן להרשיע את הנאשם על סמך הודאתו, מדוע לא ניתן לבסס הרשעה דומה של המעורבים הנוספים על סמך עדותו.</w:t>
      </w:r>
    </w:p>
    <w:p w14:paraId="11CCC1F9"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p>
    <w:p w14:paraId="773A2CD8"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r w:rsidRPr="00134D87">
        <w:rPr>
          <w:rFonts w:ascii="Arial TUR" w:hAnsi="Arial TUR" w:cs="FrankRuehl"/>
          <w:spacing w:val="10"/>
          <w:sz w:val="22"/>
          <w:szCs w:val="28"/>
          <w:rtl/>
        </w:rPr>
        <w:t>למרות האמור לעיל חשוב לה</w:t>
      </w:r>
      <w:r>
        <w:rPr>
          <w:rFonts w:ascii="Arial TUR" w:hAnsi="Arial TUR" w:cs="FrankRuehl" w:hint="cs"/>
          <w:spacing w:val="10"/>
          <w:sz w:val="22"/>
          <w:szCs w:val="28"/>
          <w:rtl/>
        </w:rPr>
        <w:t xml:space="preserve">זכיר </w:t>
      </w:r>
      <w:r w:rsidRPr="00134D87">
        <w:rPr>
          <w:rFonts w:ascii="Arial TUR" w:hAnsi="Arial TUR" w:cs="FrankRuehl"/>
          <w:spacing w:val="10"/>
          <w:sz w:val="22"/>
          <w:szCs w:val="28"/>
          <w:rtl/>
        </w:rPr>
        <w:t xml:space="preserve">כי </w:t>
      </w:r>
      <w:r>
        <w:rPr>
          <w:rFonts w:ascii="Arial TUR" w:hAnsi="Arial TUR" w:cs="FrankRuehl" w:hint="cs"/>
          <w:spacing w:val="10"/>
          <w:sz w:val="22"/>
          <w:szCs w:val="28"/>
          <w:rtl/>
        </w:rPr>
        <w:t xml:space="preserve">בחינת חומר החקירה </w:t>
      </w:r>
      <w:r w:rsidRPr="00134D87">
        <w:rPr>
          <w:rFonts w:ascii="Arial TUR" w:hAnsi="Arial TUR" w:cs="FrankRuehl"/>
          <w:spacing w:val="10"/>
          <w:sz w:val="22"/>
          <w:szCs w:val="28"/>
          <w:rtl/>
        </w:rPr>
        <w:t xml:space="preserve">נתונה לשיקול </w:t>
      </w:r>
      <w:r>
        <w:rPr>
          <w:rFonts w:ascii="Arial TUR" w:hAnsi="Arial TUR" w:cs="FrankRuehl"/>
          <w:spacing w:val="10"/>
          <w:sz w:val="22"/>
          <w:szCs w:val="28"/>
          <w:rtl/>
        </w:rPr>
        <w:t xml:space="preserve">דעת הפרקליטות ולא מדובר במקרה </w:t>
      </w:r>
      <w:r>
        <w:rPr>
          <w:rFonts w:ascii="Arial TUR" w:hAnsi="Arial TUR" w:cs="FrankRuehl" w:hint="cs"/>
          <w:spacing w:val="10"/>
          <w:sz w:val="22"/>
          <w:szCs w:val="28"/>
          <w:rtl/>
        </w:rPr>
        <w:t>זה</w:t>
      </w:r>
      <w:r w:rsidRPr="00134D87">
        <w:rPr>
          <w:rFonts w:ascii="Arial TUR" w:hAnsi="Arial TUR" w:cs="FrankRuehl"/>
          <w:spacing w:val="10"/>
          <w:sz w:val="22"/>
          <w:szCs w:val="28"/>
          <w:rtl/>
        </w:rPr>
        <w:t xml:space="preserve"> בהחלטה החורגת ממתחם הסבירות וכמובן שלא הוכח  מניע פסול שהביא להגשת כתב אישום רק נגד הנאשם. ראו לענין זה </w:t>
      </w:r>
      <w:hyperlink r:id="rId30" w:history="1">
        <w:r w:rsidR="00A40BEE" w:rsidRPr="00A40BEE">
          <w:rPr>
            <w:rFonts w:ascii="Arial TUR" w:hAnsi="Arial TUR" w:cs="FrankRuehl"/>
            <w:color w:val="0000FF"/>
            <w:spacing w:val="10"/>
            <w:sz w:val="22"/>
            <w:szCs w:val="28"/>
            <w:u w:val="single"/>
            <w:rtl/>
          </w:rPr>
          <w:t>בר"ש 9951/16</w:t>
        </w:r>
      </w:hyperlink>
      <w:r w:rsidRPr="00134D87">
        <w:rPr>
          <w:rFonts w:ascii="Arial TUR" w:hAnsi="Arial TUR" w:cs="FrankRuehl"/>
          <w:spacing w:val="10"/>
          <w:sz w:val="22"/>
          <w:szCs w:val="28"/>
          <w:rtl/>
        </w:rPr>
        <w:t xml:space="preserve"> </w:t>
      </w:r>
      <w:r w:rsidRPr="00134D87">
        <w:rPr>
          <w:rFonts w:ascii="Arial TUR" w:hAnsi="Arial TUR" w:cs="Miriam"/>
          <w:spacing w:val="10"/>
          <w:rtl/>
        </w:rPr>
        <w:t>גרין נגד לשכת עורכי הדין</w:t>
      </w:r>
      <w:r w:rsidRPr="00134D87">
        <w:rPr>
          <w:rFonts w:ascii="Arial TUR" w:hAnsi="Arial TUR" w:cs="FrankRuehl"/>
          <w:spacing w:val="10"/>
          <w:sz w:val="22"/>
          <w:szCs w:val="28"/>
          <w:rtl/>
        </w:rPr>
        <w:t xml:space="preserve"> (26.2.2017):</w:t>
      </w:r>
    </w:p>
    <w:p w14:paraId="0DD74DF0" w14:textId="77777777" w:rsidR="00AA2140" w:rsidRPr="00134D87" w:rsidRDefault="00AA2140" w:rsidP="00AA2140">
      <w:pPr>
        <w:overflowPunct w:val="0"/>
        <w:ind w:left="1440" w:right="709" w:firstLine="4"/>
        <w:jc w:val="both"/>
        <w:rPr>
          <w:rFonts w:cs="FrankRuehl"/>
          <w:spacing w:val="10"/>
          <w:sz w:val="28"/>
          <w:szCs w:val="28"/>
          <w:rtl/>
        </w:rPr>
      </w:pPr>
      <w:r w:rsidRPr="00134D87">
        <w:rPr>
          <w:rFonts w:cs="FrankRuehl"/>
          <w:spacing w:val="10"/>
          <w:sz w:val="28"/>
          <w:szCs w:val="28"/>
          <w:rtl/>
        </w:rPr>
        <w:t>"על הטוען להראות כי אכן הבחינו הרשויות בין "מי שהדמיון ביניהם רלוונטי לעניין, במובן זה שהוא מצדיק התייחסות דומה בשאלת הגשתו של כתב אישום", וכן להוכיח ש"בבסיס ההבחנה ניצב מניע פסול, בין אם בדמות שרירותיות, התחשבות בשיקולים שאינם מן העניין, או חלילה שקילת שיקולים שאינם ראויים" (</w:t>
      </w:r>
      <w:hyperlink r:id="rId31" w:history="1">
        <w:r w:rsidR="00A40BEE" w:rsidRPr="00A40BEE">
          <w:rPr>
            <w:rFonts w:cs="FrankRuehl"/>
            <w:color w:val="0000FF"/>
            <w:spacing w:val="10"/>
            <w:sz w:val="28"/>
            <w:szCs w:val="28"/>
            <w:u w:val="single"/>
            <w:rtl/>
          </w:rPr>
          <w:t>ע"פ 3215/07</w:t>
        </w:r>
      </w:hyperlink>
      <w:r w:rsidRPr="00134D87">
        <w:rPr>
          <w:rFonts w:cs="FrankRuehl"/>
          <w:spacing w:val="10"/>
          <w:sz w:val="28"/>
          <w:szCs w:val="28"/>
          <w:rtl/>
        </w:rPr>
        <w:t xml:space="preserve"> </w:t>
      </w:r>
      <w:r w:rsidRPr="00134D87">
        <w:rPr>
          <w:rFonts w:cs="Miriam"/>
          <w:rtl/>
        </w:rPr>
        <w:t>פלוני נ' מדינת ישראל</w:t>
      </w:r>
      <w:r w:rsidRPr="00134D87">
        <w:rPr>
          <w:rFonts w:cs="FrankRuehl"/>
          <w:spacing w:val="10"/>
          <w:sz w:val="28"/>
          <w:szCs w:val="28"/>
          <w:rtl/>
        </w:rPr>
        <w:t xml:space="preserve">, פסקה 37 (2008), מפי השופט </w:t>
      </w:r>
      <w:r w:rsidRPr="00134D87">
        <w:rPr>
          <w:rFonts w:cs="Miriam"/>
          <w:rtl/>
        </w:rPr>
        <w:t>ס' ג'ובראן</w:t>
      </w:r>
      <w:r w:rsidRPr="00134D87">
        <w:rPr>
          <w:rFonts w:cs="FrankRuehl"/>
          <w:spacing w:val="10"/>
          <w:sz w:val="28"/>
          <w:szCs w:val="28"/>
          <w:rtl/>
        </w:rPr>
        <w:t xml:space="preserve">; וראו גם מיכל </w:t>
      </w:r>
      <w:hyperlink r:id="rId32" w:history="1">
        <w:r w:rsidR="00A40BEE" w:rsidRPr="00A40BEE">
          <w:rPr>
            <w:rFonts w:cs="FrankRuehl"/>
            <w:color w:val="0000FF"/>
            <w:spacing w:val="10"/>
            <w:sz w:val="28"/>
            <w:szCs w:val="28"/>
            <w:u w:val="single"/>
            <w:rtl/>
          </w:rPr>
          <w:t>טמיר אכיפה סלקטיבית</w:t>
        </w:r>
      </w:hyperlink>
      <w:r w:rsidRPr="00134D87">
        <w:rPr>
          <w:rFonts w:cs="FrankRuehl"/>
          <w:spacing w:val="10"/>
          <w:sz w:val="28"/>
          <w:szCs w:val="28"/>
          <w:rtl/>
        </w:rPr>
        <w:t xml:space="preserve"> 142–143 (2008)). עינינו הרואות, כי מדובר במשוכה גבוהה, כמתחייב מחומרתה של הטענה, ולא בכדי מתקבלת היא במשורה, כדי שלא יצא חוטא נשכר".</w:t>
      </w:r>
    </w:p>
    <w:p w14:paraId="17D5A038" w14:textId="77777777" w:rsidR="00AA2140" w:rsidRPr="00134D87" w:rsidRDefault="00AA2140" w:rsidP="00AA2140">
      <w:pPr>
        <w:overflowPunct w:val="0"/>
        <w:spacing w:line="360" w:lineRule="auto"/>
        <w:ind w:left="1440" w:right="709" w:firstLine="4"/>
        <w:jc w:val="both"/>
        <w:rPr>
          <w:rFonts w:cs="FrankRuehl"/>
          <w:spacing w:val="10"/>
          <w:sz w:val="28"/>
          <w:szCs w:val="28"/>
          <w:rtl/>
        </w:rPr>
      </w:pPr>
    </w:p>
    <w:p w14:paraId="79704860" w14:textId="77777777" w:rsidR="00AA2140" w:rsidRPr="00134D87" w:rsidRDefault="00AA2140" w:rsidP="00AA2140">
      <w:pPr>
        <w:overflowPunct w:val="0"/>
        <w:spacing w:line="360" w:lineRule="auto"/>
        <w:ind w:right="709"/>
        <w:jc w:val="both"/>
        <w:rPr>
          <w:rFonts w:cs="FrankRuehl"/>
          <w:spacing w:val="10"/>
          <w:sz w:val="28"/>
          <w:szCs w:val="28"/>
          <w:rtl/>
        </w:rPr>
      </w:pPr>
      <w:r w:rsidRPr="00134D87">
        <w:rPr>
          <w:rFonts w:cs="FrankRuehl"/>
          <w:spacing w:val="10"/>
          <w:sz w:val="28"/>
          <w:szCs w:val="28"/>
          <w:rtl/>
        </w:rPr>
        <w:tab/>
        <w:t>משלא הוכח מניע פסול דין הטענה ל</w:t>
      </w:r>
      <w:r>
        <w:rPr>
          <w:rFonts w:cs="FrankRuehl" w:hint="cs"/>
          <w:spacing w:val="10"/>
          <w:sz w:val="28"/>
          <w:szCs w:val="28"/>
          <w:rtl/>
        </w:rPr>
        <w:t>אכיפה בררנית ל</w:t>
      </w:r>
      <w:r w:rsidRPr="00134D87">
        <w:rPr>
          <w:rFonts w:cs="FrankRuehl"/>
          <w:spacing w:val="10"/>
          <w:sz w:val="28"/>
          <w:szCs w:val="28"/>
          <w:rtl/>
        </w:rPr>
        <w:t xml:space="preserve">הידחות. </w:t>
      </w:r>
    </w:p>
    <w:p w14:paraId="63958861" w14:textId="77777777" w:rsidR="00AA2140" w:rsidRPr="00134D87" w:rsidRDefault="00AA2140" w:rsidP="00AA2140">
      <w:pPr>
        <w:overflowPunct w:val="0"/>
        <w:spacing w:line="360" w:lineRule="auto"/>
        <w:ind w:right="709"/>
        <w:jc w:val="both"/>
        <w:rPr>
          <w:rFonts w:cs="Times New Roman"/>
          <w:sz w:val="20"/>
          <w:szCs w:val="20"/>
          <w:rtl/>
        </w:rPr>
      </w:pPr>
    </w:p>
    <w:p w14:paraId="7A9DD4AA" w14:textId="77777777" w:rsidR="00AA2140" w:rsidRPr="00134D87" w:rsidRDefault="00AA2140" w:rsidP="00AA2140">
      <w:pPr>
        <w:overflowPunct w:val="0"/>
        <w:spacing w:line="360" w:lineRule="auto"/>
        <w:ind w:left="720"/>
        <w:rPr>
          <w:rFonts w:cs="FrankRuehl"/>
          <w:sz w:val="28"/>
          <w:szCs w:val="28"/>
          <w:rtl/>
        </w:rPr>
      </w:pPr>
      <w:r w:rsidRPr="00134D87">
        <w:rPr>
          <w:rFonts w:cs="FrankRuehl"/>
          <w:sz w:val="28"/>
          <w:szCs w:val="28"/>
          <w:rtl/>
        </w:rPr>
        <w:t xml:space="preserve">בטרם סיום אציין </w:t>
      </w:r>
      <w:r w:rsidR="00A40BEE">
        <w:rPr>
          <w:rFonts w:cs="FrankRuehl"/>
          <w:sz w:val="28"/>
          <w:szCs w:val="28"/>
          <w:rtl/>
        </w:rPr>
        <w:t xml:space="preserve"> </w:t>
      </w:r>
      <w:r w:rsidRPr="00134D87">
        <w:rPr>
          <w:rFonts w:cs="FrankRuehl"/>
          <w:sz w:val="28"/>
          <w:szCs w:val="28"/>
          <w:rtl/>
        </w:rPr>
        <w:t>כי לא אנכה מתקופת המאסר את  חודש הימים בהם היה הנאשם עצור מאחר ואני סבור כי יש חשיבות כחלק מהשיקום כי הנאשם יבצע את עבודות השירות במהלך התקופה המלאה על פי החוק.</w:t>
      </w:r>
    </w:p>
    <w:p w14:paraId="13F47F63" w14:textId="77777777" w:rsidR="00AA2140" w:rsidRPr="00134D87" w:rsidRDefault="00AA2140" w:rsidP="00AA2140">
      <w:pPr>
        <w:tabs>
          <w:tab w:val="left" w:pos="800"/>
        </w:tabs>
        <w:overflowPunct w:val="0"/>
        <w:adjustRightInd w:val="0"/>
        <w:spacing w:line="360" w:lineRule="auto"/>
        <w:ind w:left="720"/>
        <w:jc w:val="both"/>
        <w:rPr>
          <w:rFonts w:ascii="Arial TUR" w:hAnsi="Arial TUR" w:cs="FrankRuehl"/>
          <w:spacing w:val="10"/>
          <w:sz w:val="22"/>
          <w:szCs w:val="28"/>
          <w:rtl/>
        </w:rPr>
      </w:pPr>
    </w:p>
    <w:p w14:paraId="25C7B5BC" w14:textId="77777777" w:rsidR="00AA2140" w:rsidRPr="00134D87" w:rsidRDefault="00AA2140" w:rsidP="00AA2140">
      <w:pPr>
        <w:spacing w:line="360" w:lineRule="auto"/>
        <w:ind w:left="360" w:firstLine="360"/>
        <w:jc w:val="both"/>
        <w:rPr>
          <w:rFonts w:ascii="Arial" w:hAnsi="Arial" w:cs="Miriam"/>
        </w:rPr>
      </w:pPr>
      <w:r w:rsidRPr="00134D87">
        <w:rPr>
          <w:rFonts w:ascii="Arial" w:hAnsi="Arial" w:cs="Miriam"/>
          <w:rtl/>
        </w:rPr>
        <w:t>סיכום</w:t>
      </w:r>
    </w:p>
    <w:p w14:paraId="7993ACAF" w14:textId="77777777" w:rsidR="00AA2140" w:rsidRPr="00134D87" w:rsidRDefault="00AA2140" w:rsidP="00AA2140">
      <w:pPr>
        <w:spacing w:line="360" w:lineRule="auto"/>
        <w:ind w:left="360" w:firstLine="360"/>
        <w:jc w:val="both"/>
        <w:rPr>
          <w:rFonts w:ascii="Arial" w:hAnsi="Arial" w:cs="FrankRuehl"/>
          <w:szCs w:val="28"/>
        </w:rPr>
      </w:pPr>
      <w:r w:rsidRPr="00134D87">
        <w:rPr>
          <w:rFonts w:ascii="Arial" w:hAnsi="Arial" w:cs="FrankRuehl"/>
          <w:szCs w:val="28"/>
          <w:rtl/>
        </w:rPr>
        <w:t>לאור האמור לעיל אני דן את הנאשם לעונשים הבאים:</w:t>
      </w:r>
    </w:p>
    <w:p w14:paraId="3154A90A" w14:textId="77777777" w:rsidR="00AA2140" w:rsidRPr="00175F3F" w:rsidRDefault="00AA2140" w:rsidP="00AA2140">
      <w:pPr>
        <w:pStyle w:val="ListParagraph"/>
        <w:numPr>
          <w:ilvl w:val="0"/>
          <w:numId w:val="2"/>
        </w:numPr>
        <w:spacing w:line="360" w:lineRule="auto"/>
        <w:jc w:val="both"/>
      </w:pPr>
      <w:r w:rsidRPr="00175F3F">
        <w:rPr>
          <w:u w:val="single"/>
          <w:rtl/>
        </w:rPr>
        <w:t>6</w:t>
      </w:r>
      <w:r w:rsidRPr="00175F3F">
        <w:rPr>
          <w:rtl/>
        </w:rPr>
        <w:t xml:space="preserve"> חודשי מאסר  בפועל בהם יישא הנאשם  בדרך של עבודות שירות</w:t>
      </w:r>
      <w:r>
        <w:rPr>
          <w:rFonts w:hint="cs"/>
          <w:rtl/>
        </w:rPr>
        <w:t xml:space="preserve">. </w:t>
      </w:r>
      <w:r w:rsidRPr="00175F3F">
        <w:rPr>
          <w:rtl/>
        </w:rPr>
        <w:t>מתקופת המאסר לא ינוכו ימי המעצר.</w:t>
      </w:r>
    </w:p>
    <w:p w14:paraId="17E5BB07" w14:textId="77777777" w:rsidR="00AA2140" w:rsidRPr="00175F3F" w:rsidRDefault="00AA2140" w:rsidP="00AA2140">
      <w:pPr>
        <w:pStyle w:val="ListParagraph"/>
        <w:numPr>
          <w:ilvl w:val="0"/>
          <w:numId w:val="2"/>
        </w:numPr>
        <w:spacing w:line="360" w:lineRule="auto"/>
        <w:jc w:val="both"/>
      </w:pPr>
      <w:r w:rsidRPr="00175F3F">
        <w:rPr>
          <w:u w:val="single"/>
          <w:rtl/>
        </w:rPr>
        <w:t xml:space="preserve">4 </w:t>
      </w:r>
      <w:r w:rsidRPr="00175F3F">
        <w:rPr>
          <w:rtl/>
        </w:rPr>
        <w:t xml:space="preserve"> חודשי מאסר על תנאי. הנאשם לא ישא את עונש המאסר על  תנאי </w:t>
      </w:r>
      <w:r w:rsidRPr="00175F3F">
        <w:rPr>
          <w:rFonts w:cs="Times New Roman"/>
          <w:sz w:val="26"/>
          <w:szCs w:val="26"/>
          <w:rtl/>
        </w:rPr>
        <w:t xml:space="preserve">אלא אם יעבור תוך שלוש שנים עבירה בנשק שהיא עוון ויורשע בשל עבירה כזאת תוך תקופת התנאי או לאחריה. </w:t>
      </w:r>
    </w:p>
    <w:p w14:paraId="6344BF93" w14:textId="77777777" w:rsidR="00AA2140" w:rsidRPr="00175F3F" w:rsidRDefault="00AA2140" w:rsidP="00AA2140">
      <w:pPr>
        <w:pStyle w:val="ListParagraph"/>
        <w:numPr>
          <w:ilvl w:val="0"/>
          <w:numId w:val="2"/>
        </w:numPr>
        <w:spacing w:line="360" w:lineRule="auto"/>
        <w:jc w:val="both"/>
      </w:pPr>
      <w:r>
        <w:rPr>
          <w:rFonts w:hint="cs"/>
          <w:u w:val="single"/>
          <w:rtl/>
        </w:rPr>
        <w:t xml:space="preserve">8 </w:t>
      </w:r>
      <w:r w:rsidRPr="00175F3F">
        <w:rPr>
          <w:rtl/>
        </w:rPr>
        <w:t xml:space="preserve">חודשי מאסר על תנאי. הנאשם לא ישא את עונש המאסר על  תנאי </w:t>
      </w:r>
      <w:r w:rsidRPr="00175F3F">
        <w:rPr>
          <w:rFonts w:cs="Times New Roman"/>
          <w:sz w:val="26"/>
          <w:szCs w:val="26"/>
          <w:rtl/>
        </w:rPr>
        <w:t xml:space="preserve">אלא אם יעבור תוך שלוש שנים עבירה בנשק שהיא פשע ויורשע בשל עבירה כזאת תוך תקופת התנאי או לאחריה. </w:t>
      </w:r>
    </w:p>
    <w:p w14:paraId="5F7667E8" w14:textId="77777777" w:rsidR="00AA2140" w:rsidRDefault="00AA2140" w:rsidP="00AA2140">
      <w:pPr>
        <w:spacing w:line="360" w:lineRule="auto"/>
        <w:jc w:val="both"/>
        <w:rPr>
          <w:rFonts w:ascii="Arial" w:hAnsi="Arial" w:cs="FrankRuehl"/>
          <w:sz w:val="28"/>
          <w:szCs w:val="28"/>
          <w:rtl/>
        </w:rPr>
      </w:pPr>
    </w:p>
    <w:p w14:paraId="5C7D12A2" w14:textId="77777777" w:rsidR="00AA2140" w:rsidRPr="00134D87" w:rsidRDefault="00AA2140" w:rsidP="00AA2140">
      <w:pPr>
        <w:spacing w:line="360" w:lineRule="auto"/>
        <w:ind w:left="720"/>
        <w:jc w:val="both"/>
        <w:rPr>
          <w:sz w:val="28"/>
          <w:szCs w:val="28"/>
        </w:rPr>
      </w:pPr>
      <w:r w:rsidRPr="00134D87">
        <w:rPr>
          <w:rFonts w:ascii="Arial" w:hAnsi="Arial" w:cs="FrankRuehl"/>
          <w:sz w:val="28"/>
          <w:szCs w:val="28"/>
          <w:rtl/>
        </w:rPr>
        <w:t xml:space="preserve">הנאשם יתייצב לצורך קליטה והצבה </w:t>
      </w:r>
      <w:r w:rsidRPr="004D64DF">
        <w:rPr>
          <w:rFonts w:ascii="Arial" w:hAnsi="Arial" w:cs="FrankRuehl"/>
          <w:sz w:val="28"/>
          <w:szCs w:val="28"/>
          <w:rtl/>
        </w:rPr>
        <w:t xml:space="preserve">ביום </w:t>
      </w:r>
      <w:r>
        <w:rPr>
          <w:rFonts w:ascii="Arial" w:hAnsi="Arial" w:cs="FrankRuehl" w:hint="cs"/>
          <w:sz w:val="28"/>
          <w:szCs w:val="28"/>
          <w:rtl/>
        </w:rPr>
        <w:t xml:space="preserve">12.7.2017 </w:t>
      </w:r>
      <w:r w:rsidRPr="00134D87">
        <w:rPr>
          <w:rFonts w:ascii="Arial" w:hAnsi="Arial" w:cs="FrankRuehl"/>
          <w:sz w:val="28"/>
          <w:szCs w:val="28"/>
          <w:rtl/>
        </w:rPr>
        <w:t xml:space="preserve"> שעה 8:00, ביחידת עבודות השירות, מפקדת מחוז צפון,</w:t>
      </w:r>
      <w:r w:rsidR="00A40BEE">
        <w:rPr>
          <w:rFonts w:ascii="Arial" w:hAnsi="Arial" w:cs="FrankRuehl"/>
          <w:sz w:val="28"/>
          <w:szCs w:val="28"/>
          <w:rtl/>
        </w:rPr>
        <w:t xml:space="preserve"> </w:t>
      </w:r>
      <w:r w:rsidRPr="00134D87">
        <w:rPr>
          <w:rFonts w:ascii="Arial" w:hAnsi="Arial" w:cs="FrankRuehl"/>
          <w:sz w:val="28"/>
          <w:szCs w:val="28"/>
          <w:rtl/>
        </w:rPr>
        <w:t xml:space="preserve"> המצויה במתחם תחנת משטרת טבריה בכתובת: דרך הציונות 14 טבריה. 04-6728405, 04-6728421, 08-9775099. </w:t>
      </w:r>
    </w:p>
    <w:p w14:paraId="4540CB82" w14:textId="77777777" w:rsidR="00AA2140" w:rsidRPr="00134D87" w:rsidRDefault="00AA2140" w:rsidP="00AA2140">
      <w:pPr>
        <w:spacing w:line="360" w:lineRule="auto"/>
        <w:ind w:left="720"/>
        <w:contextualSpacing/>
        <w:jc w:val="both"/>
        <w:rPr>
          <w:rFonts w:ascii="Arial" w:hAnsi="Arial" w:cs="FrankRuehl"/>
          <w:sz w:val="28"/>
          <w:szCs w:val="28"/>
        </w:rPr>
      </w:pPr>
      <w:r w:rsidRPr="004D64DF">
        <w:rPr>
          <w:rFonts w:ascii="Arial" w:hAnsi="Arial" w:cs="FrankRuehl"/>
          <w:sz w:val="28"/>
          <w:szCs w:val="28"/>
          <w:rtl/>
        </w:rPr>
        <w:t>העבודות יבוצעו</w:t>
      </w:r>
      <w:r>
        <w:rPr>
          <w:rFonts w:ascii="Arial" w:hAnsi="Arial" w:cs="FrankRuehl" w:hint="cs"/>
          <w:sz w:val="28"/>
          <w:szCs w:val="28"/>
          <w:rtl/>
        </w:rPr>
        <w:t xml:space="preserve"> בעמותת חכמה, ידע, לב חם ברחוב רוטשילד 38 חדרה. </w:t>
      </w:r>
      <w:r w:rsidRPr="004D64DF">
        <w:rPr>
          <w:rFonts w:ascii="Arial" w:hAnsi="Arial" w:cs="FrankRuehl"/>
          <w:sz w:val="28"/>
          <w:szCs w:val="28"/>
          <w:rtl/>
        </w:rPr>
        <w:t xml:space="preserve">הבהרתי לנאשם כי מדובר בתנאי העסקה קפדניים </w:t>
      </w:r>
      <w:r>
        <w:rPr>
          <w:rFonts w:ascii="Arial" w:hAnsi="Arial" w:cs="FrankRuehl" w:hint="cs"/>
          <w:sz w:val="28"/>
          <w:szCs w:val="28"/>
          <w:rtl/>
        </w:rPr>
        <w:t>ובכלל זה נאסר עליו לשתות אלכוהול במהלך העבודה או להגיע בגילופין לעבודה</w:t>
      </w:r>
      <w:r w:rsidRPr="00416294">
        <w:rPr>
          <w:rFonts w:ascii="Arial" w:hAnsi="Arial" w:cs="FrankRuehl"/>
          <w:sz w:val="28"/>
          <w:szCs w:val="28"/>
          <w:rtl/>
        </w:rPr>
        <w:t xml:space="preserve"> </w:t>
      </w:r>
      <w:r w:rsidRPr="004D64DF">
        <w:rPr>
          <w:rFonts w:ascii="Arial" w:hAnsi="Arial" w:cs="FrankRuehl"/>
          <w:sz w:val="28"/>
          <w:szCs w:val="28"/>
          <w:rtl/>
        </w:rPr>
        <w:t>וכל חריגה מכללים</w:t>
      </w:r>
      <w:r w:rsidRPr="00134D87">
        <w:rPr>
          <w:rFonts w:ascii="Arial" w:hAnsi="Arial" w:cs="FrankRuehl"/>
          <w:sz w:val="28"/>
          <w:szCs w:val="28"/>
          <w:rtl/>
        </w:rPr>
        <w:t xml:space="preserve"> אלו</w:t>
      </w:r>
      <w:r>
        <w:rPr>
          <w:rFonts w:ascii="Arial" w:hAnsi="Arial" w:cs="FrankRuehl" w:hint="cs"/>
          <w:sz w:val="28"/>
          <w:szCs w:val="28"/>
          <w:rtl/>
        </w:rPr>
        <w:t xml:space="preserve"> עלולה להביא </w:t>
      </w:r>
      <w:r w:rsidRPr="00134D87">
        <w:rPr>
          <w:rFonts w:ascii="Arial" w:hAnsi="Arial" w:cs="FrankRuehl"/>
          <w:sz w:val="28"/>
          <w:szCs w:val="28"/>
          <w:rtl/>
        </w:rPr>
        <w:t>להפסק</w:t>
      </w:r>
      <w:r>
        <w:rPr>
          <w:rFonts w:ascii="Arial" w:hAnsi="Arial" w:cs="FrankRuehl" w:hint="cs"/>
          <w:sz w:val="28"/>
          <w:szCs w:val="28"/>
          <w:rtl/>
        </w:rPr>
        <w:t xml:space="preserve">ת </w:t>
      </w:r>
      <w:r w:rsidRPr="00134D87">
        <w:rPr>
          <w:rFonts w:ascii="Arial" w:hAnsi="Arial" w:cs="FrankRuehl"/>
          <w:sz w:val="28"/>
          <w:szCs w:val="28"/>
          <w:rtl/>
        </w:rPr>
        <w:t>עבודות השירות ונשיאה ביתרת העונש במאסר בפועל.</w:t>
      </w:r>
    </w:p>
    <w:p w14:paraId="61CC2153" w14:textId="77777777" w:rsidR="00AA2140" w:rsidRPr="00134D87" w:rsidRDefault="00AA2140" w:rsidP="00AA2140">
      <w:pPr>
        <w:spacing w:line="360" w:lineRule="auto"/>
        <w:ind w:left="360"/>
        <w:jc w:val="both"/>
        <w:rPr>
          <w:rFonts w:ascii="Arial" w:hAnsi="Arial" w:cs="Guttman Yad-Brush"/>
        </w:rPr>
      </w:pPr>
    </w:p>
    <w:p w14:paraId="6F276AF4" w14:textId="77777777" w:rsidR="00AA2140" w:rsidRPr="00134D87" w:rsidRDefault="00AA2140" w:rsidP="00AA2140">
      <w:pPr>
        <w:pStyle w:val="ListParagraph"/>
        <w:numPr>
          <w:ilvl w:val="0"/>
          <w:numId w:val="2"/>
        </w:numPr>
        <w:spacing w:line="360" w:lineRule="auto"/>
        <w:jc w:val="both"/>
      </w:pPr>
      <w:r w:rsidRPr="00175F3F">
        <w:rPr>
          <w:rtl/>
        </w:rPr>
        <w:t xml:space="preserve">הנני מעמיד את הנאשם למבחן על פי </w:t>
      </w:r>
      <w:hyperlink r:id="rId33" w:history="1">
        <w:r w:rsidR="00042211" w:rsidRPr="00042211">
          <w:rPr>
            <w:color w:val="0000FF"/>
            <w:u w:val="single"/>
            <w:rtl/>
          </w:rPr>
          <w:t>סעיף 1(ב)</w:t>
        </w:r>
      </w:hyperlink>
      <w:r w:rsidRPr="00175F3F">
        <w:rPr>
          <w:rtl/>
        </w:rPr>
        <w:t xml:space="preserve"> </w:t>
      </w:r>
      <w:r w:rsidRPr="00175F3F">
        <w:rPr>
          <w:rFonts w:cs="Miriam"/>
          <w:szCs w:val="24"/>
          <w:rtl/>
        </w:rPr>
        <w:t>ל</w:t>
      </w:r>
      <w:hyperlink r:id="rId34" w:history="1">
        <w:r w:rsidR="00A40BEE" w:rsidRPr="00A40BEE">
          <w:rPr>
            <w:rFonts w:cs="Miriam"/>
            <w:color w:val="0000FF"/>
            <w:szCs w:val="24"/>
            <w:u w:val="single"/>
            <w:rtl/>
          </w:rPr>
          <w:t>פקודת המבחן</w:t>
        </w:r>
      </w:hyperlink>
      <w:r w:rsidRPr="00175F3F">
        <w:rPr>
          <w:rFonts w:cs="Miriam"/>
          <w:szCs w:val="24"/>
          <w:rtl/>
        </w:rPr>
        <w:t xml:space="preserve"> [נוסח חדש], תשכ"ט-</w:t>
      </w:r>
      <w:r w:rsidRPr="00175F3F">
        <w:rPr>
          <w:rtl/>
        </w:rPr>
        <w:t>1969 למשך 12 חודש מהיום. בתקופת המבחן יעמוד הנאשם לפיקוחו של שירות המבחן וישתף פעולה לשם מימוש התוכניות והמטרות הט</w:t>
      </w:r>
      <w:r>
        <w:rPr>
          <w:rFonts w:hint="cs"/>
          <w:rtl/>
        </w:rPr>
        <w:t>י</w:t>
      </w:r>
      <w:r w:rsidRPr="00175F3F">
        <w:rPr>
          <w:rtl/>
        </w:rPr>
        <w:t>פוליות שייקבעו לגביו ע"י שירות המבחן.</w:t>
      </w:r>
      <w:r>
        <w:rPr>
          <w:rFonts w:hint="cs"/>
          <w:rtl/>
        </w:rPr>
        <w:t xml:space="preserve"> </w:t>
      </w:r>
      <w:r w:rsidRPr="00134D87">
        <w:rPr>
          <w:rtl/>
        </w:rPr>
        <w:t xml:space="preserve">לפני מתן צו המבחן הסברתי לנאשם את משמעותו של צו המבחן והזהרתי אותו שאם לא ימלא אחרי הצו מכל בחינה שהיא או יעבור עבירה נוספת יהיה צפוי לעונש, או להרשעה ועונש, על העבירה שבגללה ניתן הצו והוא הביע את נכונותו למלא אחר הוראות הצו. </w:t>
      </w:r>
    </w:p>
    <w:p w14:paraId="563F11DE" w14:textId="77777777" w:rsidR="00AA2140" w:rsidRPr="00134D87" w:rsidRDefault="00AA2140" w:rsidP="00AA2140">
      <w:pPr>
        <w:spacing w:line="360" w:lineRule="auto"/>
        <w:ind w:left="1440" w:hanging="720"/>
        <w:jc w:val="both"/>
        <w:rPr>
          <w:rFonts w:ascii="Century" w:hAnsi="Century" w:cs="FrankRuehl"/>
          <w:sz w:val="28"/>
          <w:szCs w:val="28"/>
          <w:rtl/>
        </w:rPr>
      </w:pPr>
    </w:p>
    <w:p w14:paraId="4C9D5BF9" w14:textId="77777777" w:rsidR="00AA2140" w:rsidRPr="00175F3F" w:rsidRDefault="00AA2140" w:rsidP="00AA2140">
      <w:pPr>
        <w:spacing w:line="360" w:lineRule="auto"/>
        <w:ind w:left="1440" w:hanging="720"/>
        <w:jc w:val="both"/>
        <w:rPr>
          <w:rFonts w:ascii="Century" w:hAnsi="Century" w:cs="FrankRuehl"/>
          <w:sz w:val="28"/>
          <w:szCs w:val="28"/>
          <w:u w:val="single"/>
          <w:rtl/>
        </w:rPr>
      </w:pP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המזכירות</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תשלח</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העתק</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מגזר</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הדין</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לשירות</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המבחן</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ולממונה</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על</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עבודות</w:t>
      </w:r>
      <w:r w:rsidRPr="00175F3F">
        <w:rPr>
          <w:rFonts w:ascii="Century" w:hAnsi="Century" w:cs="FrankRuehl"/>
          <w:sz w:val="28"/>
          <w:szCs w:val="28"/>
          <w:u w:val="single"/>
          <w:rtl/>
        </w:rPr>
        <w:t xml:space="preserve"> </w:t>
      </w:r>
      <w:r w:rsidRPr="00175F3F">
        <w:rPr>
          <w:rFonts w:ascii="Century" w:hAnsi="Century" w:cs="FrankRuehl" w:hint="eastAsia"/>
          <w:sz w:val="28"/>
          <w:szCs w:val="28"/>
          <w:u w:val="single"/>
          <w:rtl/>
        </w:rPr>
        <w:t>השירות</w:t>
      </w:r>
      <w:r w:rsidRPr="00175F3F">
        <w:rPr>
          <w:rFonts w:ascii="Century" w:hAnsi="Century" w:cs="FrankRuehl"/>
          <w:sz w:val="28"/>
          <w:szCs w:val="28"/>
          <w:u w:val="single"/>
          <w:rtl/>
        </w:rPr>
        <w:t>.</w:t>
      </w:r>
    </w:p>
    <w:p w14:paraId="4BDE2FA1" w14:textId="77777777" w:rsidR="00AA2140" w:rsidRPr="00134D87" w:rsidRDefault="00AA2140" w:rsidP="00AA2140">
      <w:pPr>
        <w:spacing w:line="360" w:lineRule="auto"/>
        <w:ind w:left="720"/>
        <w:jc w:val="both"/>
        <w:rPr>
          <w:rFonts w:ascii="Arial" w:hAnsi="Arial" w:cs="FrankRuehl"/>
          <w:szCs w:val="28"/>
          <w:u w:val="single"/>
        </w:rPr>
      </w:pPr>
      <w:r w:rsidRPr="00134D87">
        <w:rPr>
          <w:rFonts w:ascii="Arial" w:hAnsi="Arial" w:cs="FrankRuehl"/>
          <w:szCs w:val="28"/>
          <w:u w:val="single"/>
          <w:rtl/>
        </w:rPr>
        <w:t>זכות ערעור לבית המשפט העליון תוך 45 יום.</w:t>
      </w:r>
    </w:p>
    <w:p w14:paraId="25D61AF7" w14:textId="77777777" w:rsidR="00AA2140" w:rsidRPr="00134D87" w:rsidRDefault="00AA2140" w:rsidP="00AA2140">
      <w:pPr>
        <w:spacing w:line="360" w:lineRule="auto"/>
        <w:ind w:left="1440" w:hanging="720"/>
        <w:jc w:val="both"/>
        <w:rPr>
          <w:rFonts w:ascii="Arial" w:hAnsi="Arial"/>
          <w:rtl/>
        </w:rPr>
      </w:pPr>
    </w:p>
    <w:p w14:paraId="21D549A7" w14:textId="77777777" w:rsidR="00AA2140" w:rsidRPr="00134D87" w:rsidRDefault="00AA2140" w:rsidP="00AA2140">
      <w:pPr>
        <w:spacing w:line="360" w:lineRule="auto"/>
        <w:ind w:left="1440" w:hanging="720"/>
        <w:jc w:val="both"/>
        <w:rPr>
          <w:rFonts w:ascii="Arial" w:hAnsi="Arial"/>
          <w:rtl/>
        </w:rPr>
      </w:pPr>
    </w:p>
    <w:p w14:paraId="0E774FEE" w14:textId="77777777" w:rsidR="00AA2140" w:rsidRDefault="00A40BEE" w:rsidP="00AA2140">
      <w:pPr>
        <w:spacing w:line="360" w:lineRule="auto"/>
        <w:jc w:val="both"/>
        <w:rPr>
          <w:rFonts w:ascii="Arial" w:hAnsi="Arial"/>
        </w:rPr>
      </w:pPr>
      <w:r w:rsidRPr="00A40BEE">
        <w:rPr>
          <w:rFonts w:ascii="Arial" w:hAnsi="Arial"/>
          <w:color w:val="FFFFFF"/>
          <w:sz w:val="2"/>
          <w:szCs w:val="2"/>
          <w:rtl/>
        </w:rPr>
        <w:t>5129371</w:t>
      </w:r>
      <w:r>
        <w:rPr>
          <w:rFonts w:ascii="Arial" w:hAnsi="Arial"/>
          <w:rtl/>
        </w:rPr>
        <w:t xml:space="preserve">ניתן היום,  י"ג אייר תשע"ז, 09 מאי 2017, בנוכחות ב"כ המאשימה עו"ד אדם סרי,  הסנגור עו"ד </w:t>
      </w:r>
      <w:r w:rsidR="00AA2140">
        <w:rPr>
          <w:rFonts w:ascii="Arial" w:hAnsi="Arial" w:hint="cs"/>
          <w:rtl/>
        </w:rPr>
        <w:t>חמזה יונס והנאשם בעצמו.</w:t>
      </w:r>
    </w:p>
    <w:p w14:paraId="12422326" w14:textId="77777777" w:rsidR="00AA2140" w:rsidRPr="00A40BEE" w:rsidRDefault="00A40BEE" w:rsidP="00AA2140">
      <w:pPr>
        <w:rPr>
          <w:rFonts w:cs="FrankRuehl"/>
          <w:color w:val="FFFFFF"/>
          <w:sz w:val="2"/>
          <w:szCs w:val="2"/>
          <w:rtl/>
        </w:rPr>
      </w:pPr>
      <w:r w:rsidRPr="00A40BEE">
        <w:rPr>
          <w:rFonts w:cs="FrankRuehl"/>
          <w:color w:val="FFFFFF"/>
          <w:sz w:val="2"/>
          <w:szCs w:val="2"/>
          <w:rtl/>
        </w:rPr>
        <w:t>54678313</w:t>
      </w:r>
    </w:p>
    <w:p w14:paraId="0E4B1970" w14:textId="77777777" w:rsidR="00AA2140" w:rsidRDefault="00AA2140" w:rsidP="00AA21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21B8CBD" w14:textId="77777777" w:rsidR="00AA2140" w:rsidRDefault="00AA2140" w:rsidP="00AA2140">
      <w:pPr>
        <w:jc w:val="center"/>
        <w:rPr>
          <w:rFonts w:ascii="Arial" w:hAnsi="Arial" w:cs="FrankRuehl"/>
          <w:sz w:val="28"/>
          <w:szCs w:val="28"/>
          <w:rtl/>
        </w:rPr>
      </w:pPr>
    </w:p>
    <w:p w14:paraId="25F33190" w14:textId="77777777" w:rsidR="00AA2140" w:rsidRDefault="00AA2140" w:rsidP="00AA2140">
      <w:pPr>
        <w:rPr>
          <w:rFonts w:cs="FrankRuehl"/>
          <w:sz w:val="28"/>
          <w:szCs w:val="28"/>
          <w:rtl/>
        </w:rPr>
      </w:pPr>
    </w:p>
    <w:p w14:paraId="7DC1215F" w14:textId="77777777" w:rsidR="00AA2140" w:rsidRDefault="00AA2140" w:rsidP="00AA2140">
      <w:pPr>
        <w:pStyle w:val="a3"/>
        <w:jc w:val="center"/>
        <w:rPr>
          <w:rtl/>
        </w:rPr>
      </w:pPr>
    </w:p>
    <w:p w14:paraId="752A4553" w14:textId="77777777" w:rsidR="00A40BEE" w:rsidRPr="00A40BEE" w:rsidRDefault="00A40BEE" w:rsidP="00A40BEE">
      <w:pPr>
        <w:keepNext/>
        <w:rPr>
          <w:rFonts w:ascii="David" w:hAnsi="David"/>
          <w:color w:val="000000"/>
          <w:sz w:val="22"/>
          <w:szCs w:val="22"/>
          <w:rtl/>
        </w:rPr>
      </w:pPr>
    </w:p>
    <w:p w14:paraId="71B27F41" w14:textId="77777777" w:rsidR="00A40BEE" w:rsidRPr="00A40BEE" w:rsidRDefault="00A40BEE" w:rsidP="00A40BEE">
      <w:pPr>
        <w:keepNext/>
        <w:rPr>
          <w:rFonts w:ascii="David" w:hAnsi="David"/>
          <w:color w:val="000000"/>
          <w:sz w:val="22"/>
          <w:szCs w:val="22"/>
          <w:rtl/>
        </w:rPr>
      </w:pPr>
      <w:r w:rsidRPr="00A40BEE">
        <w:rPr>
          <w:rFonts w:ascii="David" w:hAnsi="David"/>
          <w:color w:val="000000"/>
          <w:sz w:val="22"/>
          <w:szCs w:val="22"/>
          <w:rtl/>
        </w:rPr>
        <w:t>אברהם אליקים 54678313</w:t>
      </w:r>
    </w:p>
    <w:p w14:paraId="67C8D56D" w14:textId="77777777" w:rsidR="00A40BEE" w:rsidRDefault="00A40BEE" w:rsidP="00A40BEE">
      <w:r w:rsidRPr="00A40BEE">
        <w:rPr>
          <w:color w:val="000000"/>
          <w:rtl/>
        </w:rPr>
        <w:t>נוסח מסמך זה כפוף לשינויי ניסוח ועריכה</w:t>
      </w:r>
    </w:p>
    <w:p w14:paraId="1EB09755" w14:textId="77777777" w:rsidR="00A40BEE" w:rsidRDefault="00A40BEE" w:rsidP="00A40BEE">
      <w:pPr>
        <w:rPr>
          <w:rtl/>
        </w:rPr>
      </w:pPr>
    </w:p>
    <w:p w14:paraId="77AA5E75" w14:textId="77777777" w:rsidR="00A40BEE" w:rsidRDefault="00A40BEE" w:rsidP="00A40BE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DF6B2C0" w14:textId="77777777" w:rsidR="00B35717" w:rsidRPr="00A40BEE" w:rsidRDefault="00B35717" w:rsidP="00A40BEE">
      <w:pPr>
        <w:jc w:val="center"/>
        <w:rPr>
          <w:color w:val="0000FF"/>
          <w:u w:val="single"/>
        </w:rPr>
      </w:pPr>
    </w:p>
    <w:sectPr w:rsidR="00B35717" w:rsidRPr="00A40BEE" w:rsidSect="00A40BE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D00CF" w14:textId="77777777" w:rsidR="00DB351E" w:rsidRPr="00766871" w:rsidRDefault="00DB351E">
      <w:pPr>
        <w:rPr>
          <w:rFonts w:cs="Arial"/>
          <w:szCs w:val="20"/>
        </w:rPr>
      </w:pPr>
      <w:r>
        <w:separator/>
      </w:r>
    </w:p>
  </w:endnote>
  <w:endnote w:type="continuationSeparator" w:id="0">
    <w:p w14:paraId="263BE15C" w14:textId="77777777" w:rsidR="00DB351E" w:rsidRPr="00766871" w:rsidRDefault="00DB351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BB3AF" w14:textId="77777777" w:rsidR="00510E67" w:rsidRDefault="00510E67" w:rsidP="00A40B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58E3F1" w14:textId="77777777" w:rsidR="00510E67" w:rsidRPr="00A40BEE" w:rsidRDefault="00510E67" w:rsidP="00A40BEE">
    <w:pPr>
      <w:pStyle w:val="a5"/>
      <w:pBdr>
        <w:top w:val="single" w:sz="4" w:space="1" w:color="auto"/>
        <w:between w:val="single" w:sz="4" w:space="0" w:color="auto"/>
      </w:pBdr>
      <w:spacing w:after="60"/>
      <w:jc w:val="center"/>
      <w:rPr>
        <w:rFonts w:ascii="FrankRuehl" w:hAnsi="FrankRuehl" w:cs="FrankRuehl"/>
        <w:color w:val="000000"/>
      </w:rPr>
    </w:pPr>
    <w:r w:rsidRPr="00A40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9D597" w14:textId="77777777" w:rsidR="00510E67" w:rsidRDefault="00510E67" w:rsidP="00A40B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0A86">
      <w:rPr>
        <w:rFonts w:ascii="FrankRuehl" w:hAnsi="FrankRuehl" w:cs="FrankRuehl"/>
        <w:noProof/>
        <w:rtl/>
      </w:rPr>
      <w:t>1</w:t>
    </w:r>
    <w:r>
      <w:rPr>
        <w:rFonts w:ascii="FrankRuehl" w:hAnsi="FrankRuehl" w:cs="FrankRuehl"/>
        <w:rtl/>
      </w:rPr>
      <w:fldChar w:fldCharType="end"/>
    </w:r>
  </w:p>
  <w:p w14:paraId="5B33CC42" w14:textId="77777777" w:rsidR="00510E67" w:rsidRPr="00A40BEE" w:rsidRDefault="00510E67" w:rsidP="00A40BEE">
    <w:pPr>
      <w:pStyle w:val="a5"/>
      <w:pBdr>
        <w:top w:val="single" w:sz="4" w:space="1" w:color="auto"/>
        <w:between w:val="single" w:sz="4" w:space="0" w:color="auto"/>
      </w:pBdr>
      <w:spacing w:after="60"/>
      <w:jc w:val="center"/>
      <w:rPr>
        <w:rFonts w:ascii="FrankRuehl" w:hAnsi="FrankRuehl" w:cs="FrankRuehl"/>
        <w:color w:val="000000"/>
      </w:rPr>
    </w:pPr>
    <w:r w:rsidRPr="00A40BEE">
      <w:rPr>
        <w:rFonts w:ascii="FrankRuehl" w:hAnsi="FrankRuehl" w:cs="FrankRuehl"/>
        <w:color w:val="000000"/>
      </w:rPr>
      <w:pict w14:anchorId="66210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78FF4" w14:textId="77777777" w:rsidR="00DB351E" w:rsidRPr="00766871" w:rsidRDefault="00DB351E">
      <w:pPr>
        <w:rPr>
          <w:rFonts w:cs="Arial"/>
          <w:szCs w:val="20"/>
        </w:rPr>
      </w:pPr>
      <w:r>
        <w:separator/>
      </w:r>
    </w:p>
  </w:footnote>
  <w:footnote w:type="continuationSeparator" w:id="0">
    <w:p w14:paraId="295D8199" w14:textId="77777777" w:rsidR="00DB351E" w:rsidRPr="00766871" w:rsidRDefault="00DB351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F8D48" w14:textId="77777777" w:rsidR="00510E67" w:rsidRPr="00A40BEE" w:rsidRDefault="00510E67" w:rsidP="00A40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13416-09-16</w:t>
    </w:r>
    <w:r>
      <w:rPr>
        <w:rFonts w:ascii="David" w:hAnsi="David"/>
        <w:color w:val="000000"/>
        <w:sz w:val="22"/>
        <w:szCs w:val="22"/>
        <w:rtl/>
      </w:rPr>
      <w:tab/>
      <w:t xml:space="preserve"> מדינת ישראל נ' מוחמד ג'אלולי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E17A7" w14:textId="77777777" w:rsidR="00510E67" w:rsidRPr="00A40BEE" w:rsidRDefault="00510E67" w:rsidP="00A40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13416-09-16</w:t>
    </w:r>
    <w:r>
      <w:rPr>
        <w:rFonts w:ascii="David" w:hAnsi="David"/>
        <w:color w:val="000000"/>
        <w:sz w:val="22"/>
        <w:szCs w:val="22"/>
        <w:rtl/>
      </w:rPr>
      <w:tab/>
      <w:t xml:space="preserve"> מדינת ישראל נ' מוחמד ג'אלולי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4B66F01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1AB5B1C"/>
    <w:multiLevelType w:val="hybridMultilevel"/>
    <w:tmpl w:val="51E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637283">
    <w:abstractNumId w:val="0"/>
  </w:num>
  <w:num w:numId="2" w16cid:durableId="102459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2140"/>
    <w:rsid w:val="00004B4A"/>
    <w:rsid w:val="000258C6"/>
    <w:rsid w:val="00042211"/>
    <w:rsid w:val="00092DB2"/>
    <w:rsid w:val="000B222D"/>
    <w:rsid w:val="000F3716"/>
    <w:rsid w:val="000F776E"/>
    <w:rsid w:val="001126BF"/>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B0A86"/>
    <w:rsid w:val="004D1A95"/>
    <w:rsid w:val="004D5997"/>
    <w:rsid w:val="004E5161"/>
    <w:rsid w:val="00510E6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35A39"/>
    <w:rsid w:val="00860D56"/>
    <w:rsid w:val="00866CE3"/>
    <w:rsid w:val="00875CAA"/>
    <w:rsid w:val="008760F0"/>
    <w:rsid w:val="008B2C82"/>
    <w:rsid w:val="008D4AF6"/>
    <w:rsid w:val="008E70FE"/>
    <w:rsid w:val="00901DEA"/>
    <w:rsid w:val="00913EC5"/>
    <w:rsid w:val="009313D2"/>
    <w:rsid w:val="00946CA3"/>
    <w:rsid w:val="009A4E50"/>
    <w:rsid w:val="009A720E"/>
    <w:rsid w:val="009B4682"/>
    <w:rsid w:val="00A03304"/>
    <w:rsid w:val="00A24369"/>
    <w:rsid w:val="00A307CD"/>
    <w:rsid w:val="00A40BEE"/>
    <w:rsid w:val="00A472AB"/>
    <w:rsid w:val="00A52B25"/>
    <w:rsid w:val="00A96648"/>
    <w:rsid w:val="00AA2140"/>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1A17"/>
    <w:rsid w:val="00D56203"/>
    <w:rsid w:val="00D807AC"/>
    <w:rsid w:val="00DB351E"/>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ADA3F6"/>
  <w15:chartTrackingRefBased/>
  <w15:docId w15:val="{CCF6FB6F-5CA2-4D25-A548-0873314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214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A2140"/>
    <w:pPr>
      <w:tabs>
        <w:tab w:val="center" w:pos="4153"/>
        <w:tab w:val="right" w:pos="8306"/>
      </w:tabs>
    </w:pPr>
  </w:style>
  <w:style w:type="paragraph" w:styleId="a5">
    <w:name w:val="footer"/>
    <w:basedOn w:val="a"/>
    <w:rsid w:val="00AA2140"/>
    <w:pPr>
      <w:tabs>
        <w:tab w:val="center" w:pos="4153"/>
        <w:tab w:val="right" w:pos="8306"/>
      </w:tabs>
    </w:pPr>
  </w:style>
  <w:style w:type="character" w:styleId="a6">
    <w:name w:val="page number"/>
    <w:basedOn w:val="a0"/>
    <w:rsid w:val="00AA2140"/>
  </w:style>
  <w:style w:type="character" w:customStyle="1" w:styleId="a4">
    <w:name w:val="כותרת עליונה תו"/>
    <w:link w:val="a3"/>
    <w:rsid w:val="00AA2140"/>
    <w:rPr>
      <w:rFonts w:cs="David"/>
      <w:sz w:val="24"/>
      <w:szCs w:val="24"/>
      <w:lang w:val="en-US" w:eastAsia="en-US" w:bidi="he-IL"/>
    </w:rPr>
  </w:style>
  <w:style w:type="paragraph" w:customStyle="1" w:styleId="ListParagraph">
    <w:name w:val="List Paragraph"/>
    <w:basedOn w:val="a"/>
    <w:rsid w:val="00AA2140"/>
    <w:pPr>
      <w:ind w:left="720"/>
      <w:contextualSpacing/>
    </w:pPr>
    <w:rPr>
      <w:rFonts w:ascii="Arial" w:hAnsi="Arial" w:cs="FrankRuehl"/>
      <w:szCs w:val="28"/>
    </w:rPr>
  </w:style>
  <w:style w:type="character" w:styleId="Hyperlink">
    <w:name w:val="Hyperlink"/>
    <w:rsid w:val="00A40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1.b"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1901022" TargetMode="External"/><Relationship Id="rId39" Type="http://schemas.openxmlformats.org/officeDocument/2006/relationships/footer" Target="footer2.xml"/><Relationship Id="rId21" Type="http://schemas.openxmlformats.org/officeDocument/2006/relationships/hyperlink" Target="http://www.nevo.co.il/law/70301/144.a" TargetMode="External"/><Relationship Id="rId34" Type="http://schemas.openxmlformats.org/officeDocument/2006/relationships/hyperlink" Target="http://www.nevo.co.il/law/71553"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1553/1.b" TargetMode="External"/><Relationship Id="rId29" Type="http://schemas.openxmlformats.org/officeDocument/2006/relationships/hyperlink" Target="http://www.nevo.co.il/law/70301/40i"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7947940" TargetMode="External"/><Relationship Id="rId32" Type="http://schemas.openxmlformats.org/officeDocument/2006/relationships/hyperlink" Target="http://www.nevo.co.il/safrut/bookgroup/39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7791493"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law/71553" TargetMode="External"/><Relationship Id="rId31" Type="http://schemas.openxmlformats.org/officeDocument/2006/relationships/hyperlink" Target="http://www.nevo.co.il/case/6212054"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186054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law/71553/1.b"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2542</Words>
  <Characters>12711</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15223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8257634</vt:i4>
      </vt:variant>
      <vt:variant>
        <vt:i4>90</vt:i4>
      </vt:variant>
      <vt:variant>
        <vt:i4>0</vt:i4>
      </vt:variant>
      <vt:variant>
        <vt:i4>5</vt:i4>
      </vt:variant>
      <vt:variant>
        <vt:lpwstr>http://www.nevo.co.il/law/71553</vt:lpwstr>
      </vt:variant>
      <vt:variant>
        <vt:lpwstr/>
      </vt:variant>
      <vt:variant>
        <vt:i4>8323168</vt:i4>
      </vt:variant>
      <vt:variant>
        <vt:i4>87</vt:i4>
      </vt:variant>
      <vt:variant>
        <vt:i4>0</vt:i4>
      </vt:variant>
      <vt:variant>
        <vt:i4>5</vt:i4>
      </vt:variant>
      <vt:variant>
        <vt:lpwstr>http://www.nevo.co.il/law/71553/1.b</vt:lpwstr>
      </vt:variant>
      <vt:variant>
        <vt:lpwstr/>
      </vt:variant>
      <vt:variant>
        <vt:i4>2490401</vt:i4>
      </vt:variant>
      <vt:variant>
        <vt:i4>84</vt:i4>
      </vt:variant>
      <vt:variant>
        <vt:i4>0</vt:i4>
      </vt:variant>
      <vt:variant>
        <vt:i4>5</vt:i4>
      </vt:variant>
      <vt:variant>
        <vt:lpwstr>http://www.nevo.co.il/safrut/bookgroup/393</vt:lpwstr>
      </vt:variant>
      <vt:variant>
        <vt:lpwstr/>
      </vt:variant>
      <vt:variant>
        <vt:i4>3342449</vt:i4>
      </vt:variant>
      <vt:variant>
        <vt:i4>81</vt:i4>
      </vt:variant>
      <vt:variant>
        <vt:i4>0</vt:i4>
      </vt:variant>
      <vt:variant>
        <vt:i4>5</vt:i4>
      </vt:variant>
      <vt:variant>
        <vt:lpwstr>http://www.nevo.co.il/case/6212054</vt:lpwstr>
      </vt:variant>
      <vt:variant>
        <vt:lpwstr/>
      </vt:variant>
      <vt:variant>
        <vt:i4>4063350</vt:i4>
      </vt:variant>
      <vt:variant>
        <vt:i4>78</vt:i4>
      </vt:variant>
      <vt:variant>
        <vt:i4>0</vt:i4>
      </vt:variant>
      <vt:variant>
        <vt:i4>5</vt:i4>
      </vt:variant>
      <vt:variant>
        <vt:lpwstr>http://www.nevo.co.il/case/21860542</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3670133</vt:i4>
      </vt:variant>
      <vt:variant>
        <vt:i4>66</vt:i4>
      </vt:variant>
      <vt:variant>
        <vt:i4>0</vt:i4>
      </vt:variant>
      <vt:variant>
        <vt:i4>5</vt:i4>
      </vt:variant>
      <vt:variant>
        <vt:lpwstr>http://www.nevo.co.il/case/21901022</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3866750</vt:i4>
      </vt:variant>
      <vt:variant>
        <vt:i4>60</vt:i4>
      </vt:variant>
      <vt:variant>
        <vt:i4>0</vt:i4>
      </vt:variant>
      <vt:variant>
        <vt:i4>5</vt:i4>
      </vt:variant>
      <vt:variant>
        <vt:lpwstr>http://www.nevo.co.il/case/17947940</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2490401</vt:i4>
      </vt:variant>
      <vt:variant>
        <vt:i4>48</vt:i4>
      </vt:variant>
      <vt:variant>
        <vt:i4>0</vt:i4>
      </vt:variant>
      <vt:variant>
        <vt:i4>5</vt:i4>
      </vt:variant>
      <vt:variant>
        <vt:lpwstr>http://www.nevo.co.il/safrut/bookgroup/393</vt:lpwstr>
      </vt:variant>
      <vt:variant>
        <vt:lpwstr/>
      </vt:variant>
      <vt:variant>
        <vt:i4>2490401</vt:i4>
      </vt:variant>
      <vt:variant>
        <vt:i4>45</vt:i4>
      </vt:variant>
      <vt:variant>
        <vt:i4>0</vt:i4>
      </vt:variant>
      <vt:variant>
        <vt:i4>5</vt:i4>
      </vt:variant>
      <vt:variant>
        <vt:lpwstr>http://www.nevo.co.il/safrut/bookgroup/393</vt:lpwstr>
      </vt:variant>
      <vt:variant>
        <vt:lpwstr/>
      </vt:variant>
      <vt:variant>
        <vt:i4>8323168</vt:i4>
      </vt:variant>
      <vt:variant>
        <vt:i4>42</vt:i4>
      </vt:variant>
      <vt:variant>
        <vt:i4>0</vt:i4>
      </vt:variant>
      <vt:variant>
        <vt:i4>5</vt:i4>
      </vt:variant>
      <vt:variant>
        <vt:lpwstr>http://www.nevo.co.il/law/71553/1.b</vt:lpwstr>
      </vt:variant>
      <vt:variant>
        <vt:lpwstr/>
      </vt:variant>
      <vt:variant>
        <vt:i4>8257634</vt:i4>
      </vt:variant>
      <vt:variant>
        <vt:i4>39</vt:i4>
      </vt:variant>
      <vt:variant>
        <vt:i4>0</vt:i4>
      </vt:variant>
      <vt:variant>
        <vt:i4>5</vt:i4>
      </vt:variant>
      <vt:variant>
        <vt:lpwstr>http://www.nevo.co.il/law/71553</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2490401</vt:i4>
      </vt:variant>
      <vt:variant>
        <vt:i4>21</vt:i4>
      </vt:variant>
      <vt:variant>
        <vt:i4>0</vt:i4>
      </vt:variant>
      <vt:variant>
        <vt:i4>5</vt:i4>
      </vt:variant>
      <vt:variant>
        <vt:lpwstr>http://www.nevo.co.il/safrut/bookgroup/393</vt:lpwstr>
      </vt:variant>
      <vt:variant>
        <vt:lpwstr/>
      </vt:variant>
      <vt:variant>
        <vt:i4>8323168</vt:i4>
      </vt:variant>
      <vt:variant>
        <vt:i4>18</vt:i4>
      </vt:variant>
      <vt:variant>
        <vt:i4>0</vt:i4>
      </vt:variant>
      <vt:variant>
        <vt:i4>5</vt:i4>
      </vt:variant>
      <vt:variant>
        <vt:lpwstr>http://www.nevo.co.il/law/71553/1.b</vt:lpwstr>
      </vt:variant>
      <vt:variant>
        <vt:lpwstr/>
      </vt:variant>
      <vt:variant>
        <vt:i4>8257634</vt:i4>
      </vt:variant>
      <vt:variant>
        <vt:i4>15</vt:i4>
      </vt:variant>
      <vt:variant>
        <vt:i4>0</vt:i4>
      </vt:variant>
      <vt:variant>
        <vt:i4>5</vt:i4>
      </vt:variant>
      <vt:variant>
        <vt:lpwstr>http://www.nevo.co.il/law/71553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13416</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ג'אלולי</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20170509</vt:lpwstr>
  </property>
  <property fmtid="{D5CDD505-2E9C-101B-9397-08002B2CF9AE}" pid="13" name="TYPE_N_DATE">
    <vt:lpwstr>39020170509</vt:lpwstr>
  </property>
  <property fmtid="{D5CDD505-2E9C-101B-9397-08002B2CF9AE}" pid="14" name="WORDNUMPAGES">
    <vt:lpwstr>9</vt:lpwstr>
  </property>
  <property fmtid="{D5CDD505-2E9C-101B-9397-08002B2CF9AE}" pid="15" name="TYPE_ABS_DATE">
    <vt:lpwstr>390020170509</vt:lpwstr>
  </property>
  <property fmtid="{D5CDD505-2E9C-101B-9397-08002B2CF9AE}" pid="16" name="ISABSTRACT">
    <vt:lpwstr>Y</vt:lpwstr>
  </property>
  <property fmtid="{D5CDD505-2E9C-101B-9397-08002B2CF9AE}" pid="17" name="BOOKGROUPTMP1">
    <vt:lpwstr>393:3</vt:lpwstr>
  </property>
  <property fmtid="{D5CDD505-2E9C-101B-9397-08002B2CF9AE}" pid="18" name="CASESLISTTMP1">
    <vt:lpwstr>17947940;21901022;7791493;21860542;6212054</vt:lpwstr>
  </property>
  <property fmtid="{D5CDD505-2E9C-101B-9397-08002B2CF9AE}" pid="19" name="LAWLISTTMP1">
    <vt:lpwstr>70301/040b;040i;144.a;144.b</vt:lpwstr>
  </property>
  <property fmtid="{D5CDD505-2E9C-101B-9397-08002B2CF9AE}" pid="20" name="LAWLISTTMP2">
    <vt:lpwstr>71553/001.b</vt:lpwstr>
  </property>
</Properties>
</file>