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17889" w:rsidRPr="00001E4C" w14:paraId="702F955B" w14:textId="77777777" w:rsidTr="009008B4">
        <w:trPr>
          <w:trHeight w:hRule="exact" w:val="418"/>
          <w:jc w:val="center"/>
        </w:trPr>
        <w:tc>
          <w:tcPr>
            <w:tcW w:w="8721" w:type="dxa"/>
            <w:gridSpan w:val="2"/>
          </w:tcPr>
          <w:p w14:paraId="5C6D8260" w14:textId="77777777" w:rsidR="00B17889" w:rsidRPr="00001E4C" w:rsidRDefault="00B17889" w:rsidP="004E7643">
            <w:pPr>
              <w:pStyle w:val="a3"/>
              <w:jc w:val="center"/>
              <w:rPr>
                <w:rFonts w:ascii="Tahoma" w:hAnsi="Tahoma" w:cs="Tahoma"/>
                <w:color w:val="000080"/>
                <w:rtl/>
              </w:rPr>
            </w:pPr>
            <w:r w:rsidRPr="00001E4C">
              <w:rPr>
                <w:rFonts w:ascii="Tahoma" w:hAnsi="Tahoma" w:cs="Tahoma"/>
                <w:b/>
                <w:bCs/>
                <w:color w:val="000080"/>
                <w:rtl/>
              </w:rPr>
              <w:t>בית המשפט המחוזי בבאר שבע</w:t>
            </w:r>
          </w:p>
        </w:tc>
      </w:tr>
      <w:tr w:rsidR="00B17889" w:rsidRPr="00001E4C" w14:paraId="2F793AC8" w14:textId="77777777" w:rsidTr="009008B4">
        <w:trPr>
          <w:trHeight w:val="337"/>
          <w:jc w:val="center"/>
        </w:trPr>
        <w:tc>
          <w:tcPr>
            <w:tcW w:w="5058" w:type="dxa"/>
          </w:tcPr>
          <w:p w14:paraId="6C81C741" w14:textId="77777777" w:rsidR="00B17889" w:rsidRPr="00001E4C" w:rsidRDefault="00B17889" w:rsidP="004E7643">
            <w:pPr>
              <w:rPr>
                <w:rFonts w:cs="FrankRuehl"/>
                <w:sz w:val="28"/>
                <w:szCs w:val="28"/>
                <w:rtl/>
              </w:rPr>
            </w:pPr>
            <w:r w:rsidRPr="00001E4C">
              <w:rPr>
                <w:rFonts w:cs="FrankRuehl"/>
                <w:sz w:val="28"/>
                <w:szCs w:val="28"/>
                <w:rtl/>
              </w:rPr>
              <w:t>ת"פ</w:t>
            </w:r>
            <w:r w:rsidRPr="00001E4C">
              <w:rPr>
                <w:rFonts w:cs="FrankRuehl" w:hint="cs"/>
                <w:sz w:val="28"/>
                <w:szCs w:val="28"/>
                <w:rtl/>
              </w:rPr>
              <w:t xml:space="preserve"> </w:t>
            </w:r>
            <w:r w:rsidRPr="00001E4C">
              <w:rPr>
                <w:rFonts w:cs="FrankRuehl"/>
                <w:sz w:val="28"/>
                <w:szCs w:val="28"/>
                <w:rtl/>
              </w:rPr>
              <w:t>21908-09-16</w:t>
            </w:r>
            <w:r w:rsidRPr="00001E4C">
              <w:rPr>
                <w:rFonts w:cs="FrankRuehl" w:hint="cs"/>
                <w:sz w:val="28"/>
                <w:szCs w:val="28"/>
                <w:rtl/>
              </w:rPr>
              <w:t xml:space="preserve"> </w:t>
            </w:r>
            <w:r w:rsidRPr="00001E4C">
              <w:rPr>
                <w:rFonts w:cs="FrankRuehl"/>
                <w:sz w:val="28"/>
                <w:szCs w:val="28"/>
                <w:rtl/>
              </w:rPr>
              <w:t>מדינת ישראל נ' עדואן(עציר)</w:t>
            </w:r>
          </w:p>
          <w:p w14:paraId="49C60AEA" w14:textId="77777777" w:rsidR="00B17889" w:rsidRPr="00001E4C" w:rsidRDefault="00B17889" w:rsidP="004E7643">
            <w:pPr>
              <w:pStyle w:val="a3"/>
              <w:rPr>
                <w:rFonts w:cs="FrankRuehl"/>
                <w:sz w:val="28"/>
                <w:szCs w:val="28"/>
                <w:rtl/>
              </w:rPr>
            </w:pPr>
          </w:p>
        </w:tc>
        <w:tc>
          <w:tcPr>
            <w:tcW w:w="3663" w:type="dxa"/>
          </w:tcPr>
          <w:p w14:paraId="4D9D880D" w14:textId="77777777" w:rsidR="00B17889" w:rsidRPr="00001E4C" w:rsidRDefault="00B17889" w:rsidP="004E7643">
            <w:pPr>
              <w:pStyle w:val="a3"/>
              <w:jc w:val="right"/>
              <w:rPr>
                <w:rFonts w:cs="FrankRuehl"/>
                <w:sz w:val="28"/>
                <w:szCs w:val="28"/>
                <w:rtl/>
              </w:rPr>
            </w:pPr>
          </w:p>
        </w:tc>
      </w:tr>
    </w:tbl>
    <w:p w14:paraId="58D0DF40" w14:textId="77777777" w:rsidR="00B17889" w:rsidRPr="00001E4C" w:rsidRDefault="00B17889" w:rsidP="00B17889">
      <w:pPr>
        <w:pStyle w:val="a3"/>
        <w:rPr>
          <w:rtl/>
        </w:rPr>
      </w:pPr>
      <w:r w:rsidRPr="00001E4C">
        <w:rPr>
          <w:rFonts w:hint="cs"/>
          <w:rtl/>
        </w:rPr>
        <w:t xml:space="preserve"> </w:t>
      </w:r>
    </w:p>
    <w:p w14:paraId="601176DC" w14:textId="77777777" w:rsidR="00B17889" w:rsidRPr="00001E4C" w:rsidRDefault="00B17889" w:rsidP="00B17889">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2848"/>
        <w:gridCol w:w="923"/>
      </w:tblGrid>
      <w:tr w:rsidR="004E7643" w:rsidRPr="00001E4C" w14:paraId="16330F8E" w14:textId="77777777" w:rsidTr="00B17889">
        <w:trPr>
          <w:gridAfter w:val="1"/>
          <w:wAfter w:w="923" w:type="dxa"/>
          <w:trHeight w:val="295"/>
          <w:jc w:val="center"/>
        </w:trPr>
        <w:tc>
          <w:tcPr>
            <w:tcW w:w="7897" w:type="dxa"/>
            <w:gridSpan w:val="3"/>
            <w:tcBorders>
              <w:top w:val="nil"/>
              <w:left w:val="nil"/>
              <w:bottom w:val="nil"/>
              <w:right w:val="nil"/>
            </w:tcBorders>
            <w:shd w:val="clear" w:color="auto" w:fill="auto"/>
          </w:tcPr>
          <w:p w14:paraId="1909C33F" w14:textId="77777777" w:rsidR="00B17889" w:rsidRPr="00001E4C" w:rsidRDefault="00B17889" w:rsidP="00B17889">
            <w:pPr>
              <w:spacing w:line="360" w:lineRule="auto"/>
              <w:rPr>
                <w:rFonts w:ascii="Arial" w:hAnsi="Arial"/>
                <w:b/>
                <w:bCs/>
                <w:sz w:val="26"/>
                <w:szCs w:val="26"/>
                <w:rtl/>
              </w:rPr>
            </w:pPr>
            <w:r w:rsidRPr="00001E4C">
              <w:rPr>
                <w:rFonts w:ascii="Arial" w:hAnsi="Arial" w:hint="cs"/>
                <w:b/>
                <w:bCs/>
                <w:sz w:val="26"/>
                <w:szCs w:val="26"/>
                <w:rtl/>
              </w:rPr>
              <w:t>בפני כב' סגן הנשיאה, השופט אליהו ביתן</w:t>
            </w:r>
          </w:p>
          <w:p w14:paraId="2693FBE4" w14:textId="77777777" w:rsidR="00B17889" w:rsidRPr="00001E4C" w:rsidRDefault="00B17889" w:rsidP="00B17889">
            <w:pPr>
              <w:spacing w:line="360" w:lineRule="auto"/>
              <w:rPr>
                <w:rFonts w:ascii="Arial" w:hAnsi="Arial"/>
                <w:b/>
                <w:bCs/>
                <w:sz w:val="26"/>
                <w:szCs w:val="26"/>
              </w:rPr>
            </w:pPr>
          </w:p>
        </w:tc>
      </w:tr>
      <w:tr w:rsidR="004E7643" w:rsidRPr="00001E4C" w14:paraId="31F5CA73" w14:textId="77777777" w:rsidTr="00B17889">
        <w:trPr>
          <w:trHeight w:val="355"/>
          <w:jc w:val="center"/>
        </w:trPr>
        <w:tc>
          <w:tcPr>
            <w:tcW w:w="923" w:type="dxa"/>
            <w:tcBorders>
              <w:top w:val="nil"/>
              <w:left w:val="nil"/>
              <w:bottom w:val="nil"/>
              <w:right w:val="nil"/>
            </w:tcBorders>
            <w:shd w:val="clear" w:color="auto" w:fill="auto"/>
          </w:tcPr>
          <w:p w14:paraId="3FE87721" w14:textId="77777777" w:rsidR="00B17889" w:rsidRPr="00001E4C" w:rsidRDefault="00B17889" w:rsidP="00B17889">
            <w:pPr>
              <w:spacing w:line="360" w:lineRule="auto"/>
              <w:jc w:val="both"/>
              <w:rPr>
                <w:rFonts w:ascii="Arial" w:hAnsi="Arial"/>
                <w:b/>
                <w:bCs/>
                <w:sz w:val="26"/>
                <w:szCs w:val="26"/>
              </w:rPr>
            </w:pPr>
            <w:bookmarkStart w:id="0" w:name="FirstAppellant"/>
            <w:bookmarkStart w:id="1" w:name="LastJudge"/>
            <w:bookmarkEnd w:id="1"/>
            <w:r w:rsidRPr="00001E4C">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42EFDD6" w14:textId="77777777" w:rsidR="00B17889" w:rsidRPr="00001E4C" w:rsidRDefault="00B17889" w:rsidP="00B17889">
            <w:pPr>
              <w:spacing w:line="360" w:lineRule="auto"/>
              <w:rPr>
                <w:rFonts w:ascii="Arial" w:hAnsi="Arial"/>
                <w:b/>
                <w:bCs/>
                <w:sz w:val="26"/>
                <w:szCs w:val="26"/>
              </w:rPr>
            </w:pPr>
            <w:r w:rsidRPr="00001E4C">
              <w:rPr>
                <w:rFonts w:ascii="Arial" w:hAnsi="Arial"/>
                <w:b/>
                <w:bCs/>
                <w:sz w:val="26"/>
                <w:szCs w:val="26"/>
                <w:rtl/>
              </w:rPr>
              <w:t>מדינת ישראל</w:t>
            </w:r>
          </w:p>
        </w:tc>
        <w:tc>
          <w:tcPr>
            <w:tcW w:w="3771" w:type="dxa"/>
            <w:gridSpan w:val="2"/>
            <w:tcBorders>
              <w:top w:val="nil"/>
              <w:left w:val="nil"/>
              <w:bottom w:val="nil"/>
              <w:right w:val="nil"/>
            </w:tcBorders>
            <w:shd w:val="clear" w:color="auto" w:fill="auto"/>
          </w:tcPr>
          <w:p w14:paraId="29CCD435" w14:textId="77777777" w:rsidR="00B17889" w:rsidRPr="00001E4C" w:rsidRDefault="00B17889" w:rsidP="00B17889">
            <w:pPr>
              <w:spacing w:line="360" w:lineRule="auto"/>
              <w:jc w:val="both"/>
              <w:rPr>
                <w:rFonts w:ascii="Arial" w:hAnsi="Arial"/>
                <w:b/>
                <w:bCs/>
                <w:sz w:val="26"/>
                <w:szCs w:val="26"/>
              </w:rPr>
            </w:pPr>
          </w:p>
        </w:tc>
      </w:tr>
      <w:bookmarkEnd w:id="0"/>
      <w:tr w:rsidR="004E7643" w:rsidRPr="00001E4C" w14:paraId="6460E069" w14:textId="77777777" w:rsidTr="00B17889">
        <w:trPr>
          <w:trHeight w:val="355"/>
          <w:jc w:val="center"/>
        </w:trPr>
        <w:tc>
          <w:tcPr>
            <w:tcW w:w="923" w:type="dxa"/>
            <w:tcBorders>
              <w:top w:val="nil"/>
              <w:left w:val="nil"/>
              <w:bottom w:val="nil"/>
              <w:right w:val="nil"/>
            </w:tcBorders>
            <w:shd w:val="clear" w:color="auto" w:fill="auto"/>
          </w:tcPr>
          <w:p w14:paraId="3D646569" w14:textId="77777777" w:rsidR="00B17889" w:rsidRPr="00001E4C" w:rsidRDefault="00B17889" w:rsidP="00B17889">
            <w:pPr>
              <w:spacing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4F93397F" w14:textId="77777777" w:rsidR="00B17889" w:rsidRPr="00001E4C" w:rsidRDefault="00B17889" w:rsidP="00B17889">
            <w:pPr>
              <w:spacing w:line="360" w:lineRule="auto"/>
              <w:jc w:val="both"/>
              <w:rPr>
                <w:rFonts w:ascii="Arial" w:hAnsi="Arial"/>
                <w:b/>
                <w:bCs/>
                <w:sz w:val="26"/>
                <w:szCs w:val="26"/>
                <w:rtl/>
              </w:rPr>
            </w:pPr>
          </w:p>
        </w:tc>
        <w:tc>
          <w:tcPr>
            <w:tcW w:w="3771" w:type="dxa"/>
            <w:gridSpan w:val="2"/>
            <w:tcBorders>
              <w:top w:val="nil"/>
              <w:left w:val="nil"/>
              <w:bottom w:val="nil"/>
              <w:right w:val="nil"/>
            </w:tcBorders>
            <w:shd w:val="clear" w:color="auto" w:fill="auto"/>
          </w:tcPr>
          <w:p w14:paraId="5E119A7F" w14:textId="77777777" w:rsidR="00B17889" w:rsidRPr="00001E4C" w:rsidRDefault="00B17889" w:rsidP="00B17889">
            <w:pPr>
              <w:spacing w:line="360" w:lineRule="auto"/>
              <w:jc w:val="right"/>
              <w:rPr>
                <w:rFonts w:ascii="Arial" w:hAnsi="Arial"/>
                <w:b/>
                <w:bCs/>
                <w:sz w:val="26"/>
                <w:szCs w:val="26"/>
                <w:rtl/>
              </w:rPr>
            </w:pPr>
            <w:r w:rsidRPr="00001E4C">
              <w:rPr>
                <w:rFonts w:ascii="Arial" w:hAnsi="Arial" w:hint="cs"/>
                <w:b/>
                <w:bCs/>
                <w:sz w:val="26"/>
                <w:szCs w:val="26"/>
                <w:rtl/>
              </w:rPr>
              <w:t>ה</w:t>
            </w:r>
            <w:r w:rsidRPr="00001E4C">
              <w:rPr>
                <w:rFonts w:ascii="Arial" w:hAnsi="Arial"/>
                <w:b/>
                <w:bCs/>
                <w:sz w:val="26"/>
                <w:szCs w:val="26"/>
                <w:rtl/>
              </w:rPr>
              <w:t>מאשימה</w:t>
            </w:r>
          </w:p>
        </w:tc>
      </w:tr>
      <w:tr w:rsidR="004E7643" w:rsidRPr="00001E4C" w14:paraId="552D97CF" w14:textId="77777777" w:rsidTr="00B17889">
        <w:trPr>
          <w:trHeight w:val="355"/>
          <w:jc w:val="center"/>
        </w:trPr>
        <w:tc>
          <w:tcPr>
            <w:tcW w:w="923" w:type="dxa"/>
            <w:tcBorders>
              <w:top w:val="nil"/>
              <w:left w:val="nil"/>
              <w:bottom w:val="nil"/>
              <w:right w:val="nil"/>
            </w:tcBorders>
            <w:shd w:val="clear" w:color="auto" w:fill="auto"/>
          </w:tcPr>
          <w:p w14:paraId="738E1A05" w14:textId="77777777" w:rsidR="00B17889" w:rsidRPr="00001E4C" w:rsidRDefault="00B17889" w:rsidP="00B17889">
            <w:pPr>
              <w:spacing w:line="360" w:lineRule="auto"/>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2D893804" w14:textId="77777777" w:rsidR="00B17889" w:rsidRPr="00001E4C" w:rsidRDefault="00B17889" w:rsidP="00B17889">
            <w:pPr>
              <w:spacing w:line="360" w:lineRule="auto"/>
              <w:jc w:val="center"/>
              <w:rPr>
                <w:rFonts w:ascii="Arial" w:hAnsi="Arial"/>
                <w:b/>
                <w:bCs/>
                <w:sz w:val="26"/>
                <w:szCs w:val="26"/>
                <w:rtl/>
              </w:rPr>
            </w:pPr>
          </w:p>
          <w:p w14:paraId="0436B139" w14:textId="77777777" w:rsidR="00B17889" w:rsidRPr="00001E4C" w:rsidRDefault="00B17889" w:rsidP="00B17889">
            <w:pPr>
              <w:spacing w:line="360" w:lineRule="auto"/>
              <w:jc w:val="center"/>
              <w:rPr>
                <w:rFonts w:ascii="Arial" w:hAnsi="Arial"/>
                <w:b/>
                <w:bCs/>
                <w:sz w:val="26"/>
                <w:szCs w:val="26"/>
                <w:rtl/>
              </w:rPr>
            </w:pPr>
            <w:r w:rsidRPr="00001E4C">
              <w:rPr>
                <w:rFonts w:ascii="Arial" w:hAnsi="Arial"/>
                <w:b/>
                <w:bCs/>
                <w:sz w:val="26"/>
                <w:szCs w:val="26"/>
                <w:rtl/>
              </w:rPr>
              <w:t>נגד</w:t>
            </w:r>
          </w:p>
          <w:p w14:paraId="41397AEC" w14:textId="77777777" w:rsidR="00B17889" w:rsidRPr="00001E4C" w:rsidRDefault="00B17889" w:rsidP="00B17889">
            <w:pPr>
              <w:spacing w:line="360" w:lineRule="auto"/>
              <w:jc w:val="both"/>
              <w:rPr>
                <w:rFonts w:ascii="Arial" w:hAnsi="Arial"/>
                <w:b/>
                <w:bCs/>
                <w:sz w:val="26"/>
                <w:szCs w:val="26"/>
              </w:rPr>
            </w:pPr>
          </w:p>
        </w:tc>
      </w:tr>
      <w:tr w:rsidR="004E7643" w:rsidRPr="00001E4C" w14:paraId="2C1B9CD2" w14:textId="77777777" w:rsidTr="00B17889">
        <w:trPr>
          <w:trHeight w:val="355"/>
          <w:jc w:val="center"/>
        </w:trPr>
        <w:tc>
          <w:tcPr>
            <w:tcW w:w="923" w:type="dxa"/>
            <w:tcBorders>
              <w:top w:val="nil"/>
              <w:left w:val="nil"/>
              <w:bottom w:val="nil"/>
              <w:right w:val="nil"/>
            </w:tcBorders>
            <w:shd w:val="clear" w:color="auto" w:fill="auto"/>
          </w:tcPr>
          <w:p w14:paraId="5125C580" w14:textId="77777777" w:rsidR="00B17889" w:rsidRPr="00001E4C" w:rsidRDefault="00B17889" w:rsidP="00B17889">
            <w:pPr>
              <w:spacing w:line="360" w:lineRule="auto"/>
              <w:rPr>
                <w:rFonts w:ascii="Arial" w:hAnsi="Arial"/>
                <w:b/>
                <w:bCs/>
                <w:sz w:val="26"/>
                <w:szCs w:val="26"/>
                <w:rtl/>
              </w:rPr>
            </w:pPr>
          </w:p>
        </w:tc>
        <w:tc>
          <w:tcPr>
            <w:tcW w:w="4126" w:type="dxa"/>
            <w:tcBorders>
              <w:top w:val="nil"/>
              <w:left w:val="nil"/>
              <w:bottom w:val="nil"/>
              <w:right w:val="nil"/>
            </w:tcBorders>
            <w:shd w:val="clear" w:color="auto" w:fill="auto"/>
          </w:tcPr>
          <w:p w14:paraId="3116AF85" w14:textId="77777777" w:rsidR="00B17889" w:rsidRPr="00001E4C" w:rsidRDefault="00B17889" w:rsidP="00B17889">
            <w:pPr>
              <w:spacing w:line="360" w:lineRule="auto"/>
              <w:rPr>
                <w:rFonts w:ascii="Arial" w:hAnsi="Arial"/>
                <w:b/>
                <w:bCs/>
                <w:sz w:val="26"/>
                <w:szCs w:val="26"/>
                <w:rtl/>
              </w:rPr>
            </w:pPr>
            <w:r w:rsidRPr="00001E4C">
              <w:rPr>
                <w:rFonts w:ascii="Arial" w:hAnsi="Arial"/>
                <w:b/>
                <w:bCs/>
                <w:sz w:val="26"/>
                <w:szCs w:val="26"/>
                <w:rtl/>
              </w:rPr>
              <w:t>דיאא עדואן (עציר)</w:t>
            </w:r>
          </w:p>
        </w:tc>
        <w:tc>
          <w:tcPr>
            <w:tcW w:w="3771" w:type="dxa"/>
            <w:gridSpan w:val="2"/>
            <w:tcBorders>
              <w:top w:val="nil"/>
              <w:left w:val="nil"/>
              <w:bottom w:val="nil"/>
              <w:right w:val="nil"/>
            </w:tcBorders>
            <w:shd w:val="clear" w:color="auto" w:fill="auto"/>
          </w:tcPr>
          <w:p w14:paraId="4E5849FF" w14:textId="77777777" w:rsidR="00B17889" w:rsidRPr="00001E4C" w:rsidRDefault="00B17889" w:rsidP="00B17889">
            <w:pPr>
              <w:spacing w:line="360" w:lineRule="auto"/>
              <w:jc w:val="right"/>
              <w:rPr>
                <w:rFonts w:ascii="Arial" w:hAnsi="Arial"/>
                <w:b/>
                <w:bCs/>
                <w:sz w:val="26"/>
                <w:szCs w:val="26"/>
              </w:rPr>
            </w:pPr>
          </w:p>
        </w:tc>
      </w:tr>
      <w:tr w:rsidR="004E7643" w:rsidRPr="00001E4C" w14:paraId="21CFDF9D" w14:textId="77777777" w:rsidTr="00B17889">
        <w:trPr>
          <w:trHeight w:val="355"/>
          <w:jc w:val="center"/>
        </w:trPr>
        <w:tc>
          <w:tcPr>
            <w:tcW w:w="923" w:type="dxa"/>
            <w:tcBorders>
              <w:top w:val="nil"/>
              <w:left w:val="nil"/>
              <w:bottom w:val="nil"/>
              <w:right w:val="nil"/>
            </w:tcBorders>
            <w:shd w:val="clear" w:color="auto" w:fill="auto"/>
          </w:tcPr>
          <w:p w14:paraId="3A5BEE52" w14:textId="77777777" w:rsidR="00B17889" w:rsidRPr="00001E4C" w:rsidRDefault="00B17889" w:rsidP="00B17889">
            <w:pPr>
              <w:spacing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73D284F2" w14:textId="77777777" w:rsidR="00B17889" w:rsidRPr="00001E4C" w:rsidRDefault="00B17889" w:rsidP="00B17889">
            <w:pPr>
              <w:spacing w:line="360" w:lineRule="auto"/>
              <w:jc w:val="both"/>
              <w:rPr>
                <w:rFonts w:ascii="Arial" w:hAnsi="Arial"/>
                <w:b/>
                <w:bCs/>
                <w:sz w:val="26"/>
                <w:szCs w:val="26"/>
                <w:rtl/>
              </w:rPr>
            </w:pPr>
          </w:p>
        </w:tc>
        <w:tc>
          <w:tcPr>
            <w:tcW w:w="3771" w:type="dxa"/>
            <w:gridSpan w:val="2"/>
            <w:tcBorders>
              <w:top w:val="nil"/>
              <w:left w:val="nil"/>
              <w:bottom w:val="nil"/>
              <w:right w:val="nil"/>
            </w:tcBorders>
            <w:shd w:val="clear" w:color="auto" w:fill="auto"/>
          </w:tcPr>
          <w:p w14:paraId="6E432ADA" w14:textId="77777777" w:rsidR="00B17889" w:rsidRPr="00001E4C" w:rsidRDefault="00B17889" w:rsidP="00B17889">
            <w:pPr>
              <w:spacing w:line="360" w:lineRule="auto"/>
              <w:jc w:val="right"/>
              <w:rPr>
                <w:rFonts w:ascii="Arial" w:hAnsi="Arial"/>
                <w:b/>
                <w:bCs/>
                <w:sz w:val="26"/>
                <w:szCs w:val="26"/>
              </w:rPr>
            </w:pPr>
            <w:r w:rsidRPr="00001E4C">
              <w:rPr>
                <w:rFonts w:ascii="Arial" w:hAnsi="Arial" w:hint="cs"/>
                <w:b/>
                <w:bCs/>
                <w:sz w:val="26"/>
                <w:szCs w:val="26"/>
                <w:rtl/>
              </w:rPr>
              <w:t>ה</w:t>
            </w:r>
            <w:r w:rsidRPr="00001E4C">
              <w:rPr>
                <w:rFonts w:ascii="Arial" w:hAnsi="Arial"/>
                <w:b/>
                <w:bCs/>
                <w:sz w:val="26"/>
                <w:szCs w:val="26"/>
                <w:rtl/>
              </w:rPr>
              <w:t>נאשמים</w:t>
            </w:r>
          </w:p>
        </w:tc>
      </w:tr>
    </w:tbl>
    <w:p w14:paraId="3EC24B99" w14:textId="77777777" w:rsidR="009008B4" w:rsidRDefault="009008B4" w:rsidP="00B17889">
      <w:pPr>
        <w:spacing w:line="360" w:lineRule="auto"/>
        <w:rPr>
          <w:rFonts w:ascii="Arial" w:hAnsi="Arial"/>
          <w:sz w:val="26"/>
          <w:szCs w:val="26"/>
          <w:rtl/>
        </w:rPr>
      </w:pPr>
      <w:bookmarkStart w:id="2" w:name="LawTable"/>
      <w:bookmarkEnd w:id="2"/>
    </w:p>
    <w:p w14:paraId="3EDB03F3" w14:textId="77777777" w:rsidR="009008B4" w:rsidRPr="009008B4" w:rsidRDefault="009008B4" w:rsidP="009008B4">
      <w:pPr>
        <w:spacing w:after="120" w:line="240" w:lineRule="exact"/>
        <w:ind w:left="283" w:hanging="283"/>
        <w:jc w:val="both"/>
        <w:rPr>
          <w:rFonts w:ascii="FrankRuehl" w:hAnsi="FrankRuehl" w:cs="FrankRuehl"/>
          <w:rtl/>
        </w:rPr>
      </w:pPr>
    </w:p>
    <w:p w14:paraId="7333532C" w14:textId="77777777" w:rsidR="009008B4" w:rsidRPr="009008B4" w:rsidRDefault="009008B4" w:rsidP="009008B4">
      <w:pPr>
        <w:spacing w:after="120" w:line="240" w:lineRule="exact"/>
        <w:ind w:left="283" w:hanging="283"/>
        <w:jc w:val="both"/>
        <w:rPr>
          <w:rFonts w:ascii="FrankRuehl" w:hAnsi="FrankRuehl" w:cs="FrankRuehl"/>
          <w:rtl/>
        </w:rPr>
      </w:pPr>
      <w:r w:rsidRPr="009008B4">
        <w:rPr>
          <w:rFonts w:ascii="FrankRuehl" w:hAnsi="FrankRuehl" w:cs="FrankRuehl"/>
          <w:rtl/>
        </w:rPr>
        <w:t xml:space="preserve">חקיקה שאוזכרה: </w:t>
      </w:r>
    </w:p>
    <w:p w14:paraId="130AAD48" w14:textId="77777777" w:rsidR="009008B4" w:rsidRPr="009008B4" w:rsidRDefault="009008B4" w:rsidP="009008B4">
      <w:pPr>
        <w:spacing w:after="120" w:line="240" w:lineRule="exact"/>
        <w:ind w:left="283" w:hanging="283"/>
        <w:jc w:val="both"/>
        <w:rPr>
          <w:rFonts w:ascii="FrankRuehl" w:hAnsi="FrankRuehl" w:cs="FrankRuehl"/>
          <w:rtl/>
        </w:rPr>
      </w:pPr>
      <w:hyperlink r:id="rId6" w:history="1">
        <w:r w:rsidRPr="009008B4">
          <w:rPr>
            <w:rFonts w:ascii="FrankRuehl" w:hAnsi="FrankRuehl" w:cs="FrankRuehl"/>
            <w:color w:val="0000FF"/>
            <w:u w:val="single"/>
            <w:rtl/>
          </w:rPr>
          <w:t>תקנות ההגנה (שעת-חירום), 1945</w:t>
        </w:r>
      </w:hyperlink>
      <w:r w:rsidRPr="009008B4">
        <w:rPr>
          <w:rFonts w:ascii="FrankRuehl" w:hAnsi="FrankRuehl" w:cs="FrankRuehl"/>
          <w:rtl/>
        </w:rPr>
        <w:t xml:space="preserve">: סע'  </w:t>
      </w:r>
      <w:hyperlink r:id="rId7" w:history="1">
        <w:r w:rsidRPr="009008B4">
          <w:rPr>
            <w:rFonts w:ascii="FrankRuehl" w:hAnsi="FrankRuehl" w:cs="FrankRuehl"/>
            <w:color w:val="0000FF"/>
            <w:u w:val="single"/>
            <w:rtl/>
          </w:rPr>
          <w:t>85(1)(א)</w:t>
        </w:r>
      </w:hyperlink>
      <w:r w:rsidRPr="009008B4">
        <w:rPr>
          <w:rFonts w:ascii="FrankRuehl" w:hAnsi="FrankRuehl" w:cs="FrankRuehl"/>
          <w:rtl/>
        </w:rPr>
        <w:t xml:space="preserve">, </w:t>
      </w:r>
      <w:hyperlink r:id="rId8" w:history="1">
        <w:r w:rsidRPr="009008B4">
          <w:rPr>
            <w:rFonts w:ascii="FrankRuehl" w:hAnsi="FrankRuehl" w:cs="FrankRuehl"/>
            <w:color w:val="0000FF"/>
            <w:u w:val="single"/>
            <w:rtl/>
          </w:rPr>
          <w:t>85(1)(ד)</w:t>
        </w:r>
      </w:hyperlink>
    </w:p>
    <w:p w14:paraId="1BA66505" w14:textId="77777777" w:rsidR="009008B4" w:rsidRDefault="009008B4" w:rsidP="009008B4">
      <w:pPr>
        <w:spacing w:after="120" w:line="240" w:lineRule="exact"/>
        <w:ind w:left="283" w:hanging="283"/>
        <w:jc w:val="both"/>
        <w:rPr>
          <w:rFonts w:ascii="FrankRuehl" w:hAnsi="FrankRuehl" w:cs="FrankRuehl" w:hint="cs"/>
          <w:rtl/>
        </w:rPr>
      </w:pPr>
      <w:hyperlink r:id="rId9" w:history="1">
        <w:r w:rsidRPr="009008B4">
          <w:rPr>
            <w:rFonts w:ascii="FrankRuehl" w:hAnsi="FrankRuehl" w:cs="FrankRuehl"/>
            <w:color w:val="0000FF"/>
            <w:u w:val="single"/>
            <w:rtl/>
          </w:rPr>
          <w:t>חוק העונשין, תשל"ז-1977</w:t>
        </w:r>
      </w:hyperlink>
      <w:r w:rsidRPr="009008B4">
        <w:rPr>
          <w:rFonts w:ascii="FrankRuehl" w:hAnsi="FrankRuehl" w:cs="FrankRuehl"/>
          <w:rtl/>
        </w:rPr>
        <w:t xml:space="preserve">: סע'  </w:t>
      </w:r>
      <w:hyperlink r:id="rId10" w:history="1">
        <w:r w:rsidRPr="009008B4">
          <w:rPr>
            <w:rFonts w:ascii="FrankRuehl" w:hAnsi="FrankRuehl" w:cs="FrankRuehl"/>
            <w:color w:val="0000FF"/>
            <w:u w:val="single"/>
            <w:rtl/>
          </w:rPr>
          <w:t>143(ב)</w:t>
        </w:r>
      </w:hyperlink>
      <w:r w:rsidRPr="009008B4">
        <w:rPr>
          <w:rFonts w:ascii="FrankRuehl" w:hAnsi="FrankRuehl" w:cs="FrankRuehl"/>
          <w:rtl/>
        </w:rPr>
        <w:t xml:space="preserve">, </w:t>
      </w:r>
      <w:hyperlink r:id="rId11" w:history="1">
        <w:r w:rsidRPr="009008B4">
          <w:rPr>
            <w:rFonts w:ascii="FrankRuehl" w:hAnsi="FrankRuehl" w:cs="FrankRuehl"/>
            <w:color w:val="0000FF"/>
            <w:u w:val="single"/>
            <w:rtl/>
          </w:rPr>
          <w:t>144(א)</w:t>
        </w:r>
      </w:hyperlink>
      <w:r w:rsidRPr="009008B4">
        <w:rPr>
          <w:rFonts w:ascii="FrankRuehl" w:hAnsi="FrankRuehl" w:cs="FrankRuehl"/>
          <w:rtl/>
        </w:rPr>
        <w:t xml:space="preserve">, </w:t>
      </w:r>
      <w:hyperlink r:id="rId12" w:history="1">
        <w:r w:rsidRPr="009008B4">
          <w:rPr>
            <w:rFonts w:ascii="FrankRuehl" w:hAnsi="FrankRuehl" w:cs="FrankRuehl"/>
            <w:color w:val="0000FF"/>
            <w:u w:val="single"/>
            <w:rtl/>
          </w:rPr>
          <w:t>(ב)</w:t>
        </w:r>
      </w:hyperlink>
    </w:p>
    <w:p w14:paraId="597E3DB1" w14:textId="77777777" w:rsidR="009008B4" w:rsidRPr="009008B4" w:rsidRDefault="009008B4" w:rsidP="009008B4">
      <w:pPr>
        <w:spacing w:after="120" w:line="240" w:lineRule="exact"/>
        <w:ind w:left="283" w:hanging="283"/>
        <w:jc w:val="both"/>
        <w:rPr>
          <w:rFonts w:ascii="FrankRuehl" w:hAnsi="FrankRuehl" w:cs="FrankRuehl" w:hint="cs"/>
          <w:rtl/>
        </w:rPr>
      </w:pPr>
    </w:p>
    <w:p w14:paraId="5B119713" w14:textId="77777777" w:rsidR="009008B4" w:rsidRPr="009008B4" w:rsidRDefault="009008B4" w:rsidP="009008B4">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7643" w:rsidRPr="004C04B9" w14:paraId="6EC74F04" w14:textId="77777777" w:rsidTr="00B17889">
        <w:trPr>
          <w:trHeight w:val="355"/>
          <w:jc w:val="center"/>
        </w:trPr>
        <w:tc>
          <w:tcPr>
            <w:tcW w:w="8820" w:type="dxa"/>
            <w:tcBorders>
              <w:top w:val="nil"/>
              <w:left w:val="nil"/>
              <w:bottom w:val="nil"/>
              <w:right w:val="nil"/>
            </w:tcBorders>
            <w:shd w:val="clear" w:color="auto" w:fill="auto"/>
          </w:tcPr>
          <w:p w14:paraId="4CDDA3B2" w14:textId="77777777" w:rsidR="00001E4C" w:rsidRPr="00001E4C" w:rsidRDefault="00001E4C" w:rsidP="00001E4C">
            <w:pPr>
              <w:spacing w:line="360" w:lineRule="auto"/>
              <w:jc w:val="center"/>
              <w:rPr>
                <w:rFonts w:ascii="Arial" w:hAnsi="Arial"/>
                <w:b/>
                <w:bCs/>
                <w:sz w:val="26"/>
                <w:szCs w:val="26"/>
                <w:u w:val="single"/>
                <w:rtl/>
              </w:rPr>
            </w:pPr>
            <w:bookmarkStart w:id="3" w:name="LawTable_End"/>
            <w:bookmarkStart w:id="4" w:name="PsakDin" w:colFirst="0" w:colLast="0"/>
            <w:bookmarkEnd w:id="3"/>
            <w:r w:rsidRPr="00001E4C">
              <w:rPr>
                <w:rFonts w:ascii="Arial" w:hAnsi="Arial"/>
                <w:b/>
                <w:bCs/>
                <w:sz w:val="26"/>
                <w:szCs w:val="26"/>
                <w:u w:val="single"/>
                <w:rtl/>
              </w:rPr>
              <w:t>גזר דין</w:t>
            </w:r>
          </w:p>
          <w:p w14:paraId="6DDDBDCD" w14:textId="77777777" w:rsidR="00B17889" w:rsidRPr="00001E4C" w:rsidRDefault="00B17889" w:rsidP="00001E4C">
            <w:pPr>
              <w:spacing w:line="360" w:lineRule="auto"/>
              <w:jc w:val="center"/>
              <w:rPr>
                <w:rFonts w:ascii="Arial" w:hAnsi="Arial"/>
                <w:b/>
                <w:bCs/>
                <w:sz w:val="26"/>
                <w:szCs w:val="26"/>
                <w:u w:val="single"/>
                <w:rtl/>
              </w:rPr>
            </w:pPr>
          </w:p>
        </w:tc>
      </w:tr>
      <w:bookmarkEnd w:id="4"/>
    </w:tbl>
    <w:p w14:paraId="6F2F3BDE" w14:textId="77777777" w:rsidR="00B17889" w:rsidRPr="00B05847" w:rsidRDefault="00B17889" w:rsidP="00B17889">
      <w:pPr>
        <w:spacing w:line="360" w:lineRule="auto"/>
        <w:rPr>
          <w:rFonts w:ascii="Arial" w:hAnsi="Arial"/>
          <w:rtl/>
        </w:rPr>
      </w:pPr>
    </w:p>
    <w:p w14:paraId="0218B7C0" w14:textId="77777777" w:rsidR="00B17889" w:rsidRDefault="00B17889" w:rsidP="00B17889">
      <w:pPr>
        <w:spacing w:line="360" w:lineRule="auto"/>
        <w:ind w:hanging="720"/>
        <w:jc w:val="both"/>
        <w:rPr>
          <w:rtl/>
        </w:rPr>
      </w:pPr>
      <w:r>
        <w:rPr>
          <w:rFonts w:hint="cs"/>
          <w:rtl/>
        </w:rPr>
        <w:t>1.</w:t>
      </w:r>
      <w:r>
        <w:rPr>
          <w:rFonts w:hint="cs"/>
          <w:rtl/>
        </w:rPr>
        <w:tab/>
      </w:r>
      <w:bookmarkStart w:id="5" w:name="ABSTRACT_START"/>
      <w:bookmarkEnd w:id="5"/>
      <w:r>
        <w:rPr>
          <w:rFonts w:hint="cs"/>
          <w:rtl/>
        </w:rPr>
        <w:t>בטרם שמיעת הראיות, הגיעו הצדדים להסדר טיעון במסגרתו הודה הנאשם בעובדות כתב האישום המתוקן שהוגש נגדו, שאלה עיקריהן-</w:t>
      </w:r>
    </w:p>
    <w:p w14:paraId="094DFD39" w14:textId="77777777" w:rsidR="00B17889" w:rsidRDefault="00B17889" w:rsidP="00B17889">
      <w:pPr>
        <w:spacing w:line="360" w:lineRule="auto"/>
        <w:ind w:hanging="720"/>
        <w:jc w:val="both"/>
        <w:rPr>
          <w:rtl/>
        </w:rPr>
      </w:pPr>
    </w:p>
    <w:p w14:paraId="0FF8173B" w14:textId="77777777" w:rsidR="00B17889" w:rsidRDefault="00B17889" w:rsidP="00B17889">
      <w:pPr>
        <w:spacing w:line="360" w:lineRule="auto"/>
        <w:ind w:hanging="720"/>
        <w:jc w:val="both"/>
        <w:rPr>
          <w:rtl/>
        </w:rPr>
      </w:pPr>
      <w:r>
        <w:rPr>
          <w:rFonts w:hint="cs"/>
          <w:rtl/>
        </w:rPr>
        <w:tab/>
        <w:t>ארגון החמאס הוכרז כארגון טרוריסטי וכהתאחדות בלתי מותרת. גדודי עז א-דין אלקסאם (להלן: "הגדודים") הם פלג של החמאס ומהווים זרוע צבאית שלו. ארגון החמאס כולל קבוצות ללימוד דת הנקראות "אוסרה" ובראש כל "אוסרה" עומד אחראי הנקרא "אמיר</w:t>
      </w:r>
      <w:bookmarkStart w:id="6" w:name="ABSTRACT_END"/>
      <w:bookmarkEnd w:id="6"/>
      <w:r>
        <w:rPr>
          <w:rFonts w:hint="cs"/>
          <w:rtl/>
        </w:rPr>
        <w:t>".</w:t>
      </w:r>
    </w:p>
    <w:p w14:paraId="3B9FDA49" w14:textId="77777777" w:rsidR="00B17889" w:rsidRDefault="00B17889" w:rsidP="00B17889">
      <w:pPr>
        <w:spacing w:line="360" w:lineRule="auto"/>
        <w:ind w:hanging="720"/>
        <w:jc w:val="both"/>
        <w:rPr>
          <w:rtl/>
        </w:rPr>
      </w:pPr>
    </w:p>
    <w:p w14:paraId="7E860562" w14:textId="77777777" w:rsidR="00B17889" w:rsidRDefault="00B17889" w:rsidP="00B17889">
      <w:pPr>
        <w:spacing w:line="360" w:lineRule="auto"/>
        <w:ind w:hanging="720"/>
        <w:jc w:val="both"/>
        <w:rPr>
          <w:b/>
          <w:bCs/>
          <w:u w:val="single"/>
          <w:rtl/>
        </w:rPr>
      </w:pPr>
      <w:r>
        <w:tab/>
      </w:r>
      <w:r>
        <w:rPr>
          <w:rFonts w:hint="cs"/>
          <w:b/>
          <w:bCs/>
          <w:u w:val="single"/>
          <w:rtl/>
        </w:rPr>
        <w:t>אישום ראשון</w:t>
      </w:r>
    </w:p>
    <w:p w14:paraId="76898778" w14:textId="77777777" w:rsidR="00B17889" w:rsidRDefault="00B17889" w:rsidP="00B17889">
      <w:pPr>
        <w:spacing w:line="360" w:lineRule="auto"/>
        <w:ind w:hanging="720"/>
        <w:jc w:val="both"/>
        <w:rPr>
          <w:rtl/>
        </w:rPr>
      </w:pPr>
      <w:r>
        <w:rPr>
          <w:rFonts w:hint="cs"/>
          <w:rtl/>
        </w:rPr>
        <w:tab/>
        <w:t xml:space="preserve">בשנת 2010  או במועד סמוך לכך, פנה אל הנאשם דודו, מונתסר אבו דף (להלן: "אבו דף"), פעיל בגדודים, והציע לו להצטרף לאוסרה מטעם החמאס. הנאשם הסכים, והשתתף בכל שבוע, במספר </w:t>
      </w:r>
      <w:r>
        <w:rPr>
          <w:rFonts w:hint="cs"/>
          <w:rtl/>
        </w:rPr>
        <w:lastRenderedPageBreak/>
        <w:t xml:space="preserve">ימים מימות השבוע, בלימודי קוראן ושיעורי דת האיסלאם במסגד של החמאס בעזה, בהם השתתפו פעילי חמאס. </w:t>
      </w:r>
    </w:p>
    <w:p w14:paraId="151F0500" w14:textId="77777777" w:rsidR="00B17889" w:rsidRDefault="00B17889" w:rsidP="00B17889">
      <w:pPr>
        <w:spacing w:line="360" w:lineRule="auto"/>
        <w:ind w:hanging="720"/>
        <w:jc w:val="both"/>
        <w:rPr>
          <w:rtl/>
        </w:rPr>
      </w:pPr>
    </w:p>
    <w:p w14:paraId="620F94F5" w14:textId="77777777" w:rsidR="00B17889" w:rsidRDefault="00B17889" w:rsidP="00B17889">
      <w:pPr>
        <w:spacing w:line="360" w:lineRule="auto"/>
        <w:jc w:val="both"/>
        <w:rPr>
          <w:b/>
          <w:bCs/>
          <w:u w:val="single"/>
          <w:rtl/>
        </w:rPr>
      </w:pPr>
      <w:r>
        <w:rPr>
          <w:rFonts w:hint="cs"/>
          <w:b/>
          <w:bCs/>
          <w:u w:val="single"/>
          <w:rtl/>
        </w:rPr>
        <w:t>אישום שני</w:t>
      </w:r>
    </w:p>
    <w:p w14:paraId="0AD2718B" w14:textId="77777777" w:rsidR="00B17889" w:rsidRDefault="00B17889" w:rsidP="00B17889">
      <w:pPr>
        <w:spacing w:line="360" w:lineRule="auto"/>
        <w:ind w:hanging="720"/>
        <w:jc w:val="both"/>
        <w:rPr>
          <w:rtl/>
        </w:rPr>
      </w:pPr>
      <w:r>
        <w:rPr>
          <w:rFonts w:hint="cs"/>
          <w:rtl/>
        </w:rPr>
        <w:tab/>
        <w:t>במהלך קיץ 2014 או במועד סמוך לכך, במסגד בעזה, פנה אל הנאשם אחראי פלוגה בגדודים והציע לו להצטרף לאימון צבאי מטעם החמאס. הנאשם הסכים והשתתף יחד עם 100 פעילי חמאס צבאיים נוספים, באימון צבאי שהתקיים במוצב חמאס ברצועת עזה, בראשות פעיל יחידת עלית של הגדודים. האימון נערך כשבועיים והופסק בשל מבצע "צוק איתן", ובמהלכו התאמן הנאשם בפירוק והרכבת נשק מסוג קלצ'ניקוב ובאימון גופני.</w:t>
      </w:r>
    </w:p>
    <w:p w14:paraId="465AA29C" w14:textId="77777777" w:rsidR="00B17889" w:rsidRDefault="00B17889" w:rsidP="00B17889">
      <w:pPr>
        <w:spacing w:line="360" w:lineRule="auto"/>
        <w:ind w:hanging="720"/>
        <w:jc w:val="both"/>
        <w:rPr>
          <w:b/>
          <w:bCs/>
          <w:u w:val="single"/>
          <w:rtl/>
        </w:rPr>
      </w:pPr>
      <w:r>
        <w:rPr>
          <w:rFonts w:hint="cs"/>
          <w:rtl/>
        </w:rPr>
        <w:tab/>
      </w:r>
      <w:r>
        <w:rPr>
          <w:rFonts w:hint="cs"/>
          <w:b/>
          <w:bCs/>
          <w:u w:val="single"/>
          <w:rtl/>
        </w:rPr>
        <w:t>אישום שלישי</w:t>
      </w:r>
    </w:p>
    <w:p w14:paraId="1E1D0E98" w14:textId="77777777" w:rsidR="00B17889" w:rsidRDefault="00B17889" w:rsidP="00B17889">
      <w:pPr>
        <w:spacing w:line="360" w:lineRule="auto"/>
        <w:ind w:hanging="720"/>
        <w:jc w:val="both"/>
        <w:rPr>
          <w:rtl/>
        </w:rPr>
      </w:pPr>
      <w:r>
        <w:rPr>
          <w:rFonts w:hint="cs"/>
          <w:rtl/>
        </w:rPr>
        <w:tab/>
        <w:t xml:space="preserve">במהלך מבצע "צוק איתן", בחודשים יולי -  אוגוסט 2014, בהנחיית פעיל גדודים, ביצע הנאשם שמירות נגד משתפי פעולה עם ישראל. השמירות בוצעו בשעות הלילה בשכונת זיתון ברצועת עזה. במסגרת השמירות היה הנאשם כותב ומעביר מידע לידי פעיל הגדודים. בנוסף, במהלך המבצע, רכש הנאשם מזון עבור פעילי השמירות. לאחר מכן, במהלך שנת 2015, פנה הנאשם לאחר וביקש ממנו שהנאשם ישתתף בשמירות חמושות נגד צה"ל. האחר פנה לאחראי פלוגה בגדודים וביקש ממנו לצרף את הנאשם לשמירות ובסופו של דבר הנאשם הצטרף לשמירות באחריות פעיל גדודים, וביצע שמירות בשעות הלילה יחד עם פעילי גדודי עז אדין נוספים. במסגרת השמירות קיבל הנאשם נשק מסוג רוס"ר קלצ'ניקוב, מספר מחסניות טעונות בתחמושת ואפוד. </w:t>
      </w:r>
    </w:p>
    <w:p w14:paraId="5BC5A17A" w14:textId="77777777" w:rsidR="00B17889" w:rsidRDefault="00B17889" w:rsidP="00B17889">
      <w:pPr>
        <w:spacing w:line="360" w:lineRule="auto"/>
        <w:ind w:hanging="720"/>
        <w:jc w:val="both"/>
        <w:rPr>
          <w:rtl/>
        </w:rPr>
      </w:pPr>
    </w:p>
    <w:p w14:paraId="47D0B15E" w14:textId="77777777" w:rsidR="00B17889" w:rsidRDefault="00B17889" w:rsidP="00B17889">
      <w:pPr>
        <w:spacing w:line="360" w:lineRule="auto"/>
        <w:ind w:hanging="720"/>
        <w:jc w:val="both"/>
        <w:rPr>
          <w:rtl/>
        </w:rPr>
      </w:pPr>
      <w:r>
        <w:rPr>
          <w:rFonts w:hint="cs"/>
          <w:rtl/>
        </w:rPr>
        <w:t xml:space="preserve">2. </w:t>
      </w:r>
      <w:r>
        <w:rPr>
          <w:rFonts w:hint="cs"/>
          <w:rtl/>
        </w:rPr>
        <w:tab/>
        <w:t xml:space="preserve">על יסוד הודאת הנאשם בעובדות כתב האישום המתוקן, כאמור, הוא הורשע בעבירות של פעילות בהתאחדות בלתי מותרת, לפי </w:t>
      </w:r>
      <w:hyperlink r:id="rId13" w:history="1">
        <w:r w:rsidR="009008B4" w:rsidRPr="009008B4">
          <w:rPr>
            <w:color w:val="0000FF"/>
            <w:u w:val="single"/>
            <w:rtl/>
          </w:rPr>
          <w:t>סעיף 85(1)(ד)</w:t>
        </w:r>
      </w:hyperlink>
      <w:r>
        <w:rPr>
          <w:rFonts w:hint="cs"/>
          <w:rtl/>
        </w:rPr>
        <w:t xml:space="preserve"> ל</w:t>
      </w:r>
      <w:hyperlink r:id="rId14" w:history="1">
        <w:r w:rsidR="00001E4C" w:rsidRPr="00001E4C">
          <w:rPr>
            <w:color w:val="0000FF"/>
            <w:u w:val="single"/>
            <w:rtl/>
          </w:rPr>
          <w:t>תקנות ההגנה (שעת חירום)</w:t>
        </w:r>
      </w:hyperlink>
      <w:r>
        <w:rPr>
          <w:rFonts w:hint="cs"/>
          <w:rtl/>
        </w:rPr>
        <w:t xml:space="preserve"> 1945; פעילות בהתאחדות בלתי מותרת, לפי </w:t>
      </w:r>
      <w:hyperlink r:id="rId15" w:history="1">
        <w:r w:rsidR="009008B4" w:rsidRPr="009008B4">
          <w:rPr>
            <w:color w:val="0000FF"/>
            <w:u w:val="single"/>
            <w:rtl/>
          </w:rPr>
          <w:t>סעיף 85(1)(א)</w:t>
        </w:r>
      </w:hyperlink>
      <w:r>
        <w:rPr>
          <w:rFonts w:hint="cs"/>
          <w:rtl/>
        </w:rPr>
        <w:t xml:space="preserve"> לתקנות ההגנה (שעת חירום) 1945; אימונים צבאיים אסורים, לפי </w:t>
      </w:r>
      <w:hyperlink r:id="rId16" w:history="1">
        <w:r w:rsidR="009008B4" w:rsidRPr="009008B4">
          <w:rPr>
            <w:color w:val="0000FF"/>
            <w:u w:val="single"/>
            <w:rtl/>
          </w:rPr>
          <w:t>סעיף 143(ב)</w:t>
        </w:r>
      </w:hyperlink>
      <w:r>
        <w:rPr>
          <w:rFonts w:hint="cs"/>
          <w:rtl/>
        </w:rPr>
        <w:t xml:space="preserve"> ל</w:t>
      </w:r>
      <w:hyperlink r:id="rId17" w:history="1">
        <w:r w:rsidR="00001E4C" w:rsidRPr="00001E4C">
          <w:rPr>
            <w:color w:val="0000FF"/>
            <w:u w:val="single"/>
            <w:rtl/>
          </w:rPr>
          <w:t>חוק העונשין</w:t>
        </w:r>
      </w:hyperlink>
      <w:r>
        <w:rPr>
          <w:rFonts w:hint="cs"/>
          <w:rtl/>
        </w:rPr>
        <w:t xml:space="preserve"> תשל"ז-1977 (להלן: "חוק העונשין"); החזקה ונשיאת נשק, לפי </w:t>
      </w:r>
      <w:hyperlink r:id="rId18" w:history="1">
        <w:r w:rsidR="009008B4" w:rsidRPr="009008B4">
          <w:rPr>
            <w:color w:val="0000FF"/>
            <w:u w:val="single"/>
            <w:rtl/>
          </w:rPr>
          <w:t>סעיף 144(א)</w:t>
        </w:r>
      </w:hyperlink>
      <w:r>
        <w:rPr>
          <w:rFonts w:hint="cs"/>
          <w:rtl/>
        </w:rPr>
        <w:t xml:space="preserve"> רישא ו- </w:t>
      </w:r>
      <w:hyperlink r:id="rId19" w:history="1">
        <w:r w:rsidR="009008B4" w:rsidRPr="009008B4">
          <w:rPr>
            <w:color w:val="0000FF"/>
            <w:u w:val="single"/>
            <w:rtl/>
          </w:rPr>
          <w:t>(ב)</w:t>
        </w:r>
      </w:hyperlink>
      <w:r>
        <w:rPr>
          <w:rFonts w:hint="cs"/>
          <w:rtl/>
        </w:rPr>
        <w:t xml:space="preserve"> רישא לחוק העונשין; והחזקה ונשיאת נשק, לפי </w:t>
      </w:r>
      <w:hyperlink r:id="rId20" w:history="1">
        <w:r w:rsidR="009008B4" w:rsidRPr="009008B4">
          <w:rPr>
            <w:color w:val="0000FF"/>
            <w:u w:val="single"/>
            <w:rtl/>
          </w:rPr>
          <w:t>סעיף 144(א)</w:t>
        </w:r>
      </w:hyperlink>
      <w:r>
        <w:rPr>
          <w:rFonts w:hint="cs"/>
          <w:rtl/>
        </w:rPr>
        <w:t xml:space="preserve"> ו- </w:t>
      </w:r>
      <w:hyperlink r:id="rId21" w:history="1">
        <w:r w:rsidR="009008B4" w:rsidRPr="009008B4">
          <w:rPr>
            <w:color w:val="0000FF"/>
            <w:u w:val="single"/>
            <w:rtl/>
          </w:rPr>
          <w:t>(ב)</w:t>
        </w:r>
      </w:hyperlink>
      <w:r>
        <w:rPr>
          <w:rFonts w:hint="cs"/>
          <w:rtl/>
        </w:rPr>
        <w:t xml:space="preserve"> רישא וסיפא לחוק העונשין.</w:t>
      </w:r>
    </w:p>
    <w:p w14:paraId="2C313A24" w14:textId="77777777" w:rsidR="00B17889" w:rsidRDefault="00B17889" w:rsidP="00B17889">
      <w:pPr>
        <w:spacing w:line="360" w:lineRule="auto"/>
        <w:ind w:hanging="720"/>
        <w:jc w:val="both"/>
        <w:rPr>
          <w:rtl/>
        </w:rPr>
      </w:pPr>
    </w:p>
    <w:p w14:paraId="77904C7E" w14:textId="77777777" w:rsidR="00B17889" w:rsidRDefault="00B17889" w:rsidP="00B17889">
      <w:pPr>
        <w:spacing w:line="360" w:lineRule="auto"/>
        <w:ind w:hanging="720"/>
        <w:jc w:val="both"/>
        <w:rPr>
          <w:rtl/>
        </w:rPr>
      </w:pPr>
      <w:r>
        <w:rPr>
          <w:rFonts w:hint="cs"/>
          <w:rtl/>
        </w:rPr>
        <w:t>3.</w:t>
      </w:r>
      <w:r>
        <w:rPr>
          <w:rFonts w:hint="cs"/>
          <w:rtl/>
        </w:rPr>
        <w:tab/>
        <w:t>תחילה, הסכימו הצדדים במסגרת הסדר הטיעון, כי התביעה תעתור להטיל על הנאשם 40 חודשי מאסר בפועל, מאסר על תנאי וקנס, וההגנה תטען לעונש כהבנתה. בדיון היום, הודיעו הצדדים לבית המשפט כי הם עותרים, במשותף, להטיל על הנאשם 30 חודשי מאסר בפועל ומאסר על תנאי.</w:t>
      </w:r>
    </w:p>
    <w:p w14:paraId="75D380AC" w14:textId="77777777" w:rsidR="00B17889" w:rsidRDefault="00B17889" w:rsidP="00B17889">
      <w:pPr>
        <w:spacing w:line="360" w:lineRule="auto"/>
        <w:ind w:hanging="720"/>
        <w:jc w:val="both"/>
        <w:rPr>
          <w:rtl/>
        </w:rPr>
      </w:pPr>
    </w:p>
    <w:p w14:paraId="4DFC2CE9" w14:textId="77777777" w:rsidR="00B17889" w:rsidRDefault="00B17889" w:rsidP="00B17889">
      <w:pPr>
        <w:spacing w:line="360" w:lineRule="auto"/>
        <w:ind w:hanging="720"/>
        <w:jc w:val="both"/>
        <w:rPr>
          <w:rtl/>
        </w:rPr>
      </w:pPr>
      <w:r>
        <w:rPr>
          <w:rFonts w:hint="cs"/>
          <w:rtl/>
        </w:rPr>
        <w:t>4.</w:t>
      </w:r>
      <w:r>
        <w:rPr>
          <w:rFonts w:hint="cs"/>
          <w:rtl/>
        </w:rPr>
        <w:tab/>
        <w:t xml:space="preserve">התביעה טענה, כי אמנם מדובר בעבירות ביטחון חמורות, כולל השתתפות באימון צבאי ובשמירות חמושות, אולם, הן בוצעו בשנים 2010 עד 2015. בשנת 2010 היה הנאשם קטין כבן 14, באישום השני הוא היה קטין על סף בגירות, ובאישום השלישי הוא היה בן 18. וטענה, כי בשקלול הנסיבות האישיות של הנאשם, גילו בעת ביצוע העבירות, והודאתו- שהביאה לחיסכון בזמן שיפוטי - הסדר הטיעון סביר ויש לאמצו. </w:t>
      </w:r>
    </w:p>
    <w:p w14:paraId="5E53CC2C" w14:textId="77777777" w:rsidR="00B17889" w:rsidRDefault="00B17889" w:rsidP="00B17889">
      <w:pPr>
        <w:spacing w:line="360" w:lineRule="auto"/>
        <w:jc w:val="both"/>
        <w:rPr>
          <w:rtl/>
        </w:rPr>
      </w:pPr>
    </w:p>
    <w:p w14:paraId="4FCC928B" w14:textId="77777777" w:rsidR="00B17889" w:rsidRDefault="00B17889" w:rsidP="00B17889">
      <w:pPr>
        <w:spacing w:line="360" w:lineRule="auto"/>
        <w:jc w:val="both"/>
        <w:rPr>
          <w:rtl/>
        </w:rPr>
      </w:pPr>
      <w:r>
        <w:rPr>
          <w:rFonts w:hint="cs"/>
          <w:rtl/>
        </w:rPr>
        <w:t xml:space="preserve">ב"כ הנאשם הצטרף לדברי ב"כ התביעה. וציין כי הנאשם בן 21,  תושב רמאללה. </w:t>
      </w:r>
    </w:p>
    <w:p w14:paraId="761EC12C" w14:textId="77777777" w:rsidR="00B17889" w:rsidRDefault="00B17889" w:rsidP="00B17889">
      <w:pPr>
        <w:spacing w:line="360" w:lineRule="auto"/>
        <w:ind w:hanging="720"/>
        <w:jc w:val="both"/>
        <w:rPr>
          <w:rtl/>
        </w:rPr>
      </w:pPr>
    </w:p>
    <w:p w14:paraId="14E5BDA8" w14:textId="77777777" w:rsidR="00B17889" w:rsidRDefault="00B17889" w:rsidP="00B17889">
      <w:pPr>
        <w:spacing w:line="360" w:lineRule="auto"/>
        <w:ind w:hanging="720"/>
        <w:jc w:val="both"/>
        <w:rPr>
          <w:rFonts w:ascii="FrankRuehl" w:hAnsi="FrankRuehl"/>
          <w:color w:val="000000"/>
          <w:rtl/>
          <w:lang w:eastAsia="he-IL"/>
        </w:rPr>
      </w:pPr>
      <w:r>
        <w:rPr>
          <w:rFonts w:hint="cs"/>
          <w:rtl/>
        </w:rPr>
        <w:t>5.</w:t>
      </w:r>
      <w:r>
        <w:rPr>
          <w:rFonts w:hint="cs"/>
          <w:rtl/>
        </w:rPr>
        <w:tab/>
      </w:r>
      <w:r>
        <w:rPr>
          <w:rFonts w:ascii="FrankRuehl" w:hAnsi="FrankRuehl" w:hint="cs"/>
          <w:color w:val="000000"/>
          <w:rtl/>
        </w:rPr>
        <w:t>בהתחשב במעשי הנאשם, בעבירות בהן הורשע, בהודאתו, בגילו בעת ביצוע העבירות וכעת, בעובדה כי הוא נעדר עבר פלילי, ובקושי המיוחד של תושב הרש"פ לשאת מאסר בישראל, העונש המוצע על ידי הצדדים סביר.</w:t>
      </w:r>
    </w:p>
    <w:p w14:paraId="4CA9957F" w14:textId="77777777" w:rsidR="00B17889" w:rsidRDefault="00B17889" w:rsidP="00B17889">
      <w:pPr>
        <w:spacing w:line="360" w:lineRule="auto"/>
        <w:ind w:hanging="720"/>
        <w:jc w:val="both"/>
        <w:rPr>
          <w:rFonts w:ascii="FrankRuehl" w:hAnsi="FrankRuehl"/>
          <w:color w:val="000000"/>
          <w:rtl/>
        </w:rPr>
      </w:pPr>
    </w:p>
    <w:p w14:paraId="20D8FD35" w14:textId="77777777" w:rsidR="00B17889" w:rsidRDefault="00B17889" w:rsidP="00B17889">
      <w:pPr>
        <w:spacing w:line="360" w:lineRule="auto"/>
        <w:ind w:hanging="720"/>
        <w:jc w:val="both"/>
        <w:rPr>
          <w:rFonts w:ascii="FrankRuehl" w:hAnsi="FrankRuehl"/>
          <w:color w:val="000000"/>
          <w:rtl/>
        </w:rPr>
      </w:pPr>
      <w:r>
        <w:rPr>
          <w:rFonts w:ascii="FrankRuehl" w:hAnsi="FrankRuehl" w:hint="cs"/>
          <w:color w:val="000000"/>
          <w:rtl/>
        </w:rPr>
        <w:t>6.</w:t>
      </w:r>
      <w:r>
        <w:rPr>
          <w:rFonts w:ascii="FrankRuehl" w:hAnsi="FrankRuehl" w:hint="cs"/>
          <w:color w:val="000000"/>
          <w:rtl/>
        </w:rPr>
        <w:tab/>
        <w:t xml:space="preserve">נוכח האמור, אני מקבל את הסדר הטיעון וגוזר על הנאשם את העונשים הבאים- </w:t>
      </w:r>
    </w:p>
    <w:p w14:paraId="3F76AC73" w14:textId="77777777" w:rsidR="00B17889" w:rsidRDefault="00B17889" w:rsidP="00B17889">
      <w:pPr>
        <w:spacing w:line="360" w:lineRule="auto"/>
        <w:jc w:val="both"/>
        <w:rPr>
          <w:rFonts w:ascii="FrankRuehl" w:hAnsi="FrankRuehl"/>
          <w:color w:val="000000"/>
          <w:rtl/>
        </w:rPr>
      </w:pPr>
    </w:p>
    <w:p w14:paraId="46C29B95" w14:textId="77777777" w:rsidR="00B17889" w:rsidRDefault="00B17889" w:rsidP="00B17889">
      <w:pPr>
        <w:spacing w:line="360" w:lineRule="auto"/>
        <w:jc w:val="both"/>
        <w:rPr>
          <w:rFonts w:ascii="FrankRuehl" w:hAnsi="FrankRuehl"/>
          <w:color w:val="000000"/>
          <w:rtl/>
        </w:rPr>
      </w:pPr>
      <w:r>
        <w:rPr>
          <w:rFonts w:ascii="FrankRuehl" w:hAnsi="FrankRuehl" w:hint="cs"/>
          <w:color w:val="000000"/>
          <w:rtl/>
        </w:rPr>
        <w:t>א.</w:t>
      </w:r>
      <w:r>
        <w:rPr>
          <w:rFonts w:ascii="FrankRuehl" w:hAnsi="FrankRuehl" w:hint="cs"/>
          <w:color w:val="000000"/>
          <w:rtl/>
        </w:rPr>
        <w:tab/>
        <w:t>30 חודשי מאסר בפועל, מיום מעצרו.</w:t>
      </w:r>
    </w:p>
    <w:p w14:paraId="32D77ADF" w14:textId="77777777" w:rsidR="00B17889" w:rsidRDefault="00B17889" w:rsidP="00B17889">
      <w:pPr>
        <w:spacing w:line="360" w:lineRule="auto"/>
        <w:ind w:hanging="720"/>
        <w:jc w:val="both"/>
        <w:rPr>
          <w:rFonts w:ascii="FrankRuehl" w:hAnsi="FrankRuehl"/>
          <w:color w:val="000000"/>
          <w:rtl/>
        </w:rPr>
      </w:pPr>
      <w:r>
        <w:rPr>
          <w:rFonts w:ascii="FrankRuehl" w:hAnsi="FrankRuehl" w:hint="cs"/>
          <w:color w:val="000000"/>
          <w:rtl/>
        </w:rPr>
        <w:t>ב.</w:t>
      </w:r>
      <w:r>
        <w:rPr>
          <w:rFonts w:ascii="FrankRuehl" w:hAnsi="FrankRuehl" w:hint="cs"/>
          <w:color w:val="000000"/>
          <w:rtl/>
        </w:rPr>
        <w:tab/>
        <w:t xml:space="preserve">12 חודשי מאסר על תנאי למשך שלוש שנים מיום שחרורו מהמאסר, שלא יעבור עבירת נשק או עבירת פשע נגד בטחון המדינה. </w:t>
      </w:r>
    </w:p>
    <w:p w14:paraId="0F918B64" w14:textId="77777777" w:rsidR="00B17889" w:rsidRDefault="00B17889" w:rsidP="00B17889">
      <w:pPr>
        <w:spacing w:line="360" w:lineRule="auto"/>
        <w:ind w:hanging="720"/>
        <w:jc w:val="both"/>
        <w:rPr>
          <w:rFonts w:ascii="FrankRuehl" w:hAnsi="FrankRuehl"/>
          <w:color w:val="000000"/>
          <w:rtl/>
        </w:rPr>
      </w:pPr>
    </w:p>
    <w:p w14:paraId="5D9D2EA7" w14:textId="77777777" w:rsidR="00B17889" w:rsidRDefault="00B17889" w:rsidP="00B17889">
      <w:pPr>
        <w:spacing w:line="360" w:lineRule="auto"/>
        <w:ind w:hanging="720"/>
        <w:jc w:val="both"/>
        <w:rPr>
          <w:rFonts w:ascii="FrankRuehl" w:hAnsi="FrankRuehl"/>
          <w:color w:val="000000"/>
          <w:rtl/>
        </w:rPr>
      </w:pPr>
      <w:r>
        <w:rPr>
          <w:rFonts w:ascii="FrankRuehl" w:hAnsi="FrankRuehl" w:hint="cs"/>
          <w:color w:val="000000"/>
          <w:rtl/>
        </w:rPr>
        <w:t>זכות ערעור בתוך 45 יום.</w:t>
      </w:r>
    </w:p>
    <w:p w14:paraId="7213A6C4" w14:textId="77777777" w:rsidR="00B17889" w:rsidRPr="00B05847" w:rsidRDefault="00B17889" w:rsidP="00B17889">
      <w:pPr>
        <w:spacing w:line="360" w:lineRule="auto"/>
        <w:rPr>
          <w:rtl/>
        </w:rPr>
      </w:pPr>
    </w:p>
    <w:p w14:paraId="76F18ED5" w14:textId="77777777" w:rsidR="00B17889" w:rsidRPr="00B05847" w:rsidRDefault="00B17889" w:rsidP="00B17889">
      <w:pPr>
        <w:spacing w:line="360" w:lineRule="auto"/>
        <w:rPr>
          <w:rtl/>
        </w:rPr>
      </w:pPr>
    </w:p>
    <w:p w14:paraId="2C01754B" w14:textId="77777777" w:rsidR="00B17889" w:rsidRPr="00001E4C" w:rsidRDefault="00001E4C" w:rsidP="00B17889">
      <w:pPr>
        <w:spacing w:line="360" w:lineRule="auto"/>
        <w:rPr>
          <w:color w:val="FFFFFF"/>
          <w:sz w:val="2"/>
          <w:szCs w:val="2"/>
          <w:rtl/>
        </w:rPr>
      </w:pPr>
      <w:r w:rsidRPr="00001E4C">
        <w:rPr>
          <w:color w:val="FFFFFF"/>
          <w:sz w:val="2"/>
          <w:szCs w:val="2"/>
          <w:rtl/>
        </w:rPr>
        <w:t>5129371</w:t>
      </w:r>
    </w:p>
    <w:p w14:paraId="4EFD9816" w14:textId="77777777" w:rsidR="00B17889" w:rsidRPr="00001E4C" w:rsidRDefault="00001E4C" w:rsidP="00B17889">
      <w:pPr>
        <w:spacing w:line="360" w:lineRule="auto"/>
        <w:rPr>
          <w:color w:val="FFFFFF"/>
          <w:sz w:val="2"/>
          <w:szCs w:val="2"/>
          <w:rtl/>
        </w:rPr>
      </w:pPr>
      <w:r w:rsidRPr="00001E4C">
        <w:rPr>
          <w:color w:val="FFFFFF"/>
          <w:sz w:val="2"/>
          <w:szCs w:val="2"/>
          <w:rtl/>
        </w:rPr>
        <w:t>54678313</w:t>
      </w:r>
    </w:p>
    <w:p w14:paraId="71C055A9" w14:textId="77777777" w:rsidR="00B17889" w:rsidRDefault="00001E4C" w:rsidP="00B17889">
      <w:pPr>
        <w:spacing w:line="360" w:lineRule="auto"/>
        <w:rPr>
          <w:rFonts w:cs="FrankRuehl"/>
          <w:sz w:val="28"/>
          <w:szCs w:val="28"/>
          <w:rtl/>
        </w:rPr>
      </w:pPr>
      <w:r>
        <w:rPr>
          <w:rFonts w:ascii="Arial" w:hAnsi="Arial"/>
          <w:rtl/>
        </w:rPr>
        <w:t xml:space="preserve">ניתן היום,  י"ח תמוז תשע"ז, 12 יולי 2017, בהעדר הצדדים. </w:t>
      </w:r>
    </w:p>
    <w:p w14:paraId="7AA33425" w14:textId="77777777" w:rsidR="00B17889" w:rsidRDefault="00B17889" w:rsidP="00B17889">
      <w:pPr>
        <w:spacing w:line="360" w:lineRule="auto"/>
        <w:jc w:val="center"/>
        <w:rPr>
          <w:rFonts w:ascii="Arial" w:hAnsi="Arial" w:cs="FrankRuehl"/>
          <w:sz w:val="28"/>
          <w:szCs w:val="28"/>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Fonts w:ascii="Arial" w:hAnsi="Arial" w:cs="FrankRuehl"/>
          <w:sz w:val="28"/>
          <w:szCs w:val="28"/>
          <w:rtl/>
        </w:rPr>
        <w:t>חתימה</w:t>
      </w:r>
    </w:p>
    <w:p w14:paraId="6214641A" w14:textId="77777777" w:rsidR="00B17889" w:rsidRDefault="00B17889" w:rsidP="00B17889">
      <w:pPr>
        <w:spacing w:line="360" w:lineRule="auto"/>
        <w:rPr>
          <w:rFonts w:cs="FrankRuehl"/>
          <w:sz w:val="28"/>
          <w:szCs w:val="28"/>
          <w:rtl/>
        </w:rPr>
      </w:pPr>
    </w:p>
    <w:p w14:paraId="4351329B" w14:textId="77777777" w:rsidR="00B17889" w:rsidRDefault="00B17889" w:rsidP="00B17889">
      <w:pPr>
        <w:pStyle w:val="a3"/>
        <w:spacing w:line="360" w:lineRule="auto"/>
        <w:jc w:val="center"/>
        <w:rPr>
          <w:rtl/>
        </w:rPr>
      </w:pPr>
    </w:p>
    <w:p w14:paraId="1D0F3323" w14:textId="77777777" w:rsidR="001E39F7" w:rsidRPr="00001E4C" w:rsidRDefault="001E39F7" w:rsidP="00001E4C">
      <w:pPr>
        <w:keepNext/>
        <w:rPr>
          <w:rFonts w:ascii="David" w:hAnsi="David"/>
          <w:color w:val="000000"/>
          <w:sz w:val="22"/>
          <w:szCs w:val="22"/>
          <w:rtl/>
        </w:rPr>
      </w:pPr>
    </w:p>
    <w:p w14:paraId="6B297C7C" w14:textId="77777777" w:rsidR="00001E4C" w:rsidRPr="00001E4C" w:rsidRDefault="00001E4C" w:rsidP="00001E4C">
      <w:pPr>
        <w:keepNext/>
        <w:rPr>
          <w:rFonts w:ascii="David" w:hAnsi="David"/>
          <w:color w:val="000000"/>
          <w:sz w:val="22"/>
          <w:szCs w:val="22"/>
          <w:rtl/>
        </w:rPr>
      </w:pPr>
      <w:r w:rsidRPr="00001E4C">
        <w:rPr>
          <w:rFonts w:ascii="David" w:hAnsi="David"/>
          <w:color w:val="000000"/>
          <w:sz w:val="22"/>
          <w:szCs w:val="22"/>
          <w:rtl/>
        </w:rPr>
        <w:t>אליהו ביתן 54678313</w:t>
      </w:r>
    </w:p>
    <w:p w14:paraId="319998C9" w14:textId="77777777" w:rsidR="00001E4C" w:rsidRDefault="00001E4C" w:rsidP="00001E4C">
      <w:r w:rsidRPr="00001E4C">
        <w:rPr>
          <w:color w:val="000000"/>
          <w:rtl/>
        </w:rPr>
        <w:t>נוסח מסמך זה כפוף לשינויי ניסוח ועריכה</w:t>
      </w:r>
    </w:p>
    <w:p w14:paraId="6C8714AF" w14:textId="77777777" w:rsidR="00001E4C" w:rsidRDefault="00001E4C" w:rsidP="00001E4C">
      <w:pPr>
        <w:rPr>
          <w:rtl/>
        </w:rPr>
      </w:pPr>
    </w:p>
    <w:p w14:paraId="15316A39" w14:textId="77777777" w:rsidR="00001E4C" w:rsidRDefault="00001E4C" w:rsidP="00001E4C">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23C4CEDF" w14:textId="77777777" w:rsidR="00001E4C" w:rsidRPr="00001E4C" w:rsidRDefault="00001E4C" w:rsidP="00001E4C">
      <w:pPr>
        <w:jc w:val="center"/>
        <w:rPr>
          <w:color w:val="0000FF"/>
          <w:u w:val="single"/>
        </w:rPr>
      </w:pPr>
    </w:p>
    <w:sectPr w:rsidR="00001E4C" w:rsidRPr="00001E4C" w:rsidSect="00001E4C">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E1B1D" w14:textId="77777777" w:rsidR="00C52F23" w:rsidRDefault="00C52F23" w:rsidP="00AF73C2">
      <w:r>
        <w:separator/>
      </w:r>
    </w:p>
  </w:endnote>
  <w:endnote w:type="continuationSeparator" w:id="0">
    <w:p w14:paraId="17691A3B" w14:textId="77777777" w:rsidR="00C52F23" w:rsidRDefault="00C52F23" w:rsidP="00AF7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24B80" w14:textId="77777777" w:rsidR="00C52F23" w:rsidRDefault="00C52F23" w:rsidP="00001E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67276B" w14:textId="77777777" w:rsidR="00C52F23" w:rsidRPr="00001E4C" w:rsidRDefault="00C52F23" w:rsidP="00001E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395C3" w14:textId="77777777" w:rsidR="00C52F23" w:rsidRDefault="00C52F23" w:rsidP="00001E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5F2D">
      <w:rPr>
        <w:rFonts w:ascii="FrankRuehl" w:hAnsi="FrankRuehl" w:cs="FrankRuehl"/>
        <w:noProof/>
        <w:rtl/>
      </w:rPr>
      <w:t>1</w:t>
    </w:r>
    <w:r>
      <w:rPr>
        <w:rFonts w:ascii="FrankRuehl" w:hAnsi="FrankRuehl" w:cs="FrankRuehl"/>
        <w:rtl/>
      </w:rPr>
      <w:fldChar w:fldCharType="end"/>
    </w:r>
  </w:p>
  <w:p w14:paraId="4DA521EC" w14:textId="77777777" w:rsidR="00C52F23" w:rsidRPr="00001E4C" w:rsidRDefault="00C52F23" w:rsidP="00001E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8AED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C3758" w14:textId="77777777" w:rsidR="00C52F23" w:rsidRDefault="00C52F23" w:rsidP="00AF73C2">
      <w:r>
        <w:separator/>
      </w:r>
    </w:p>
  </w:footnote>
  <w:footnote w:type="continuationSeparator" w:id="0">
    <w:p w14:paraId="15CD0265" w14:textId="77777777" w:rsidR="00C52F23" w:rsidRDefault="00C52F23" w:rsidP="00AF7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73086" w14:textId="77777777" w:rsidR="00C52F23" w:rsidRPr="00001E4C" w:rsidRDefault="00C52F23" w:rsidP="00001E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21908-09-16</w:t>
    </w:r>
    <w:r>
      <w:rPr>
        <w:rFonts w:ascii="David" w:hAnsi="David"/>
        <w:color w:val="000000"/>
        <w:sz w:val="22"/>
        <w:szCs w:val="22"/>
        <w:rtl/>
      </w:rPr>
      <w:tab/>
      <w:t xml:space="preserve"> מדינת ישראל נ' דיאא עדואן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7D976" w14:textId="77777777" w:rsidR="00C52F23" w:rsidRPr="00001E4C" w:rsidRDefault="00C52F23" w:rsidP="00001E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21908-09-16</w:t>
    </w:r>
    <w:r>
      <w:rPr>
        <w:rFonts w:ascii="David" w:hAnsi="David"/>
        <w:color w:val="000000"/>
        <w:sz w:val="22"/>
        <w:szCs w:val="22"/>
        <w:rtl/>
      </w:rPr>
      <w:tab/>
      <w:t xml:space="preserve"> מדינת ישראל נ' דיאא עדואן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7889"/>
    <w:rsid w:val="00001E4C"/>
    <w:rsid w:val="000D5F2D"/>
    <w:rsid w:val="00101085"/>
    <w:rsid w:val="001E39F7"/>
    <w:rsid w:val="00404AF1"/>
    <w:rsid w:val="004E7643"/>
    <w:rsid w:val="009008B4"/>
    <w:rsid w:val="00A71151"/>
    <w:rsid w:val="00AF73C2"/>
    <w:rsid w:val="00B17889"/>
    <w:rsid w:val="00C52F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8D8A443"/>
  <w15:chartTrackingRefBased/>
  <w15:docId w15:val="{C3797C4C-B7A7-4250-8C79-EAAFC6FD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889"/>
    <w:pPr>
      <w:bidi/>
    </w:pPr>
    <w:rPr>
      <w:rFonts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17889"/>
    <w:pPr>
      <w:tabs>
        <w:tab w:val="center" w:pos="4153"/>
        <w:tab w:val="right" w:pos="8306"/>
      </w:tabs>
    </w:pPr>
  </w:style>
  <w:style w:type="character" w:customStyle="1" w:styleId="a4">
    <w:name w:val="כותרת עליונה תו"/>
    <w:link w:val="a3"/>
    <w:rsid w:val="00B17889"/>
    <w:rPr>
      <w:rFonts w:cs="David"/>
      <w:sz w:val="24"/>
      <w:szCs w:val="24"/>
    </w:rPr>
  </w:style>
  <w:style w:type="paragraph" w:styleId="a5">
    <w:name w:val="footer"/>
    <w:basedOn w:val="a"/>
    <w:link w:val="a6"/>
    <w:rsid w:val="00B17889"/>
    <w:pPr>
      <w:tabs>
        <w:tab w:val="center" w:pos="4153"/>
        <w:tab w:val="right" w:pos="8306"/>
      </w:tabs>
    </w:pPr>
  </w:style>
  <w:style w:type="character" w:customStyle="1" w:styleId="a6">
    <w:name w:val="כותרת תחתונה תו"/>
    <w:link w:val="a5"/>
    <w:rsid w:val="00B17889"/>
    <w:rPr>
      <w:rFonts w:cs="David"/>
      <w:sz w:val="24"/>
      <w:szCs w:val="24"/>
    </w:rPr>
  </w:style>
  <w:style w:type="table" w:styleId="a7">
    <w:name w:val="Table Grid"/>
    <w:basedOn w:val="a1"/>
    <w:rsid w:val="00B1788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17889"/>
  </w:style>
  <w:style w:type="character" w:styleId="Hyperlink">
    <w:name w:val="Hyperlink"/>
    <w:rsid w:val="00001E4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3729/85.1.d" TargetMode="External"/><Relationship Id="rId13" Type="http://schemas.openxmlformats.org/officeDocument/2006/relationships/hyperlink" Target="http://www.nevo.co.il/law/73729/85.1.d" TargetMode="External"/><Relationship Id="rId18" Type="http://schemas.openxmlformats.org/officeDocument/2006/relationships/hyperlink" Target="http://www.nevo.co.il/law/70301/144.a"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0301/144.b" TargetMode="External"/><Relationship Id="rId7" Type="http://schemas.openxmlformats.org/officeDocument/2006/relationships/hyperlink" Target="http://www.nevo.co.il/law/73729/85.1.a"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143.b" TargetMode="External"/><Relationship Id="rId20" Type="http://schemas.openxmlformats.org/officeDocument/2006/relationships/hyperlink" Target="http://www.nevo.co.il/law/70301/144.a" TargetMode="External"/><Relationship Id="rId1" Type="http://schemas.openxmlformats.org/officeDocument/2006/relationships/styles" Target="styles.xml"/><Relationship Id="rId6" Type="http://schemas.openxmlformats.org/officeDocument/2006/relationships/hyperlink" Target="http://www.nevo.co.il/law/73729" TargetMode="External"/><Relationship Id="rId11" Type="http://schemas.openxmlformats.org/officeDocument/2006/relationships/hyperlink" Target="http://www.nevo.co.il/law/70301/144.a"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3729/85.1.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3.b" TargetMode="External"/><Relationship Id="rId19" Type="http://schemas.openxmlformats.org/officeDocument/2006/relationships/hyperlink" Target="http://www.nevo.co.il/law/70301/144.b"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3729"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4704</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5177431</vt:i4>
      </vt:variant>
      <vt:variant>
        <vt:i4>30</vt:i4>
      </vt:variant>
      <vt:variant>
        <vt:i4>0</vt:i4>
      </vt:variant>
      <vt:variant>
        <vt:i4>5</vt:i4>
      </vt:variant>
      <vt:variant>
        <vt:lpwstr>http://www.nevo.co.il/law/70301/143.b</vt:lpwstr>
      </vt:variant>
      <vt:variant>
        <vt:lpwstr/>
      </vt:variant>
      <vt:variant>
        <vt:i4>3211361</vt:i4>
      </vt:variant>
      <vt:variant>
        <vt:i4>27</vt:i4>
      </vt:variant>
      <vt:variant>
        <vt:i4>0</vt:i4>
      </vt:variant>
      <vt:variant>
        <vt:i4>5</vt:i4>
      </vt:variant>
      <vt:variant>
        <vt:lpwstr>http://www.nevo.co.il/law/73729/85.1.a</vt:lpwstr>
      </vt:variant>
      <vt:variant>
        <vt:lpwstr/>
      </vt:variant>
      <vt:variant>
        <vt:i4>8061024</vt:i4>
      </vt:variant>
      <vt:variant>
        <vt:i4>24</vt:i4>
      </vt:variant>
      <vt:variant>
        <vt:i4>0</vt:i4>
      </vt:variant>
      <vt:variant>
        <vt:i4>5</vt:i4>
      </vt:variant>
      <vt:variant>
        <vt:lpwstr>http://www.nevo.co.il/law/73729</vt:lpwstr>
      </vt:variant>
      <vt:variant>
        <vt:lpwstr/>
      </vt:variant>
      <vt:variant>
        <vt:i4>3407969</vt:i4>
      </vt:variant>
      <vt:variant>
        <vt:i4>21</vt:i4>
      </vt:variant>
      <vt:variant>
        <vt:i4>0</vt:i4>
      </vt:variant>
      <vt:variant>
        <vt:i4>5</vt:i4>
      </vt:variant>
      <vt:variant>
        <vt:lpwstr>http://www.nevo.co.il/law/73729/85.1.d</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5177431</vt:i4>
      </vt:variant>
      <vt:variant>
        <vt:i4>12</vt:i4>
      </vt:variant>
      <vt:variant>
        <vt:i4>0</vt:i4>
      </vt:variant>
      <vt:variant>
        <vt:i4>5</vt:i4>
      </vt:variant>
      <vt:variant>
        <vt:lpwstr>http://www.nevo.co.il/law/70301/143.b</vt:lpwstr>
      </vt:variant>
      <vt:variant>
        <vt:lpwstr/>
      </vt:variant>
      <vt:variant>
        <vt:i4>7995492</vt:i4>
      </vt:variant>
      <vt:variant>
        <vt:i4>9</vt:i4>
      </vt:variant>
      <vt:variant>
        <vt:i4>0</vt:i4>
      </vt:variant>
      <vt:variant>
        <vt:i4>5</vt:i4>
      </vt:variant>
      <vt:variant>
        <vt:lpwstr>http://www.nevo.co.il/law/70301</vt:lpwstr>
      </vt:variant>
      <vt:variant>
        <vt:lpwstr/>
      </vt:variant>
      <vt:variant>
        <vt:i4>3407969</vt:i4>
      </vt:variant>
      <vt:variant>
        <vt:i4>6</vt:i4>
      </vt:variant>
      <vt:variant>
        <vt:i4>0</vt:i4>
      </vt:variant>
      <vt:variant>
        <vt:i4>5</vt:i4>
      </vt:variant>
      <vt:variant>
        <vt:lpwstr>http://www.nevo.co.il/law/73729/85.1.d</vt:lpwstr>
      </vt:variant>
      <vt:variant>
        <vt:lpwstr/>
      </vt:variant>
      <vt:variant>
        <vt:i4>3211361</vt:i4>
      </vt:variant>
      <vt:variant>
        <vt:i4>3</vt:i4>
      </vt:variant>
      <vt:variant>
        <vt:i4>0</vt:i4>
      </vt:variant>
      <vt:variant>
        <vt:i4>5</vt:i4>
      </vt:variant>
      <vt:variant>
        <vt:lpwstr>http://www.nevo.co.il/law/73729/85.1.a</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2025-01-19T16:12:00Z</dcterms:created>
  <dcterms:modified xsi:type="dcterms:W3CDTF">2025-01-19T16:12:00Z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21908</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דיאא עדואן</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20170712</vt:lpwstr>
  </property>
  <property fmtid="{D5CDD505-2E9C-101B-9397-08002B2CF9AE}" pid="13" name="TYPE_N_DATE">
    <vt:lpwstr>39020170712</vt:lpwstr>
  </property>
  <property fmtid="{D5CDD505-2E9C-101B-9397-08002B2CF9AE}" pid="14" name="WORDNUMPAGES">
    <vt:lpwstr>3</vt:lpwstr>
  </property>
  <property fmtid="{D5CDD505-2E9C-101B-9397-08002B2CF9AE}" pid="15" name="TYPE_ABS_DATE">
    <vt:lpwstr>390020170712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73729/085.1.d;085.1.a</vt:lpwstr>
  </property>
  <property fmtid="{D5CDD505-2E9C-101B-9397-08002B2CF9AE}" pid="36" name="LAWLISTTMP2">
    <vt:lpwstr>70301/143.b;144.a:2;144.b:2</vt:lpwstr>
  </property>
</Properties>
</file>