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CB1E79" w:rsidRPr="00CB1E79" w14:paraId="54E35CCA" w14:textId="77777777" w:rsidTr="008B799B">
        <w:trPr>
          <w:trHeight w:hRule="exact" w:val="418"/>
          <w:jc w:val="center"/>
        </w:trPr>
        <w:tc>
          <w:tcPr>
            <w:tcW w:w="8721" w:type="dxa"/>
            <w:gridSpan w:val="2"/>
          </w:tcPr>
          <w:p w14:paraId="1409BEA4" w14:textId="77777777" w:rsidR="00CB1E79" w:rsidRPr="00CB1E79" w:rsidRDefault="00CB1E79" w:rsidP="0052313E">
            <w:pPr>
              <w:pStyle w:val="a3"/>
              <w:jc w:val="center"/>
              <w:rPr>
                <w:rFonts w:ascii="Tahoma" w:hAnsi="Tahoma" w:cs="Tahoma"/>
                <w:color w:val="000080"/>
                <w:rtl/>
              </w:rPr>
            </w:pPr>
            <w:r w:rsidRPr="00CB1E79">
              <w:rPr>
                <w:rFonts w:ascii="Tahoma" w:hAnsi="Tahoma" w:cs="Tahoma"/>
                <w:b/>
                <w:bCs/>
                <w:color w:val="000080"/>
                <w:rtl/>
              </w:rPr>
              <w:t>בית המשפט המחוזי בחיפה</w:t>
            </w:r>
          </w:p>
        </w:tc>
      </w:tr>
      <w:tr w:rsidR="00CB1E79" w:rsidRPr="00CB1E79" w14:paraId="4A97849E" w14:textId="77777777" w:rsidTr="008B799B">
        <w:trPr>
          <w:trHeight w:val="337"/>
          <w:jc w:val="center"/>
        </w:trPr>
        <w:tc>
          <w:tcPr>
            <w:tcW w:w="5061" w:type="dxa"/>
          </w:tcPr>
          <w:p w14:paraId="316B889A" w14:textId="77777777" w:rsidR="00CB1E79" w:rsidRPr="00CB1E79" w:rsidRDefault="00CB1E79" w:rsidP="0052313E">
            <w:pPr>
              <w:rPr>
                <w:rFonts w:cs="FrankRuehl"/>
                <w:sz w:val="28"/>
                <w:szCs w:val="28"/>
                <w:rtl/>
              </w:rPr>
            </w:pPr>
            <w:r w:rsidRPr="00CB1E79">
              <w:rPr>
                <w:rFonts w:cs="FrankRuehl"/>
                <w:sz w:val="28"/>
                <w:szCs w:val="28"/>
                <w:rtl/>
              </w:rPr>
              <w:t>תפ"ח 37367-09-16 מדינת ישראל נ' עבדאללה(עציר)</w:t>
            </w:r>
          </w:p>
          <w:p w14:paraId="05643FE9" w14:textId="77777777" w:rsidR="00CB1E79" w:rsidRPr="00CB1E79" w:rsidRDefault="00CB1E79" w:rsidP="0052313E">
            <w:pPr>
              <w:pStyle w:val="a3"/>
              <w:rPr>
                <w:rFonts w:cs="FrankRuehl"/>
                <w:sz w:val="14"/>
                <w:szCs w:val="14"/>
                <w:rtl/>
              </w:rPr>
            </w:pPr>
          </w:p>
        </w:tc>
        <w:tc>
          <w:tcPr>
            <w:tcW w:w="3660" w:type="dxa"/>
          </w:tcPr>
          <w:p w14:paraId="71F47774" w14:textId="77777777" w:rsidR="00CB1E79" w:rsidRPr="00CB1E79" w:rsidRDefault="00CB1E79" w:rsidP="0052313E">
            <w:pPr>
              <w:pStyle w:val="a3"/>
              <w:jc w:val="right"/>
              <w:rPr>
                <w:rFonts w:cs="FrankRuehl"/>
                <w:sz w:val="28"/>
                <w:szCs w:val="28"/>
                <w:rtl/>
              </w:rPr>
            </w:pPr>
          </w:p>
        </w:tc>
      </w:tr>
    </w:tbl>
    <w:p w14:paraId="31C77565" w14:textId="77777777" w:rsidR="00CB1E79" w:rsidRPr="00CB1E79" w:rsidRDefault="00CB1E79" w:rsidP="00CB1E79">
      <w:pPr>
        <w:pStyle w:val="a3"/>
        <w:rPr>
          <w:rtl/>
        </w:rPr>
      </w:pPr>
      <w:r w:rsidRPr="00CB1E79">
        <w:rPr>
          <w:rtl/>
        </w:rPr>
        <w:t xml:space="preserve"> </w:t>
      </w:r>
    </w:p>
    <w:p w14:paraId="4BEF6EEB" w14:textId="77777777" w:rsidR="00EC5EC7" w:rsidRPr="00CB1E79" w:rsidRDefault="00EC5EC7">
      <w:pPr>
        <w:rPr>
          <w:rFonts w:hint="cs"/>
          <w:rtl/>
        </w:rPr>
      </w:pPr>
    </w:p>
    <w:tbl>
      <w:tblPr>
        <w:bidiVisual/>
        <w:tblW w:w="8802" w:type="dxa"/>
        <w:tblInd w:w="-28" w:type="dxa"/>
        <w:tblLook w:val="01E0" w:firstRow="1" w:lastRow="1" w:firstColumn="1" w:lastColumn="1" w:noHBand="0" w:noVBand="0"/>
      </w:tblPr>
      <w:tblGrid>
        <w:gridCol w:w="2880"/>
        <w:gridCol w:w="5838"/>
        <w:gridCol w:w="84"/>
      </w:tblGrid>
      <w:tr w:rsidR="00CB1E79" w:rsidRPr="00CB1E79" w14:paraId="030E6C69" w14:textId="77777777" w:rsidTr="0052313E">
        <w:trPr>
          <w:gridAfter w:val="1"/>
          <w:wAfter w:w="56" w:type="dxa"/>
        </w:trPr>
        <w:tc>
          <w:tcPr>
            <w:tcW w:w="8718" w:type="dxa"/>
            <w:gridSpan w:val="2"/>
          </w:tcPr>
          <w:p w14:paraId="3B7F154C" w14:textId="77777777" w:rsidR="00CB1E79" w:rsidRPr="00CB1E79" w:rsidRDefault="00CB1E79" w:rsidP="0052313E">
            <w:pPr>
              <w:spacing w:line="360" w:lineRule="auto"/>
              <w:rPr>
                <w:b/>
                <w:bCs/>
                <w:sz w:val="26"/>
                <w:szCs w:val="26"/>
                <w:rtl/>
              </w:rPr>
            </w:pPr>
            <w:bookmarkStart w:id="0" w:name="_GoBack"/>
            <w:bookmarkEnd w:id="0"/>
            <w:r w:rsidRPr="00CB1E79">
              <w:rPr>
                <w:b/>
                <w:bCs/>
                <w:sz w:val="26"/>
                <w:szCs w:val="26"/>
                <w:rtl/>
              </w:rPr>
              <w:t>לפני הרכב השופטים:</w:t>
            </w:r>
          </w:p>
          <w:p w14:paraId="1560DBFB" w14:textId="77777777" w:rsidR="00CB1E79" w:rsidRPr="00CB1E79" w:rsidRDefault="00CB1E79" w:rsidP="0052313E">
            <w:pPr>
              <w:spacing w:line="360" w:lineRule="auto"/>
              <w:rPr>
                <w:b/>
                <w:bCs/>
                <w:sz w:val="26"/>
                <w:szCs w:val="26"/>
                <w:rtl/>
              </w:rPr>
            </w:pPr>
            <w:r w:rsidRPr="00CB1E79">
              <w:rPr>
                <w:b/>
                <w:bCs/>
                <w:sz w:val="26"/>
                <w:szCs w:val="26"/>
                <w:rtl/>
              </w:rPr>
              <w:t>כב' השופטת, ס. הנשיא, דיאנה סלע [אב"ד]</w:t>
            </w:r>
          </w:p>
          <w:p w14:paraId="3FE3D7B8" w14:textId="77777777" w:rsidR="00CB1E79" w:rsidRPr="00CB1E79" w:rsidRDefault="00CB1E79" w:rsidP="0052313E">
            <w:pPr>
              <w:spacing w:line="360" w:lineRule="auto"/>
              <w:rPr>
                <w:b/>
                <w:bCs/>
                <w:sz w:val="26"/>
                <w:szCs w:val="26"/>
                <w:rtl/>
              </w:rPr>
            </w:pPr>
            <w:r w:rsidRPr="00CB1E79">
              <w:rPr>
                <w:b/>
                <w:bCs/>
                <w:sz w:val="26"/>
                <w:szCs w:val="26"/>
                <w:rtl/>
              </w:rPr>
              <w:t>כב' השופט אבי לוי</w:t>
            </w:r>
          </w:p>
          <w:p w14:paraId="22D775C7" w14:textId="77777777" w:rsidR="00CB1E79" w:rsidRPr="00CB1E79" w:rsidRDefault="00CB1E79" w:rsidP="0052313E">
            <w:pPr>
              <w:spacing w:line="360" w:lineRule="auto"/>
              <w:rPr>
                <w:b/>
                <w:bCs/>
                <w:sz w:val="26"/>
                <w:szCs w:val="26"/>
                <w:rtl/>
              </w:rPr>
            </w:pPr>
            <w:r w:rsidRPr="00CB1E79">
              <w:rPr>
                <w:b/>
                <w:bCs/>
                <w:sz w:val="26"/>
                <w:szCs w:val="26"/>
                <w:rtl/>
              </w:rPr>
              <w:t>כב' השופט ערן קוטון</w:t>
            </w:r>
          </w:p>
          <w:p w14:paraId="3ECE1528" w14:textId="77777777" w:rsidR="00CB1E79" w:rsidRPr="00CB1E79" w:rsidRDefault="00CB1E79" w:rsidP="0052313E">
            <w:pPr>
              <w:spacing w:line="360" w:lineRule="auto"/>
              <w:rPr>
                <w:b/>
                <w:bCs/>
                <w:sz w:val="16"/>
                <w:szCs w:val="16"/>
                <w:rtl/>
              </w:rPr>
            </w:pPr>
          </w:p>
        </w:tc>
      </w:tr>
      <w:tr w:rsidR="00CB1E79" w:rsidRPr="00CB1E79" w14:paraId="7702B661" w14:textId="77777777" w:rsidTr="0052313E">
        <w:trPr>
          <w:cantSplit/>
          <w:trHeight w:val="105"/>
        </w:trPr>
        <w:tc>
          <w:tcPr>
            <w:tcW w:w="2880" w:type="dxa"/>
          </w:tcPr>
          <w:p w14:paraId="5B61B98E" w14:textId="77777777" w:rsidR="00CB1E79" w:rsidRPr="00CB1E79" w:rsidRDefault="00CB1E79" w:rsidP="0052313E">
            <w:pPr>
              <w:spacing w:line="360" w:lineRule="auto"/>
              <w:ind w:left="26"/>
              <w:rPr>
                <w:b/>
                <w:bCs/>
                <w:sz w:val="26"/>
                <w:szCs w:val="26"/>
                <w:rtl/>
              </w:rPr>
            </w:pPr>
            <w:bookmarkStart w:id="1" w:name="FirstAppellant"/>
            <w:bookmarkStart w:id="2" w:name="LastJudge"/>
            <w:bookmarkEnd w:id="2"/>
            <w:r w:rsidRPr="00CB1E79">
              <w:rPr>
                <w:b/>
                <w:bCs/>
                <w:sz w:val="26"/>
                <w:szCs w:val="26"/>
                <w:rtl/>
              </w:rPr>
              <w:t>המאשימה</w:t>
            </w:r>
          </w:p>
        </w:tc>
        <w:tc>
          <w:tcPr>
            <w:tcW w:w="5922" w:type="dxa"/>
            <w:gridSpan w:val="2"/>
          </w:tcPr>
          <w:p w14:paraId="4F186C61" w14:textId="77777777" w:rsidR="00CB1E79" w:rsidRPr="00CB1E79" w:rsidRDefault="00CB1E79" w:rsidP="0052313E">
            <w:pPr>
              <w:spacing w:line="360" w:lineRule="auto"/>
              <w:rPr>
                <w:b/>
                <w:bCs/>
                <w:sz w:val="26"/>
                <w:szCs w:val="26"/>
                <w:rtl/>
              </w:rPr>
            </w:pPr>
            <w:r w:rsidRPr="00CB1E79">
              <w:rPr>
                <w:b/>
                <w:bCs/>
                <w:sz w:val="26"/>
                <w:szCs w:val="26"/>
                <w:rtl/>
              </w:rPr>
              <w:t>מדינת ישראל</w:t>
            </w:r>
          </w:p>
        </w:tc>
      </w:tr>
      <w:bookmarkEnd w:id="1"/>
      <w:tr w:rsidR="00CB1E79" w:rsidRPr="00CB1E79" w14:paraId="1FA547AD" w14:textId="77777777" w:rsidTr="0052313E">
        <w:tc>
          <w:tcPr>
            <w:tcW w:w="8802" w:type="dxa"/>
            <w:gridSpan w:val="3"/>
            <w:vAlign w:val="center"/>
          </w:tcPr>
          <w:p w14:paraId="3E1B8BB8" w14:textId="77777777" w:rsidR="00CB1E79" w:rsidRPr="00CB1E79" w:rsidRDefault="00CB1E79" w:rsidP="0052313E">
            <w:pPr>
              <w:rPr>
                <w:rFonts w:ascii="Arial" w:hAnsi="Arial"/>
                <w:b/>
                <w:bCs/>
                <w:sz w:val="26"/>
                <w:szCs w:val="26"/>
                <w:rtl/>
              </w:rPr>
            </w:pPr>
          </w:p>
          <w:p w14:paraId="41CBDBA6" w14:textId="77777777" w:rsidR="00CB1E79" w:rsidRPr="00CB1E79" w:rsidRDefault="00CB1E79" w:rsidP="0052313E">
            <w:pPr>
              <w:jc w:val="center"/>
              <w:rPr>
                <w:rFonts w:ascii="Arial" w:hAnsi="Arial"/>
                <w:b/>
                <w:bCs/>
                <w:sz w:val="26"/>
                <w:szCs w:val="26"/>
                <w:rtl/>
              </w:rPr>
            </w:pPr>
            <w:r w:rsidRPr="00CB1E79">
              <w:rPr>
                <w:rFonts w:ascii="Arial" w:hAnsi="Arial"/>
                <w:b/>
                <w:bCs/>
                <w:sz w:val="26"/>
                <w:szCs w:val="26"/>
                <w:rtl/>
              </w:rPr>
              <w:t>נגד</w:t>
            </w:r>
          </w:p>
          <w:p w14:paraId="44B645EC" w14:textId="77777777" w:rsidR="00CB1E79" w:rsidRPr="00CB1E79" w:rsidRDefault="00CB1E79" w:rsidP="0052313E">
            <w:pPr>
              <w:rPr>
                <w:rFonts w:ascii="Arial" w:hAnsi="Arial"/>
                <w:b/>
                <w:bCs/>
                <w:sz w:val="26"/>
                <w:szCs w:val="26"/>
                <w:rtl/>
              </w:rPr>
            </w:pPr>
          </w:p>
        </w:tc>
      </w:tr>
      <w:tr w:rsidR="00CB1E79" w:rsidRPr="00CB1E79" w14:paraId="22AFBC0A" w14:textId="77777777" w:rsidTr="0052313E">
        <w:tc>
          <w:tcPr>
            <w:tcW w:w="2880" w:type="dxa"/>
          </w:tcPr>
          <w:p w14:paraId="22BB82A1" w14:textId="77777777" w:rsidR="00CB1E79" w:rsidRPr="00CB1E79" w:rsidRDefault="00CB1E79" w:rsidP="0052313E">
            <w:pPr>
              <w:ind w:left="26"/>
              <w:rPr>
                <w:b/>
                <w:bCs/>
                <w:sz w:val="26"/>
                <w:szCs w:val="26"/>
              </w:rPr>
            </w:pPr>
            <w:r w:rsidRPr="00CB1E79">
              <w:rPr>
                <w:b/>
                <w:bCs/>
                <w:sz w:val="26"/>
                <w:szCs w:val="26"/>
                <w:rtl/>
              </w:rPr>
              <w:t>הנאשם</w:t>
            </w:r>
          </w:p>
        </w:tc>
        <w:tc>
          <w:tcPr>
            <w:tcW w:w="5922" w:type="dxa"/>
            <w:gridSpan w:val="2"/>
          </w:tcPr>
          <w:p w14:paraId="0E8F189B" w14:textId="77777777" w:rsidR="00CB1E79" w:rsidRPr="00CB1E79" w:rsidRDefault="00CB1E79" w:rsidP="0052313E">
            <w:pPr>
              <w:spacing w:line="360" w:lineRule="auto"/>
              <w:rPr>
                <w:b/>
                <w:bCs/>
                <w:sz w:val="26"/>
                <w:szCs w:val="26"/>
                <w:rtl/>
              </w:rPr>
            </w:pPr>
            <w:r w:rsidRPr="00CB1E79">
              <w:rPr>
                <w:b/>
                <w:bCs/>
                <w:sz w:val="26"/>
                <w:szCs w:val="26"/>
                <w:rtl/>
              </w:rPr>
              <w:t>פלוני  (עציר)</w:t>
            </w:r>
          </w:p>
        </w:tc>
      </w:tr>
    </w:tbl>
    <w:p w14:paraId="4ACD9B48" w14:textId="77777777" w:rsidR="00CB1E79" w:rsidRPr="00CB1E79" w:rsidRDefault="00CB1E79">
      <w:pPr>
        <w:rPr>
          <w:rFonts w:hint="cs"/>
          <w:rtl/>
        </w:rPr>
      </w:pPr>
    </w:p>
    <w:p w14:paraId="4CCAF637" w14:textId="77777777" w:rsidR="00E6686A" w:rsidRPr="00CB1E79" w:rsidRDefault="00E6686A">
      <w:pPr>
        <w:rPr>
          <w:rFonts w:hint="cs"/>
          <w:rtl/>
        </w:rPr>
      </w:pPr>
    </w:p>
    <w:p w14:paraId="21548CC0" w14:textId="77777777" w:rsidR="008B799B" w:rsidRPr="008B799B" w:rsidRDefault="008B799B" w:rsidP="008B799B">
      <w:pPr>
        <w:spacing w:after="120" w:line="240" w:lineRule="exact"/>
        <w:ind w:left="283" w:hanging="283"/>
        <w:jc w:val="both"/>
        <w:rPr>
          <w:rFonts w:ascii="FrankRuehl" w:hAnsi="FrankRuehl" w:cs="FrankRuehl"/>
          <w:rtl/>
        </w:rPr>
      </w:pPr>
      <w:r w:rsidRPr="008B799B">
        <w:rPr>
          <w:rFonts w:ascii="FrankRuehl" w:hAnsi="FrankRuehl" w:cs="FrankRuehl"/>
          <w:rtl/>
        </w:rPr>
        <w:t xml:space="preserve">חקיקה שאוזכרה: </w:t>
      </w:r>
    </w:p>
    <w:p w14:paraId="43A86363" w14:textId="77777777" w:rsidR="008B799B" w:rsidRPr="008B799B" w:rsidRDefault="008B799B" w:rsidP="008B799B">
      <w:pPr>
        <w:spacing w:after="120" w:line="240" w:lineRule="exact"/>
        <w:ind w:left="283" w:hanging="283"/>
        <w:jc w:val="both"/>
        <w:rPr>
          <w:rFonts w:ascii="FrankRuehl" w:hAnsi="FrankRuehl" w:cs="FrankRuehl"/>
          <w:rtl/>
        </w:rPr>
      </w:pPr>
      <w:hyperlink r:id="rId8" w:history="1">
        <w:r w:rsidRPr="008B799B">
          <w:rPr>
            <w:rFonts w:ascii="FrankRuehl" w:hAnsi="FrankRuehl" w:cs="FrankRuehl"/>
            <w:color w:val="0000FF"/>
            <w:u w:val="single"/>
            <w:rtl/>
          </w:rPr>
          <w:t>חוק העונשין, תשל"ז-1977</w:t>
        </w:r>
      </w:hyperlink>
      <w:r w:rsidRPr="008B799B">
        <w:rPr>
          <w:rFonts w:ascii="FrankRuehl" w:hAnsi="FrankRuehl" w:cs="FrankRuehl"/>
          <w:rtl/>
        </w:rPr>
        <w:t xml:space="preserve">: סע'  </w:t>
      </w:r>
      <w:hyperlink r:id="rId9" w:history="1">
        <w:r w:rsidRPr="008B799B">
          <w:rPr>
            <w:rFonts w:ascii="FrankRuehl" w:hAnsi="FrankRuehl" w:cs="FrankRuehl"/>
            <w:color w:val="0000FF"/>
            <w:u w:val="single"/>
            <w:rtl/>
          </w:rPr>
          <w:t>77</w:t>
        </w:r>
      </w:hyperlink>
      <w:r w:rsidRPr="008B799B">
        <w:rPr>
          <w:rFonts w:ascii="FrankRuehl" w:hAnsi="FrankRuehl" w:cs="FrankRuehl"/>
          <w:rtl/>
        </w:rPr>
        <w:t xml:space="preserve">, </w:t>
      </w:r>
      <w:hyperlink r:id="rId10" w:history="1">
        <w:r w:rsidRPr="008B799B">
          <w:rPr>
            <w:rFonts w:ascii="FrankRuehl" w:hAnsi="FrankRuehl" w:cs="FrankRuehl"/>
            <w:color w:val="0000FF"/>
            <w:u w:val="single"/>
            <w:rtl/>
          </w:rPr>
          <w:t>144(ב)</w:t>
        </w:r>
      </w:hyperlink>
      <w:r w:rsidRPr="008B799B">
        <w:rPr>
          <w:rFonts w:ascii="FrankRuehl" w:hAnsi="FrankRuehl" w:cs="FrankRuehl"/>
          <w:rtl/>
        </w:rPr>
        <w:t xml:space="preserve">, </w:t>
      </w:r>
      <w:hyperlink r:id="rId11" w:history="1">
        <w:r w:rsidRPr="008B799B">
          <w:rPr>
            <w:rFonts w:ascii="FrankRuehl" w:hAnsi="FrankRuehl" w:cs="FrankRuehl"/>
            <w:color w:val="0000FF"/>
            <w:u w:val="single"/>
            <w:rtl/>
          </w:rPr>
          <w:t>300 (א)</w:t>
        </w:r>
      </w:hyperlink>
      <w:r w:rsidRPr="008B799B">
        <w:rPr>
          <w:rFonts w:ascii="FrankRuehl" w:hAnsi="FrankRuehl" w:cs="FrankRuehl"/>
          <w:rtl/>
        </w:rPr>
        <w:t xml:space="preserve">, </w:t>
      </w:r>
      <w:hyperlink r:id="rId12" w:history="1">
        <w:r w:rsidRPr="008B799B">
          <w:rPr>
            <w:rFonts w:ascii="FrankRuehl" w:hAnsi="FrankRuehl" w:cs="FrankRuehl"/>
            <w:color w:val="0000FF"/>
            <w:u w:val="single"/>
            <w:rtl/>
          </w:rPr>
          <w:t>300(א)(1)</w:t>
        </w:r>
      </w:hyperlink>
      <w:r w:rsidRPr="008B799B">
        <w:rPr>
          <w:rFonts w:ascii="FrankRuehl" w:hAnsi="FrankRuehl" w:cs="FrankRuehl"/>
          <w:rtl/>
        </w:rPr>
        <w:t xml:space="preserve">, </w:t>
      </w:r>
      <w:hyperlink r:id="rId13" w:history="1">
        <w:r w:rsidRPr="008B799B">
          <w:rPr>
            <w:rFonts w:ascii="FrankRuehl" w:hAnsi="FrankRuehl" w:cs="FrankRuehl"/>
            <w:color w:val="0000FF"/>
            <w:u w:val="single"/>
            <w:rtl/>
          </w:rPr>
          <w:t>300(א)(2)</w:t>
        </w:r>
      </w:hyperlink>
      <w:r w:rsidRPr="008B799B">
        <w:rPr>
          <w:rFonts w:ascii="FrankRuehl" w:hAnsi="FrankRuehl" w:cs="FrankRuehl"/>
          <w:rtl/>
        </w:rPr>
        <w:t xml:space="preserve">, </w:t>
      </w:r>
      <w:hyperlink r:id="rId14" w:history="1">
        <w:r w:rsidRPr="008B799B">
          <w:rPr>
            <w:rFonts w:ascii="FrankRuehl" w:hAnsi="FrankRuehl" w:cs="FrankRuehl"/>
            <w:color w:val="0000FF"/>
            <w:u w:val="single"/>
            <w:rtl/>
          </w:rPr>
          <w:t>301א(א)(1)</w:t>
        </w:r>
      </w:hyperlink>
      <w:r w:rsidRPr="008B799B">
        <w:rPr>
          <w:rFonts w:ascii="FrankRuehl" w:hAnsi="FrankRuehl" w:cs="FrankRuehl"/>
          <w:rtl/>
        </w:rPr>
        <w:t xml:space="preserve">, </w:t>
      </w:r>
      <w:hyperlink r:id="rId15" w:history="1">
        <w:r w:rsidRPr="008B799B">
          <w:rPr>
            <w:rFonts w:ascii="FrankRuehl" w:hAnsi="FrankRuehl" w:cs="FrankRuehl"/>
            <w:color w:val="0000FF"/>
            <w:u w:val="single"/>
            <w:rtl/>
          </w:rPr>
          <w:t>301א(א)(5)</w:t>
        </w:r>
      </w:hyperlink>
    </w:p>
    <w:p w14:paraId="2DF9AB4D" w14:textId="77777777" w:rsidR="008B799B" w:rsidRPr="008B799B" w:rsidRDefault="008B799B" w:rsidP="008B799B">
      <w:pPr>
        <w:spacing w:after="120" w:line="240" w:lineRule="exact"/>
        <w:ind w:left="283" w:hanging="283"/>
        <w:jc w:val="both"/>
        <w:rPr>
          <w:rFonts w:ascii="FrankRuehl" w:hAnsi="FrankRuehl" w:cs="FrankRuehl"/>
          <w:rtl/>
        </w:rPr>
      </w:pPr>
    </w:p>
    <w:p w14:paraId="5E2D76BF" w14:textId="77777777" w:rsidR="008B799B" w:rsidRPr="00CB1E79" w:rsidRDefault="008B799B" w:rsidP="008B799B">
      <w:pPr>
        <w:spacing w:after="120" w:line="240" w:lineRule="exact"/>
        <w:ind w:left="283" w:hanging="283"/>
        <w:jc w:val="both"/>
        <w:rPr>
          <w:rStyle w:val="Hyperlink"/>
          <w:rFonts w:ascii="FrankRuehl" w:hAnsi="FrankRuehl" w:cs="FrankRuehl"/>
          <w:rtl/>
        </w:rPr>
      </w:pPr>
      <w:bookmarkStart w:id="3" w:name="LawTable_End"/>
      <w:bookmarkEnd w:id="3"/>
      <w:r w:rsidRPr="00CB1E79">
        <w:rPr>
          <w:rFonts w:ascii="FrankRuehl" w:hAnsi="FrankRuehl" w:cs="FrankRuehl"/>
          <w:rtl/>
        </w:rPr>
        <w:t>כתבי עת:</w:t>
      </w:r>
      <w:r w:rsidRPr="00CB1E79">
        <w:rPr>
          <w:rFonts w:ascii="FrankRuehl" w:hAnsi="FrankRuehl" w:cs="FrankRuehl"/>
          <w:u w:val="single"/>
          <w:rtl/>
        </w:rPr>
        <w:fldChar w:fldCharType="begin"/>
      </w:r>
      <w:r w:rsidRPr="00CB1E79">
        <w:rPr>
          <w:rFonts w:ascii="FrankRuehl" w:hAnsi="FrankRuehl" w:cs="FrankRuehl"/>
          <w:u w:val="single"/>
          <w:rtl/>
        </w:rPr>
        <w:instrText xml:space="preserve"> </w:instrText>
      </w:r>
      <w:r w:rsidRPr="00CB1E79">
        <w:rPr>
          <w:rFonts w:ascii="FrankRuehl" w:hAnsi="FrankRuehl" w:cs="FrankRuehl"/>
          <w:u w:val="single"/>
        </w:rPr>
        <w:instrText xml:space="preserve">HYPERLINK </w:instrText>
      </w:r>
      <w:r w:rsidRPr="00CB1E79">
        <w:rPr>
          <w:rFonts w:ascii="FrankRuehl" w:hAnsi="FrankRuehl" w:cs="FrankRuehl"/>
          <w:u w:val="single"/>
          <w:rtl/>
        </w:rPr>
        <w:instrText>"</w:instrText>
      </w:r>
      <w:r w:rsidRPr="00CB1E79">
        <w:rPr>
          <w:rFonts w:ascii="FrankRuehl" w:hAnsi="FrankRuehl" w:cs="FrankRuehl"/>
          <w:u w:val="single"/>
        </w:rPr>
        <w:instrText>http://www.nevo.co.il/safrut/book/6865"</w:instrText>
      </w:r>
      <w:r w:rsidRPr="00CB1E79">
        <w:rPr>
          <w:rFonts w:ascii="FrankRuehl" w:hAnsi="FrankRuehl" w:cs="FrankRuehl"/>
          <w:u w:val="single"/>
          <w:rtl/>
        </w:rPr>
        <w:instrText xml:space="preserve"> </w:instrText>
      </w:r>
      <w:r w:rsidRPr="00CB1E79">
        <w:rPr>
          <w:rFonts w:ascii="FrankRuehl" w:hAnsi="FrankRuehl" w:cs="FrankRuehl"/>
          <w:u w:val="single"/>
          <w:rtl/>
        </w:rPr>
      </w:r>
      <w:r w:rsidRPr="00CB1E79">
        <w:rPr>
          <w:rFonts w:ascii="FrankRuehl" w:hAnsi="FrankRuehl" w:cs="FrankRuehl"/>
          <w:u w:val="single"/>
          <w:rtl/>
        </w:rPr>
        <w:fldChar w:fldCharType="separate"/>
      </w:r>
    </w:p>
    <w:p w14:paraId="11316C0F" w14:textId="77777777" w:rsidR="00E6686A" w:rsidRDefault="008B799B" w:rsidP="008B799B">
      <w:pPr>
        <w:rPr>
          <w:rFonts w:hint="cs"/>
          <w:rtl/>
        </w:rPr>
      </w:pPr>
      <w:r w:rsidRPr="00CB1E79">
        <w:rPr>
          <w:rStyle w:val="Hyperlink"/>
          <w:rFonts w:ascii="FrankRuehl" w:hAnsi="FrankRuehl" w:cs="FrankRuehl"/>
          <w:rtl/>
        </w:rPr>
        <w:t xml:space="preserve">גרשון גונטובניק, "הזכות לתרבות בחברה ליברלית ובמדינת־ישראל", עיוני משפט, כרך כז (תשס"ג-תשס"ד) </w:t>
      </w:r>
      <w:r w:rsidRPr="00CB1E79">
        <w:rPr>
          <w:rStyle w:val="Hyperlink"/>
          <w:rFonts w:ascii="FrankRuehl" w:hAnsi="FrankRuehl" w:cs="FrankRuehl"/>
          <w:u w:val="none"/>
          <w:rtl/>
        </w:rPr>
        <w:t>23</w:t>
      </w:r>
      <w:r w:rsidRPr="00CB1E79">
        <w:rPr>
          <w:rFonts w:ascii="FrankRuehl" w:hAnsi="FrankRuehl" w:cs="FrankRuehl"/>
          <w:rtl/>
        </w:rPr>
        <w:fldChar w:fldCharType="end"/>
      </w:r>
    </w:p>
    <w:p w14:paraId="300B39CA" w14:textId="77777777" w:rsidR="008B799B" w:rsidRDefault="008B799B" w:rsidP="008B799B">
      <w:pPr>
        <w:rPr>
          <w:rFonts w:hint="cs"/>
          <w:rtl/>
        </w:rPr>
      </w:pPr>
    </w:p>
    <w:p w14:paraId="39B4D905" w14:textId="77777777" w:rsidR="008B799B" w:rsidRPr="00CB1E79" w:rsidRDefault="008B799B" w:rsidP="008B799B">
      <w:pPr>
        <w:rPr>
          <w:rFonts w:hint="cs"/>
          <w:rtl/>
        </w:rPr>
      </w:pPr>
    </w:p>
    <w:p w14:paraId="69F6581A" w14:textId="77777777" w:rsidR="00E6686A" w:rsidRPr="00CB1E79" w:rsidRDefault="00E6686A">
      <w:pPr>
        <w:rPr>
          <w:rFonts w:hint="cs"/>
        </w:rPr>
      </w:pPr>
    </w:p>
    <w:p w14:paraId="2A9EBBA2" w14:textId="77777777" w:rsidR="00CB1E79" w:rsidRPr="00CB1E79" w:rsidRDefault="00CB1E79" w:rsidP="001E6849">
      <w:pPr>
        <w:spacing w:line="360" w:lineRule="auto"/>
        <w:ind w:left="720" w:hanging="720"/>
        <w:jc w:val="both"/>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B1E79" w14:paraId="66ED03C9" w14:textId="77777777" w:rsidTr="0052313E">
        <w:trPr>
          <w:trHeight w:val="355"/>
          <w:jc w:val="center"/>
        </w:trPr>
        <w:tc>
          <w:tcPr>
            <w:tcW w:w="8820" w:type="dxa"/>
            <w:tcBorders>
              <w:top w:val="nil"/>
              <w:left w:val="nil"/>
              <w:bottom w:val="nil"/>
              <w:right w:val="nil"/>
            </w:tcBorders>
          </w:tcPr>
          <w:p w14:paraId="2690F5B1" w14:textId="77777777" w:rsidR="00CB1E79" w:rsidRPr="008B799B" w:rsidRDefault="00CB1E79" w:rsidP="00CB1E79">
            <w:pPr>
              <w:spacing w:line="360" w:lineRule="auto"/>
              <w:ind w:firstLine="720"/>
              <w:jc w:val="center"/>
              <w:rPr>
                <w:rFonts w:ascii="David" w:hAnsi="David"/>
                <w:b/>
                <w:bCs/>
                <w:sz w:val="32"/>
                <w:szCs w:val="32"/>
                <w:u w:val="single"/>
                <w:rtl/>
              </w:rPr>
            </w:pPr>
            <w:bookmarkStart w:id="4" w:name="PsakDin"/>
            <w:bookmarkStart w:id="5" w:name="Links_Kitvei_End"/>
            <w:bookmarkEnd w:id="5"/>
            <w:r w:rsidRPr="008B799B">
              <w:rPr>
                <w:rFonts w:ascii="David" w:hAnsi="David"/>
                <w:b/>
                <w:bCs/>
                <w:sz w:val="32"/>
                <w:szCs w:val="32"/>
                <w:u w:val="single"/>
                <w:rtl/>
              </w:rPr>
              <w:t>גזר דין</w:t>
            </w:r>
          </w:p>
          <w:bookmarkEnd w:id="4"/>
          <w:p w14:paraId="222E57DA" w14:textId="77777777" w:rsidR="00CB1E79" w:rsidRPr="0005184B" w:rsidRDefault="00CB1E79" w:rsidP="0052313E">
            <w:pPr>
              <w:spacing w:line="360" w:lineRule="auto"/>
              <w:ind w:firstLine="720"/>
              <w:jc w:val="both"/>
              <w:rPr>
                <w:rFonts w:ascii="David" w:hAnsi="David"/>
                <w:sz w:val="2"/>
                <w:szCs w:val="2"/>
                <w:u w:val="single"/>
                <w:rtl/>
              </w:rPr>
            </w:pPr>
          </w:p>
        </w:tc>
      </w:tr>
    </w:tbl>
    <w:p w14:paraId="2DB71BB3" w14:textId="77777777" w:rsidR="00EC5EC7" w:rsidRDefault="00EC5EC7" w:rsidP="001E6849">
      <w:pPr>
        <w:spacing w:line="360" w:lineRule="auto"/>
        <w:ind w:left="720" w:hanging="720"/>
        <w:jc w:val="both"/>
        <w:rPr>
          <w:rFonts w:ascii="David" w:hAnsi="David"/>
          <w:rtl/>
        </w:rPr>
      </w:pPr>
      <w:r>
        <w:rPr>
          <w:rFonts w:ascii="David" w:hAnsi="David"/>
          <w:b/>
          <w:bCs/>
          <w:rtl/>
        </w:rPr>
        <w:t>1.</w:t>
      </w:r>
      <w:r>
        <w:rPr>
          <w:rFonts w:ascii="David" w:hAnsi="David"/>
          <w:rtl/>
        </w:rPr>
        <w:tab/>
      </w:r>
      <w:bookmarkStart w:id="6" w:name="ABSTRACT_START"/>
      <w:bookmarkEnd w:id="6"/>
      <w:r>
        <w:rPr>
          <w:rFonts w:ascii="David" w:hAnsi="David"/>
          <w:rtl/>
        </w:rPr>
        <w:t xml:space="preserve">חייה של המנוחה – אישה ואם אשר גידלה במסירות חמישה ילדים – נגדעו ביום 28/7/16 על ידי בנה הנאשם, אשר הורשע לאחר שמיעת ראיות בעבירת רצח, לפי </w:t>
      </w:r>
      <w:hyperlink r:id="rId16" w:history="1">
        <w:r w:rsidR="008B799B" w:rsidRPr="008B799B">
          <w:rPr>
            <w:rFonts w:ascii="David" w:hAnsi="David"/>
            <w:color w:val="0000FF"/>
            <w:u w:val="single"/>
            <w:rtl/>
          </w:rPr>
          <w:t>סעיף 300(א)(1)</w:t>
        </w:r>
      </w:hyperlink>
      <w:r>
        <w:rPr>
          <w:rFonts w:ascii="David" w:hAnsi="David"/>
          <w:rtl/>
        </w:rPr>
        <w:t xml:space="preserve"> </w:t>
      </w:r>
      <w:hyperlink r:id="rId17" w:history="1">
        <w:r w:rsidR="008B799B" w:rsidRPr="008B799B">
          <w:rPr>
            <w:rFonts w:ascii="David" w:hAnsi="David"/>
            <w:color w:val="0000FF"/>
            <w:u w:val="single"/>
            <w:rtl/>
          </w:rPr>
          <w:t>וסעיף 300(א)(2)</w:t>
        </w:r>
      </w:hyperlink>
      <w:r>
        <w:rPr>
          <w:rFonts w:ascii="David" w:hAnsi="David"/>
          <w:rtl/>
        </w:rPr>
        <w:t xml:space="preserve"> ל</w:t>
      </w:r>
      <w:hyperlink r:id="rId18" w:history="1">
        <w:r w:rsidR="00CB1E79" w:rsidRPr="00CB1E79">
          <w:rPr>
            <w:rFonts w:ascii="David" w:hAnsi="David"/>
            <w:color w:val="0000FF"/>
            <w:u w:val="single"/>
            <w:rtl/>
          </w:rPr>
          <w:t>חוק העונשין</w:t>
        </w:r>
      </w:hyperlink>
      <w:r>
        <w:rPr>
          <w:rFonts w:ascii="David" w:hAnsi="David"/>
          <w:rtl/>
        </w:rPr>
        <w:t xml:space="preserve">, תשל"ז-1977 (להלן: החוק), וכן בעבירה של החזקת נשק שלא כדין לפי </w:t>
      </w:r>
      <w:hyperlink r:id="rId19" w:history="1">
        <w:r w:rsidR="008B799B" w:rsidRPr="008B799B">
          <w:rPr>
            <w:rFonts w:ascii="David" w:hAnsi="David"/>
            <w:color w:val="0000FF"/>
            <w:u w:val="single"/>
            <w:rtl/>
          </w:rPr>
          <w:t>סעיף 144(ב)</w:t>
        </w:r>
      </w:hyperlink>
      <w:r>
        <w:rPr>
          <w:rFonts w:ascii="David" w:hAnsi="David"/>
          <w:rtl/>
        </w:rPr>
        <w:t xml:space="preserve"> לחוק העונשין. </w:t>
      </w:r>
    </w:p>
    <w:p w14:paraId="64AE6829" w14:textId="77777777" w:rsidR="00EC5EC7" w:rsidRDefault="00EC5EC7" w:rsidP="009B5D5F">
      <w:pPr>
        <w:spacing w:line="360" w:lineRule="auto"/>
        <w:ind w:left="720" w:hanging="720"/>
        <w:jc w:val="both"/>
        <w:rPr>
          <w:rFonts w:ascii="David" w:hAnsi="David"/>
          <w:rtl/>
        </w:rPr>
      </w:pPr>
      <w:bookmarkStart w:id="7" w:name="ABSTRACT_END"/>
      <w:bookmarkEnd w:id="7"/>
    </w:p>
    <w:p w14:paraId="11DEC756" w14:textId="77777777" w:rsidR="00EC5EC7" w:rsidRDefault="00EC5EC7" w:rsidP="002D133D">
      <w:pPr>
        <w:spacing w:line="360" w:lineRule="auto"/>
        <w:ind w:left="720" w:hanging="720"/>
        <w:jc w:val="both"/>
        <w:rPr>
          <w:rFonts w:ascii="David" w:hAnsi="David"/>
          <w:sz w:val="10"/>
          <w:szCs w:val="10"/>
          <w:rtl/>
        </w:rPr>
      </w:pPr>
      <w:r>
        <w:rPr>
          <w:rFonts w:ascii="David" w:hAnsi="David"/>
          <w:rtl/>
        </w:rPr>
        <w:tab/>
        <w:t>הנאשם ירה באמו לא פחות מ-6 כדורים מטווח קצר, וגרם למותה, בהיותה כבת 46 בלבד, על רקע מניע הקרוי חילול "כבוד המשפחה", כשצעיר בניה המכונה "בייבי" היה רק בן 11. לעניין מניע זה ראו דבריו של כב' הש' עמית ב</w:t>
      </w:r>
      <w:hyperlink r:id="rId20" w:history="1">
        <w:r w:rsidR="00CB1E79" w:rsidRPr="00CB1E79">
          <w:rPr>
            <w:rFonts w:ascii="David" w:hAnsi="David"/>
            <w:color w:val="0000FF"/>
            <w:u w:val="single"/>
            <w:rtl/>
          </w:rPr>
          <w:t>ע"פ 3768/08</w:t>
        </w:r>
      </w:hyperlink>
      <w:r>
        <w:rPr>
          <w:rFonts w:ascii="David" w:hAnsi="David"/>
          <w:rtl/>
        </w:rPr>
        <w:t xml:space="preserve"> </w:t>
      </w:r>
      <w:r>
        <w:rPr>
          <w:rFonts w:ascii="David" w:hAnsi="David"/>
          <w:b/>
          <w:bCs/>
          <w:rtl/>
        </w:rPr>
        <w:t xml:space="preserve">אנואר סלאמה נ' מ"י </w:t>
      </w:r>
      <w:r>
        <w:rPr>
          <w:rFonts w:ascii="David" w:hAnsi="David"/>
          <w:rtl/>
        </w:rPr>
        <w:t xml:space="preserve">(7/11/10); </w:t>
      </w:r>
    </w:p>
    <w:p w14:paraId="2A91EAF0" w14:textId="77777777" w:rsidR="00EC5EC7" w:rsidRPr="00754D3A" w:rsidRDefault="00EC5EC7" w:rsidP="002D133D">
      <w:pPr>
        <w:spacing w:line="360" w:lineRule="auto"/>
        <w:ind w:left="720" w:hanging="720"/>
        <w:jc w:val="both"/>
        <w:rPr>
          <w:rFonts w:ascii="David" w:hAnsi="David"/>
          <w:sz w:val="20"/>
          <w:szCs w:val="20"/>
          <w:rtl/>
        </w:rPr>
      </w:pPr>
    </w:p>
    <w:p w14:paraId="3AEEB19C" w14:textId="77777777" w:rsidR="00EC5EC7" w:rsidRDefault="00EC5EC7" w:rsidP="002D133D">
      <w:pPr>
        <w:pStyle w:val="Ruller40"/>
        <w:ind w:left="1440"/>
        <w:rPr>
          <w:rFonts w:ascii="Miriam" w:hAnsi="Miriam" w:cs="Miriam"/>
          <w:b/>
          <w:bCs/>
          <w:sz w:val="24"/>
          <w:szCs w:val="24"/>
          <w:rtl/>
        </w:rPr>
      </w:pPr>
      <w:r>
        <w:rPr>
          <w:rFonts w:ascii="Miriam" w:hAnsi="Miriam" w:cs="Miriam"/>
          <w:sz w:val="24"/>
          <w:szCs w:val="24"/>
          <w:rtl/>
        </w:rPr>
        <w:t>"2.</w:t>
      </w:r>
      <w:r w:rsidR="00CB1E79">
        <w:rPr>
          <w:rFonts w:ascii="Miriam" w:hAnsi="Miriam" w:cs="Miriam"/>
          <w:sz w:val="24"/>
          <w:szCs w:val="24"/>
          <w:rtl/>
        </w:rPr>
        <w:t xml:space="preserve">   </w:t>
      </w:r>
      <w:r>
        <w:rPr>
          <w:rFonts w:ascii="Miriam" w:hAnsi="Miriam" w:cs="Miriam"/>
          <w:sz w:val="24"/>
          <w:szCs w:val="24"/>
          <w:rtl/>
        </w:rPr>
        <w:t xml:space="preserve">מה לא נכתב ומה לא נאמר על ביטוי אומלל זה? לא "כבוד המשפחה" לפנינו, אלא "חוסר כבוד במשפחה". חוסר כבוד לאישה, חוסר כבוד לאוטונומיה של האדם וחוסר כבוד לערך החיים. </w:t>
      </w:r>
      <w:r>
        <w:rPr>
          <w:rFonts w:ascii="Miriam" w:hAnsi="Miriam" w:cs="Miriam"/>
          <w:b/>
          <w:bCs/>
          <w:sz w:val="24"/>
          <w:szCs w:val="24"/>
          <w:rtl/>
        </w:rPr>
        <w:t>להוותנו, הביטוי "כבוד המשפחה" הפך למילת קוד שמאחוריה מסתתרים דפוסי השפלה ודיכוי של האישה וקודים של התנהגות כלפי אישה שאין חלקנו עמם</w:t>
      </w:r>
      <w:r>
        <w:rPr>
          <w:rFonts w:ascii="Miriam" w:hAnsi="Miriam" w:cs="Miriam"/>
          <w:sz w:val="24"/>
          <w:szCs w:val="24"/>
          <w:rtl/>
        </w:rPr>
        <w:t xml:space="preserve">. הסניגור המלומד הדגיש בדיון בפנינו כי המדובר בתופעה </w:t>
      </w:r>
      <w:r>
        <w:rPr>
          <w:rFonts w:ascii="Miriam" w:hAnsi="Miriam" w:cs="Miriam"/>
          <w:sz w:val="24"/>
          <w:szCs w:val="24"/>
          <w:rtl/>
        </w:rPr>
        <w:lastRenderedPageBreak/>
        <w:t xml:space="preserve">החוצה גבולות-דת במגזר הערבי, אך בית משפט בישראל לא יאפשר לשאת את שם הרב-תרבותיות לשווא. הרב-תרבותיות נעצרת במקום של אלימות ופגיעה פיסית בכלל, ואלימות על רקע מגדרי בפרט (גרשון </w:t>
      </w:r>
      <w:hyperlink r:id="rId21" w:history="1">
        <w:r w:rsidR="00CB1E79" w:rsidRPr="00CB1E79">
          <w:rPr>
            <w:rFonts w:ascii="Miriam" w:hAnsi="Miriam" w:cs="Miriam"/>
            <w:color w:val="0000FF"/>
            <w:sz w:val="24"/>
            <w:szCs w:val="24"/>
            <w:u w:val="single"/>
            <w:rtl/>
          </w:rPr>
          <w:t>גונטובניק "הזכות לתרבות בחברה ליברלית ובמדינת ישראל"</w:t>
        </w:r>
      </w:hyperlink>
      <w:r>
        <w:rPr>
          <w:rFonts w:ascii="Miriam" w:hAnsi="Miriam" w:cs="Miriam"/>
          <w:sz w:val="24"/>
          <w:szCs w:val="24"/>
          <w:rtl/>
        </w:rPr>
        <w:t xml:space="preserve"> עיוני משפט כז 23, 40 (2004)). על בית המשפט, כמו גם כל הרשויות הנוגעות בדבר, להפגין מסר חד-משמעי ותקיף השולל את התופעה, שלא ליתן פתחון פה לטוען כי "קיימת תפיסה ממסדית מקילה עד כדי הפקרות לגבי רוצחי נשים בחברה הערבית" (מיכאל קרייני "על 'השלנו': </w:t>
      </w:r>
      <w:r>
        <w:rPr>
          <w:rFonts w:ascii="Miriam" w:hAnsi="Miriam" w:cs="Miriam"/>
          <w:b/>
          <w:bCs/>
          <w:sz w:val="24"/>
          <w:szCs w:val="24"/>
          <w:rtl/>
        </w:rPr>
        <w:t>רב-תרבותיות בהקשר הערבי-יהודי</w:t>
      </w:r>
      <w:r>
        <w:rPr>
          <w:rFonts w:ascii="Miriam" w:hAnsi="Miriam" w:cs="Miriam"/>
          <w:sz w:val="24"/>
          <w:szCs w:val="24"/>
          <w:rtl/>
        </w:rPr>
        <w:t>" עיוני משפט כז 71, 101 (2003)). עוד על התופעה ראו חסאן מנאר "</w:t>
      </w:r>
      <w:r>
        <w:rPr>
          <w:rFonts w:ascii="Miriam" w:hAnsi="Miriam" w:cs="Miriam"/>
          <w:b/>
          <w:bCs/>
          <w:sz w:val="24"/>
          <w:szCs w:val="24"/>
          <w:rtl/>
        </w:rPr>
        <w:t xml:space="preserve">הפולטיקה של הכבוד, הפטריארכיה, המדינה, ורצח נשים </w:t>
      </w:r>
    </w:p>
    <w:p w14:paraId="72207EE4" w14:textId="77777777" w:rsidR="00EC5EC7" w:rsidRDefault="00EC5EC7" w:rsidP="009B5D5F">
      <w:pPr>
        <w:pStyle w:val="Ruller40"/>
        <w:ind w:left="1440"/>
        <w:rPr>
          <w:rFonts w:ascii="Miriam" w:hAnsi="Miriam" w:cs="Miriam"/>
          <w:sz w:val="24"/>
          <w:szCs w:val="24"/>
          <w:rtl/>
        </w:rPr>
      </w:pPr>
      <w:r>
        <w:rPr>
          <w:rFonts w:ascii="Miriam" w:hAnsi="Miriam" w:cs="Miriam"/>
          <w:b/>
          <w:bCs/>
          <w:sz w:val="24"/>
          <w:szCs w:val="24"/>
          <w:rtl/>
        </w:rPr>
        <w:t>בשם כבוד המשפחה</w:t>
      </w:r>
      <w:r>
        <w:rPr>
          <w:rFonts w:ascii="Miriam" w:hAnsi="Miriam" w:cs="Miriam"/>
          <w:sz w:val="24"/>
          <w:szCs w:val="24"/>
          <w:rtl/>
        </w:rPr>
        <w:t xml:space="preserve">" מין מגדר ופוליטיקה 267 (ג' רוזן עורך, 1999)). </w:t>
      </w:r>
    </w:p>
    <w:p w14:paraId="63B0ED22" w14:textId="77777777" w:rsidR="00EC5EC7" w:rsidRDefault="00EC5EC7" w:rsidP="009B5D5F">
      <w:pPr>
        <w:pStyle w:val="Ruller40"/>
        <w:ind w:left="1440"/>
        <w:rPr>
          <w:rFonts w:ascii="Miriam" w:hAnsi="Miriam" w:cs="Miriam"/>
          <w:sz w:val="24"/>
          <w:szCs w:val="24"/>
          <w:rtl/>
        </w:rPr>
      </w:pPr>
      <w:r>
        <w:rPr>
          <w:rFonts w:ascii="Miriam" w:hAnsi="Miriam" w:cs="Miriam"/>
          <w:sz w:val="24"/>
          <w:szCs w:val="24"/>
          <w:rtl/>
        </w:rPr>
        <w:t>על מקומה של "ההגנה התרבותית" במשפט הפלילי, ראה סקירתו של כב' השופט ג'ובראן ב</w:t>
      </w:r>
      <w:hyperlink r:id="rId22" w:history="1">
        <w:r w:rsidR="00CB1E79" w:rsidRPr="00CB1E79">
          <w:rPr>
            <w:rFonts w:ascii="Miriam" w:hAnsi="Miriam" w:cs="Miriam"/>
            <w:color w:val="0000FF"/>
            <w:sz w:val="24"/>
            <w:szCs w:val="24"/>
            <w:u w:val="single"/>
            <w:rtl/>
          </w:rPr>
          <w:t>ע"פ 10358/08</w:t>
        </w:r>
      </w:hyperlink>
      <w:r>
        <w:rPr>
          <w:rFonts w:ascii="Miriam" w:hAnsi="Miriam" w:cs="Miriam"/>
          <w:sz w:val="24"/>
          <w:szCs w:val="24"/>
          <w:rtl/>
        </w:rPr>
        <w:t xml:space="preserve"> </w:t>
      </w:r>
      <w:r>
        <w:rPr>
          <w:rFonts w:ascii="Miriam" w:hAnsi="Miriam" w:cs="Miriam"/>
          <w:b/>
          <w:bCs/>
          <w:sz w:val="24"/>
          <w:szCs w:val="24"/>
          <w:rtl/>
        </w:rPr>
        <w:t>איסמאעיל אזברגה נ' מדינת ישראל</w:t>
      </w:r>
      <w:r>
        <w:rPr>
          <w:rFonts w:ascii="Miriam" w:hAnsi="Miriam" w:cs="Miriam"/>
          <w:sz w:val="24"/>
          <w:szCs w:val="24"/>
          <w:rtl/>
        </w:rPr>
        <w:t>, 10.3.2010))".</w:t>
      </w:r>
      <w:r w:rsidR="00CB1E79">
        <w:rPr>
          <w:rFonts w:ascii="Miriam" w:hAnsi="Miriam" w:cs="Miriam"/>
          <w:sz w:val="24"/>
          <w:szCs w:val="24"/>
          <w:rtl/>
        </w:rPr>
        <w:t xml:space="preserve"> </w:t>
      </w:r>
      <w:r>
        <w:rPr>
          <w:rFonts w:ascii="Miriam" w:hAnsi="Miriam" w:cs="Miriam"/>
          <w:sz w:val="24"/>
          <w:szCs w:val="24"/>
          <w:rtl/>
        </w:rPr>
        <w:t xml:space="preserve"> </w:t>
      </w:r>
    </w:p>
    <w:p w14:paraId="15861862" w14:textId="77777777" w:rsidR="00EC5EC7" w:rsidRPr="00741479" w:rsidRDefault="00EC5EC7" w:rsidP="009B5D5F">
      <w:pPr>
        <w:pStyle w:val="Ruller40"/>
        <w:ind w:left="1440"/>
        <w:rPr>
          <w:rFonts w:ascii="Miriam" w:hAnsi="Miriam" w:cs="Miriam"/>
          <w:sz w:val="2"/>
          <w:szCs w:val="2"/>
          <w:rtl/>
        </w:rPr>
      </w:pPr>
    </w:p>
    <w:p w14:paraId="546211B6" w14:textId="77777777" w:rsidR="00EC5EC7" w:rsidRPr="00754D3A" w:rsidRDefault="00EC5EC7" w:rsidP="00741479">
      <w:pPr>
        <w:pStyle w:val="Ruller40"/>
        <w:ind w:left="720"/>
        <w:rPr>
          <w:rFonts w:ascii="Miriam" w:hAnsi="Miriam" w:cs="Miriam"/>
          <w:sz w:val="16"/>
          <w:szCs w:val="16"/>
          <w:rtl/>
        </w:rPr>
      </w:pPr>
    </w:p>
    <w:p w14:paraId="514E501A" w14:textId="77777777" w:rsidR="00EC5EC7" w:rsidRDefault="00EC5EC7" w:rsidP="006F42FB">
      <w:pPr>
        <w:spacing w:line="360" w:lineRule="auto"/>
        <w:ind w:left="720" w:hanging="720"/>
        <w:jc w:val="both"/>
        <w:rPr>
          <w:rFonts w:ascii="David" w:hAnsi="David"/>
          <w:rtl/>
        </w:rPr>
      </w:pPr>
      <w:r>
        <w:rPr>
          <w:rFonts w:ascii="David" w:hAnsi="David"/>
          <w:b/>
          <w:bCs/>
          <w:rtl/>
        </w:rPr>
        <w:t>2.</w:t>
      </w:r>
      <w:r>
        <w:rPr>
          <w:rFonts w:ascii="David" w:hAnsi="David"/>
          <w:rtl/>
        </w:rPr>
        <w:t xml:space="preserve">  </w:t>
      </w:r>
      <w:r>
        <w:rPr>
          <w:rFonts w:ascii="David" w:hAnsi="David"/>
          <w:rtl/>
        </w:rPr>
        <w:tab/>
        <w:t xml:space="preserve">המאשימה עתרה להטלת מאסר עולם על הנאשם בגין כל העבירות בהן הורשע, ולא עתרה לענישה נוספת בגין עבירת הנשק שבביצועה הורשע, חרף העובדה שהעונש המרבי הקבוע בצידה הוא עשר שנות מאסר. </w:t>
      </w:r>
    </w:p>
    <w:p w14:paraId="4463DF3E" w14:textId="77777777" w:rsidR="00EC5EC7" w:rsidRPr="00EC36B4" w:rsidRDefault="00EC5EC7" w:rsidP="006A25E9">
      <w:pPr>
        <w:spacing w:line="360" w:lineRule="auto"/>
        <w:ind w:left="720" w:hanging="720"/>
        <w:jc w:val="both"/>
        <w:rPr>
          <w:rFonts w:ascii="David" w:hAnsi="David"/>
          <w:sz w:val="16"/>
          <w:szCs w:val="16"/>
          <w:rtl/>
        </w:rPr>
      </w:pPr>
    </w:p>
    <w:p w14:paraId="467839A5" w14:textId="77777777" w:rsidR="00EC5EC7" w:rsidRDefault="00EC5EC7" w:rsidP="006A25E9">
      <w:pPr>
        <w:spacing w:line="360" w:lineRule="auto"/>
        <w:ind w:left="720"/>
        <w:jc w:val="both"/>
        <w:rPr>
          <w:rFonts w:ascii="David" w:hAnsi="David"/>
          <w:rtl/>
        </w:rPr>
      </w:pPr>
      <w:r>
        <w:rPr>
          <w:rFonts w:ascii="David" w:hAnsi="David"/>
          <w:rtl/>
        </w:rPr>
        <w:t xml:space="preserve">ההגנה נמנעה מלטעון דבר לעניין העונש, בציינה כי הנאשם כופר בביצוע העבירות בהן הורשע. </w:t>
      </w:r>
    </w:p>
    <w:p w14:paraId="0D484CE8" w14:textId="77777777" w:rsidR="00EC5EC7" w:rsidRPr="00754D3A" w:rsidRDefault="00EC5EC7" w:rsidP="00741479">
      <w:pPr>
        <w:spacing w:line="360" w:lineRule="auto"/>
        <w:ind w:left="720" w:hanging="720"/>
        <w:jc w:val="both"/>
        <w:rPr>
          <w:rFonts w:ascii="David" w:hAnsi="David"/>
          <w:sz w:val="16"/>
          <w:szCs w:val="16"/>
          <w:rtl/>
        </w:rPr>
      </w:pPr>
    </w:p>
    <w:p w14:paraId="29BB0B38" w14:textId="77777777" w:rsidR="00EC5EC7" w:rsidRDefault="00EC5EC7" w:rsidP="006F42FB">
      <w:pPr>
        <w:spacing w:line="360" w:lineRule="auto"/>
        <w:ind w:left="720" w:hanging="720"/>
        <w:jc w:val="both"/>
        <w:rPr>
          <w:rtl/>
        </w:rPr>
      </w:pPr>
      <w:r w:rsidRPr="006F42FB">
        <w:rPr>
          <w:b/>
          <w:bCs/>
          <w:rtl/>
        </w:rPr>
        <w:t>3</w:t>
      </w:r>
      <w:r w:rsidRPr="006F42FB">
        <w:rPr>
          <w:rtl/>
        </w:rPr>
        <w:t>.</w:t>
      </w:r>
      <w:r>
        <w:rPr>
          <w:rtl/>
        </w:rPr>
        <w:tab/>
        <w:t xml:space="preserve">על פי מצוות המחוקק </w:t>
      </w:r>
      <w:hyperlink r:id="rId23" w:history="1">
        <w:r w:rsidR="008B799B" w:rsidRPr="008B799B">
          <w:rPr>
            <w:color w:val="0000FF"/>
            <w:u w:val="single"/>
            <w:rtl/>
          </w:rPr>
          <w:t>בסעיף 300 (א)</w:t>
        </w:r>
      </w:hyperlink>
      <w:r>
        <w:rPr>
          <w:rtl/>
        </w:rPr>
        <w:t xml:space="preserve"> ל</w:t>
      </w:r>
      <w:hyperlink r:id="rId24" w:history="1">
        <w:r w:rsidR="00CB1E79" w:rsidRPr="00CB1E79">
          <w:rPr>
            <w:color w:val="0000FF"/>
            <w:u w:val="single"/>
            <w:rtl/>
          </w:rPr>
          <w:t>חוק העונשין</w:t>
        </w:r>
      </w:hyperlink>
      <w:r>
        <w:rPr>
          <w:rtl/>
        </w:rPr>
        <w:t xml:space="preserve"> – כנוסחו היום ובעת ביצוע העבירות - דינו של הרוצח בכוונה תחילה הוא </w:t>
      </w:r>
      <w:r>
        <w:rPr>
          <w:b/>
          <w:bCs/>
          <w:rtl/>
        </w:rPr>
        <w:t>"...מאסר עולם ועונש זה בלבד</w:t>
      </w:r>
      <w:r>
        <w:rPr>
          <w:rtl/>
        </w:rPr>
        <w:t>", למעט במקרים חריגים שפורטו ב</w:t>
      </w:r>
      <w:hyperlink r:id="rId25" w:history="1">
        <w:r w:rsidR="00CB1E79" w:rsidRPr="00CB1E79">
          <w:rPr>
            <w:color w:val="0000FF"/>
            <w:u w:val="single"/>
            <w:rtl/>
          </w:rPr>
          <w:t>חוק העונשין</w:t>
        </w:r>
      </w:hyperlink>
      <w:r>
        <w:rPr>
          <w:rtl/>
        </w:rPr>
        <w:t>, ועל כן יש לגזור על הנאשם עונש של מאסר עולם בגין עבירת הרצח שביצע.</w:t>
      </w:r>
    </w:p>
    <w:p w14:paraId="07AA19E5" w14:textId="77777777" w:rsidR="00EC5EC7" w:rsidRPr="00002B84" w:rsidRDefault="00EC5EC7" w:rsidP="009B5D5F">
      <w:pPr>
        <w:pStyle w:val="Ruller40"/>
        <w:ind w:left="1440"/>
        <w:rPr>
          <w:rFonts w:ascii="Miriam" w:hAnsi="Miriam" w:cs="Miriam"/>
          <w:sz w:val="14"/>
          <w:szCs w:val="14"/>
          <w:rtl/>
        </w:rPr>
      </w:pPr>
    </w:p>
    <w:p w14:paraId="23B022A9" w14:textId="77777777" w:rsidR="00EC5EC7" w:rsidRDefault="00EC5EC7" w:rsidP="00915603">
      <w:pPr>
        <w:spacing w:line="360" w:lineRule="auto"/>
        <w:ind w:left="720" w:hanging="720"/>
        <w:jc w:val="both"/>
        <w:rPr>
          <w:rFonts w:ascii="David" w:hAnsi="David"/>
          <w:rtl/>
        </w:rPr>
      </w:pPr>
      <w:r>
        <w:rPr>
          <w:rFonts w:ascii="David" w:hAnsi="David"/>
          <w:rtl/>
        </w:rPr>
        <w:tab/>
        <w:t xml:space="preserve">בחנו את הסוגיה גם בהתאם לדין המתייחס לעבירת רצח לפי </w:t>
      </w:r>
      <w:hyperlink r:id="rId26" w:history="1">
        <w:r w:rsidR="008B799B" w:rsidRPr="008B799B">
          <w:rPr>
            <w:rFonts w:ascii="David" w:hAnsi="David"/>
            <w:color w:val="0000FF"/>
            <w:u w:val="single"/>
            <w:rtl/>
          </w:rPr>
          <w:t>סעיפים 301א(א)(1)</w:t>
        </w:r>
      </w:hyperlink>
      <w:r>
        <w:rPr>
          <w:rFonts w:ascii="David" w:hAnsi="David"/>
          <w:rtl/>
        </w:rPr>
        <w:t xml:space="preserve"> ו- </w:t>
      </w:r>
      <w:hyperlink r:id="rId27" w:history="1">
        <w:r w:rsidR="008B799B" w:rsidRPr="008B799B">
          <w:rPr>
            <w:rFonts w:ascii="David" w:hAnsi="David"/>
            <w:color w:val="0000FF"/>
            <w:u w:val="single"/>
            <w:rtl/>
          </w:rPr>
          <w:t>301א(א)(5)</w:t>
        </w:r>
      </w:hyperlink>
      <w:r>
        <w:rPr>
          <w:rFonts w:ascii="David" w:hAnsi="David"/>
          <w:rtl/>
        </w:rPr>
        <w:t xml:space="preserve"> ל</w:t>
      </w:r>
      <w:hyperlink r:id="rId28" w:history="1">
        <w:r w:rsidR="00CB1E79" w:rsidRPr="00CB1E79">
          <w:rPr>
            <w:rFonts w:ascii="David" w:hAnsi="David"/>
            <w:color w:val="0000FF"/>
            <w:u w:val="single"/>
            <w:rtl/>
          </w:rPr>
          <w:t>חוק העונשין</w:t>
        </w:r>
      </w:hyperlink>
      <w:r>
        <w:rPr>
          <w:rFonts w:ascii="David" w:hAnsi="David"/>
          <w:rtl/>
        </w:rPr>
        <w:t xml:space="preserve"> לאחר תיקון 137 לחוק העונשין. בחינה זו הביאה אותנו לכלל מסקנה לפיה העונש ההולם לנאשם בגין עבירת הרצח שביצע הוא מאסר עולם. בהעדר בקשה של המאשימה להטלת ענישה נוספת עקב עבירת הנשק שביצע הנאשם, איננו רואים מקום להטיל על הנאשם ענישה מעבר לזו שנתבקשה. </w:t>
      </w:r>
    </w:p>
    <w:p w14:paraId="372E7746" w14:textId="77777777" w:rsidR="00EC5EC7" w:rsidRPr="00002B84" w:rsidRDefault="00EC5EC7" w:rsidP="009B5D5F">
      <w:pPr>
        <w:spacing w:line="360" w:lineRule="auto"/>
        <w:ind w:left="720"/>
        <w:jc w:val="both"/>
        <w:rPr>
          <w:rFonts w:ascii="David" w:hAnsi="David"/>
          <w:sz w:val="16"/>
          <w:szCs w:val="16"/>
          <w:rtl/>
        </w:rPr>
      </w:pPr>
    </w:p>
    <w:p w14:paraId="0CA29605" w14:textId="77777777" w:rsidR="00EC5EC7" w:rsidRDefault="00EC5EC7" w:rsidP="00EC7994">
      <w:pPr>
        <w:spacing w:line="360" w:lineRule="auto"/>
        <w:ind w:left="720" w:hanging="720"/>
        <w:jc w:val="both"/>
        <w:rPr>
          <w:rFonts w:ascii="Calibri" w:hAnsi="Calibri"/>
          <w:rtl/>
        </w:rPr>
      </w:pPr>
      <w:r w:rsidRPr="00002B84">
        <w:rPr>
          <w:rFonts w:ascii="David" w:hAnsi="David"/>
          <w:b/>
          <w:bCs/>
          <w:rtl/>
        </w:rPr>
        <w:t>4</w:t>
      </w:r>
      <w:r>
        <w:rPr>
          <w:rFonts w:ascii="David" w:hAnsi="David"/>
          <w:rtl/>
        </w:rPr>
        <w:t>.</w:t>
      </w:r>
      <w:r>
        <w:rPr>
          <w:rFonts w:ascii="David" w:hAnsi="David"/>
          <w:rtl/>
        </w:rPr>
        <w:tab/>
        <w:t xml:space="preserve">לא נעלם מעינינו כי ההגנה בחרה להימנע מלטעון לעונש, </w:t>
      </w:r>
      <w:r>
        <w:rPr>
          <w:rtl/>
        </w:rPr>
        <w:t xml:space="preserve">בטענה כי הנאשם כופר במעשים המיוחסים לו. אלמלא קבע המחוקק עונש מאסר חובה לעבירת הרצח, לא היינו מסתפקים בהודעה זו, אך בנסיבות העניין, לא מצאנו לחייב את ההגנה לטעון לעונש. </w:t>
      </w:r>
    </w:p>
    <w:p w14:paraId="5461EC45" w14:textId="77777777" w:rsidR="00EC5EC7" w:rsidRPr="00002B84" w:rsidRDefault="00EC5EC7" w:rsidP="009B5D5F">
      <w:pPr>
        <w:spacing w:line="360" w:lineRule="auto"/>
        <w:ind w:left="720"/>
        <w:jc w:val="both"/>
        <w:rPr>
          <w:rFonts w:ascii="Calibri" w:hAnsi="Calibri"/>
          <w:sz w:val="16"/>
          <w:szCs w:val="16"/>
          <w:rtl/>
        </w:rPr>
      </w:pPr>
    </w:p>
    <w:p w14:paraId="4BB20495" w14:textId="77777777" w:rsidR="00EC5EC7" w:rsidRDefault="00EC5EC7" w:rsidP="009B5D5F">
      <w:pPr>
        <w:spacing w:line="360" w:lineRule="auto"/>
        <w:jc w:val="both"/>
        <w:rPr>
          <w:rFonts w:ascii="David" w:hAnsi="David"/>
          <w:b/>
          <w:bCs/>
          <w:rtl/>
        </w:rPr>
      </w:pPr>
      <w:r>
        <w:rPr>
          <w:rFonts w:ascii="David" w:hAnsi="David"/>
          <w:b/>
          <w:bCs/>
          <w:rtl/>
        </w:rPr>
        <w:t xml:space="preserve">5.  </w:t>
      </w:r>
      <w:r>
        <w:rPr>
          <w:rFonts w:ascii="David" w:hAnsi="David"/>
          <w:b/>
          <w:bCs/>
          <w:rtl/>
        </w:rPr>
        <w:tab/>
        <w:t xml:space="preserve">אשר על כן אנו גוזרים על הנאשם עונש של מאסר עולם. </w:t>
      </w:r>
    </w:p>
    <w:p w14:paraId="0766A917" w14:textId="77777777" w:rsidR="00EC5EC7" w:rsidRPr="00EC7994" w:rsidRDefault="00EC5EC7" w:rsidP="009B5D5F">
      <w:pPr>
        <w:spacing w:line="360" w:lineRule="auto"/>
        <w:jc w:val="both"/>
        <w:rPr>
          <w:rFonts w:ascii="David" w:hAnsi="David"/>
          <w:b/>
          <w:bCs/>
          <w:sz w:val="8"/>
          <w:szCs w:val="8"/>
          <w:rtl/>
        </w:rPr>
      </w:pPr>
    </w:p>
    <w:p w14:paraId="08718C7C" w14:textId="77777777" w:rsidR="00EC5EC7" w:rsidRDefault="00EC5EC7" w:rsidP="009B5D5F">
      <w:pPr>
        <w:spacing w:line="360" w:lineRule="auto"/>
        <w:ind w:firstLine="720"/>
        <w:jc w:val="both"/>
        <w:rPr>
          <w:rFonts w:ascii="Calibri" w:hAnsi="Calibri"/>
          <w:rtl/>
        </w:rPr>
      </w:pPr>
      <w:r>
        <w:rPr>
          <w:rtl/>
        </w:rPr>
        <w:t>משגזרנו על הנאשם מאסר עולם, אין אנו גוזרים עליו מאסר על תנאי.</w:t>
      </w:r>
    </w:p>
    <w:p w14:paraId="07271C36" w14:textId="77777777" w:rsidR="00EC5EC7" w:rsidRPr="00754D3A" w:rsidRDefault="00EC5EC7" w:rsidP="009B5D5F">
      <w:pPr>
        <w:spacing w:line="360" w:lineRule="auto"/>
        <w:ind w:firstLine="720"/>
        <w:jc w:val="both"/>
        <w:rPr>
          <w:rFonts w:ascii="Calibri" w:hAnsi="Calibri"/>
          <w:sz w:val="18"/>
          <w:szCs w:val="18"/>
          <w:rtl/>
        </w:rPr>
      </w:pPr>
    </w:p>
    <w:p w14:paraId="0271E8B6" w14:textId="77777777" w:rsidR="00EC5EC7" w:rsidRDefault="00EC5EC7" w:rsidP="009B5D5F">
      <w:pPr>
        <w:spacing w:line="360" w:lineRule="auto"/>
        <w:ind w:firstLine="720"/>
        <w:jc w:val="both"/>
        <w:rPr>
          <w:rFonts w:ascii="David" w:hAnsi="David"/>
          <w:b/>
          <w:bCs/>
          <w:u w:val="single"/>
        </w:rPr>
      </w:pPr>
      <w:r>
        <w:rPr>
          <w:rFonts w:ascii="David" w:hAnsi="David"/>
          <w:b/>
          <w:bCs/>
          <w:u w:val="single"/>
          <w:rtl/>
        </w:rPr>
        <w:t xml:space="preserve">פיצוי לנפגעי העבירה </w:t>
      </w:r>
    </w:p>
    <w:p w14:paraId="66F93E38" w14:textId="77777777" w:rsidR="00EC5EC7" w:rsidRDefault="00EC5EC7" w:rsidP="009B5D5F">
      <w:pPr>
        <w:spacing w:line="360" w:lineRule="auto"/>
        <w:ind w:left="720" w:hanging="720"/>
        <w:jc w:val="both"/>
        <w:rPr>
          <w:rFonts w:ascii="David" w:hAnsi="David"/>
          <w:rtl/>
        </w:rPr>
      </w:pPr>
      <w:r>
        <w:rPr>
          <w:rFonts w:ascii="David" w:hAnsi="David"/>
          <w:b/>
          <w:bCs/>
          <w:rtl/>
        </w:rPr>
        <w:t>6.</w:t>
      </w:r>
      <w:r>
        <w:rPr>
          <w:rFonts w:ascii="David" w:hAnsi="David"/>
          <w:rtl/>
        </w:rPr>
        <w:tab/>
      </w:r>
      <w:r>
        <w:rPr>
          <w:rFonts w:ascii="David" w:hAnsi="David"/>
          <w:b/>
          <w:bCs/>
          <w:rtl/>
        </w:rPr>
        <w:t>א.</w:t>
      </w:r>
      <w:r>
        <w:rPr>
          <w:rFonts w:ascii="David" w:hAnsi="David"/>
          <w:rtl/>
        </w:rPr>
        <w:t xml:space="preserve"> המאשימה ביררה את עמדתם של ילדיה הבוגרים של המנוחה ביחס לפיצוי כספי בגין רצח אמם, והוברר כי איש מהם אינו מעוניין בפיצוי בגין רצח אמם המנוחה. בנסיבות העניין עמדה המאשימה רק על חיוב הנאשם בפיצויו של אחיו הצעיר ביותר, בנה הקטין של המנוחה – מ"ע המכונה "בייבי" – אשר היה כבן 11 בעת הרצח (להלן: בייבי), מבלי לבקש את עמדתו, נוכח גילו הצעיר והנסיבות המיוחסות בהן שכל את אמו. המאשימה הותירה את גובה הפיצוי לשיקול דעתו של בית המשפט. </w:t>
      </w:r>
    </w:p>
    <w:p w14:paraId="02D4DBB7" w14:textId="77777777" w:rsidR="00EC5EC7" w:rsidRPr="00754D3A" w:rsidRDefault="00EC5EC7" w:rsidP="009B5D5F">
      <w:pPr>
        <w:spacing w:line="360" w:lineRule="auto"/>
        <w:jc w:val="both"/>
        <w:rPr>
          <w:rFonts w:ascii="David" w:hAnsi="David"/>
          <w:sz w:val="16"/>
          <w:szCs w:val="16"/>
          <w:rtl/>
        </w:rPr>
      </w:pPr>
    </w:p>
    <w:p w14:paraId="3AFDBF24" w14:textId="77777777" w:rsidR="00EC5EC7" w:rsidRDefault="00EC5EC7" w:rsidP="009B5D5F">
      <w:pPr>
        <w:spacing w:line="360" w:lineRule="auto"/>
        <w:ind w:left="720"/>
        <w:jc w:val="both"/>
        <w:rPr>
          <w:rFonts w:ascii="David" w:hAnsi="David"/>
          <w:rtl/>
        </w:rPr>
      </w:pPr>
      <w:r>
        <w:rPr>
          <w:rFonts w:ascii="David" w:hAnsi="David"/>
          <w:rtl/>
        </w:rPr>
        <w:t xml:space="preserve">ההגנה ביקשה לדחות את בקשת המאשימה, בטענה כי הנאשם הוא חסר כל, מתגורר בדירה השייכת לאביו, ומשנידון למאסר עולם, לא יהא באפשרותו לשאת בפיצוי הכספי, אם יושת עליו, ונטל הפיצוי יוטל על אביו. </w:t>
      </w:r>
    </w:p>
    <w:p w14:paraId="339AA2BF" w14:textId="77777777" w:rsidR="00EC5EC7" w:rsidRDefault="00EC5EC7" w:rsidP="009B5D5F">
      <w:pPr>
        <w:spacing w:line="360" w:lineRule="auto"/>
        <w:ind w:left="720"/>
        <w:jc w:val="both"/>
        <w:rPr>
          <w:rFonts w:ascii="David" w:hAnsi="David"/>
          <w:sz w:val="10"/>
          <w:szCs w:val="10"/>
          <w:rtl/>
        </w:rPr>
      </w:pPr>
    </w:p>
    <w:p w14:paraId="4E623B9F" w14:textId="77777777" w:rsidR="00EC5EC7" w:rsidRPr="00EC7994" w:rsidRDefault="00EC5EC7" w:rsidP="009B5D5F">
      <w:pPr>
        <w:spacing w:line="360" w:lineRule="auto"/>
        <w:ind w:left="720"/>
        <w:jc w:val="both"/>
        <w:rPr>
          <w:rFonts w:ascii="David" w:hAnsi="David"/>
          <w:sz w:val="10"/>
          <w:szCs w:val="10"/>
          <w:rtl/>
        </w:rPr>
      </w:pPr>
    </w:p>
    <w:p w14:paraId="2996327B" w14:textId="77777777" w:rsidR="00EC5EC7" w:rsidRDefault="00EC5EC7" w:rsidP="00915603">
      <w:pPr>
        <w:spacing w:line="360" w:lineRule="auto"/>
        <w:ind w:left="720"/>
        <w:jc w:val="both"/>
        <w:rPr>
          <w:rFonts w:ascii="David" w:hAnsi="David"/>
          <w:rtl/>
        </w:rPr>
      </w:pPr>
      <w:r>
        <w:rPr>
          <w:rFonts w:ascii="David" w:hAnsi="David"/>
          <w:b/>
          <w:bCs/>
          <w:rtl/>
        </w:rPr>
        <w:t>ב.</w:t>
      </w:r>
      <w:r>
        <w:rPr>
          <w:rFonts w:ascii="David" w:hAnsi="David"/>
          <w:rtl/>
        </w:rPr>
        <w:t xml:space="preserve">  לאחר ששקלנו את טיעוני הצדדים, אנו מחייבים את הנאשם לפצות את אחיו הצעיר ביותר בייבי בגין הנזקים שגרם לו בכך שרצח את אמו האהובה, קטע את אורח חייו כפי שהכירם לפני הרצח, ודן אותו לגדול במשפחה ללא אם, מעבר לטראומה הנוראה שנגרמה לו כתוצאה מכך שאמו נרצחה; אין צורך בדמיון רב או בתסקירי נפגע על מנת לתאר את הנזקים הנפשיים והרגשיים שנגרמו לילד  - שהיה אז בן 11 בלבד  - בגין המעשה הנורא.</w:t>
      </w:r>
    </w:p>
    <w:p w14:paraId="021B6BDC" w14:textId="77777777" w:rsidR="00EC5EC7" w:rsidRPr="00EF240F" w:rsidRDefault="00EC5EC7" w:rsidP="00002B84">
      <w:pPr>
        <w:spacing w:line="360" w:lineRule="auto"/>
        <w:jc w:val="both"/>
        <w:rPr>
          <w:rFonts w:ascii="David" w:hAnsi="David"/>
          <w:sz w:val="14"/>
          <w:szCs w:val="14"/>
          <w:rtl/>
        </w:rPr>
      </w:pPr>
    </w:p>
    <w:p w14:paraId="71057BDC" w14:textId="77777777" w:rsidR="00EC5EC7" w:rsidRDefault="00EC5EC7" w:rsidP="00EF240F">
      <w:pPr>
        <w:spacing w:line="360" w:lineRule="auto"/>
        <w:ind w:left="720"/>
        <w:jc w:val="both"/>
        <w:rPr>
          <w:rFonts w:ascii="David" w:hAnsi="David"/>
          <w:rtl/>
        </w:rPr>
      </w:pPr>
      <w:r>
        <w:rPr>
          <w:rFonts w:ascii="David" w:hAnsi="David"/>
          <w:rtl/>
        </w:rPr>
        <w:t xml:space="preserve">לפיכך, אנו מחייבים את הנאשם לשלם לאחיו הצעיר בייבי פיצויים מכוח </w:t>
      </w:r>
      <w:hyperlink r:id="rId29" w:history="1">
        <w:r w:rsidR="008B799B" w:rsidRPr="008B799B">
          <w:rPr>
            <w:rFonts w:ascii="David" w:hAnsi="David"/>
            <w:color w:val="0000FF"/>
            <w:u w:val="single"/>
            <w:rtl/>
          </w:rPr>
          <w:t>סעיף 77</w:t>
        </w:r>
      </w:hyperlink>
      <w:r>
        <w:rPr>
          <w:rFonts w:ascii="David" w:hAnsi="David"/>
          <w:rtl/>
        </w:rPr>
        <w:t xml:space="preserve"> ל</w:t>
      </w:r>
      <w:hyperlink r:id="rId30" w:history="1">
        <w:r w:rsidR="00CB1E79" w:rsidRPr="00CB1E79">
          <w:rPr>
            <w:rFonts w:ascii="David" w:hAnsi="David"/>
            <w:color w:val="0000FF"/>
            <w:u w:val="single"/>
            <w:rtl/>
          </w:rPr>
          <w:t>חוק העונשין</w:t>
        </w:r>
      </w:hyperlink>
      <w:r>
        <w:rPr>
          <w:rFonts w:ascii="David" w:hAnsi="David"/>
          <w:rtl/>
        </w:rPr>
        <w:t xml:space="preserve">, בסך של 250,000 ₪; סכום זה ישולם ב-125 תשלומים חודשיים, שווים ורצופים, החל מיום 1/9/19 ובכל 1 לחודש שלאחריו. אם לא ישולם סכום כלשהו במועדו, יעמוד הסכום כולו לפירעון מידי, ויתרתו תישא הפרשי הצמדה וריבית מהיום ועד ליום התשלום המלא בפועל. </w:t>
      </w:r>
    </w:p>
    <w:p w14:paraId="7A6D95D1" w14:textId="77777777" w:rsidR="00EC5EC7" w:rsidRPr="00EF240F" w:rsidRDefault="00EC5EC7" w:rsidP="00002B84">
      <w:pPr>
        <w:spacing w:line="360" w:lineRule="auto"/>
        <w:jc w:val="both"/>
        <w:rPr>
          <w:rFonts w:ascii="David" w:hAnsi="David"/>
          <w:sz w:val="14"/>
          <w:szCs w:val="14"/>
          <w:rtl/>
        </w:rPr>
      </w:pPr>
    </w:p>
    <w:p w14:paraId="59195D3F" w14:textId="77777777" w:rsidR="00EC5EC7" w:rsidRDefault="00EC5EC7" w:rsidP="00002B84">
      <w:pPr>
        <w:spacing w:line="360" w:lineRule="auto"/>
        <w:ind w:left="720"/>
        <w:jc w:val="both"/>
        <w:rPr>
          <w:rFonts w:ascii="David" w:hAnsi="David"/>
          <w:rtl/>
        </w:rPr>
      </w:pPr>
      <w:r w:rsidRPr="00741479">
        <w:rPr>
          <w:rFonts w:ascii="David" w:hAnsi="David"/>
          <w:rtl/>
        </w:rPr>
        <w:t xml:space="preserve">למען הסר ספק, אין מדובר בפיצוי מלא בגין הסבל ועוגמת הנפש שגרם לאחיו, אלא בפיצוי ראשוני בלבד, בין השאר כדי לאפשר לו לקבל טיפול נפשי, אם יזדקק לכך. </w:t>
      </w:r>
    </w:p>
    <w:p w14:paraId="3D1B3080" w14:textId="77777777" w:rsidR="00EC5EC7" w:rsidRPr="00EF240F" w:rsidRDefault="00EC5EC7" w:rsidP="00002B84">
      <w:pPr>
        <w:spacing w:line="360" w:lineRule="auto"/>
        <w:ind w:left="720"/>
        <w:jc w:val="both"/>
        <w:rPr>
          <w:rFonts w:ascii="David" w:hAnsi="David"/>
          <w:sz w:val="16"/>
          <w:szCs w:val="16"/>
          <w:rtl/>
        </w:rPr>
      </w:pPr>
    </w:p>
    <w:p w14:paraId="57206694" w14:textId="77777777" w:rsidR="00EC5EC7" w:rsidRDefault="00EC5EC7" w:rsidP="00002B84">
      <w:pPr>
        <w:spacing w:line="360" w:lineRule="auto"/>
        <w:ind w:left="720"/>
        <w:jc w:val="both"/>
        <w:rPr>
          <w:rFonts w:ascii="David" w:hAnsi="David"/>
          <w:rtl/>
        </w:rPr>
      </w:pPr>
      <w:r w:rsidRPr="00741479">
        <w:rPr>
          <w:rFonts w:ascii="David" w:hAnsi="David"/>
          <w:rtl/>
        </w:rPr>
        <w:t xml:space="preserve">לא נעלם מעינינו מצבם הכלכלי של הנאשם ובני משפחתו, משנידון הנאשם למאסר עולם, אך יכולתו הכלכלית של הנאשם, או העדר היכולת כנטען על ידי בא כוחו, אינם מהווים שיקול מכריע בפסיקת פיצויים לפי </w:t>
      </w:r>
      <w:hyperlink r:id="rId31" w:history="1">
        <w:r w:rsidR="008B799B" w:rsidRPr="008B799B">
          <w:rPr>
            <w:rFonts w:ascii="David" w:hAnsi="David"/>
            <w:color w:val="0000FF"/>
            <w:u w:val="single"/>
            <w:rtl/>
          </w:rPr>
          <w:t>סעיף 77</w:t>
        </w:r>
      </w:hyperlink>
      <w:r w:rsidRPr="00741479">
        <w:rPr>
          <w:rFonts w:ascii="David" w:hAnsi="David"/>
          <w:rtl/>
        </w:rPr>
        <w:t xml:space="preserve"> ל</w:t>
      </w:r>
      <w:hyperlink r:id="rId32" w:history="1">
        <w:r w:rsidR="00CB1E79" w:rsidRPr="00CB1E79">
          <w:rPr>
            <w:rFonts w:ascii="David" w:hAnsi="David"/>
            <w:color w:val="0000FF"/>
            <w:u w:val="single"/>
            <w:rtl/>
          </w:rPr>
          <w:t>חוק העונשין</w:t>
        </w:r>
      </w:hyperlink>
      <w:r w:rsidRPr="00741479">
        <w:rPr>
          <w:rFonts w:ascii="David" w:hAnsi="David"/>
          <w:rtl/>
        </w:rPr>
        <w:t xml:space="preserve"> ובקביעת שיעורם (לעניין זה ראו </w:t>
      </w:r>
      <w:hyperlink r:id="rId33" w:history="1">
        <w:r w:rsidR="00CB1E79" w:rsidRPr="00CB1E79">
          <w:rPr>
            <w:rFonts w:ascii="David" w:hAnsi="David"/>
            <w:color w:val="0000FF"/>
            <w:u w:val="single"/>
            <w:rtl/>
          </w:rPr>
          <w:t>ע"פ 4919/14</w:t>
        </w:r>
      </w:hyperlink>
      <w:r w:rsidRPr="00741479">
        <w:rPr>
          <w:rFonts w:ascii="David" w:hAnsi="David"/>
          <w:rtl/>
        </w:rPr>
        <w:t xml:space="preserve"> </w:t>
      </w:r>
      <w:r w:rsidRPr="00741479">
        <w:rPr>
          <w:rFonts w:ascii="David" w:hAnsi="David"/>
          <w:b/>
          <w:bCs/>
          <w:rtl/>
        </w:rPr>
        <w:t>שמעון אזולאי נ' מ"י</w:t>
      </w:r>
      <w:r w:rsidRPr="00741479">
        <w:rPr>
          <w:rFonts w:ascii="David" w:hAnsi="David"/>
          <w:rtl/>
        </w:rPr>
        <w:t xml:space="preserve"> (6/3/17), מפי כב' הש' עמית; </w:t>
      </w:r>
      <w:hyperlink r:id="rId34" w:history="1">
        <w:r w:rsidR="00CB1E79" w:rsidRPr="00CB1E79">
          <w:rPr>
            <w:rFonts w:ascii="David" w:hAnsi="David"/>
            <w:color w:val="0000FF"/>
            <w:u w:val="single"/>
            <w:rtl/>
          </w:rPr>
          <w:t>ע"פ 4200/13</w:t>
        </w:r>
      </w:hyperlink>
      <w:r w:rsidRPr="00741479">
        <w:rPr>
          <w:rFonts w:ascii="David" w:hAnsi="David"/>
          <w:rtl/>
        </w:rPr>
        <w:t xml:space="preserve"> </w:t>
      </w:r>
      <w:r w:rsidRPr="00741479">
        <w:rPr>
          <w:rFonts w:ascii="David" w:hAnsi="David"/>
          <w:b/>
          <w:bCs/>
          <w:rtl/>
        </w:rPr>
        <w:t xml:space="preserve">פלוני נ' מ"י </w:t>
      </w:r>
      <w:r w:rsidRPr="00741479">
        <w:rPr>
          <w:rFonts w:ascii="David" w:hAnsi="David"/>
          <w:rtl/>
        </w:rPr>
        <w:t xml:space="preserve">(21/8/13) מפי כב' הש' רובינשטיין; </w:t>
      </w:r>
      <w:hyperlink r:id="rId35" w:history="1">
        <w:r w:rsidR="00CB1E79" w:rsidRPr="00CB1E79">
          <w:rPr>
            <w:rFonts w:ascii="David" w:hAnsi="David"/>
            <w:color w:val="0000FF"/>
            <w:u w:val="single"/>
            <w:rtl/>
          </w:rPr>
          <w:t>ע"פ 2661/12</w:t>
        </w:r>
      </w:hyperlink>
      <w:r w:rsidRPr="00741479">
        <w:rPr>
          <w:rFonts w:ascii="David" w:hAnsi="David"/>
          <w:rtl/>
        </w:rPr>
        <w:t xml:space="preserve"> </w:t>
      </w:r>
      <w:r w:rsidRPr="00741479">
        <w:rPr>
          <w:rFonts w:ascii="David" w:hAnsi="David"/>
          <w:b/>
          <w:bCs/>
          <w:rtl/>
        </w:rPr>
        <w:t>פלוני נ' מ"י</w:t>
      </w:r>
      <w:r w:rsidRPr="00741479">
        <w:rPr>
          <w:rFonts w:ascii="David" w:hAnsi="David"/>
          <w:rtl/>
        </w:rPr>
        <w:t xml:space="preserve"> (19/11/12), מפי כב' הש' סולברג; </w:t>
      </w:r>
      <w:hyperlink r:id="rId36" w:history="1">
        <w:r w:rsidR="00CB1E79" w:rsidRPr="00CB1E79">
          <w:rPr>
            <w:rFonts w:ascii="David" w:hAnsi="David"/>
            <w:color w:val="0000FF"/>
            <w:u w:val="single"/>
            <w:rtl/>
          </w:rPr>
          <w:t>ע"פ 5761/05</w:t>
        </w:r>
      </w:hyperlink>
      <w:r w:rsidRPr="00741479">
        <w:rPr>
          <w:rFonts w:ascii="David" w:hAnsi="David"/>
          <w:rtl/>
        </w:rPr>
        <w:t xml:space="preserve"> </w:t>
      </w:r>
      <w:r w:rsidRPr="00741479">
        <w:rPr>
          <w:rFonts w:ascii="David" w:hAnsi="David"/>
          <w:b/>
          <w:bCs/>
          <w:rtl/>
        </w:rPr>
        <w:t>מג'דלאוי נ' מ"י</w:t>
      </w:r>
      <w:r w:rsidRPr="00741479">
        <w:rPr>
          <w:rFonts w:ascii="David" w:hAnsi="David"/>
          <w:rtl/>
        </w:rPr>
        <w:t xml:space="preserve"> (24/7/06), מפי כב' הש' רובינשטיין). כבר נפסק כי הפיצוי צריך לגלם בתוכו את חומרת הפגיעה בקורבנות העבירה, וכי יש מקום להשתת פיצוי גם על מי שהורשע בעבירת רצח ונדון למאסר עולם (ראו לדוגמא </w:t>
      </w:r>
      <w:hyperlink r:id="rId37" w:history="1">
        <w:r w:rsidR="00CB1E79" w:rsidRPr="00CB1E79">
          <w:rPr>
            <w:rFonts w:ascii="David" w:hAnsi="David"/>
            <w:color w:val="0000FF"/>
            <w:u w:val="single"/>
            <w:rtl/>
          </w:rPr>
          <w:t>ע"פ 6385/11</w:t>
        </w:r>
      </w:hyperlink>
      <w:r w:rsidRPr="00741479">
        <w:rPr>
          <w:rFonts w:ascii="David" w:hAnsi="David"/>
          <w:rtl/>
        </w:rPr>
        <w:t xml:space="preserve"> </w:t>
      </w:r>
      <w:r w:rsidRPr="00741479">
        <w:rPr>
          <w:rFonts w:ascii="David" w:hAnsi="David"/>
          <w:b/>
          <w:bCs/>
          <w:rtl/>
        </w:rPr>
        <w:t>בניטה נ' מ"י</w:t>
      </w:r>
      <w:r w:rsidRPr="00741479">
        <w:rPr>
          <w:rFonts w:ascii="David" w:hAnsi="David"/>
          <w:rtl/>
        </w:rPr>
        <w:t xml:space="preserve"> (3/12/12), מפי כב' הש' נאור (כתוארה דאז); ע"פ 2196/10 </w:t>
      </w:r>
      <w:r w:rsidRPr="00741479">
        <w:rPr>
          <w:rFonts w:ascii="David" w:hAnsi="David"/>
          <w:b/>
          <w:bCs/>
          <w:rtl/>
        </w:rPr>
        <w:t>אגבריה נ' מ"י</w:t>
      </w:r>
      <w:r w:rsidRPr="00741479">
        <w:rPr>
          <w:rFonts w:ascii="David" w:hAnsi="David"/>
          <w:rtl/>
        </w:rPr>
        <w:t xml:space="preserve"> (8/3/12), מפי כב' הש' רובינשטיין; </w:t>
      </w:r>
      <w:hyperlink r:id="rId38" w:history="1">
        <w:r w:rsidR="00CB1E79" w:rsidRPr="00CB1E79">
          <w:rPr>
            <w:rFonts w:ascii="David" w:hAnsi="David"/>
            <w:color w:val="0000FF"/>
            <w:u w:val="single"/>
            <w:rtl/>
          </w:rPr>
          <w:t>ע"פ 6304/12</w:t>
        </w:r>
      </w:hyperlink>
      <w:r w:rsidRPr="00741479">
        <w:rPr>
          <w:rFonts w:ascii="David" w:hAnsi="David"/>
          <w:rtl/>
        </w:rPr>
        <w:t xml:space="preserve"> </w:t>
      </w:r>
      <w:r w:rsidRPr="00741479">
        <w:rPr>
          <w:rFonts w:ascii="David" w:hAnsi="David"/>
          <w:b/>
          <w:bCs/>
          <w:rtl/>
        </w:rPr>
        <w:t>ספרונוב נ' מ"י ואח'</w:t>
      </w:r>
      <w:r w:rsidRPr="00741479">
        <w:rPr>
          <w:rFonts w:ascii="David" w:hAnsi="David"/>
          <w:rtl/>
        </w:rPr>
        <w:t xml:space="preserve"> (26/1/15), מפי כב' הש' שהם; </w:t>
      </w:r>
      <w:hyperlink r:id="rId39" w:history="1">
        <w:r w:rsidR="00CB1E79" w:rsidRPr="00CB1E79">
          <w:rPr>
            <w:rFonts w:ascii="David" w:hAnsi="David"/>
            <w:color w:val="0000FF"/>
            <w:u w:val="single"/>
            <w:rtl/>
          </w:rPr>
          <w:t>ע"פ 2418/17</w:t>
        </w:r>
      </w:hyperlink>
      <w:r w:rsidRPr="00741479">
        <w:rPr>
          <w:rFonts w:ascii="David" w:hAnsi="David"/>
          <w:rtl/>
        </w:rPr>
        <w:t xml:space="preserve"> </w:t>
      </w:r>
      <w:r w:rsidRPr="00741479">
        <w:rPr>
          <w:rFonts w:ascii="David" w:hAnsi="David"/>
          <w:b/>
          <w:bCs/>
          <w:rtl/>
        </w:rPr>
        <w:t>קוטינה נ' מ"י ואח'</w:t>
      </w:r>
      <w:r w:rsidRPr="00741479">
        <w:rPr>
          <w:rFonts w:ascii="David" w:hAnsi="David"/>
          <w:rtl/>
        </w:rPr>
        <w:t xml:space="preserve"> (25/10/18), מפי כב' הש' שטיין, ועוד).</w:t>
      </w:r>
      <w:r>
        <w:rPr>
          <w:rFonts w:ascii="David" w:hAnsi="David"/>
          <w:rtl/>
        </w:rPr>
        <w:t xml:space="preserve">  </w:t>
      </w:r>
    </w:p>
    <w:p w14:paraId="110C31EE" w14:textId="77777777" w:rsidR="00EC5EC7" w:rsidRPr="00EC7994" w:rsidRDefault="00EC5EC7" w:rsidP="009B5D5F">
      <w:pPr>
        <w:spacing w:line="360" w:lineRule="auto"/>
        <w:ind w:left="720"/>
        <w:jc w:val="both"/>
        <w:rPr>
          <w:rFonts w:ascii="David" w:hAnsi="David"/>
          <w:sz w:val="22"/>
          <w:szCs w:val="22"/>
          <w:rtl/>
        </w:rPr>
      </w:pPr>
    </w:p>
    <w:p w14:paraId="1BE43C19" w14:textId="77777777" w:rsidR="00EC5EC7" w:rsidRDefault="00EC5EC7" w:rsidP="00287864">
      <w:pPr>
        <w:spacing w:line="360" w:lineRule="auto"/>
        <w:ind w:left="720" w:hanging="720"/>
        <w:jc w:val="both"/>
        <w:rPr>
          <w:rFonts w:ascii="David" w:hAnsi="David"/>
          <w:rtl/>
        </w:rPr>
      </w:pPr>
      <w:r>
        <w:rPr>
          <w:rFonts w:ascii="David" w:hAnsi="David"/>
          <w:b/>
          <w:bCs/>
          <w:rtl/>
        </w:rPr>
        <w:t>7.</w:t>
      </w:r>
      <w:r>
        <w:rPr>
          <w:rFonts w:ascii="David" w:hAnsi="David"/>
          <w:b/>
          <w:bCs/>
          <w:rtl/>
        </w:rPr>
        <w:tab/>
      </w:r>
      <w:r>
        <w:rPr>
          <w:rFonts w:ascii="David" w:hAnsi="David"/>
          <w:rtl/>
        </w:rPr>
        <w:t>בנסיבות העניין, נוכח ניגוד העניינים האפשרי בין בייבי לבין אביו, כעולה מחומר הראיות שהובא בפנינו, אנו ממנים לבייבי אפוטרופוס לדין מלשכת הסיוע המשפטי, אשר זהותו תובא לידיעתנו בתוך 60 יום מהיום. בשלב זה – עד לפנייתו של האפוטרופוס לדין אל בית המשפט - תופקד המאשימה על הקשר עם מ"ע (בייבי).</w:t>
      </w:r>
    </w:p>
    <w:p w14:paraId="1DE24D3F" w14:textId="77777777" w:rsidR="00EC5EC7" w:rsidRPr="00EF240F" w:rsidRDefault="00EC5EC7" w:rsidP="009B5D5F">
      <w:pPr>
        <w:spacing w:line="360" w:lineRule="auto"/>
        <w:jc w:val="both"/>
        <w:rPr>
          <w:rFonts w:ascii="David" w:hAnsi="David"/>
          <w:sz w:val="14"/>
          <w:szCs w:val="14"/>
          <w:rtl/>
        </w:rPr>
      </w:pPr>
    </w:p>
    <w:p w14:paraId="0DBA2C47" w14:textId="77777777" w:rsidR="00EC5EC7" w:rsidRDefault="00EC5EC7" w:rsidP="0024474A">
      <w:pPr>
        <w:spacing w:line="360" w:lineRule="auto"/>
        <w:ind w:left="720"/>
        <w:jc w:val="both"/>
        <w:rPr>
          <w:rFonts w:ascii="David" w:hAnsi="David"/>
          <w:rtl/>
        </w:rPr>
      </w:pPr>
      <w:r>
        <w:rPr>
          <w:rFonts w:ascii="David" w:hAnsi="David"/>
          <w:rtl/>
        </w:rPr>
        <w:t>האפוטרופוס לדין יפתח חשבון חסכון על שם בייבי, אשר יובא לאישורו של בית המשפט (להלן: החשבון). החשבון יפתח בעת הגיעו של בייבי לגיל 21 שנה, לאחר שהאפוטרופוס לדין יביא בפניו את כל הנתונים הרלוונטיים הנדרשים בנדון.</w:t>
      </w:r>
    </w:p>
    <w:p w14:paraId="3A4150B9" w14:textId="77777777" w:rsidR="00EC5EC7" w:rsidRPr="00EF240F" w:rsidRDefault="00EC5EC7" w:rsidP="009B5D5F">
      <w:pPr>
        <w:spacing w:line="360" w:lineRule="auto"/>
        <w:ind w:left="720"/>
        <w:jc w:val="both"/>
        <w:rPr>
          <w:rFonts w:ascii="David" w:hAnsi="David"/>
          <w:sz w:val="18"/>
          <w:szCs w:val="18"/>
          <w:rtl/>
        </w:rPr>
      </w:pPr>
    </w:p>
    <w:p w14:paraId="76C29422" w14:textId="77777777" w:rsidR="00EC5EC7" w:rsidRDefault="00EC5EC7" w:rsidP="009020F3">
      <w:pPr>
        <w:spacing w:line="360" w:lineRule="auto"/>
        <w:ind w:left="720"/>
        <w:jc w:val="both"/>
        <w:rPr>
          <w:rFonts w:ascii="David" w:hAnsi="David"/>
          <w:rtl/>
        </w:rPr>
      </w:pPr>
      <w:r>
        <w:rPr>
          <w:rFonts w:ascii="David" w:hAnsi="David"/>
          <w:rtl/>
        </w:rPr>
        <w:t>נאסר על הנאשם או מי מטעמו לפנות אל בייבי או אל האפוטרופוס לדין בעניין הפיצוי שנפסק; הפיצוי יופקד בקופת בית המשפט או ישולם באמצעות המרכז לגביית קנסות, ויועבר לבייבי על פי פרטים עדכניים שיימסרו על ידי המאשימה מעת לעת. למען הסר ספק, לא יינתן משקל לוויתור כלשהו של בייבי לגבי הפיצוי שנפסק לו עד הגיעו לגיל 21, והנאשם יישא בפיצוי במלואו.</w:t>
      </w:r>
    </w:p>
    <w:p w14:paraId="21B9CEC5" w14:textId="77777777" w:rsidR="00EC5EC7" w:rsidRDefault="00EC5EC7" w:rsidP="009B5D5F">
      <w:pPr>
        <w:spacing w:line="360" w:lineRule="auto"/>
        <w:ind w:firstLine="720"/>
        <w:jc w:val="both"/>
        <w:rPr>
          <w:rFonts w:ascii="David" w:hAnsi="David"/>
          <w:rtl/>
        </w:rPr>
      </w:pPr>
    </w:p>
    <w:p w14:paraId="703E1D20" w14:textId="77777777" w:rsidR="00EC5EC7" w:rsidRDefault="00EC5EC7" w:rsidP="00287864">
      <w:pPr>
        <w:spacing w:line="360" w:lineRule="auto"/>
        <w:ind w:left="720"/>
        <w:jc w:val="both"/>
        <w:rPr>
          <w:rFonts w:ascii="David" w:hAnsi="David"/>
          <w:rtl/>
        </w:rPr>
      </w:pPr>
      <w:r>
        <w:rPr>
          <w:rFonts w:ascii="David" w:hAnsi="David"/>
          <w:rtl/>
        </w:rPr>
        <w:t xml:space="preserve">המאשימה תעביר עותק מגזר הדין לאביו של מ"ע  (בייבי) וכן לאפוטרופוס לדין שיתמנה. </w:t>
      </w:r>
    </w:p>
    <w:p w14:paraId="19F0525B" w14:textId="77777777" w:rsidR="00EC5EC7" w:rsidRPr="006A25E9" w:rsidRDefault="00EC5EC7" w:rsidP="009B5D5F">
      <w:pPr>
        <w:spacing w:line="360" w:lineRule="auto"/>
        <w:ind w:left="720"/>
        <w:jc w:val="both"/>
        <w:rPr>
          <w:rFonts w:ascii="David" w:hAnsi="David"/>
          <w:sz w:val="28"/>
          <w:szCs w:val="28"/>
          <w:rtl/>
        </w:rPr>
      </w:pPr>
    </w:p>
    <w:p w14:paraId="33943F1B" w14:textId="77777777" w:rsidR="00EC5EC7" w:rsidRDefault="00EC5EC7" w:rsidP="009B5D5F">
      <w:pPr>
        <w:spacing w:line="360" w:lineRule="auto"/>
        <w:ind w:firstLine="720"/>
        <w:jc w:val="both"/>
        <w:rPr>
          <w:rFonts w:ascii="Arial" w:hAnsi="Arial" w:cs="Arial"/>
          <w:b/>
          <w:bCs/>
          <w:color w:val="1F497D"/>
          <w:sz w:val="22"/>
          <w:szCs w:val="22"/>
          <w:u w:val="single"/>
          <w:rtl/>
        </w:rPr>
      </w:pPr>
      <w:r>
        <w:rPr>
          <w:rFonts w:ascii="David" w:hAnsi="David"/>
          <w:b/>
          <w:bCs/>
          <w:u w:val="single"/>
          <w:rtl/>
        </w:rPr>
        <w:t>זכות ערעור לבית המשפט העליון בתוך 45 יום מהיום</w:t>
      </w:r>
      <w:r>
        <w:rPr>
          <w:rFonts w:ascii="David" w:hAnsi="David"/>
          <w:b/>
          <w:bCs/>
          <w:rtl/>
        </w:rPr>
        <w:t>.</w:t>
      </w:r>
    </w:p>
    <w:p w14:paraId="5945C4AD" w14:textId="77777777" w:rsidR="00EC5EC7" w:rsidRPr="00B05847" w:rsidRDefault="00EC5EC7">
      <w:pPr>
        <w:rPr>
          <w:rFonts w:ascii="Arial" w:hAnsi="Arial"/>
          <w:rtl/>
        </w:rPr>
      </w:pPr>
    </w:p>
    <w:p w14:paraId="649700D4" w14:textId="77777777" w:rsidR="00EC5EC7" w:rsidRPr="00BE37D7" w:rsidRDefault="00EC5EC7" w:rsidP="00F87F06">
      <w:pPr>
        <w:spacing w:line="360" w:lineRule="auto"/>
        <w:ind w:firstLine="720"/>
        <w:jc w:val="both"/>
        <w:rPr>
          <w:rFonts w:ascii="Arial" w:hAnsi="Arial"/>
          <w:rtl/>
        </w:rPr>
      </w:pPr>
    </w:p>
    <w:p w14:paraId="1007B902" w14:textId="77777777" w:rsidR="00EC5EC7" w:rsidRDefault="00CB1E79" w:rsidP="00F87F06">
      <w:pPr>
        <w:spacing w:line="360" w:lineRule="auto"/>
        <w:ind w:firstLine="720"/>
        <w:jc w:val="both"/>
        <w:rPr>
          <w:rFonts w:cs="FrankRuehl"/>
          <w:sz w:val="28"/>
          <w:szCs w:val="28"/>
          <w:rtl/>
        </w:rPr>
      </w:pPr>
      <w:bookmarkStart w:id="8" w:name="Nitan"/>
      <w:r w:rsidRPr="00CB1E79">
        <w:rPr>
          <w:rFonts w:ascii="Arial" w:hAnsi="Arial"/>
          <w:color w:val="FFFFFF"/>
          <w:sz w:val="2"/>
          <w:szCs w:val="2"/>
          <w:rtl/>
        </w:rPr>
        <w:t>5129371</w:t>
      </w:r>
      <w:r>
        <w:rPr>
          <w:rFonts w:ascii="Arial" w:hAnsi="Arial"/>
          <w:rtl/>
        </w:rPr>
        <w:t xml:space="preserve">ניתן היום,  ל' סיוון תשע"ט, 03 יולי 2019, במעמד ב"כ הצדדים והנאשם. </w:t>
      </w:r>
      <w:bookmarkEnd w:id="8"/>
    </w:p>
    <w:tbl>
      <w:tblPr>
        <w:tblpPr w:leftFromText="180" w:rightFromText="180" w:vertAnchor="text" w:horzAnchor="margin" w:tblpXSpec="right" w:tblpY="53"/>
        <w:bidiVisual/>
        <w:tblW w:w="10260" w:type="dxa"/>
        <w:tblLook w:val="01E0" w:firstRow="1" w:lastRow="1" w:firstColumn="1" w:lastColumn="1" w:noHBand="0" w:noVBand="0"/>
      </w:tblPr>
      <w:tblGrid>
        <w:gridCol w:w="3420"/>
        <w:gridCol w:w="3420"/>
        <w:gridCol w:w="3420"/>
      </w:tblGrid>
      <w:tr w:rsidR="00EC5EC7" w14:paraId="1456101A" w14:textId="77777777" w:rsidTr="0005184B">
        <w:tc>
          <w:tcPr>
            <w:tcW w:w="3420" w:type="dxa"/>
          </w:tcPr>
          <w:p w14:paraId="13513C19" w14:textId="77777777" w:rsidR="00EC5EC7" w:rsidRPr="00CB1E79" w:rsidRDefault="00CB1E79" w:rsidP="0005184B">
            <w:pPr>
              <w:jc w:val="center"/>
              <w:rPr>
                <w:color w:val="FFFFFF"/>
                <w:sz w:val="2"/>
                <w:szCs w:val="2"/>
                <w:rtl/>
              </w:rPr>
            </w:pPr>
            <w:r w:rsidRPr="00CB1E79">
              <w:rPr>
                <w:color w:val="FFFFFF"/>
                <w:sz w:val="2"/>
                <w:szCs w:val="2"/>
                <w:rtl/>
              </w:rPr>
              <w:t>54678313</w:t>
            </w:r>
          </w:p>
        </w:tc>
        <w:tc>
          <w:tcPr>
            <w:tcW w:w="3420" w:type="dxa"/>
          </w:tcPr>
          <w:p w14:paraId="2E7B51AA" w14:textId="77777777" w:rsidR="00EC5EC7" w:rsidRPr="0005184B" w:rsidRDefault="00EC5EC7" w:rsidP="0005184B">
            <w:pPr>
              <w:spacing w:line="360" w:lineRule="auto"/>
              <w:jc w:val="center"/>
              <w:rPr>
                <w:rFonts w:cs="FrankRuehl"/>
              </w:rPr>
            </w:pPr>
          </w:p>
          <w:p w14:paraId="4BF8C4A4" w14:textId="77777777" w:rsidR="00EC5EC7" w:rsidRPr="0005184B" w:rsidRDefault="00EC5EC7" w:rsidP="0005184B">
            <w:pPr>
              <w:jc w:val="center"/>
              <w:rPr>
                <w:rFonts w:cs="Times New Roman"/>
                <w:rtl/>
              </w:rPr>
            </w:pPr>
          </w:p>
        </w:tc>
        <w:tc>
          <w:tcPr>
            <w:tcW w:w="3420" w:type="dxa"/>
          </w:tcPr>
          <w:p w14:paraId="219CB846" w14:textId="77777777" w:rsidR="00EC5EC7" w:rsidRDefault="00EC5EC7" w:rsidP="0005184B">
            <w:pPr>
              <w:jc w:val="center"/>
            </w:pPr>
          </w:p>
        </w:tc>
      </w:tr>
      <w:tr w:rsidR="00EC5EC7" w14:paraId="2577AF88" w14:textId="77777777" w:rsidTr="0005184B">
        <w:tc>
          <w:tcPr>
            <w:tcW w:w="3420" w:type="dxa"/>
          </w:tcPr>
          <w:p w14:paraId="44B4718A" w14:textId="77777777" w:rsidR="00EC5EC7" w:rsidRPr="0005184B" w:rsidRDefault="00EC5EC7" w:rsidP="0005184B">
            <w:pPr>
              <w:spacing w:line="360" w:lineRule="auto"/>
              <w:jc w:val="center"/>
              <w:rPr>
                <w:rFonts w:cs="FrankRuehl"/>
              </w:rPr>
            </w:pPr>
            <w:r w:rsidRPr="0005184B">
              <w:rPr>
                <w:rFonts w:cs="FrankRuehl"/>
                <w:rtl/>
              </w:rPr>
              <w:t>דיאנה  סלע שופטת, ס. הנשיא, [אב"ד]</w:t>
            </w:r>
          </w:p>
        </w:tc>
        <w:tc>
          <w:tcPr>
            <w:tcW w:w="3420" w:type="dxa"/>
          </w:tcPr>
          <w:p w14:paraId="59748888" w14:textId="77777777" w:rsidR="00EC5EC7" w:rsidRPr="0005184B" w:rsidRDefault="00EC5EC7" w:rsidP="0005184B">
            <w:pPr>
              <w:spacing w:line="360" w:lineRule="auto"/>
              <w:jc w:val="center"/>
              <w:rPr>
                <w:rFonts w:cs="FrankRuehl"/>
                <w:rtl/>
              </w:rPr>
            </w:pPr>
            <w:r w:rsidRPr="0005184B">
              <w:rPr>
                <w:rFonts w:cs="FrankRuehl"/>
                <w:rtl/>
              </w:rPr>
              <w:t>אבי לוי, שופט</w:t>
            </w:r>
          </w:p>
        </w:tc>
        <w:tc>
          <w:tcPr>
            <w:tcW w:w="3420" w:type="dxa"/>
          </w:tcPr>
          <w:p w14:paraId="66A6BB98" w14:textId="77777777" w:rsidR="00EC5EC7" w:rsidRPr="0005184B" w:rsidRDefault="00EC5EC7" w:rsidP="0005184B">
            <w:pPr>
              <w:spacing w:line="360" w:lineRule="auto"/>
              <w:jc w:val="center"/>
              <w:rPr>
                <w:rFonts w:cs="FrankRuehl"/>
                <w:rtl/>
              </w:rPr>
            </w:pPr>
            <w:r w:rsidRPr="0005184B">
              <w:rPr>
                <w:rFonts w:cs="FrankRuehl"/>
                <w:rtl/>
              </w:rPr>
              <w:t>ערן קוטון, שופט</w:t>
            </w:r>
          </w:p>
        </w:tc>
      </w:tr>
    </w:tbl>
    <w:p w14:paraId="7B95AACD" w14:textId="77777777" w:rsidR="00EC5EC7" w:rsidRDefault="00EC5EC7" w:rsidP="00D155D1">
      <w:pPr>
        <w:spacing w:line="360" w:lineRule="auto"/>
        <w:jc w:val="both"/>
        <w:rPr>
          <w:rFonts w:cs="FrankRuehl"/>
          <w:sz w:val="28"/>
          <w:szCs w:val="28"/>
          <w:rtl/>
        </w:rPr>
      </w:pPr>
    </w:p>
    <w:p w14:paraId="37C675BB" w14:textId="77777777" w:rsidR="00EC5EC7" w:rsidRDefault="00EC5EC7" w:rsidP="008A0FB7">
      <w:pPr>
        <w:spacing w:line="360" w:lineRule="auto"/>
        <w:rPr>
          <w:b/>
          <w:bCs/>
        </w:rPr>
      </w:pPr>
      <w:r>
        <w:rPr>
          <w:rFonts w:cs="FrankRuehl"/>
          <w:sz w:val="28"/>
          <w:szCs w:val="28"/>
          <w:rtl/>
        </w:rPr>
        <w:t xml:space="preserve"> </w:t>
      </w:r>
    </w:p>
    <w:p w14:paraId="539F5921" w14:textId="77777777" w:rsidR="00EC5EC7" w:rsidRDefault="00EC5EC7" w:rsidP="00D155D1">
      <w:pPr>
        <w:spacing w:line="360" w:lineRule="auto"/>
        <w:jc w:val="both"/>
        <w:rPr>
          <w:rFonts w:cs="FrankRuehl"/>
          <w:sz w:val="28"/>
          <w:szCs w:val="28"/>
          <w:rtl/>
        </w:rPr>
      </w:pPr>
    </w:p>
    <w:p w14:paraId="232B2ACB" w14:textId="77777777" w:rsidR="00EC5EC7" w:rsidRPr="00CB1E79" w:rsidRDefault="00EC5EC7" w:rsidP="00CB1E79">
      <w:pPr>
        <w:pStyle w:val="a3"/>
        <w:keepNext/>
        <w:rPr>
          <w:rFonts w:ascii="David" w:hAnsi="David"/>
          <w:color w:val="000000"/>
          <w:sz w:val="22"/>
          <w:szCs w:val="22"/>
          <w:rtl/>
        </w:rPr>
      </w:pPr>
    </w:p>
    <w:p w14:paraId="4A15857D" w14:textId="77777777" w:rsidR="00CB1E79" w:rsidRPr="00CB1E79" w:rsidRDefault="00CB1E79" w:rsidP="00CB1E79">
      <w:pPr>
        <w:pStyle w:val="a3"/>
        <w:keepNext/>
        <w:rPr>
          <w:rFonts w:ascii="David" w:hAnsi="David"/>
          <w:color w:val="000000"/>
          <w:sz w:val="22"/>
          <w:szCs w:val="22"/>
          <w:rtl/>
        </w:rPr>
      </w:pPr>
      <w:r w:rsidRPr="00CB1E79">
        <w:rPr>
          <w:rFonts w:ascii="David" w:hAnsi="David"/>
          <w:color w:val="000000"/>
          <w:sz w:val="22"/>
          <w:szCs w:val="22"/>
          <w:rtl/>
        </w:rPr>
        <w:t>הרכב ים 54678313</w:t>
      </w:r>
    </w:p>
    <w:p w14:paraId="36AEDAC9" w14:textId="77777777" w:rsidR="00CB1E79" w:rsidRDefault="00CB1E79" w:rsidP="00CB1E79">
      <w:pPr>
        <w:pStyle w:val="a3"/>
        <w:rPr>
          <w:rtl/>
        </w:rPr>
      </w:pPr>
      <w:r w:rsidRPr="00CB1E79">
        <w:rPr>
          <w:color w:val="000000"/>
          <w:rtl/>
        </w:rPr>
        <w:t>נוסח מסמך זה כפוף לשינויי ניסוח ועריכה</w:t>
      </w:r>
    </w:p>
    <w:p w14:paraId="6D0C2AB5" w14:textId="77777777" w:rsidR="00CB1E79" w:rsidRDefault="00CB1E79" w:rsidP="00CB1E79">
      <w:pPr>
        <w:pStyle w:val="a3"/>
        <w:rPr>
          <w:rtl/>
        </w:rPr>
      </w:pPr>
    </w:p>
    <w:p w14:paraId="06CF4BDB" w14:textId="77777777" w:rsidR="00CB1E79" w:rsidRDefault="00CB1E79" w:rsidP="00CB1E79">
      <w:pPr>
        <w:pStyle w:val="a3"/>
        <w:jc w:val="center"/>
        <w:rPr>
          <w:color w:val="0000FF"/>
          <w:u w:val="single"/>
          <w:rtl/>
        </w:rPr>
      </w:pPr>
      <w:hyperlink r:id="rId40" w:history="1">
        <w:r>
          <w:rPr>
            <w:color w:val="0000FF"/>
            <w:u w:val="single"/>
            <w:rtl/>
          </w:rPr>
          <w:t>בעניין עריכה ושינויים במסמכי פסיקה, חקיקה ועוד באתר נבו – הקש כאן</w:t>
        </w:r>
      </w:hyperlink>
    </w:p>
    <w:p w14:paraId="599DCBD3" w14:textId="77777777" w:rsidR="00CB1E79" w:rsidRPr="00CB1E79" w:rsidRDefault="00CB1E79" w:rsidP="00CB1E79">
      <w:pPr>
        <w:pStyle w:val="a3"/>
        <w:jc w:val="center"/>
        <w:rPr>
          <w:color w:val="0000FF"/>
          <w:u w:val="single"/>
          <w:rtl/>
        </w:rPr>
      </w:pPr>
    </w:p>
    <w:sectPr w:rsidR="00CB1E79" w:rsidRPr="00CB1E79" w:rsidSect="00CB1E79">
      <w:headerReference w:type="even" r:id="rId41"/>
      <w:headerReference w:type="default" r:id="rId42"/>
      <w:footerReference w:type="even" r:id="rId43"/>
      <w:footerReference w:type="default" r:id="rId44"/>
      <w:pgSz w:w="11907" w:h="16840" w:code="9"/>
      <w:pgMar w:top="1701" w:right="1701" w:bottom="709"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D8D31" w14:textId="77777777" w:rsidR="00194E2C" w:rsidRDefault="00194E2C">
      <w:r>
        <w:separator/>
      </w:r>
    </w:p>
  </w:endnote>
  <w:endnote w:type="continuationSeparator" w:id="0">
    <w:p w14:paraId="0B890110" w14:textId="77777777" w:rsidR="00194E2C" w:rsidRDefault="0019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B781A" w14:textId="77777777" w:rsidR="00CB1E79" w:rsidRDefault="00CB1E79" w:rsidP="00CB1E7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95B5FD3" w14:textId="77777777" w:rsidR="00EC5EC7" w:rsidRPr="00CB1E79" w:rsidRDefault="00CB1E79" w:rsidP="00CB1E79">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F21BB" w14:textId="77777777" w:rsidR="00CB1E79" w:rsidRDefault="00CB1E79" w:rsidP="00CB1E7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47BB">
      <w:rPr>
        <w:rFonts w:ascii="FrankRuehl" w:hAnsi="FrankRuehl" w:cs="FrankRuehl"/>
        <w:noProof/>
        <w:rtl/>
      </w:rPr>
      <w:t>1</w:t>
    </w:r>
    <w:r>
      <w:rPr>
        <w:rFonts w:ascii="FrankRuehl" w:hAnsi="FrankRuehl" w:cs="FrankRuehl"/>
        <w:rtl/>
      </w:rPr>
      <w:fldChar w:fldCharType="end"/>
    </w:r>
  </w:p>
  <w:p w14:paraId="764DAF23" w14:textId="77777777" w:rsidR="00EC5EC7" w:rsidRPr="00CB1E79" w:rsidRDefault="00CB1E79" w:rsidP="00CB1E79">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D74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02191" w14:textId="77777777" w:rsidR="00194E2C" w:rsidRDefault="00194E2C">
      <w:r>
        <w:separator/>
      </w:r>
    </w:p>
  </w:footnote>
  <w:footnote w:type="continuationSeparator" w:id="0">
    <w:p w14:paraId="52F8776C" w14:textId="77777777" w:rsidR="00194E2C" w:rsidRDefault="00194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1662B" w14:textId="77777777" w:rsidR="00CB1E79" w:rsidRPr="00CB1E79" w:rsidRDefault="00CB1E79" w:rsidP="00CB1E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37367-09-16</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E4BA8" w14:textId="77777777" w:rsidR="00EC5EC7" w:rsidRPr="00CB1E79" w:rsidRDefault="00CB1E79" w:rsidP="00CB1E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37367-09-16</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009019934">
    <w:abstractNumId w:val="1"/>
  </w:num>
  <w:num w:numId="2" w16cid:durableId="214218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02B84"/>
    <w:rsid w:val="00007FC4"/>
    <w:rsid w:val="00015E98"/>
    <w:rsid w:val="00031F8A"/>
    <w:rsid w:val="0005184B"/>
    <w:rsid w:val="00054FC4"/>
    <w:rsid w:val="0006726A"/>
    <w:rsid w:val="000B0595"/>
    <w:rsid w:val="000E4CA7"/>
    <w:rsid w:val="000E6D6D"/>
    <w:rsid w:val="00100577"/>
    <w:rsid w:val="001434F7"/>
    <w:rsid w:val="00171346"/>
    <w:rsid w:val="00194E2C"/>
    <w:rsid w:val="001E6849"/>
    <w:rsid w:val="00212125"/>
    <w:rsid w:val="0024474A"/>
    <w:rsid w:val="0026176C"/>
    <w:rsid w:val="00287864"/>
    <w:rsid w:val="002A3FE6"/>
    <w:rsid w:val="002D133D"/>
    <w:rsid w:val="002D6C61"/>
    <w:rsid w:val="00367565"/>
    <w:rsid w:val="003E0C9F"/>
    <w:rsid w:val="0040759E"/>
    <w:rsid w:val="004215DC"/>
    <w:rsid w:val="00422186"/>
    <w:rsid w:val="00457F7C"/>
    <w:rsid w:val="004F79C7"/>
    <w:rsid w:val="00507694"/>
    <w:rsid w:val="0052313E"/>
    <w:rsid w:val="005C7B0B"/>
    <w:rsid w:val="006421E3"/>
    <w:rsid w:val="00645DFF"/>
    <w:rsid w:val="006608C8"/>
    <w:rsid w:val="006759C2"/>
    <w:rsid w:val="0068212B"/>
    <w:rsid w:val="00683ABD"/>
    <w:rsid w:val="00684E84"/>
    <w:rsid w:val="006A25E9"/>
    <w:rsid w:val="006C2095"/>
    <w:rsid w:val="006C44EB"/>
    <w:rsid w:val="006F42FB"/>
    <w:rsid w:val="00705866"/>
    <w:rsid w:val="00730017"/>
    <w:rsid w:val="00741479"/>
    <w:rsid w:val="007447BB"/>
    <w:rsid w:val="00754D3A"/>
    <w:rsid w:val="00757983"/>
    <w:rsid w:val="00765892"/>
    <w:rsid w:val="007B1912"/>
    <w:rsid w:val="007D46DD"/>
    <w:rsid w:val="007D6954"/>
    <w:rsid w:val="0080006A"/>
    <w:rsid w:val="00821F29"/>
    <w:rsid w:val="00832D73"/>
    <w:rsid w:val="00872BF5"/>
    <w:rsid w:val="008819B4"/>
    <w:rsid w:val="008A0FB7"/>
    <w:rsid w:val="008B799B"/>
    <w:rsid w:val="009020F3"/>
    <w:rsid w:val="00907E5D"/>
    <w:rsid w:val="009123A9"/>
    <w:rsid w:val="00915603"/>
    <w:rsid w:val="009B5D5F"/>
    <w:rsid w:val="009E35A7"/>
    <w:rsid w:val="009E49A1"/>
    <w:rsid w:val="009F504D"/>
    <w:rsid w:val="00A05137"/>
    <w:rsid w:val="00A504C4"/>
    <w:rsid w:val="00AA0A94"/>
    <w:rsid w:val="00B05847"/>
    <w:rsid w:val="00B15AC2"/>
    <w:rsid w:val="00B22E0A"/>
    <w:rsid w:val="00B42F17"/>
    <w:rsid w:val="00B54E05"/>
    <w:rsid w:val="00B75909"/>
    <w:rsid w:val="00BD67E7"/>
    <w:rsid w:val="00BE0015"/>
    <w:rsid w:val="00BE37D7"/>
    <w:rsid w:val="00C02463"/>
    <w:rsid w:val="00C55E62"/>
    <w:rsid w:val="00C572E8"/>
    <w:rsid w:val="00C6012E"/>
    <w:rsid w:val="00C85B2C"/>
    <w:rsid w:val="00CB1E79"/>
    <w:rsid w:val="00D155D1"/>
    <w:rsid w:val="00D202F4"/>
    <w:rsid w:val="00D3203D"/>
    <w:rsid w:val="00D51510"/>
    <w:rsid w:val="00D96D2E"/>
    <w:rsid w:val="00DE531C"/>
    <w:rsid w:val="00E607B6"/>
    <w:rsid w:val="00E6686A"/>
    <w:rsid w:val="00E70F9C"/>
    <w:rsid w:val="00EC36B4"/>
    <w:rsid w:val="00EC5EC7"/>
    <w:rsid w:val="00EC7994"/>
    <w:rsid w:val="00EF240F"/>
    <w:rsid w:val="00F75AFC"/>
    <w:rsid w:val="00F87F06"/>
    <w:rsid w:val="00F979F0"/>
    <w:rsid w:val="00FB613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E2DE67E"/>
  <w15:chartTrackingRefBased/>
  <w15:docId w15:val="{01AD5583-A49B-4A43-97AE-E562CA27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Ruller4">
    <w:name w:val="Ruller4 תו"/>
    <w:link w:val="Ruller40"/>
    <w:locked/>
    <w:rsid w:val="00D155D1"/>
    <w:rPr>
      <w:rFonts w:ascii="Arial TUR" w:hAnsi="Arial TUR" w:cs="Arial TUR"/>
      <w:spacing w:val="10"/>
    </w:rPr>
  </w:style>
  <w:style w:type="paragraph" w:customStyle="1" w:styleId="Ruller40">
    <w:name w:val="Ruller4"/>
    <w:basedOn w:val="a"/>
    <w:link w:val="Ruller4"/>
    <w:rsid w:val="00D155D1"/>
    <w:pPr>
      <w:overflowPunct w:val="0"/>
      <w:autoSpaceDE w:val="0"/>
      <w:autoSpaceDN w:val="0"/>
      <w:spacing w:line="360" w:lineRule="auto"/>
      <w:jc w:val="both"/>
    </w:pPr>
    <w:rPr>
      <w:rFonts w:ascii="Arial TUR" w:hAnsi="Arial TUR" w:cs="Arial TUR"/>
      <w:spacing w:val="10"/>
      <w:sz w:val="20"/>
      <w:szCs w:val="20"/>
    </w:rPr>
  </w:style>
  <w:style w:type="paragraph" w:customStyle="1" w:styleId="ListParagraph">
    <w:name w:val="List Paragraph"/>
    <w:basedOn w:val="a"/>
    <w:qFormat/>
    <w:rsid w:val="00015E98"/>
    <w:pPr>
      <w:ind w:left="720"/>
      <w:contextualSpacing/>
    </w:pPr>
  </w:style>
  <w:style w:type="character" w:styleId="Hyperlink">
    <w:name w:val="Hyperlink"/>
    <w:rsid w:val="00CB1E7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00.a.2"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301a.a.1" TargetMode="External"/><Relationship Id="rId39" Type="http://schemas.openxmlformats.org/officeDocument/2006/relationships/hyperlink" Target="http://www.nevo.co.il/case/22495714" TargetMode="External"/><Relationship Id="rId21" Type="http://schemas.openxmlformats.org/officeDocument/2006/relationships/hyperlink" Target="http://www.nevo.co.il/safrut/book/6865" TargetMode="External"/><Relationship Id="rId34" Type="http://schemas.openxmlformats.org/officeDocument/2006/relationships/hyperlink" Target="http://www.nevo.co.il/case/7965117"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00.a.1" TargetMode="External"/><Relationship Id="rId29" Type="http://schemas.openxmlformats.org/officeDocument/2006/relationships/hyperlink" Target="http://www.nevo.co.il/law/70301/77"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300.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594427"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law/70301/301a.a.5" TargetMode="External"/><Relationship Id="rId23" Type="http://schemas.openxmlformats.org/officeDocument/2006/relationships/hyperlink" Target="http://www.nevo.co.il/law/70301/300.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03189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law/70301/77"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evo.co.il/law/70301/77" TargetMode="External"/><Relationship Id="rId14" Type="http://schemas.openxmlformats.org/officeDocument/2006/relationships/hyperlink" Target="http://www.nevo.co.il/law/70301/301a.a.1" TargetMode="External"/><Relationship Id="rId22" Type="http://schemas.openxmlformats.org/officeDocument/2006/relationships/hyperlink" Target="http://www.nevo.co.il/case/6169000" TargetMode="External"/><Relationship Id="rId27" Type="http://schemas.openxmlformats.org/officeDocument/2006/relationships/hyperlink" Target="http://www.nevo.co.il/law/70301/301a.a.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244398" TargetMode="External"/><Relationship Id="rId43"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tyles" Target="styles.xml"/><Relationship Id="rId12" Type="http://schemas.openxmlformats.org/officeDocument/2006/relationships/hyperlink" Target="http://www.nevo.co.il/law/70301/300.a.1" TargetMode="External"/><Relationship Id="rId17" Type="http://schemas.openxmlformats.org/officeDocument/2006/relationships/hyperlink" Target="http://www.nevo.co.il/law/70301/300.a.2"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7043259" TargetMode="External"/><Relationship Id="rId38" Type="http://schemas.openxmlformats.org/officeDocument/2006/relationships/hyperlink" Target="http://www.nevo.co.il/case/5574340" TargetMode="External"/><Relationship Id="rId46" Type="http://schemas.openxmlformats.org/officeDocument/2006/relationships/theme" Target="theme/theme1.xml"/><Relationship Id="rId20" Type="http://schemas.openxmlformats.org/officeDocument/2006/relationships/hyperlink" Target="http://www.nevo.co.il/case/591512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8784</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3276920</vt:i4>
      </vt:variant>
      <vt:variant>
        <vt:i4>96</vt:i4>
      </vt:variant>
      <vt:variant>
        <vt:i4>0</vt:i4>
      </vt:variant>
      <vt:variant>
        <vt:i4>5</vt:i4>
      </vt:variant>
      <vt:variant>
        <vt:lpwstr>http://www.nevo.co.il/case/22495714</vt:lpwstr>
      </vt:variant>
      <vt:variant>
        <vt:lpwstr/>
      </vt:variant>
      <vt:variant>
        <vt:i4>3211377</vt:i4>
      </vt:variant>
      <vt:variant>
        <vt:i4>93</vt:i4>
      </vt:variant>
      <vt:variant>
        <vt:i4>0</vt:i4>
      </vt:variant>
      <vt:variant>
        <vt:i4>5</vt:i4>
      </vt:variant>
      <vt:variant>
        <vt:lpwstr>http://www.nevo.co.il/case/5574340</vt:lpwstr>
      </vt:variant>
      <vt:variant>
        <vt:lpwstr/>
      </vt:variant>
      <vt:variant>
        <vt:i4>4128887</vt:i4>
      </vt:variant>
      <vt:variant>
        <vt:i4>90</vt:i4>
      </vt:variant>
      <vt:variant>
        <vt:i4>0</vt:i4>
      </vt:variant>
      <vt:variant>
        <vt:i4>5</vt:i4>
      </vt:variant>
      <vt:variant>
        <vt:lpwstr>http://www.nevo.co.il/case/5594427</vt:lpwstr>
      </vt:variant>
      <vt:variant>
        <vt:lpwstr/>
      </vt:variant>
      <vt:variant>
        <vt:i4>3932284</vt:i4>
      </vt:variant>
      <vt:variant>
        <vt:i4>87</vt:i4>
      </vt:variant>
      <vt:variant>
        <vt:i4>0</vt:i4>
      </vt:variant>
      <vt:variant>
        <vt:i4>5</vt:i4>
      </vt:variant>
      <vt:variant>
        <vt:lpwstr>http://www.nevo.co.il/case/6031891</vt:lpwstr>
      </vt:variant>
      <vt:variant>
        <vt:lpwstr/>
      </vt:variant>
      <vt:variant>
        <vt:i4>3735675</vt:i4>
      </vt:variant>
      <vt:variant>
        <vt:i4>84</vt:i4>
      </vt:variant>
      <vt:variant>
        <vt:i4>0</vt:i4>
      </vt:variant>
      <vt:variant>
        <vt:i4>5</vt:i4>
      </vt:variant>
      <vt:variant>
        <vt:lpwstr>http://www.nevo.co.il/case/6244398</vt:lpwstr>
      </vt:variant>
      <vt:variant>
        <vt:lpwstr/>
      </vt:variant>
      <vt:variant>
        <vt:i4>3604601</vt:i4>
      </vt:variant>
      <vt:variant>
        <vt:i4>81</vt:i4>
      </vt:variant>
      <vt:variant>
        <vt:i4>0</vt:i4>
      </vt:variant>
      <vt:variant>
        <vt:i4>5</vt:i4>
      </vt:variant>
      <vt:variant>
        <vt:lpwstr>http://www.nevo.co.il/case/7965117</vt:lpwstr>
      </vt:variant>
      <vt:variant>
        <vt:lpwstr/>
      </vt:variant>
      <vt:variant>
        <vt:i4>3604597</vt:i4>
      </vt:variant>
      <vt:variant>
        <vt:i4>78</vt:i4>
      </vt:variant>
      <vt:variant>
        <vt:i4>0</vt:i4>
      </vt:variant>
      <vt:variant>
        <vt:i4>5</vt:i4>
      </vt:variant>
      <vt:variant>
        <vt:lpwstr>http://www.nevo.co.il/case/17043259</vt:lpwstr>
      </vt:variant>
      <vt:variant>
        <vt:lpwstr/>
      </vt:variant>
      <vt:variant>
        <vt:i4>7995492</vt:i4>
      </vt:variant>
      <vt:variant>
        <vt:i4>75</vt:i4>
      </vt:variant>
      <vt:variant>
        <vt:i4>0</vt:i4>
      </vt:variant>
      <vt:variant>
        <vt:i4>5</vt:i4>
      </vt:variant>
      <vt:variant>
        <vt:lpwstr>http://www.nevo.co.il/law/70301</vt:lpwstr>
      </vt:variant>
      <vt:variant>
        <vt:lpwstr/>
      </vt:variant>
      <vt:variant>
        <vt:i4>6422626</vt:i4>
      </vt:variant>
      <vt:variant>
        <vt:i4>72</vt:i4>
      </vt:variant>
      <vt:variant>
        <vt:i4>0</vt:i4>
      </vt:variant>
      <vt:variant>
        <vt:i4>5</vt:i4>
      </vt:variant>
      <vt:variant>
        <vt:lpwstr>http://www.nevo.co.il/law/70301/77</vt:lpwstr>
      </vt:variant>
      <vt:variant>
        <vt:lpwstr/>
      </vt:variant>
      <vt:variant>
        <vt:i4>7995492</vt:i4>
      </vt:variant>
      <vt:variant>
        <vt:i4>69</vt:i4>
      </vt:variant>
      <vt:variant>
        <vt:i4>0</vt:i4>
      </vt:variant>
      <vt:variant>
        <vt:i4>5</vt:i4>
      </vt:variant>
      <vt:variant>
        <vt:lpwstr>http://www.nevo.co.il/law/70301</vt:lpwstr>
      </vt:variant>
      <vt:variant>
        <vt:lpwstr/>
      </vt:variant>
      <vt:variant>
        <vt:i4>6422626</vt:i4>
      </vt:variant>
      <vt:variant>
        <vt:i4>66</vt:i4>
      </vt:variant>
      <vt:variant>
        <vt:i4>0</vt:i4>
      </vt:variant>
      <vt:variant>
        <vt:i4>5</vt:i4>
      </vt:variant>
      <vt:variant>
        <vt:lpwstr>http://www.nevo.co.il/law/70301/77</vt:lpwstr>
      </vt:variant>
      <vt:variant>
        <vt:lpwstr/>
      </vt:variant>
      <vt:variant>
        <vt:i4>7995492</vt:i4>
      </vt:variant>
      <vt:variant>
        <vt:i4>63</vt:i4>
      </vt:variant>
      <vt:variant>
        <vt:i4>0</vt:i4>
      </vt:variant>
      <vt:variant>
        <vt:i4>5</vt:i4>
      </vt:variant>
      <vt:variant>
        <vt:lpwstr>http://www.nevo.co.il/law/70301</vt:lpwstr>
      </vt:variant>
      <vt:variant>
        <vt:lpwstr/>
      </vt:variant>
      <vt:variant>
        <vt:i4>5242967</vt:i4>
      </vt:variant>
      <vt:variant>
        <vt:i4>60</vt:i4>
      </vt:variant>
      <vt:variant>
        <vt:i4>0</vt:i4>
      </vt:variant>
      <vt:variant>
        <vt:i4>5</vt:i4>
      </vt:variant>
      <vt:variant>
        <vt:lpwstr>http://www.nevo.co.il/law/70301/301a.a.5</vt:lpwstr>
      </vt:variant>
      <vt:variant>
        <vt:lpwstr/>
      </vt:variant>
      <vt:variant>
        <vt:i4>5505111</vt:i4>
      </vt:variant>
      <vt:variant>
        <vt:i4>57</vt:i4>
      </vt:variant>
      <vt:variant>
        <vt:i4>0</vt:i4>
      </vt:variant>
      <vt:variant>
        <vt:i4>5</vt:i4>
      </vt:variant>
      <vt:variant>
        <vt:lpwstr>http://www.nevo.co.il/law/70301/301a.a.1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4915286</vt:i4>
      </vt:variant>
      <vt:variant>
        <vt:i4>48</vt:i4>
      </vt:variant>
      <vt:variant>
        <vt:i4>0</vt:i4>
      </vt:variant>
      <vt:variant>
        <vt:i4>5</vt:i4>
      </vt:variant>
      <vt:variant>
        <vt:lpwstr>http://www.nevo.co.il/law/70301/300.a</vt:lpwstr>
      </vt:variant>
      <vt:variant>
        <vt:lpwstr/>
      </vt:variant>
      <vt:variant>
        <vt:i4>3145852</vt:i4>
      </vt:variant>
      <vt:variant>
        <vt:i4>45</vt:i4>
      </vt:variant>
      <vt:variant>
        <vt:i4>0</vt:i4>
      </vt:variant>
      <vt:variant>
        <vt:i4>5</vt:i4>
      </vt:variant>
      <vt:variant>
        <vt:lpwstr>http://www.nevo.co.il/case/6169000</vt:lpwstr>
      </vt:variant>
      <vt:variant>
        <vt:lpwstr/>
      </vt:variant>
      <vt:variant>
        <vt:i4>8126512</vt:i4>
      </vt:variant>
      <vt:variant>
        <vt:i4>42</vt:i4>
      </vt:variant>
      <vt:variant>
        <vt:i4>0</vt:i4>
      </vt:variant>
      <vt:variant>
        <vt:i4>5</vt:i4>
      </vt:variant>
      <vt:variant>
        <vt:lpwstr>http://www.nevo.co.il/safrut/book/6865</vt:lpwstr>
      </vt:variant>
      <vt:variant>
        <vt:lpwstr/>
      </vt:variant>
      <vt:variant>
        <vt:i4>3539066</vt:i4>
      </vt:variant>
      <vt:variant>
        <vt:i4>39</vt:i4>
      </vt:variant>
      <vt:variant>
        <vt:i4>0</vt:i4>
      </vt:variant>
      <vt:variant>
        <vt:i4>5</vt:i4>
      </vt:variant>
      <vt:variant>
        <vt:lpwstr>http://www.nevo.co.il/case/5915123</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6619191</vt:i4>
      </vt:variant>
      <vt:variant>
        <vt:i4>30</vt:i4>
      </vt:variant>
      <vt:variant>
        <vt:i4>0</vt:i4>
      </vt:variant>
      <vt:variant>
        <vt:i4>5</vt:i4>
      </vt:variant>
      <vt:variant>
        <vt:lpwstr>http://www.nevo.co.il/law/70301/300.a.2</vt:lpwstr>
      </vt:variant>
      <vt:variant>
        <vt:lpwstr/>
      </vt:variant>
      <vt:variant>
        <vt:i4>6619191</vt:i4>
      </vt:variant>
      <vt:variant>
        <vt:i4>27</vt:i4>
      </vt:variant>
      <vt:variant>
        <vt:i4>0</vt:i4>
      </vt:variant>
      <vt:variant>
        <vt:i4>5</vt:i4>
      </vt:variant>
      <vt:variant>
        <vt:lpwstr>http://www.nevo.co.il/law/70301/300.a.1</vt:lpwstr>
      </vt:variant>
      <vt:variant>
        <vt:lpwstr/>
      </vt:variant>
      <vt:variant>
        <vt:i4>8126512</vt:i4>
      </vt:variant>
      <vt:variant>
        <vt:i4>24</vt:i4>
      </vt:variant>
      <vt:variant>
        <vt:i4>0</vt:i4>
      </vt:variant>
      <vt:variant>
        <vt:i4>5</vt:i4>
      </vt:variant>
      <vt:variant>
        <vt:lpwstr>http://www.nevo.co.il/safrut/book/6865</vt:lpwstr>
      </vt:variant>
      <vt:variant>
        <vt:lpwstr/>
      </vt:variant>
      <vt:variant>
        <vt:i4>5242967</vt:i4>
      </vt:variant>
      <vt:variant>
        <vt:i4>21</vt:i4>
      </vt:variant>
      <vt:variant>
        <vt:i4>0</vt:i4>
      </vt:variant>
      <vt:variant>
        <vt:i4>5</vt:i4>
      </vt:variant>
      <vt:variant>
        <vt:lpwstr>http://www.nevo.co.il/law/70301/301a.a.5</vt:lpwstr>
      </vt:variant>
      <vt:variant>
        <vt:lpwstr/>
      </vt:variant>
      <vt:variant>
        <vt:i4>5505111</vt:i4>
      </vt:variant>
      <vt:variant>
        <vt:i4>18</vt:i4>
      </vt:variant>
      <vt:variant>
        <vt:i4>0</vt:i4>
      </vt:variant>
      <vt:variant>
        <vt:i4>5</vt:i4>
      </vt:variant>
      <vt:variant>
        <vt:lpwstr>http://www.nevo.co.il/law/70301/301a.a.1</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6619191</vt:i4>
      </vt:variant>
      <vt:variant>
        <vt:i4>12</vt:i4>
      </vt:variant>
      <vt:variant>
        <vt:i4>0</vt:i4>
      </vt:variant>
      <vt:variant>
        <vt:i4>5</vt:i4>
      </vt:variant>
      <vt:variant>
        <vt:lpwstr>http://www.nevo.co.il/law/70301/300.a.1</vt:lpwstr>
      </vt:variant>
      <vt:variant>
        <vt:lpwstr/>
      </vt:variant>
      <vt:variant>
        <vt:i4>4915286</vt:i4>
      </vt:variant>
      <vt:variant>
        <vt:i4>9</vt:i4>
      </vt:variant>
      <vt:variant>
        <vt:i4>0</vt:i4>
      </vt:variant>
      <vt:variant>
        <vt:i4>5</vt:i4>
      </vt:variant>
      <vt:variant>
        <vt:lpwstr>http://www.nevo.co.il/law/70301/300.a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2019-07-01T06:42:00Z</cp:lastPrinted>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37367</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דיאנה סלע;אבי לוי;ערן קוטון</vt:lpwstr>
  </property>
  <property fmtid="{D5CDD505-2E9C-101B-9397-08002B2CF9AE}" pid="11" name="CITY">
    <vt:lpwstr>חי'</vt:lpwstr>
  </property>
  <property fmtid="{D5CDD505-2E9C-101B-9397-08002B2CF9AE}" pid="12" name="DATE">
    <vt:lpwstr>20190703</vt:lpwstr>
  </property>
  <property fmtid="{D5CDD505-2E9C-101B-9397-08002B2CF9AE}" pid="13" name="TYPE_N_DATE">
    <vt:lpwstr>39020190703</vt:lpwstr>
  </property>
  <property fmtid="{D5CDD505-2E9C-101B-9397-08002B2CF9AE}" pid="14" name="BOOKLISTTMP1">
    <vt:lpwstr>6865</vt:lpwstr>
  </property>
  <property fmtid="{D5CDD505-2E9C-101B-9397-08002B2CF9AE}" pid="15" name="CASESLISTTMP1">
    <vt:lpwstr>5915123;6169000;17043259;7965117;6244398;6031891;5594427;5574340;22495714</vt:lpwstr>
  </property>
  <property fmtid="{D5CDD505-2E9C-101B-9397-08002B2CF9AE}" pid="16" name="CASENOTES1">
    <vt:lpwstr>ProcID=133;209&amp;PartA=2196&amp;PartC=10</vt:lpwstr>
  </property>
  <property fmtid="{D5CDD505-2E9C-101B-9397-08002B2CF9AE}" pid="17" name="WORDNUMPAGES">
    <vt:lpwstr>4</vt:lpwstr>
  </property>
  <property fmtid="{D5CDD505-2E9C-101B-9397-08002B2CF9AE}" pid="18" name="TYPE_ABS_DATE">
    <vt:lpwstr>390020190703</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70301/300.a.1;300.a.2;144.b;300.a;301a.a.1;301a.a.5;077:2</vt:lpwstr>
  </property>
</Properties>
</file>