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142D8" w14:textId="77777777" w:rsidR="00D57CE6" w:rsidRPr="004D0E53" w:rsidRDefault="00D57CE6" w:rsidP="000E46FC">
      <w:pPr>
        <w:pStyle w:val="a3"/>
        <w:rPr>
          <w:rFonts w:cs="FrankRuehl" w:hint="cs"/>
          <w:sz w:val="28"/>
          <w:szCs w:val="28"/>
          <w:rtl/>
        </w:rPr>
      </w:pPr>
    </w:p>
    <w:tbl>
      <w:tblPr>
        <w:bidiVisual/>
        <w:tblW w:w="0" w:type="auto"/>
        <w:jc w:val="center"/>
        <w:tblLook w:val="0000" w:firstRow="0" w:lastRow="0" w:firstColumn="0" w:lastColumn="0" w:noHBand="0" w:noVBand="0"/>
      </w:tblPr>
      <w:tblGrid>
        <w:gridCol w:w="5054"/>
        <w:gridCol w:w="3667"/>
      </w:tblGrid>
      <w:tr w:rsidR="00D57CE6" w:rsidRPr="004D0E53" w14:paraId="15049E96" w14:textId="77777777" w:rsidTr="00684DCF">
        <w:trPr>
          <w:trHeight w:hRule="exact" w:val="418"/>
          <w:jc w:val="center"/>
        </w:trPr>
        <w:tc>
          <w:tcPr>
            <w:tcW w:w="8861" w:type="dxa"/>
            <w:gridSpan w:val="2"/>
          </w:tcPr>
          <w:p w14:paraId="7C2E3DC5" w14:textId="77777777" w:rsidR="00D57CE6" w:rsidRPr="004D0E53" w:rsidRDefault="00D57CE6" w:rsidP="00684DCF">
            <w:pPr>
              <w:pStyle w:val="a3"/>
              <w:jc w:val="center"/>
              <w:rPr>
                <w:rFonts w:ascii="Tahoma" w:hAnsi="Tahoma" w:cs="Tahoma"/>
                <w:color w:val="000080"/>
                <w:rtl/>
              </w:rPr>
            </w:pPr>
            <w:r w:rsidRPr="004D0E53">
              <w:rPr>
                <w:rFonts w:ascii="Tahoma" w:hAnsi="Tahoma" w:cs="Tahoma"/>
                <w:b/>
                <w:bCs/>
                <w:color w:val="000080"/>
                <w:rtl/>
              </w:rPr>
              <w:t>בית המשפט המחוזי בבאר שבע</w:t>
            </w:r>
          </w:p>
        </w:tc>
      </w:tr>
      <w:tr w:rsidR="00D57CE6" w:rsidRPr="004D0E53" w14:paraId="4A3498D8" w14:textId="77777777" w:rsidTr="00684DCF">
        <w:trPr>
          <w:trHeight w:val="337"/>
          <w:jc w:val="center"/>
        </w:trPr>
        <w:tc>
          <w:tcPr>
            <w:tcW w:w="5131" w:type="dxa"/>
          </w:tcPr>
          <w:p w14:paraId="6D44A93F" w14:textId="77777777" w:rsidR="00D57CE6" w:rsidRPr="004D0E53" w:rsidRDefault="00D57CE6" w:rsidP="00684DCF">
            <w:pPr>
              <w:rPr>
                <w:rFonts w:cs="FrankRuehl"/>
                <w:sz w:val="28"/>
                <w:szCs w:val="28"/>
                <w:rtl/>
              </w:rPr>
            </w:pPr>
            <w:r w:rsidRPr="004D0E53">
              <w:rPr>
                <w:rFonts w:cs="FrankRuehl"/>
                <w:sz w:val="28"/>
                <w:szCs w:val="28"/>
                <w:rtl/>
              </w:rPr>
              <w:t>ת"פ</w:t>
            </w:r>
            <w:r w:rsidRPr="004D0E53">
              <w:rPr>
                <w:rFonts w:cs="FrankRuehl" w:hint="cs"/>
                <w:sz w:val="28"/>
                <w:szCs w:val="28"/>
                <w:rtl/>
              </w:rPr>
              <w:t xml:space="preserve"> </w:t>
            </w:r>
            <w:r w:rsidRPr="004D0E53">
              <w:rPr>
                <w:rFonts w:cs="FrankRuehl"/>
                <w:sz w:val="28"/>
                <w:szCs w:val="28"/>
                <w:rtl/>
              </w:rPr>
              <w:t>18579-10-16</w:t>
            </w:r>
            <w:r w:rsidRPr="004D0E53">
              <w:rPr>
                <w:rFonts w:cs="FrankRuehl" w:hint="cs"/>
                <w:sz w:val="28"/>
                <w:szCs w:val="28"/>
                <w:rtl/>
              </w:rPr>
              <w:t xml:space="preserve"> </w:t>
            </w:r>
            <w:r w:rsidRPr="004D0E53">
              <w:rPr>
                <w:rFonts w:cs="FrankRuehl"/>
                <w:sz w:val="28"/>
                <w:szCs w:val="28"/>
                <w:rtl/>
              </w:rPr>
              <w:t>מדינת ישראל נ' אבו עסא</w:t>
            </w:r>
          </w:p>
          <w:p w14:paraId="7E1DBE09" w14:textId="77777777" w:rsidR="00D57CE6" w:rsidRPr="004D0E53" w:rsidRDefault="00D57CE6" w:rsidP="00684DCF">
            <w:pPr>
              <w:pStyle w:val="a3"/>
              <w:rPr>
                <w:rFonts w:cs="FrankRuehl"/>
                <w:sz w:val="28"/>
                <w:szCs w:val="28"/>
                <w:rtl/>
              </w:rPr>
            </w:pPr>
          </w:p>
        </w:tc>
        <w:tc>
          <w:tcPr>
            <w:tcW w:w="3730" w:type="dxa"/>
          </w:tcPr>
          <w:p w14:paraId="56104BB1" w14:textId="77777777" w:rsidR="00D57CE6" w:rsidRPr="004D0E53" w:rsidRDefault="00D57CE6" w:rsidP="00684DCF">
            <w:pPr>
              <w:pStyle w:val="a3"/>
              <w:jc w:val="right"/>
              <w:rPr>
                <w:rFonts w:cs="FrankRuehl"/>
                <w:sz w:val="28"/>
                <w:szCs w:val="28"/>
                <w:rtl/>
              </w:rPr>
            </w:pPr>
          </w:p>
        </w:tc>
      </w:tr>
    </w:tbl>
    <w:p w14:paraId="5ED8849D" w14:textId="77777777" w:rsidR="00D57CE6" w:rsidRPr="004D0E53" w:rsidRDefault="00D57CE6" w:rsidP="00D57CE6">
      <w:pPr>
        <w:pStyle w:val="a3"/>
        <w:rPr>
          <w:rtl/>
        </w:rPr>
      </w:pPr>
      <w:r w:rsidRPr="004D0E53">
        <w:rPr>
          <w:rFonts w:hint="cs"/>
          <w:rtl/>
        </w:rPr>
        <w:t xml:space="preserve"> </w:t>
      </w:r>
    </w:p>
    <w:p w14:paraId="33645553" w14:textId="77777777" w:rsidR="00D57CE6" w:rsidRPr="004D0E53" w:rsidRDefault="00D57CE6" w:rsidP="00D57CE6">
      <w:pPr>
        <w:spacing w:line="360" w:lineRule="auto"/>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898"/>
        <w:gridCol w:w="2719"/>
        <w:gridCol w:w="871"/>
      </w:tblGrid>
      <w:tr w:rsidR="00684DCF" w:rsidRPr="004D0E53" w14:paraId="0B0B0C19" w14:textId="77777777" w:rsidTr="00D57CE6">
        <w:trPr>
          <w:gridAfter w:val="1"/>
          <w:wAfter w:w="871" w:type="dxa"/>
          <w:trHeight w:val="295"/>
          <w:jc w:val="center"/>
        </w:trPr>
        <w:tc>
          <w:tcPr>
            <w:tcW w:w="7949" w:type="dxa"/>
            <w:gridSpan w:val="3"/>
            <w:tcBorders>
              <w:top w:val="nil"/>
              <w:left w:val="nil"/>
              <w:bottom w:val="nil"/>
              <w:right w:val="nil"/>
            </w:tcBorders>
            <w:shd w:val="clear" w:color="auto" w:fill="auto"/>
          </w:tcPr>
          <w:p w14:paraId="2B2A2646" w14:textId="77777777" w:rsidR="00D57CE6" w:rsidRPr="004D0E53" w:rsidRDefault="00D57CE6" w:rsidP="00D57CE6">
            <w:pPr>
              <w:spacing w:line="360" w:lineRule="auto"/>
              <w:rPr>
                <w:rFonts w:ascii="Arial" w:hAnsi="Arial"/>
                <w:b/>
                <w:bCs/>
                <w:sz w:val="26"/>
                <w:szCs w:val="26"/>
              </w:rPr>
            </w:pPr>
            <w:r w:rsidRPr="004D0E53">
              <w:rPr>
                <w:rFonts w:ascii="Arial" w:hAnsi="Arial" w:hint="cs"/>
                <w:b/>
                <w:bCs/>
                <w:sz w:val="26"/>
                <w:szCs w:val="26"/>
                <w:rtl/>
              </w:rPr>
              <w:t>בפני כב' סגן הנשיאה, השופט אליהו ביתן</w:t>
            </w:r>
          </w:p>
        </w:tc>
      </w:tr>
      <w:tr w:rsidR="00684DCF" w:rsidRPr="004D0E53" w14:paraId="3071D30C" w14:textId="77777777" w:rsidTr="00D57CE6">
        <w:trPr>
          <w:trHeight w:val="355"/>
          <w:jc w:val="center"/>
        </w:trPr>
        <w:tc>
          <w:tcPr>
            <w:tcW w:w="1332" w:type="dxa"/>
            <w:tcBorders>
              <w:top w:val="nil"/>
              <w:left w:val="nil"/>
              <w:bottom w:val="nil"/>
              <w:right w:val="nil"/>
            </w:tcBorders>
            <w:shd w:val="clear" w:color="auto" w:fill="auto"/>
          </w:tcPr>
          <w:p w14:paraId="41DBC531" w14:textId="77777777" w:rsidR="00D57CE6" w:rsidRPr="004D0E53" w:rsidRDefault="00D57CE6" w:rsidP="00D57CE6">
            <w:pPr>
              <w:spacing w:line="360" w:lineRule="auto"/>
              <w:jc w:val="both"/>
              <w:rPr>
                <w:rFonts w:ascii="Arial" w:hAnsi="Arial"/>
                <w:b/>
                <w:bCs/>
                <w:sz w:val="26"/>
                <w:szCs w:val="26"/>
              </w:rPr>
            </w:pPr>
            <w:bookmarkStart w:id="0" w:name="LastJudge"/>
            <w:bookmarkEnd w:id="0"/>
            <w:r w:rsidRPr="004D0E53">
              <w:rPr>
                <w:rFonts w:ascii="Arial" w:hAnsi="Arial" w:hint="cs"/>
                <w:b/>
                <w:bCs/>
                <w:sz w:val="26"/>
                <w:szCs w:val="26"/>
                <w:rtl/>
              </w:rPr>
              <w:t>בעניין:</w:t>
            </w:r>
          </w:p>
        </w:tc>
        <w:tc>
          <w:tcPr>
            <w:tcW w:w="3898" w:type="dxa"/>
            <w:tcBorders>
              <w:top w:val="nil"/>
              <w:left w:val="nil"/>
              <w:bottom w:val="nil"/>
              <w:right w:val="nil"/>
            </w:tcBorders>
            <w:shd w:val="clear" w:color="auto" w:fill="auto"/>
          </w:tcPr>
          <w:p w14:paraId="2728C5CA" w14:textId="77777777" w:rsidR="00D57CE6" w:rsidRPr="004D0E53" w:rsidRDefault="00D57CE6" w:rsidP="00D57CE6">
            <w:pPr>
              <w:spacing w:line="360" w:lineRule="auto"/>
              <w:rPr>
                <w:rFonts w:ascii="Arial" w:hAnsi="Arial"/>
                <w:b/>
                <w:bCs/>
                <w:sz w:val="26"/>
                <w:szCs w:val="26"/>
              </w:rPr>
            </w:pPr>
            <w:r w:rsidRPr="004D0E53">
              <w:rPr>
                <w:rFonts w:ascii="Arial" w:hAnsi="Arial"/>
                <w:b/>
                <w:bCs/>
                <w:sz w:val="26"/>
                <w:szCs w:val="26"/>
                <w:rtl/>
              </w:rPr>
              <w:t xml:space="preserve">     </w:t>
            </w:r>
          </w:p>
        </w:tc>
        <w:tc>
          <w:tcPr>
            <w:tcW w:w="3590" w:type="dxa"/>
            <w:gridSpan w:val="2"/>
            <w:tcBorders>
              <w:top w:val="nil"/>
              <w:left w:val="nil"/>
              <w:bottom w:val="nil"/>
              <w:right w:val="nil"/>
            </w:tcBorders>
            <w:shd w:val="clear" w:color="auto" w:fill="auto"/>
          </w:tcPr>
          <w:p w14:paraId="623899D1" w14:textId="77777777" w:rsidR="00D57CE6" w:rsidRPr="004D0E53" w:rsidRDefault="00D57CE6" w:rsidP="00D57CE6">
            <w:pPr>
              <w:spacing w:line="360" w:lineRule="auto"/>
              <w:jc w:val="both"/>
              <w:rPr>
                <w:rFonts w:ascii="Arial" w:hAnsi="Arial"/>
                <w:b/>
                <w:bCs/>
                <w:sz w:val="26"/>
                <w:szCs w:val="26"/>
              </w:rPr>
            </w:pPr>
          </w:p>
        </w:tc>
      </w:tr>
      <w:tr w:rsidR="00684DCF" w:rsidRPr="004D0E53" w14:paraId="1D8ED0C0" w14:textId="77777777" w:rsidTr="00D57CE6">
        <w:trPr>
          <w:trHeight w:val="355"/>
          <w:jc w:val="center"/>
        </w:trPr>
        <w:tc>
          <w:tcPr>
            <w:tcW w:w="1332" w:type="dxa"/>
            <w:tcBorders>
              <w:top w:val="nil"/>
              <w:left w:val="nil"/>
              <w:bottom w:val="nil"/>
              <w:right w:val="nil"/>
            </w:tcBorders>
            <w:shd w:val="clear" w:color="auto" w:fill="auto"/>
          </w:tcPr>
          <w:p w14:paraId="19BA5152" w14:textId="77777777" w:rsidR="00D57CE6" w:rsidRPr="004D0E53" w:rsidRDefault="00D57CE6" w:rsidP="00D57CE6">
            <w:pPr>
              <w:spacing w:line="360" w:lineRule="auto"/>
              <w:jc w:val="both"/>
              <w:rPr>
                <w:rFonts w:ascii="Arial" w:hAnsi="Arial"/>
                <w:b/>
                <w:bCs/>
                <w:sz w:val="26"/>
                <w:szCs w:val="26"/>
                <w:rtl/>
              </w:rPr>
            </w:pPr>
            <w:bookmarkStart w:id="1" w:name="FirstAppellant"/>
            <w:r w:rsidRPr="004D0E53">
              <w:rPr>
                <w:rFonts w:ascii="Arial" w:hAnsi="Arial" w:hint="cs"/>
                <w:b/>
                <w:bCs/>
                <w:sz w:val="26"/>
                <w:szCs w:val="26"/>
                <w:rtl/>
              </w:rPr>
              <w:t>המאשימה:</w:t>
            </w:r>
          </w:p>
        </w:tc>
        <w:tc>
          <w:tcPr>
            <w:tcW w:w="3898" w:type="dxa"/>
            <w:tcBorders>
              <w:top w:val="nil"/>
              <w:left w:val="nil"/>
              <w:bottom w:val="nil"/>
              <w:right w:val="nil"/>
            </w:tcBorders>
            <w:shd w:val="clear" w:color="auto" w:fill="auto"/>
          </w:tcPr>
          <w:p w14:paraId="1BCE8817" w14:textId="77777777" w:rsidR="00D57CE6" w:rsidRPr="004D0E53" w:rsidRDefault="00D57CE6" w:rsidP="00D57CE6">
            <w:pPr>
              <w:spacing w:line="360" w:lineRule="auto"/>
              <w:jc w:val="both"/>
              <w:rPr>
                <w:rFonts w:ascii="Arial" w:hAnsi="Arial"/>
                <w:b/>
                <w:bCs/>
                <w:sz w:val="26"/>
                <w:szCs w:val="26"/>
                <w:rtl/>
              </w:rPr>
            </w:pPr>
            <w:r w:rsidRPr="004D0E53">
              <w:rPr>
                <w:rFonts w:ascii="Arial" w:hAnsi="Arial" w:hint="cs"/>
                <w:b/>
                <w:bCs/>
                <w:sz w:val="26"/>
                <w:szCs w:val="26"/>
                <w:rtl/>
              </w:rPr>
              <w:t xml:space="preserve">מדינת ישראל </w:t>
            </w:r>
          </w:p>
        </w:tc>
        <w:tc>
          <w:tcPr>
            <w:tcW w:w="3590" w:type="dxa"/>
            <w:gridSpan w:val="2"/>
            <w:tcBorders>
              <w:top w:val="nil"/>
              <w:left w:val="nil"/>
              <w:bottom w:val="nil"/>
              <w:right w:val="nil"/>
            </w:tcBorders>
            <w:shd w:val="clear" w:color="auto" w:fill="auto"/>
          </w:tcPr>
          <w:p w14:paraId="5D4790E7" w14:textId="77777777" w:rsidR="00D57CE6" w:rsidRPr="004D0E53" w:rsidRDefault="00D57CE6" w:rsidP="00D57CE6">
            <w:pPr>
              <w:spacing w:line="360" w:lineRule="auto"/>
              <w:jc w:val="right"/>
              <w:rPr>
                <w:rFonts w:ascii="Arial" w:hAnsi="Arial"/>
                <w:b/>
                <w:bCs/>
                <w:sz w:val="26"/>
                <w:szCs w:val="26"/>
                <w:rtl/>
              </w:rPr>
            </w:pPr>
          </w:p>
        </w:tc>
      </w:tr>
      <w:bookmarkEnd w:id="1"/>
      <w:tr w:rsidR="00684DCF" w:rsidRPr="004D0E53" w14:paraId="3EB24AB9" w14:textId="77777777" w:rsidTr="00D57CE6">
        <w:trPr>
          <w:trHeight w:val="355"/>
          <w:jc w:val="center"/>
        </w:trPr>
        <w:tc>
          <w:tcPr>
            <w:tcW w:w="1332" w:type="dxa"/>
            <w:tcBorders>
              <w:top w:val="nil"/>
              <w:left w:val="nil"/>
              <w:bottom w:val="nil"/>
              <w:right w:val="nil"/>
            </w:tcBorders>
            <w:shd w:val="clear" w:color="auto" w:fill="auto"/>
          </w:tcPr>
          <w:p w14:paraId="0AEB1FA2" w14:textId="77777777" w:rsidR="00D57CE6" w:rsidRPr="004D0E53" w:rsidRDefault="00D57CE6" w:rsidP="00D57CE6">
            <w:pPr>
              <w:spacing w:line="360" w:lineRule="auto"/>
              <w:jc w:val="both"/>
              <w:rPr>
                <w:rFonts w:ascii="Arial" w:hAnsi="Arial"/>
                <w:b/>
                <w:bCs/>
                <w:sz w:val="26"/>
                <w:szCs w:val="26"/>
                <w:rtl/>
              </w:rPr>
            </w:pPr>
          </w:p>
        </w:tc>
        <w:tc>
          <w:tcPr>
            <w:tcW w:w="7488" w:type="dxa"/>
            <w:gridSpan w:val="3"/>
            <w:tcBorders>
              <w:top w:val="nil"/>
              <w:left w:val="nil"/>
              <w:bottom w:val="nil"/>
              <w:right w:val="nil"/>
            </w:tcBorders>
            <w:shd w:val="clear" w:color="auto" w:fill="auto"/>
          </w:tcPr>
          <w:p w14:paraId="79294112" w14:textId="77777777" w:rsidR="00D57CE6" w:rsidRPr="004D0E53" w:rsidRDefault="00D57CE6" w:rsidP="00D57CE6">
            <w:pPr>
              <w:spacing w:line="360" w:lineRule="auto"/>
              <w:jc w:val="center"/>
              <w:rPr>
                <w:rFonts w:ascii="Arial" w:hAnsi="Arial"/>
                <w:b/>
                <w:bCs/>
                <w:sz w:val="26"/>
                <w:szCs w:val="26"/>
              </w:rPr>
            </w:pPr>
            <w:r w:rsidRPr="004D0E53">
              <w:rPr>
                <w:rFonts w:ascii="Arial" w:hAnsi="Arial"/>
                <w:b/>
                <w:bCs/>
                <w:sz w:val="30"/>
                <w:szCs w:val="30"/>
                <w:rtl/>
              </w:rPr>
              <w:t>נגד</w:t>
            </w:r>
          </w:p>
        </w:tc>
      </w:tr>
      <w:tr w:rsidR="00684DCF" w:rsidRPr="004D0E53" w14:paraId="78A47D17" w14:textId="77777777" w:rsidTr="00D57CE6">
        <w:trPr>
          <w:trHeight w:val="355"/>
          <w:jc w:val="center"/>
        </w:trPr>
        <w:tc>
          <w:tcPr>
            <w:tcW w:w="1332" w:type="dxa"/>
            <w:tcBorders>
              <w:top w:val="nil"/>
              <w:left w:val="nil"/>
              <w:bottom w:val="nil"/>
              <w:right w:val="nil"/>
            </w:tcBorders>
            <w:shd w:val="clear" w:color="auto" w:fill="auto"/>
          </w:tcPr>
          <w:p w14:paraId="58E9665C" w14:textId="77777777" w:rsidR="00D57CE6" w:rsidRPr="004D0E53" w:rsidRDefault="00D57CE6" w:rsidP="00D57CE6">
            <w:pPr>
              <w:spacing w:line="360" w:lineRule="auto"/>
              <w:rPr>
                <w:rFonts w:ascii="Arial" w:hAnsi="Arial"/>
                <w:b/>
                <w:bCs/>
                <w:sz w:val="26"/>
                <w:szCs w:val="26"/>
                <w:rtl/>
              </w:rPr>
            </w:pPr>
            <w:r w:rsidRPr="004D0E53">
              <w:rPr>
                <w:rFonts w:ascii="Arial" w:hAnsi="Arial" w:hint="cs"/>
                <w:b/>
                <w:bCs/>
                <w:sz w:val="26"/>
                <w:szCs w:val="26"/>
                <w:rtl/>
              </w:rPr>
              <w:t>הנאשם:</w:t>
            </w:r>
          </w:p>
        </w:tc>
        <w:tc>
          <w:tcPr>
            <w:tcW w:w="3898" w:type="dxa"/>
            <w:tcBorders>
              <w:top w:val="nil"/>
              <w:left w:val="nil"/>
              <w:bottom w:val="nil"/>
              <w:right w:val="nil"/>
            </w:tcBorders>
            <w:shd w:val="clear" w:color="auto" w:fill="auto"/>
          </w:tcPr>
          <w:p w14:paraId="0D08B862" w14:textId="77777777" w:rsidR="00D57CE6" w:rsidRPr="004D0E53" w:rsidRDefault="00D57CE6" w:rsidP="00D57CE6">
            <w:pPr>
              <w:spacing w:line="360" w:lineRule="auto"/>
              <w:rPr>
                <w:rFonts w:ascii="Arial" w:hAnsi="Arial"/>
                <w:b/>
                <w:bCs/>
                <w:sz w:val="26"/>
                <w:szCs w:val="26"/>
                <w:rtl/>
              </w:rPr>
            </w:pPr>
            <w:r w:rsidRPr="004D0E53">
              <w:rPr>
                <w:rFonts w:ascii="Arial" w:hAnsi="Arial"/>
                <w:b/>
                <w:bCs/>
                <w:sz w:val="26"/>
                <w:szCs w:val="26"/>
                <w:rtl/>
              </w:rPr>
              <w:t>דיאב אבו עסא</w:t>
            </w:r>
          </w:p>
        </w:tc>
        <w:tc>
          <w:tcPr>
            <w:tcW w:w="3590" w:type="dxa"/>
            <w:gridSpan w:val="2"/>
            <w:tcBorders>
              <w:top w:val="nil"/>
              <w:left w:val="nil"/>
              <w:bottom w:val="nil"/>
              <w:right w:val="nil"/>
            </w:tcBorders>
            <w:shd w:val="clear" w:color="auto" w:fill="auto"/>
          </w:tcPr>
          <w:p w14:paraId="22963CBA" w14:textId="77777777" w:rsidR="00D57CE6" w:rsidRPr="004D0E53" w:rsidRDefault="00D57CE6" w:rsidP="00D57CE6">
            <w:pPr>
              <w:spacing w:line="360" w:lineRule="auto"/>
              <w:jc w:val="right"/>
              <w:rPr>
                <w:rFonts w:ascii="Arial" w:hAnsi="Arial"/>
                <w:b/>
                <w:bCs/>
                <w:sz w:val="26"/>
                <w:szCs w:val="26"/>
              </w:rPr>
            </w:pPr>
          </w:p>
        </w:tc>
      </w:tr>
    </w:tbl>
    <w:p w14:paraId="595FCD2C" w14:textId="77777777" w:rsidR="004D0E53" w:rsidRPr="004D0E53" w:rsidRDefault="004D0E53" w:rsidP="004D0E53">
      <w:pPr>
        <w:spacing w:after="120" w:line="240" w:lineRule="exact"/>
        <w:ind w:left="283" w:hanging="283"/>
        <w:jc w:val="both"/>
        <w:rPr>
          <w:rFonts w:ascii="FrankRuehl" w:hAnsi="FrankRuehl" w:cs="FrankRuehl"/>
          <w:rtl/>
        </w:rPr>
      </w:pPr>
    </w:p>
    <w:p w14:paraId="4B4EE787" w14:textId="77777777" w:rsidR="000E46FC" w:rsidRDefault="000E46FC" w:rsidP="00D57CE6">
      <w:pPr>
        <w:spacing w:line="360" w:lineRule="auto"/>
        <w:jc w:val="both"/>
        <w:rPr>
          <w:rFonts w:ascii="Arial" w:hAnsi="Arial"/>
          <w:rtl/>
        </w:rPr>
      </w:pPr>
      <w:bookmarkStart w:id="2" w:name="LawTable"/>
      <w:bookmarkEnd w:id="2"/>
    </w:p>
    <w:p w14:paraId="2D14F804" w14:textId="77777777" w:rsidR="000E46FC" w:rsidRPr="000E46FC" w:rsidRDefault="000E46FC" w:rsidP="000E46FC">
      <w:pPr>
        <w:spacing w:after="120" w:line="240" w:lineRule="exact"/>
        <w:ind w:left="283" w:hanging="283"/>
        <w:jc w:val="both"/>
        <w:rPr>
          <w:rFonts w:ascii="FrankRuehl" w:hAnsi="FrankRuehl" w:cs="FrankRuehl"/>
          <w:rtl/>
        </w:rPr>
      </w:pPr>
    </w:p>
    <w:p w14:paraId="187B805B" w14:textId="77777777" w:rsidR="000E46FC" w:rsidRPr="000E46FC" w:rsidRDefault="000E46FC" w:rsidP="000E46FC">
      <w:pPr>
        <w:spacing w:after="120" w:line="240" w:lineRule="exact"/>
        <w:ind w:left="283" w:hanging="283"/>
        <w:jc w:val="both"/>
        <w:rPr>
          <w:rFonts w:ascii="FrankRuehl" w:hAnsi="FrankRuehl" w:cs="FrankRuehl"/>
          <w:rtl/>
        </w:rPr>
      </w:pPr>
      <w:r w:rsidRPr="000E46FC">
        <w:rPr>
          <w:rFonts w:ascii="FrankRuehl" w:hAnsi="FrankRuehl" w:cs="FrankRuehl"/>
          <w:rtl/>
        </w:rPr>
        <w:t xml:space="preserve">חקיקה שאוזכרה: </w:t>
      </w:r>
    </w:p>
    <w:p w14:paraId="54F7E0CC" w14:textId="77777777" w:rsidR="000E46FC" w:rsidRPr="000E46FC" w:rsidRDefault="000E46FC" w:rsidP="000E46FC">
      <w:pPr>
        <w:spacing w:after="120" w:line="240" w:lineRule="exact"/>
        <w:ind w:left="283" w:hanging="283"/>
        <w:jc w:val="both"/>
        <w:rPr>
          <w:rFonts w:ascii="FrankRuehl" w:hAnsi="FrankRuehl" w:cs="FrankRuehl"/>
          <w:rtl/>
        </w:rPr>
      </w:pPr>
      <w:hyperlink r:id="rId6" w:history="1">
        <w:r w:rsidRPr="000E46FC">
          <w:rPr>
            <w:rFonts w:ascii="FrankRuehl" w:hAnsi="FrankRuehl" w:cs="FrankRuehl"/>
            <w:color w:val="0000FF"/>
            <w:u w:val="single"/>
            <w:rtl/>
          </w:rPr>
          <w:t>חוק העונשין, תשל"ז-1977</w:t>
        </w:r>
      </w:hyperlink>
      <w:r w:rsidRPr="000E46FC">
        <w:rPr>
          <w:rFonts w:ascii="FrankRuehl" w:hAnsi="FrankRuehl" w:cs="FrankRuehl"/>
          <w:rtl/>
        </w:rPr>
        <w:t xml:space="preserve">: סע'  </w:t>
      </w:r>
      <w:hyperlink r:id="rId7" w:history="1">
        <w:r w:rsidRPr="000E46FC">
          <w:rPr>
            <w:rFonts w:ascii="FrankRuehl" w:hAnsi="FrankRuehl" w:cs="FrankRuehl"/>
            <w:color w:val="0000FF"/>
            <w:u w:val="single"/>
            <w:rtl/>
          </w:rPr>
          <w:t>144(א)</w:t>
        </w:r>
      </w:hyperlink>
      <w:r w:rsidRPr="000E46FC">
        <w:rPr>
          <w:rFonts w:ascii="FrankRuehl" w:hAnsi="FrankRuehl" w:cs="FrankRuehl"/>
          <w:rtl/>
        </w:rPr>
        <w:t xml:space="preserve">, </w:t>
      </w:r>
      <w:hyperlink r:id="rId8" w:history="1">
        <w:r w:rsidRPr="000E46FC">
          <w:rPr>
            <w:rFonts w:ascii="FrankRuehl" w:hAnsi="FrankRuehl" w:cs="FrankRuehl"/>
            <w:color w:val="0000FF"/>
            <w:u w:val="single"/>
            <w:rtl/>
          </w:rPr>
          <w:t>340 א'</w:t>
        </w:r>
      </w:hyperlink>
    </w:p>
    <w:p w14:paraId="4477E5B9" w14:textId="77777777" w:rsidR="00D57CE6" w:rsidRPr="000E46FC" w:rsidRDefault="00D57CE6" w:rsidP="00D57CE6">
      <w:pPr>
        <w:spacing w:line="360" w:lineRule="auto"/>
        <w:jc w:val="both"/>
        <w:rPr>
          <w:rFonts w:ascii="Arial" w:hAnsi="Arial" w:hint="cs"/>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4DCF" w:rsidRPr="004C04B9" w14:paraId="2FAED519" w14:textId="77777777" w:rsidTr="00D57CE6">
        <w:trPr>
          <w:trHeight w:val="355"/>
          <w:jc w:val="center"/>
        </w:trPr>
        <w:tc>
          <w:tcPr>
            <w:tcW w:w="8820" w:type="dxa"/>
            <w:tcBorders>
              <w:top w:val="nil"/>
              <w:left w:val="nil"/>
              <w:bottom w:val="nil"/>
              <w:right w:val="nil"/>
            </w:tcBorders>
            <w:shd w:val="clear" w:color="auto" w:fill="auto"/>
          </w:tcPr>
          <w:p w14:paraId="46B4CE76" w14:textId="77777777" w:rsidR="004D0E53" w:rsidRPr="004D0E53" w:rsidRDefault="004D0E53" w:rsidP="004D0E53">
            <w:pPr>
              <w:spacing w:line="360" w:lineRule="auto"/>
              <w:jc w:val="center"/>
              <w:rPr>
                <w:rFonts w:ascii="Arial" w:hAnsi="Arial"/>
                <w:b/>
                <w:bCs/>
                <w:sz w:val="30"/>
                <w:szCs w:val="30"/>
                <w:u w:val="single"/>
                <w:rtl/>
              </w:rPr>
            </w:pPr>
            <w:bookmarkStart w:id="4" w:name="PsakDin" w:colFirst="0" w:colLast="0"/>
            <w:r w:rsidRPr="004D0E53">
              <w:rPr>
                <w:rFonts w:ascii="Arial" w:hAnsi="Arial"/>
                <w:b/>
                <w:bCs/>
                <w:sz w:val="30"/>
                <w:szCs w:val="30"/>
                <w:u w:val="single"/>
                <w:rtl/>
              </w:rPr>
              <w:t>גזר דין</w:t>
            </w:r>
          </w:p>
          <w:p w14:paraId="2161600F" w14:textId="77777777" w:rsidR="00D57CE6" w:rsidRPr="004D0E53" w:rsidRDefault="00D57CE6" w:rsidP="004D0E53">
            <w:pPr>
              <w:spacing w:line="360" w:lineRule="auto"/>
              <w:jc w:val="center"/>
              <w:rPr>
                <w:rFonts w:ascii="Arial" w:hAnsi="Arial"/>
                <w:b/>
                <w:bCs/>
                <w:sz w:val="26"/>
                <w:szCs w:val="26"/>
                <w:u w:val="single"/>
                <w:rtl/>
              </w:rPr>
            </w:pPr>
          </w:p>
        </w:tc>
      </w:tr>
      <w:bookmarkEnd w:id="4"/>
    </w:tbl>
    <w:p w14:paraId="6131FC04" w14:textId="77777777" w:rsidR="00D57CE6" w:rsidRDefault="00D57CE6" w:rsidP="00D57CE6">
      <w:pPr>
        <w:spacing w:line="360" w:lineRule="auto"/>
        <w:jc w:val="both"/>
        <w:rPr>
          <w:rFonts w:ascii="Arial" w:hAnsi="Arial"/>
        </w:rPr>
      </w:pPr>
    </w:p>
    <w:p w14:paraId="559E20C9" w14:textId="77777777" w:rsidR="00D57CE6" w:rsidRDefault="00D57CE6" w:rsidP="00D57CE6">
      <w:pPr>
        <w:spacing w:line="360" w:lineRule="auto"/>
        <w:ind w:left="720" w:hanging="720"/>
        <w:jc w:val="both"/>
      </w:pPr>
      <w:r>
        <w:rPr>
          <w:rFonts w:hint="cs"/>
          <w:rtl/>
        </w:rPr>
        <w:t>1.</w:t>
      </w:r>
      <w:r>
        <w:rPr>
          <w:rFonts w:hint="cs"/>
          <w:rtl/>
        </w:rPr>
        <w:tab/>
      </w:r>
      <w:bookmarkStart w:id="5" w:name="ABSTRACT_START"/>
      <w:bookmarkEnd w:id="5"/>
      <w:r>
        <w:rPr>
          <w:rFonts w:hint="cs"/>
          <w:rtl/>
        </w:rPr>
        <w:t xml:space="preserve">הנאשם והמתלונן, קרובי משפחה. בתאריך 28.09.16 סמוך לשעה 23:00, נהג המתלונן ברכבו בישוב ערערה כשחלון הרכב פתוח. בשלב מסוים, הנאשם עמד במקביל למתלונן, החזיק בידו נשק וירה באוויר. </w:t>
      </w:r>
    </w:p>
    <w:p w14:paraId="2E5C981C" w14:textId="77777777" w:rsidR="00D57CE6" w:rsidRDefault="00D57CE6" w:rsidP="00D57CE6">
      <w:pPr>
        <w:spacing w:line="360" w:lineRule="auto"/>
        <w:ind w:left="720" w:hanging="720"/>
        <w:jc w:val="both"/>
        <w:rPr>
          <w:rtl/>
        </w:rPr>
      </w:pPr>
      <w:r>
        <w:rPr>
          <w:rFonts w:hint="cs"/>
          <w:rtl/>
        </w:rPr>
        <w:tab/>
      </w:r>
    </w:p>
    <w:p w14:paraId="314442E3" w14:textId="77777777" w:rsidR="00D57CE6" w:rsidRDefault="00D57CE6" w:rsidP="00D57CE6">
      <w:pPr>
        <w:spacing w:line="360" w:lineRule="auto"/>
        <w:ind w:left="720" w:hanging="720"/>
        <w:jc w:val="both"/>
        <w:rPr>
          <w:rtl/>
        </w:rPr>
      </w:pPr>
      <w:r>
        <w:rPr>
          <w:rFonts w:hint="cs"/>
          <w:rtl/>
        </w:rPr>
        <w:t>2.</w:t>
      </w:r>
      <w:r>
        <w:rPr>
          <w:rFonts w:hint="cs"/>
          <w:rtl/>
        </w:rPr>
        <w:tab/>
        <w:t xml:space="preserve">הנאשם הודה בעובדות הנ"ל והורשע בעבירות של ירי באזור מגורים, לפי </w:t>
      </w:r>
      <w:hyperlink r:id="rId9" w:history="1">
        <w:r w:rsidR="000E46FC" w:rsidRPr="000E46FC">
          <w:rPr>
            <w:color w:val="0000FF"/>
            <w:u w:val="single"/>
            <w:rtl/>
          </w:rPr>
          <w:t>סעיף 340 א'</w:t>
        </w:r>
      </w:hyperlink>
      <w:r>
        <w:rPr>
          <w:rFonts w:hint="cs"/>
          <w:rtl/>
        </w:rPr>
        <w:t xml:space="preserve"> ל</w:t>
      </w:r>
      <w:hyperlink r:id="rId10" w:history="1">
        <w:r w:rsidR="004D0E53" w:rsidRPr="004D0E53">
          <w:rPr>
            <w:color w:val="0000FF"/>
            <w:u w:val="single"/>
            <w:rtl/>
          </w:rPr>
          <w:t>חוק העונשין</w:t>
        </w:r>
      </w:hyperlink>
      <w:r>
        <w:rPr>
          <w:rFonts w:hint="cs"/>
          <w:rtl/>
        </w:rPr>
        <w:t xml:space="preserve"> תשל"ז –1977 (להלן: "חוק העונשין"), והחזקת נשק, לפי </w:t>
      </w:r>
      <w:hyperlink r:id="rId11" w:history="1">
        <w:r w:rsidR="000E46FC" w:rsidRPr="000E46FC">
          <w:rPr>
            <w:color w:val="0000FF"/>
            <w:u w:val="single"/>
            <w:rtl/>
          </w:rPr>
          <w:t>סעיף 144(א)</w:t>
        </w:r>
      </w:hyperlink>
      <w:r>
        <w:rPr>
          <w:rFonts w:hint="cs"/>
          <w:rtl/>
        </w:rPr>
        <w:t xml:space="preserve"> רישא לחוק העונשין.</w:t>
      </w:r>
    </w:p>
    <w:p w14:paraId="22C6DAB4" w14:textId="77777777" w:rsidR="00D57CE6" w:rsidRDefault="00D57CE6" w:rsidP="00D57CE6">
      <w:pPr>
        <w:spacing w:line="360" w:lineRule="auto"/>
        <w:jc w:val="both"/>
        <w:rPr>
          <w:rtl/>
        </w:rPr>
      </w:pPr>
    </w:p>
    <w:p w14:paraId="41C0F5DF" w14:textId="77777777" w:rsidR="00D57CE6" w:rsidRDefault="00D57CE6" w:rsidP="00D57CE6">
      <w:pPr>
        <w:spacing w:line="360" w:lineRule="auto"/>
        <w:ind w:left="720" w:hanging="720"/>
        <w:jc w:val="both"/>
        <w:rPr>
          <w:rtl/>
        </w:rPr>
      </w:pPr>
      <w:bookmarkStart w:id="6" w:name="ABSTRACT_END"/>
      <w:bookmarkEnd w:id="6"/>
      <w:r>
        <w:rPr>
          <w:rFonts w:hint="cs"/>
          <w:rtl/>
        </w:rPr>
        <w:t>3.</w:t>
      </w:r>
      <w:r>
        <w:rPr>
          <w:rFonts w:hint="cs"/>
          <w:rtl/>
        </w:rPr>
        <w:tab/>
        <w:t xml:space="preserve">הודאת הנאשם באה במסגרת הסדר טיעון, בגדרו המליצו הצדדים לבית המשפט להטיל על הנאשם שישה חודשי מאסר בפועל, שאם הממונה על עבודות השירות יחווה דעתו שהנאשם מתאים לשאת את המאסר בעבודות שירות, הוא ישא את המאסר באופן זה, מאסר על תנאי וקנס בסך 50,000 ₪. </w:t>
      </w:r>
    </w:p>
    <w:p w14:paraId="22A5349F" w14:textId="77777777" w:rsidR="00D57CE6" w:rsidRDefault="00D57CE6" w:rsidP="00D57CE6">
      <w:pPr>
        <w:spacing w:line="360" w:lineRule="auto"/>
        <w:ind w:left="720" w:hanging="720"/>
        <w:jc w:val="both"/>
        <w:rPr>
          <w:rtl/>
        </w:rPr>
      </w:pPr>
    </w:p>
    <w:p w14:paraId="36E06B9D" w14:textId="77777777" w:rsidR="00D57CE6" w:rsidRDefault="00D57CE6" w:rsidP="00D57CE6">
      <w:pPr>
        <w:spacing w:line="360" w:lineRule="auto"/>
        <w:ind w:left="720" w:hanging="720"/>
        <w:jc w:val="both"/>
        <w:rPr>
          <w:rFonts w:ascii="David" w:hAnsi="David"/>
          <w:rtl/>
        </w:rPr>
      </w:pPr>
      <w:r>
        <w:rPr>
          <w:rFonts w:hint="cs"/>
          <w:rtl/>
        </w:rPr>
        <w:lastRenderedPageBreak/>
        <w:t>4.</w:t>
      </w:r>
      <w:r>
        <w:rPr>
          <w:rFonts w:hint="cs"/>
          <w:rtl/>
        </w:rPr>
        <w:tab/>
        <w:t xml:space="preserve">התביעה ביקשה לאשר את הסדר הטיעון. היא ציינה, כי השיקול העיקרי להסכמתה לו הוא קושי ראייתי שלא בא על פתרונו גם לאחר שבוצעה השלמת חקירה. וציינה, כי המתלונן לא שיתף איתה פעולה והוא הצהיר כי הוא איננו מעונין להעיד בבית המשפט. </w:t>
      </w:r>
    </w:p>
    <w:p w14:paraId="5A8D342F" w14:textId="77777777" w:rsidR="00D57CE6" w:rsidRDefault="00D57CE6" w:rsidP="00D57CE6">
      <w:pPr>
        <w:spacing w:line="360" w:lineRule="auto"/>
        <w:jc w:val="both"/>
        <w:rPr>
          <w:rtl/>
        </w:rPr>
      </w:pPr>
    </w:p>
    <w:p w14:paraId="7617DA38" w14:textId="77777777" w:rsidR="00D57CE6" w:rsidRDefault="00D57CE6" w:rsidP="00D57CE6">
      <w:pPr>
        <w:spacing w:line="360" w:lineRule="auto"/>
        <w:ind w:left="720"/>
        <w:jc w:val="both"/>
        <w:rPr>
          <w:rtl/>
        </w:rPr>
      </w:pPr>
      <w:r>
        <w:rPr>
          <w:rFonts w:hint="cs"/>
          <w:rtl/>
        </w:rPr>
        <w:t xml:space="preserve">ב"כ הנאשם </w:t>
      </w:r>
      <w:r w:rsidRPr="00D57CE6">
        <w:rPr>
          <w:rFonts w:ascii="Calibri" w:hAnsi="Calibri" w:hint="cs"/>
          <w:rtl/>
        </w:rPr>
        <w:t>ה</w:t>
      </w:r>
      <w:r>
        <w:rPr>
          <w:rFonts w:hint="cs"/>
          <w:rtl/>
        </w:rPr>
        <w:t xml:space="preserve">צטרף לדברי ב"כ התביעה, תוך הדגשת הקושי של התביעה להוכיח את שיוחס לנאשם בכתב האישום המקורי, וביקש לכבד את ההסדר. </w:t>
      </w:r>
    </w:p>
    <w:p w14:paraId="0C1B8CCF" w14:textId="77777777" w:rsidR="00D57CE6" w:rsidRDefault="00D57CE6" w:rsidP="00D57CE6">
      <w:pPr>
        <w:spacing w:line="360" w:lineRule="auto"/>
        <w:jc w:val="both"/>
        <w:rPr>
          <w:rtl/>
        </w:rPr>
      </w:pPr>
    </w:p>
    <w:p w14:paraId="17F59B6C" w14:textId="77777777" w:rsidR="00D57CE6" w:rsidRDefault="00D57CE6" w:rsidP="00D57CE6">
      <w:pPr>
        <w:spacing w:line="360" w:lineRule="auto"/>
        <w:ind w:left="720" w:hanging="720"/>
        <w:jc w:val="both"/>
        <w:rPr>
          <w:rtl/>
        </w:rPr>
      </w:pPr>
      <w:r>
        <w:rPr>
          <w:rFonts w:hint="cs"/>
          <w:rtl/>
        </w:rPr>
        <w:t>5.</w:t>
      </w:r>
      <w:r>
        <w:rPr>
          <w:rFonts w:hint="cs"/>
          <w:rtl/>
        </w:rPr>
        <w:tab/>
        <w:t xml:space="preserve">הממונה על עבודות השירות חיווה דעתו שהנאשם כשיר לבצע עבודות שירות ואף מצא לו כזו. והנאשם הביע את רצונו לשאת את מאסרו בעבודות שירות.  </w:t>
      </w:r>
    </w:p>
    <w:p w14:paraId="445836E1" w14:textId="77777777" w:rsidR="00D57CE6" w:rsidRDefault="00D57CE6" w:rsidP="00D57CE6">
      <w:pPr>
        <w:spacing w:line="360" w:lineRule="auto"/>
        <w:ind w:left="720" w:hanging="720"/>
        <w:jc w:val="both"/>
        <w:rPr>
          <w:rtl/>
        </w:rPr>
      </w:pPr>
    </w:p>
    <w:p w14:paraId="073E3BDF" w14:textId="77777777" w:rsidR="00D57CE6" w:rsidRDefault="00D57CE6" w:rsidP="00D57CE6">
      <w:pPr>
        <w:spacing w:line="360" w:lineRule="auto"/>
        <w:ind w:left="720" w:hanging="720"/>
        <w:jc w:val="both"/>
        <w:rPr>
          <w:rtl/>
          <w:lang w:eastAsia="he-IL"/>
        </w:rPr>
      </w:pPr>
      <w:r>
        <w:rPr>
          <w:rFonts w:hint="cs"/>
          <w:rtl/>
        </w:rPr>
        <w:t>6.</w:t>
      </w:r>
      <w:r>
        <w:rPr>
          <w:rFonts w:hint="cs"/>
          <w:rtl/>
        </w:rPr>
        <w:tab/>
        <w:t xml:space="preserve">הסכנות הכרוכות בהחזקת נשק על ידי מי שאינו מורשה ואינו מוכשר לכך, ובירי ממנו באיזור מגורים, ברורות מאליהן. ברגיל, העונש הראוי למעשים כאלה צריך לכלול תקופת מאסר משמעותית. אלא, שכבר בתחילת המשפט הסנגור טען לקשיים ראייתיים משמעותיים ועל פני הדברים טענותיו נשמעו מבוססות. על רקע טענות אלה המשטרה ביצעה השלמת חקירה ונראה שהממצאים החדשים לא הפריכו את טענות ההגנה ואולי אף חיזקו אותן. </w:t>
      </w:r>
    </w:p>
    <w:p w14:paraId="798B7D3A" w14:textId="77777777" w:rsidR="00D57CE6" w:rsidRDefault="00D57CE6" w:rsidP="00D57CE6">
      <w:pPr>
        <w:spacing w:line="360" w:lineRule="auto"/>
        <w:ind w:left="720" w:hanging="720"/>
        <w:jc w:val="both"/>
        <w:rPr>
          <w:rtl/>
          <w:lang w:eastAsia="he-IL"/>
        </w:rPr>
      </w:pPr>
    </w:p>
    <w:p w14:paraId="77500225" w14:textId="77777777" w:rsidR="00D57CE6" w:rsidRDefault="00D57CE6" w:rsidP="00D57CE6">
      <w:pPr>
        <w:spacing w:line="360" w:lineRule="auto"/>
        <w:ind w:left="720" w:hanging="720"/>
        <w:jc w:val="both"/>
        <w:rPr>
          <w:b/>
          <w:rtl/>
          <w:lang w:eastAsia="he-IL"/>
        </w:rPr>
      </w:pPr>
      <w:r>
        <w:rPr>
          <w:rFonts w:hint="cs"/>
          <w:rtl/>
        </w:rPr>
        <w:t>7.</w:t>
      </w:r>
      <w:r>
        <w:rPr>
          <w:rFonts w:hint="cs"/>
          <w:rtl/>
        </w:rPr>
        <w:tab/>
        <w:t xml:space="preserve">בהינתן המצב המתואר, החלטת המאשימה להסכים להסדר הטיעון, הכולל המלצה לעונש קל, מובנת וסבירה. </w:t>
      </w:r>
    </w:p>
    <w:p w14:paraId="536F2AD2" w14:textId="77777777" w:rsidR="00D57CE6" w:rsidRDefault="00D57CE6" w:rsidP="00D57CE6">
      <w:pPr>
        <w:spacing w:line="360" w:lineRule="auto"/>
        <w:ind w:left="720" w:hanging="720"/>
        <w:jc w:val="both"/>
        <w:rPr>
          <w:b/>
          <w:rtl/>
          <w:lang w:eastAsia="he-IL"/>
        </w:rPr>
      </w:pPr>
    </w:p>
    <w:p w14:paraId="6ACA8AFC" w14:textId="77777777" w:rsidR="00D57CE6" w:rsidRDefault="00D57CE6" w:rsidP="00D57CE6">
      <w:pPr>
        <w:spacing w:line="360" w:lineRule="auto"/>
        <w:ind w:left="720" w:hanging="720"/>
        <w:jc w:val="both"/>
        <w:rPr>
          <w:rFonts w:ascii="FrankRuehl" w:hAnsi="FrankRuehl"/>
          <w:color w:val="000000"/>
          <w:rtl/>
          <w:lang w:eastAsia="he-IL"/>
        </w:rPr>
      </w:pPr>
      <w:r>
        <w:rPr>
          <w:rFonts w:hint="cs"/>
          <w:b/>
          <w:rtl/>
          <w:lang w:eastAsia="he-IL"/>
        </w:rPr>
        <w:t>8.</w:t>
      </w:r>
      <w:r>
        <w:rPr>
          <w:rFonts w:hint="cs"/>
          <w:b/>
          <w:rtl/>
          <w:lang w:eastAsia="he-IL"/>
        </w:rPr>
        <w:tab/>
        <w:t xml:space="preserve">בסופו של דבר הנאשם הודה בעובדות כתב האישום המתוקן והורשע – דברים שלולא הסדר הטיעון לא ברור שהתביעה יכלה לקבל - והסכים בין היתר לשלם קנס משמעותי. </w:t>
      </w:r>
    </w:p>
    <w:p w14:paraId="7742D76F" w14:textId="77777777" w:rsidR="00D57CE6" w:rsidRDefault="00D57CE6" w:rsidP="00D57CE6">
      <w:pPr>
        <w:spacing w:line="360" w:lineRule="auto"/>
        <w:ind w:left="720" w:hanging="720"/>
        <w:jc w:val="both"/>
        <w:rPr>
          <w:rFonts w:ascii="FrankRuehl" w:hAnsi="FrankRuehl"/>
          <w:color w:val="000000"/>
          <w:rtl/>
          <w:lang w:eastAsia="he-IL"/>
        </w:rPr>
      </w:pPr>
    </w:p>
    <w:p w14:paraId="5A4FC11F" w14:textId="77777777" w:rsidR="00D57CE6" w:rsidRDefault="00D57CE6" w:rsidP="00D57CE6">
      <w:pPr>
        <w:spacing w:line="360" w:lineRule="auto"/>
        <w:jc w:val="both"/>
        <w:rPr>
          <w:rFonts w:ascii="FrankRuehl" w:hAnsi="FrankRuehl"/>
          <w:color w:val="000000"/>
          <w:rtl/>
          <w:lang w:eastAsia="he-IL"/>
        </w:rPr>
      </w:pPr>
      <w:r>
        <w:rPr>
          <w:rFonts w:ascii="FrankRuehl" w:hAnsi="FrankRuehl" w:hint="cs"/>
          <w:color w:val="000000"/>
          <w:rtl/>
          <w:lang w:eastAsia="he-IL"/>
        </w:rPr>
        <w:t>9.</w:t>
      </w:r>
      <w:r>
        <w:rPr>
          <w:rFonts w:ascii="FrankRuehl" w:hAnsi="FrankRuehl" w:hint="cs"/>
          <w:color w:val="000000"/>
          <w:rtl/>
          <w:lang w:eastAsia="he-IL"/>
        </w:rPr>
        <w:tab/>
        <w:t>נוכח האמור, אני מקבל את הסדר הטיעון ודן את הנאשם לעונשים הבאים:</w:t>
      </w:r>
    </w:p>
    <w:p w14:paraId="40B0AF95" w14:textId="77777777" w:rsidR="00D57CE6" w:rsidRDefault="00D57CE6" w:rsidP="00D57CE6">
      <w:pPr>
        <w:spacing w:line="360" w:lineRule="auto"/>
        <w:jc w:val="both"/>
        <w:rPr>
          <w:rFonts w:ascii="FrankRuehl" w:hAnsi="FrankRuehl"/>
          <w:color w:val="000000"/>
          <w:rtl/>
          <w:lang w:eastAsia="he-IL"/>
        </w:rPr>
      </w:pPr>
    </w:p>
    <w:p w14:paraId="554CC17E" w14:textId="77777777" w:rsidR="00D57CE6" w:rsidRDefault="00D57CE6" w:rsidP="00D57CE6">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א.</w:t>
      </w:r>
      <w:r>
        <w:rPr>
          <w:rFonts w:ascii="FrankRuehl" w:hAnsi="FrankRuehl" w:hint="cs"/>
          <w:color w:val="000000"/>
          <w:rtl/>
          <w:lang w:eastAsia="he-IL"/>
        </w:rPr>
        <w:tab/>
        <w:t xml:space="preserve">6 חודשי מאסר בפועל. </w:t>
      </w:r>
    </w:p>
    <w:p w14:paraId="7CA7DADB" w14:textId="77777777" w:rsidR="00D57CE6" w:rsidRDefault="00D57CE6" w:rsidP="00D57CE6">
      <w:pPr>
        <w:spacing w:line="360" w:lineRule="auto"/>
        <w:ind w:left="1440"/>
        <w:jc w:val="both"/>
        <w:rPr>
          <w:rFonts w:ascii="FrankRuehl" w:hAnsi="FrankRuehl"/>
          <w:color w:val="000000"/>
          <w:rtl/>
          <w:lang w:eastAsia="he-IL"/>
        </w:rPr>
      </w:pPr>
      <w:r>
        <w:rPr>
          <w:rFonts w:ascii="FrankRuehl" w:hAnsi="FrankRuehl" w:hint="cs"/>
          <w:color w:val="000000"/>
          <w:rtl/>
          <w:lang w:eastAsia="he-IL"/>
        </w:rPr>
        <w:t>הנאשם ישא את המאסר בעבודת שירות. על הנאשם להתייצב ביום 15.11.17 בשעה 08:00 במשרדי הממונה על עבודות השירות במפקדת מחוז דרום של שב"ס שליד כלא באר-שבע, לתחילת עבודת השירות.</w:t>
      </w:r>
    </w:p>
    <w:p w14:paraId="4E840CD4" w14:textId="77777777" w:rsidR="00D57CE6" w:rsidRDefault="00D57CE6" w:rsidP="00D57CE6">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 xml:space="preserve">ב. </w:t>
      </w:r>
      <w:r>
        <w:rPr>
          <w:rFonts w:ascii="FrankRuehl" w:hAnsi="FrankRuehl" w:hint="cs"/>
          <w:color w:val="000000"/>
          <w:rtl/>
          <w:lang w:eastAsia="he-IL"/>
        </w:rPr>
        <w:tab/>
        <w:t xml:space="preserve">12 חודשי מאסר על תנאי למשך 3 שנים מהיום, שלא יעבור עבירת נשק שהיא פשע. </w:t>
      </w:r>
    </w:p>
    <w:p w14:paraId="3AECF1DD" w14:textId="77777777" w:rsidR="00D57CE6" w:rsidRDefault="00D57CE6" w:rsidP="00D57CE6">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 xml:space="preserve">ג. </w:t>
      </w:r>
      <w:r>
        <w:rPr>
          <w:rFonts w:ascii="FrankRuehl" w:hAnsi="FrankRuehl" w:hint="cs"/>
          <w:color w:val="000000"/>
          <w:rtl/>
          <w:lang w:eastAsia="he-IL"/>
        </w:rPr>
        <w:tab/>
        <w:t xml:space="preserve">קנס בסך 50,000 ₪ או 5 חודשי מאסר תחתיו.  </w:t>
      </w:r>
      <w:r>
        <w:rPr>
          <w:rFonts w:hint="cs"/>
          <w:rtl/>
        </w:rPr>
        <w:t xml:space="preserve">כספי הפיקדון בסך 20,000 ₪ שהפקיד הנאשם בתיק מ"ת 18653-10-16 יועברו לטובת הקנס. </w:t>
      </w:r>
    </w:p>
    <w:p w14:paraId="2F0784C0" w14:textId="77777777" w:rsidR="00D57CE6" w:rsidRDefault="00D57CE6" w:rsidP="00D57CE6">
      <w:pPr>
        <w:spacing w:line="360" w:lineRule="auto"/>
        <w:ind w:left="1440" w:hanging="720"/>
        <w:jc w:val="both"/>
        <w:rPr>
          <w:rFonts w:ascii="FrankRuehl" w:hAnsi="FrankRuehl"/>
          <w:color w:val="000000"/>
          <w:rtl/>
          <w:lang w:eastAsia="he-IL"/>
        </w:rPr>
      </w:pPr>
    </w:p>
    <w:p w14:paraId="4E7C8EF1" w14:textId="77777777" w:rsidR="00D57CE6" w:rsidRDefault="00D57CE6" w:rsidP="00D57CE6">
      <w:pPr>
        <w:spacing w:line="360" w:lineRule="auto"/>
        <w:ind w:left="1440" w:hanging="720"/>
        <w:jc w:val="both"/>
        <w:rPr>
          <w:rFonts w:ascii="FrankRuehl" w:hAnsi="FrankRuehl"/>
          <w:color w:val="000000"/>
          <w:rtl/>
          <w:lang w:eastAsia="he-IL"/>
        </w:rPr>
      </w:pPr>
      <w:r>
        <w:rPr>
          <w:rFonts w:ascii="FrankRuehl" w:hAnsi="FrankRuehl" w:hint="cs"/>
          <w:color w:val="000000"/>
          <w:rtl/>
          <w:lang w:eastAsia="he-IL"/>
        </w:rPr>
        <w:t>זכות ערעור תוך 45 יום.</w:t>
      </w:r>
    </w:p>
    <w:p w14:paraId="1B84A18C" w14:textId="77777777" w:rsidR="00D57CE6" w:rsidRPr="004D0E53" w:rsidRDefault="004D0E53" w:rsidP="00D57CE6">
      <w:pPr>
        <w:spacing w:line="360" w:lineRule="auto"/>
        <w:jc w:val="both"/>
        <w:rPr>
          <w:rFonts w:ascii="David" w:eastAsia="David" w:hAnsi="David"/>
          <w:color w:val="FFFFFF"/>
          <w:sz w:val="2"/>
          <w:szCs w:val="2"/>
          <w:rtl/>
        </w:rPr>
      </w:pPr>
      <w:r w:rsidRPr="004D0E53">
        <w:rPr>
          <w:rFonts w:ascii="David" w:eastAsia="David" w:hAnsi="David"/>
          <w:color w:val="FFFFFF"/>
          <w:sz w:val="2"/>
          <w:szCs w:val="2"/>
          <w:rtl/>
        </w:rPr>
        <w:t>5129371</w:t>
      </w:r>
    </w:p>
    <w:p w14:paraId="4A364436" w14:textId="77777777" w:rsidR="00D57CE6" w:rsidRPr="004D0E53" w:rsidRDefault="004D0E53" w:rsidP="00D57CE6">
      <w:pPr>
        <w:spacing w:line="360" w:lineRule="auto"/>
        <w:jc w:val="both"/>
        <w:rPr>
          <w:rFonts w:ascii="Arial" w:hAnsi="Arial"/>
          <w:color w:val="FFFFFF"/>
          <w:sz w:val="2"/>
          <w:szCs w:val="2"/>
          <w:rtl/>
        </w:rPr>
      </w:pPr>
      <w:r w:rsidRPr="004D0E53">
        <w:rPr>
          <w:rFonts w:ascii="Arial" w:hAnsi="Arial"/>
          <w:color w:val="FFFFFF"/>
          <w:sz w:val="2"/>
          <w:szCs w:val="2"/>
          <w:rtl/>
        </w:rPr>
        <w:t>54678313</w:t>
      </w:r>
    </w:p>
    <w:p w14:paraId="1EE3A8FB" w14:textId="77777777" w:rsidR="00D57CE6" w:rsidRDefault="004D0E53" w:rsidP="00D57CE6">
      <w:pPr>
        <w:spacing w:line="360" w:lineRule="auto"/>
        <w:jc w:val="both"/>
      </w:pPr>
      <w:r>
        <w:rPr>
          <w:rFonts w:ascii="Arial" w:hAnsi="Arial"/>
          <w:rtl/>
        </w:rPr>
        <w:t xml:space="preserve">ניתן היום,  כ' אלול תשע"ז, 11 ספטמבר 2017, בהעדר הצדדים.    </w:t>
      </w:r>
      <w:r w:rsidR="00D57CE6">
        <w:rPr>
          <w:rFonts w:hint="cs"/>
          <w:rtl/>
        </w:rPr>
        <w:tab/>
      </w:r>
      <w:r w:rsidR="00D57CE6">
        <w:rPr>
          <w:rtl/>
        </w:rPr>
        <w:t xml:space="preserve">     </w:t>
      </w:r>
    </w:p>
    <w:p w14:paraId="1ED6651A" w14:textId="77777777" w:rsidR="00D57CE6" w:rsidRDefault="00D57CE6" w:rsidP="00D57CE6">
      <w:pPr>
        <w:spacing w:line="360" w:lineRule="auto"/>
        <w:jc w:val="both"/>
        <w:rPr>
          <w:rFonts w:ascii="Arial" w:hAnsi="Arial" w:cs="FrankRuehl"/>
          <w:sz w:val="28"/>
          <w:szCs w:val="28"/>
          <w:rtl/>
        </w:rPr>
      </w:pPr>
    </w:p>
    <w:p w14:paraId="21F1479A" w14:textId="77777777" w:rsidR="00D57CE6" w:rsidRDefault="00D57CE6" w:rsidP="00D57CE6">
      <w:pPr>
        <w:spacing w:line="360" w:lineRule="auto"/>
        <w:rPr>
          <w:rFonts w:cs="FrankRuehl"/>
          <w:sz w:val="28"/>
          <w:szCs w:val="28"/>
          <w:rtl/>
        </w:rPr>
      </w:pPr>
    </w:p>
    <w:p w14:paraId="4054986A" w14:textId="77777777" w:rsidR="00D57CE6" w:rsidRPr="000E46FC" w:rsidRDefault="000E46FC" w:rsidP="00D57CE6">
      <w:pPr>
        <w:pStyle w:val="a3"/>
        <w:spacing w:line="360" w:lineRule="auto"/>
        <w:jc w:val="center"/>
        <w:rPr>
          <w:color w:val="FFFFFF"/>
          <w:sz w:val="2"/>
          <w:szCs w:val="2"/>
          <w:rtl/>
        </w:rPr>
      </w:pPr>
      <w:r w:rsidRPr="000E46FC">
        <w:rPr>
          <w:color w:val="FFFFFF"/>
          <w:sz w:val="2"/>
          <w:szCs w:val="2"/>
          <w:rtl/>
        </w:rPr>
        <w:t>5129371</w:t>
      </w:r>
    </w:p>
    <w:p w14:paraId="08680090" w14:textId="77777777" w:rsidR="002D7B2F" w:rsidRPr="000E46FC" w:rsidRDefault="000E46FC" w:rsidP="004D0E53">
      <w:pPr>
        <w:keepNext/>
        <w:rPr>
          <w:rFonts w:ascii="David" w:hAnsi="David"/>
          <w:color w:val="FFFFFF"/>
          <w:sz w:val="2"/>
          <w:szCs w:val="2"/>
          <w:rtl/>
        </w:rPr>
      </w:pPr>
      <w:r w:rsidRPr="000E46FC">
        <w:rPr>
          <w:rFonts w:ascii="David" w:hAnsi="David"/>
          <w:color w:val="FFFFFF"/>
          <w:sz w:val="2"/>
          <w:szCs w:val="2"/>
          <w:rtl/>
        </w:rPr>
        <w:t>54678313</w:t>
      </w:r>
    </w:p>
    <w:p w14:paraId="18EA56ED" w14:textId="77777777" w:rsidR="004D0E53" w:rsidRPr="004D0E53" w:rsidRDefault="004D0E53" w:rsidP="004D0E53">
      <w:pPr>
        <w:keepNext/>
        <w:rPr>
          <w:rFonts w:ascii="David" w:hAnsi="David"/>
          <w:color w:val="000000"/>
          <w:sz w:val="22"/>
          <w:szCs w:val="22"/>
          <w:rtl/>
        </w:rPr>
      </w:pPr>
      <w:r w:rsidRPr="004D0E53">
        <w:rPr>
          <w:rFonts w:ascii="David" w:hAnsi="David"/>
          <w:color w:val="000000"/>
          <w:sz w:val="22"/>
          <w:szCs w:val="22"/>
          <w:rtl/>
        </w:rPr>
        <w:t>אליהו ביתן 54678313</w:t>
      </w:r>
    </w:p>
    <w:p w14:paraId="711587EE" w14:textId="77777777" w:rsidR="004D0E53" w:rsidRDefault="004D0E53" w:rsidP="004D0E53">
      <w:r w:rsidRPr="004D0E53">
        <w:rPr>
          <w:color w:val="000000"/>
          <w:rtl/>
        </w:rPr>
        <w:t>נוסח מסמך זה כפוף לשינויי ניסוח ועריכה</w:t>
      </w:r>
    </w:p>
    <w:p w14:paraId="620C9A63" w14:textId="77777777" w:rsidR="004D0E53" w:rsidRDefault="004D0E53" w:rsidP="004D0E53">
      <w:pPr>
        <w:rPr>
          <w:rtl/>
        </w:rPr>
      </w:pPr>
    </w:p>
    <w:p w14:paraId="188BBB95" w14:textId="77777777" w:rsidR="004D0E53" w:rsidRDefault="004D0E53" w:rsidP="004D0E53">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43A80105" w14:textId="77777777" w:rsidR="000E46FC" w:rsidRPr="000E46FC" w:rsidRDefault="000E46FC" w:rsidP="000E46FC">
      <w:pPr>
        <w:keepNext/>
        <w:rPr>
          <w:rFonts w:ascii="David" w:hAnsi="David"/>
          <w:color w:val="000000"/>
          <w:sz w:val="22"/>
          <w:szCs w:val="22"/>
          <w:rtl/>
        </w:rPr>
      </w:pPr>
    </w:p>
    <w:p w14:paraId="1F3BF802" w14:textId="77777777" w:rsidR="004D0E53" w:rsidRPr="004D0E53" w:rsidRDefault="004D0E53" w:rsidP="000E46FC">
      <w:pPr>
        <w:rPr>
          <w:color w:val="0000FF"/>
          <w:u w:val="single"/>
        </w:rPr>
      </w:pPr>
    </w:p>
    <w:sectPr w:rsidR="004D0E53" w:rsidRPr="004D0E53" w:rsidSect="000E46FC">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4216F" w14:textId="77777777" w:rsidR="002D560E" w:rsidRDefault="002D560E" w:rsidP="00317669">
      <w:r>
        <w:separator/>
      </w:r>
    </w:p>
  </w:endnote>
  <w:endnote w:type="continuationSeparator" w:id="0">
    <w:p w14:paraId="79CECC70" w14:textId="77777777" w:rsidR="002D560E" w:rsidRDefault="002D560E" w:rsidP="0031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B4E3" w14:textId="77777777" w:rsidR="002D560E" w:rsidRDefault="002D560E" w:rsidP="000E46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366659" w14:textId="77777777" w:rsidR="002D560E" w:rsidRPr="000E46FC" w:rsidRDefault="002D560E" w:rsidP="000E46FC">
    <w:pPr>
      <w:pStyle w:val="a5"/>
      <w:pBdr>
        <w:top w:val="single" w:sz="4" w:space="1" w:color="auto"/>
        <w:between w:val="single" w:sz="4" w:space="0" w:color="auto"/>
      </w:pBdr>
      <w:spacing w:after="60"/>
      <w:jc w:val="center"/>
      <w:rPr>
        <w:rFonts w:ascii="FrankRuehl" w:hAnsi="FrankRuehl" w:cs="FrankRuehl"/>
        <w:color w:val="000000"/>
      </w:rPr>
    </w:pPr>
    <w:r w:rsidRPr="000E46F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12786" w14:textId="77777777" w:rsidR="002D560E" w:rsidRDefault="002D560E" w:rsidP="000E46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2A90">
      <w:rPr>
        <w:rFonts w:ascii="FrankRuehl" w:hAnsi="FrankRuehl" w:cs="FrankRuehl"/>
        <w:noProof/>
        <w:rtl/>
      </w:rPr>
      <w:t>1</w:t>
    </w:r>
    <w:r>
      <w:rPr>
        <w:rFonts w:ascii="FrankRuehl" w:hAnsi="FrankRuehl" w:cs="FrankRuehl"/>
        <w:rtl/>
      </w:rPr>
      <w:fldChar w:fldCharType="end"/>
    </w:r>
  </w:p>
  <w:p w14:paraId="7CB628CD" w14:textId="77777777" w:rsidR="002D560E" w:rsidRPr="000E46FC" w:rsidRDefault="002D560E" w:rsidP="000E46FC">
    <w:pPr>
      <w:pStyle w:val="a5"/>
      <w:pBdr>
        <w:top w:val="single" w:sz="4" w:space="1" w:color="auto"/>
        <w:between w:val="single" w:sz="4" w:space="0" w:color="auto"/>
      </w:pBdr>
      <w:spacing w:after="60"/>
      <w:jc w:val="center"/>
      <w:rPr>
        <w:rFonts w:ascii="FrankRuehl" w:hAnsi="FrankRuehl" w:cs="FrankRuehl"/>
        <w:color w:val="000000"/>
      </w:rPr>
    </w:pPr>
    <w:r w:rsidRPr="000E46FC">
      <w:rPr>
        <w:rFonts w:ascii="FrankRuehl" w:hAnsi="FrankRuehl" w:cs="FrankRuehl"/>
        <w:color w:val="000000"/>
      </w:rPr>
      <w:pict w14:anchorId="5D63D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EB0D0" w14:textId="77777777" w:rsidR="002D560E" w:rsidRDefault="002D560E" w:rsidP="00317669">
      <w:r>
        <w:separator/>
      </w:r>
    </w:p>
  </w:footnote>
  <w:footnote w:type="continuationSeparator" w:id="0">
    <w:p w14:paraId="20D56A80" w14:textId="77777777" w:rsidR="002D560E" w:rsidRDefault="002D560E" w:rsidP="00317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C0FCC" w14:textId="77777777" w:rsidR="002D560E" w:rsidRPr="000E46FC" w:rsidRDefault="002D560E" w:rsidP="000E46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18579-10-16</w:t>
    </w:r>
    <w:r>
      <w:rPr>
        <w:rFonts w:ascii="David" w:hAnsi="David"/>
        <w:color w:val="000000"/>
        <w:sz w:val="22"/>
        <w:szCs w:val="22"/>
        <w:rtl/>
      </w:rPr>
      <w:tab/>
      <w:t xml:space="preserve"> מדינת ישראל נ' דיאב אבו עסא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1F2A" w14:textId="77777777" w:rsidR="002D560E" w:rsidRPr="000E46FC" w:rsidRDefault="002D560E" w:rsidP="000E46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18579-10-16</w:t>
    </w:r>
    <w:r>
      <w:rPr>
        <w:rFonts w:ascii="David" w:hAnsi="David"/>
        <w:color w:val="000000"/>
        <w:sz w:val="22"/>
        <w:szCs w:val="22"/>
        <w:rtl/>
      </w:rPr>
      <w:tab/>
      <w:t xml:space="preserve"> מדינת ישראל נ' דיאב אבו עסא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7CE6"/>
    <w:rsid w:val="00044B98"/>
    <w:rsid w:val="000E46FC"/>
    <w:rsid w:val="002D560E"/>
    <w:rsid w:val="002D7B2F"/>
    <w:rsid w:val="00317669"/>
    <w:rsid w:val="004D0E53"/>
    <w:rsid w:val="00684DCF"/>
    <w:rsid w:val="007F2A90"/>
    <w:rsid w:val="00A72984"/>
    <w:rsid w:val="00BA16A0"/>
    <w:rsid w:val="00CE3432"/>
    <w:rsid w:val="00D5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3C62382"/>
  <w15:chartTrackingRefBased/>
  <w15:docId w15:val="{75698CE7-3D50-455A-ADFD-03BE4415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7CE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7CE6"/>
    <w:pPr>
      <w:tabs>
        <w:tab w:val="center" w:pos="4153"/>
        <w:tab w:val="right" w:pos="8306"/>
      </w:tabs>
    </w:pPr>
  </w:style>
  <w:style w:type="character" w:customStyle="1" w:styleId="a4">
    <w:name w:val="כותרת עליונה תו"/>
    <w:link w:val="a3"/>
    <w:rsid w:val="00D57CE6"/>
    <w:rPr>
      <w:rFonts w:ascii="Times New Roman" w:eastAsia="Times New Roman" w:hAnsi="Times New Roman" w:cs="David"/>
      <w:sz w:val="24"/>
      <w:szCs w:val="24"/>
    </w:rPr>
  </w:style>
  <w:style w:type="paragraph" w:styleId="a5">
    <w:name w:val="footer"/>
    <w:basedOn w:val="a"/>
    <w:link w:val="a6"/>
    <w:rsid w:val="00D57CE6"/>
    <w:pPr>
      <w:tabs>
        <w:tab w:val="center" w:pos="4153"/>
        <w:tab w:val="right" w:pos="8306"/>
      </w:tabs>
    </w:pPr>
  </w:style>
  <w:style w:type="character" w:customStyle="1" w:styleId="a6">
    <w:name w:val="כותרת תחתונה תו"/>
    <w:link w:val="a5"/>
    <w:rsid w:val="00D57CE6"/>
    <w:rPr>
      <w:rFonts w:ascii="Times New Roman" w:eastAsia="Times New Roman" w:hAnsi="Times New Roman" w:cs="David"/>
      <w:sz w:val="24"/>
      <w:szCs w:val="24"/>
    </w:rPr>
  </w:style>
  <w:style w:type="table" w:styleId="a7">
    <w:name w:val="Table Grid"/>
    <w:basedOn w:val="a1"/>
    <w:rsid w:val="00D57CE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57CE6"/>
  </w:style>
  <w:style w:type="character" w:styleId="Hyperlink">
    <w:name w:val="Hyperlink"/>
    <w:rsid w:val="004D0E53"/>
    <w:rPr>
      <w:color w:val="0563C1"/>
      <w:u w:val="single"/>
    </w:rPr>
  </w:style>
  <w:style w:type="character" w:styleId="a9">
    <w:name w:val="Unresolved Mention"/>
    <w:rsid w:val="004D0E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0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144.a"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0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3073</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86</vt:i4>
      </vt:variant>
      <vt:variant>
        <vt:i4>9</vt:i4>
      </vt:variant>
      <vt:variant>
        <vt:i4>0</vt:i4>
      </vt:variant>
      <vt:variant>
        <vt:i4>5</vt:i4>
      </vt:variant>
      <vt:variant>
        <vt:lpwstr>http://www.nevo.co.il/law/70301/340a</vt:lpwstr>
      </vt:variant>
      <vt:variant>
        <vt:lpwstr/>
      </vt:variant>
      <vt:variant>
        <vt:i4>86</vt:i4>
      </vt:variant>
      <vt:variant>
        <vt:i4>6</vt:i4>
      </vt:variant>
      <vt:variant>
        <vt:i4>0</vt:i4>
      </vt:variant>
      <vt:variant>
        <vt:i4>5</vt:i4>
      </vt:variant>
      <vt:variant>
        <vt:lpwstr>http://www.nevo.co.il/law/70301/340a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2025-01-19T16:12:00Z</dcterms:created>
  <dcterms:modified xsi:type="dcterms:W3CDTF">2025-01-19T16:12:00Z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18579</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דיאב אבו עסא</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20170911</vt:lpwstr>
  </property>
  <property fmtid="{D5CDD505-2E9C-101B-9397-08002B2CF9AE}" pid="13" name="TYPE_N_DATE">
    <vt:lpwstr>39020170911</vt:lpwstr>
  </property>
  <property fmtid="{D5CDD505-2E9C-101B-9397-08002B2CF9AE}" pid="14" name="CASENOTES1">
    <vt:lpwstr>ProcID=80;213&amp;PartA=18653&amp;PartB=10&amp;PartC=16</vt:lpwstr>
  </property>
  <property fmtid="{D5CDD505-2E9C-101B-9397-08002B2CF9AE}" pid="15" name="WORDNUMPAGES">
    <vt:lpwstr>3</vt:lpwstr>
  </property>
  <property fmtid="{D5CDD505-2E9C-101B-9397-08002B2CF9AE}" pid="16" name="TYPE_ABS_DATE">
    <vt:lpwstr>390020170911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70301/340a;144.a</vt:lpwstr>
  </property>
</Properties>
</file>