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214A51" w:rsidRPr="00214A51" w14:paraId="462059BF" w14:textId="77777777" w:rsidTr="0050320B">
        <w:trPr>
          <w:trHeight w:hRule="exact" w:val="418"/>
          <w:jc w:val="center"/>
        </w:trPr>
        <w:tc>
          <w:tcPr>
            <w:tcW w:w="8721" w:type="dxa"/>
            <w:gridSpan w:val="2"/>
          </w:tcPr>
          <w:p w14:paraId="770CEE56" w14:textId="77777777" w:rsidR="00214A51" w:rsidRPr="00214A51" w:rsidRDefault="00214A51" w:rsidP="00B97EC3">
            <w:pPr>
              <w:pStyle w:val="a3"/>
              <w:jc w:val="center"/>
              <w:rPr>
                <w:rFonts w:ascii="Tahoma" w:hAnsi="Tahoma" w:cs="Tahoma"/>
                <w:color w:val="000080"/>
                <w:rtl/>
              </w:rPr>
            </w:pPr>
            <w:r w:rsidRPr="00214A51">
              <w:rPr>
                <w:rFonts w:ascii="Tahoma" w:hAnsi="Tahoma" w:cs="Tahoma"/>
                <w:b/>
                <w:bCs/>
                <w:color w:val="000080"/>
                <w:rtl/>
              </w:rPr>
              <w:t>בית המשפט המחוזי בחיפה</w:t>
            </w:r>
          </w:p>
        </w:tc>
      </w:tr>
      <w:tr w:rsidR="00214A51" w:rsidRPr="00214A51" w14:paraId="19C9E086" w14:textId="77777777" w:rsidTr="0050320B">
        <w:trPr>
          <w:trHeight w:val="337"/>
          <w:jc w:val="center"/>
        </w:trPr>
        <w:tc>
          <w:tcPr>
            <w:tcW w:w="5061" w:type="dxa"/>
          </w:tcPr>
          <w:p w14:paraId="621FBBA4" w14:textId="77777777" w:rsidR="00214A51" w:rsidRPr="00214A51" w:rsidRDefault="00214A51" w:rsidP="00B97EC3">
            <w:pPr>
              <w:rPr>
                <w:rFonts w:cs="FrankRuehl"/>
                <w:sz w:val="28"/>
                <w:szCs w:val="28"/>
                <w:rtl/>
              </w:rPr>
            </w:pPr>
            <w:r w:rsidRPr="00214A51">
              <w:rPr>
                <w:b/>
                <w:bCs/>
                <w:sz w:val="26"/>
                <w:szCs w:val="26"/>
                <w:rtl/>
              </w:rPr>
              <w:t>תפ"ח</w:t>
            </w:r>
            <w:r w:rsidRPr="00214A51">
              <w:rPr>
                <w:rFonts w:cs="FrankRuehl"/>
                <w:sz w:val="28"/>
                <w:szCs w:val="28"/>
                <w:rtl/>
              </w:rPr>
              <w:t xml:space="preserve"> </w:t>
            </w:r>
            <w:r w:rsidRPr="00214A51">
              <w:rPr>
                <w:b/>
                <w:bCs/>
                <w:sz w:val="26"/>
                <w:szCs w:val="26"/>
                <w:rtl/>
              </w:rPr>
              <w:t>26175-10-16</w:t>
            </w:r>
            <w:r w:rsidRPr="00214A51">
              <w:rPr>
                <w:rFonts w:cs="FrankRuehl"/>
                <w:sz w:val="28"/>
                <w:szCs w:val="28"/>
                <w:rtl/>
              </w:rPr>
              <w:t xml:space="preserve"> </w:t>
            </w:r>
            <w:r w:rsidRPr="00214A51">
              <w:rPr>
                <w:b/>
                <w:bCs/>
                <w:sz w:val="26"/>
                <w:szCs w:val="26"/>
                <w:rtl/>
              </w:rPr>
              <w:t>מדינת ישראל נ' מחאג'נה(עציר)</w:t>
            </w:r>
          </w:p>
          <w:p w14:paraId="766E78D0" w14:textId="77777777" w:rsidR="00214A51" w:rsidRPr="00214A51" w:rsidRDefault="00214A51" w:rsidP="00B97EC3">
            <w:pPr>
              <w:pStyle w:val="a3"/>
              <w:rPr>
                <w:rFonts w:cs="FrankRuehl"/>
                <w:sz w:val="28"/>
                <w:szCs w:val="28"/>
                <w:rtl/>
              </w:rPr>
            </w:pPr>
          </w:p>
        </w:tc>
        <w:tc>
          <w:tcPr>
            <w:tcW w:w="3660" w:type="dxa"/>
          </w:tcPr>
          <w:p w14:paraId="071DB588" w14:textId="77777777" w:rsidR="00214A51" w:rsidRPr="00214A51" w:rsidRDefault="00214A51" w:rsidP="00B97EC3">
            <w:pPr>
              <w:pStyle w:val="a3"/>
              <w:jc w:val="right"/>
              <w:rPr>
                <w:rFonts w:cs="FrankRuehl"/>
                <w:sz w:val="28"/>
                <w:szCs w:val="28"/>
                <w:rtl/>
              </w:rPr>
            </w:pPr>
          </w:p>
        </w:tc>
      </w:tr>
    </w:tbl>
    <w:p w14:paraId="70B73E68" w14:textId="77777777" w:rsidR="006B21F2" w:rsidRPr="00214A51" w:rsidRDefault="00214A51" w:rsidP="00F1623D">
      <w:pPr>
        <w:pStyle w:val="a3"/>
        <w:rPr>
          <w:rFonts w:ascii="Arial" w:hAnsi="Arial"/>
          <w:rtl/>
        </w:rPr>
      </w:pPr>
      <w:r w:rsidRPr="00214A51">
        <w:rPr>
          <w:rtl/>
        </w:rPr>
        <w:t xml:space="preserve"> </w:t>
      </w:r>
    </w:p>
    <w:tbl>
      <w:tblPr>
        <w:bidiVisual/>
        <w:tblW w:w="8802" w:type="dxa"/>
        <w:tblInd w:w="-28" w:type="dxa"/>
        <w:tblLook w:val="01E0" w:firstRow="1" w:lastRow="1" w:firstColumn="1" w:lastColumn="1" w:noHBand="0" w:noVBand="0"/>
      </w:tblPr>
      <w:tblGrid>
        <w:gridCol w:w="2880"/>
        <w:gridCol w:w="5838"/>
        <w:gridCol w:w="84"/>
      </w:tblGrid>
      <w:tr w:rsidR="00214A51" w:rsidRPr="00F1623D" w14:paraId="2D897187" w14:textId="77777777" w:rsidTr="00B97EC3">
        <w:trPr>
          <w:gridAfter w:val="1"/>
          <w:wAfter w:w="56" w:type="dxa"/>
        </w:trPr>
        <w:tc>
          <w:tcPr>
            <w:tcW w:w="8718" w:type="dxa"/>
            <w:gridSpan w:val="2"/>
          </w:tcPr>
          <w:p w14:paraId="40E211CB" w14:textId="77777777" w:rsidR="00214A51" w:rsidRPr="00F1623D" w:rsidRDefault="00214A51" w:rsidP="00B97EC3">
            <w:pPr>
              <w:rPr>
                <w:b/>
                <w:bCs/>
                <w:sz w:val="26"/>
                <w:szCs w:val="26"/>
                <w:rtl/>
              </w:rPr>
            </w:pPr>
            <w:bookmarkStart w:id="0" w:name="_GoBack"/>
            <w:bookmarkEnd w:id="0"/>
            <w:r w:rsidRPr="00F1623D">
              <w:rPr>
                <w:b/>
                <w:bCs/>
                <w:sz w:val="26"/>
                <w:szCs w:val="26"/>
                <w:rtl/>
              </w:rPr>
              <w:t>לפני הרכב כבוד השופטים:</w:t>
            </w:r>
          </w:p>
          <w:p w14:paraId="3BD175E2" w14:textId="77777777" w:rsidR="00214A51" w:rsidRPr="00F1623D" w:rsidRDefault="00214A51" w:rsidP="00B97EC3">
            <w:pPr>
              <w:rPr>
                <w:b/>
                <w:bCs/>
                <w:sz w:val="26"/>
                <w:szCs w:val="26"/>
                <w:rtl/>
              </w:rPr>
            </w:pPr>
            <w:r w:rsidRPr="00F1623D">
              <w:rPr>
                <w:b/>
                <w:bCs/>
                <w:sz w:val="26"/>
                <w:szCs w:val="26"/>
                <w:rtl/>
              </w:rPr>
              <w:t>רון שפירא, נשיא [אב"ד]</w:t>
            </w:r>
          </w:p>
          <w:p w14:paraId="6DA43079" w14:textId="77777777" w:rsidR="00214A51" w:rsidRPr="00F1623D" w:rsidRDefault="00214A51" w:rsidP="00B97EC3">
            <w:pPr>
              <w:rPr>
                <w:b/>
                <w:bCs/>
                <w:sz w:val="26"/>
                <w:szCs w:val="26"/>
                <w:rtl/>
              </w:rPr>
            </w:pPr>
            <w:r w:rsidRPr="00F1623D">
              <w:rPr>
                <w:b/>
                <w:bCs/>
                <w:sz w:val="26"/>
                <w:szCs w:val="26"/>
                <w:rtl/>
              </w:rPr>
              <w:t>אברהם אליקים, סגן נשיא</w:t>
            </w:r>
          </w:p>
          <w:p w14:paraId="4EE475D6" w14:textId="77777777" w:rsidR="00214A51" w:rsidRPr="00F1623D" w:rsidRDefault="00214A51" w:rsidP="00B97EC3">
            <w:pPr>
              <w:rPr>
                <w:b/>
                <w:bCs/>
                <w:sz w:val="26"/>
                <w:szCs w:val="26"/>
                <w:rtl/>
              </w:rPr>
            </w:pPr>
            <w:r w:rsidRPr="00F1623D">
              <w:rPr>
                <w:b/>
                <w:bCs/>
                <w:sz w:val="26"/>
                <w:szCs w:val="26"/>
                <w:rtl/>
              </w:rPr>
              <w:t>תמר נאות פרי</w:t>
            </w:r>
            <w:r w:rsidRPr="00F1623D">
              <w:rPr>
                <w:rStyle w:val="TimesNewRomanTimesNewRoman"/>
                <w:b w:val="0"/>
                <w:bCs w:val="0"/>
                <w:rtl/>
              </w:rPr>
              <w:t xml:space="preserve"> </w:t>
            </w:r>
          </w:p>
        </w:tc>
      </w:tr>
      <w:tr w:rsidR="00214A51" w:rsidRPr="00214A51" w14:paraId="273D1CDD" w14:textId="77777777" w:rsidTr="00B97EC3">
        <w:trPr>
          <w:cantSplit/>
          <w:trHeight w:val="724"/>
        </w:trPr>
        <w:tc>
          <w:tcPr>
            <w:tcW w:w="2880" w:type="dxa"/>
          </w:tcPr>
          <w:p w14:paraId="0CD51945" w14:textId="77777777" w:rsidR="00214A51" w:rsidRPr="00F1623D" w:rsidRDefault="00214A51" w:rsidP="00B97EC3">
            <w:pPr>
              <w:ind w:left="26"/>
              <w:rPr>
                <w:b/>
                <w:bCs/>
                <w:sz w:val="26"/>
                <w:szCs w:val="26"/>
                <w:rtl/>
              </w:rPr>
            </w:pPr>
            <w:bookmarkStart w:id="1" w:name="FirstAppellant"/>
            <w:bookmarkStart w:id="2" w:name="LastJudge"/>
            <w:bookmarkEnd w:id="2"/>
          </w:p>
          <w:p w14:paraId="66371BA5" w14:textId="77777777" w:rsidR="00214A51" w:rsidRPr="00F1623D" w:rsidRDefault="00214A51" w:rsidP="00B97EC3">
            <w:pPr>
              <w:ind w:left="26"/>
              <w:rPr>
                <w:b/>
                <w:bCs/>
                <w:sz w:val="26"/>
                <w:szCs w:val="26"/>
                <w:rtl/>
              </w:rPr>
            </w:pPr>
            <w:r w:rsidRPr="00F1623D">
              <w:rPr>
                <w:b/>
                <w:bCs/>
                <w:sz w:val="26"/>
                <w:szCs w:val="26"/>
                <w:rtl/>
              </w:rPr>
              <w:t>המאשימה</w:t>
            </w:r>
          </w:p>
        </w:tc>
        <w:tc>
          <w:tcPr>
            <w:tcW w:w="5922" w:type="dxa"/>
            <w:gridSpan w:val="2"/>
          </w:tcPr>
          <w:p w14:paraId="6B2C6FE4" w14:textId="77777777" w:rsidR="00214A51" w:rsidRPr="00F1623D" w:rsidRDefault="00214A51" w:rsidP="00B97EC3">
            <w:pPr>
              <w:rPr>
                <w:b/>
                <w:bCs/>
                <w:rtl/>
              </w:rPr>
            </w:pPr>
          </w:p>
          <w:p w14:paraId="22CD6DB3" w14:textId="77777777" w:rsidR="00214A51" w:rsidRPr="00F1623D" w:rsidRDefault="00214A51" w:rsidP="00B97EC3">
            <w:pPr>
              <w:rPr>
                <w:b/>
                <w:bCs/>
                <w:sz w:val="26"/>
                <w:szCs w:val="26"/>
                <w:rtl/>
              </w:rPr>
            </w:pPr>
            <w:r w:rsidRPr="00F1623D">
              <w:rPr>
                <w:b/>
                <w:bCs/>
                <w:rtl/>
              </w:rPr>
              <w:t xml:space="preserve"> </w:t>
            </w:r>
            <w:r w:rsidRPr="00F1623D">
              <w:rPr>
                <w:b/>
                <w:bCs/>
                <w:sz w:val="26"/>
                <w:szCs w:val="26"/>
                <w:rtl/>
              </w:rPr>
              <w:t>מדינת ישראל</w:t>
            </w:r>
          </w:p>
          <w:p w14:paraId="3DF626D9" w14:textId="77777777" w:rsidR="00214A51" w:rsidRPr="00F1623D" w:rsidRDefault="00214A51" w:rsidP="00B97EC3">
            <w:pPr>
              <w:rPr>
                <w:b/>
                <w:bCs/>
                <w:sz w:val="26"/>
                <w:szCs w:val="26"/>
                <w:rtl/>
              </w:rPr>
            </w:pPr>
          </w:p>
        </w:tc>
      </w:tr>
      <w:bookmarkEnd w:id="1"/>
      <w:tr w:rsidR="00214A51" w:rsidRPr="00214A51" w14:paraId="5B333800" w14:textId="77777777" w:rsidTr="00B97EC3">
        <w:tc>
          <w:tcPr>
            <w:tcW w:w="8802" w:type="dxa"/>
            <w:gridSpan w:val="3"/>
            <w:vAlign w:val="center"/>
          </w:tcPr>
          <w:p w14:paraId="6E890F71" w14:textId="77777777" w:rsidR="00214A51" w:rsidRPr="00F1623D" w:rsidRDefault="00214A51" w:rsidP="00B97EC3">
            <w:pPr>
              <w:jc w:val="center"/>
              <w:rPr>
                <w:rFonts w:ascii="Arial" w:hAnsi="Arial"/>
                <w:b/>
                <w:bCs/>
                <w:sz w:val="26"/>
                <w:szCs w:val="26"/>
                <w:rtl/>
              </w:rPr>
            </w:pPr>
          </w:p>
          <w:p w14:paraId="1B2254FE" w14:textId="77777777" w:rsidR="00214A51" w:rsidRPr="00F1623D" w:rsidRDefault="00214A51" w:rsidP="00B97EC3">
            <w:pPr>
              <w:jc w:val="center"/>
              <w:rPr>
                <w:rFonts w:ascii="Arial" w:hAnsi="Arial"/>
                <w:b/>
                <w:bCs/>
                <w:sz w:val="26"/>
                <w:szCs w:val="26"/>
                <w:rtl/>
              </w:rPr>
            </w:pPr>
            <w:r w:rsidRPr="00F1623D">
              <w:rPr>
                <w:rFonts w:ascii="Arial" w:hAnsi="Arial"/>
                <w:b/>
                <w:bCs/>
                <w:sz w:val="26"/>
                <w:szCs w:val="26"/>
                <w:rtl/>
              </w:rPr>
              <w:t>נגד</w:t>
            </w:r>
          </w:p>
          <w:p w14:paraId="0F236054" w14:textId="77777777" w:rsidR="00214A51" w:rsidRPr="00F1623D" w:rsidRDefault="00214A51" w:rsidP="00B97EC3">
            <w:pPr>
              <w:jc w:val="right"/>
              <w:rPr>
                <w:rFonts w:ascii="Arial" w:hAnsi="Arial"/>
                <w:b/>
                <w:bCs/>
                <w:sz w:val="26"/>
                <w:szCs w:val="26"/>
                <w:rtl/>
              </w:rPr>
            </w:pPr>
          </w:p>
        </w:tc>
      </w:tr>
      <w:tr w:rsidR="00214A51" w:rsidRPr="00214A51" w14:paraId="113C1B12" w14:textId="77777777" w:rsidTr="00B97EC3">
        <w:tc>
          <w:tcPr>
            <w:tcW w:w="2880" w:type="dxa"/>
          </w:tcPr>
          <w:p w14:paraId="56F84EC3" w14:textId="77777777" w:rsidR="00214A51" w:rsidRPr="00F1623D" w:rsidRDefault="00214A51" w:rsidP="00F1623D">
            <w:pPr>
              <w:spacing w:before="120" w:after="120" w:line="240" w:lineRule="exact"/>
              <w:ind w:left="26"/>
              <w:rPr>
                <w:b/>
                <w:bCs/>
                <w:sz w:val="26"/>
                <w:szCs w:val="26"/>
                <w:rtl/>
              </w:rPr>
            </w:pPr>
            <w:bookmarkStart w:id="3" w:name="FirstLawyer"/>
            <w:r w:rsidRPr="00F1623D">
              <w:rPr>
                <w:b/>
                <w:bCs/>
                <w:sz w:val="26"/>
                <w:szCs w:val="26"/>
                <w:rtl/>
              </w:rPr>
              <w:t>הנאשם</w:t>
            </w:r>
          </w:p>
        </w:tc>
        <w:tc>
          <w:tcPr>
            <w:tcW w:w="5922" w:type="dxa"/>
            <w:gridSpan w:val="2"/>
          </w:tcPr>
          <w:p w14:paraId="0EF264DC" w14:textId="77777777" w:rsidR="00214A51" w:rsidRPr="00F1623D" w:rsidRDefault="00214A51" w:rsidP="00F1623D">
            <w:pPr>
              <w:spacing w:before="120" w:after="120" w:line="240" w:lineRule="exact"/>
              <w:rPr>
                <w:b/>
                <w:bCs/>
                <w:sz w:val="26"/>
                <w:szCs w:val="26"/>
                <w:rtl/>
              </w:rPr>
            </w:pPr>
            <w:r w:rsidRPr="00F1623D">
              <w:rPr>
                <w:b/>
                <w:bCs/>
                <w:rtl/>
              </w:rPr>
              <w:t xml:space="preserve"> </w:t>
            </w:r>
            <w:r w:rsidRPr="00F1623D">
              <w:rPr>
                <w:b/>
                <w:bCs/>
                <w:sz w:val="26"/>
                <w:szCs w:val="26"/>
                <w:rtl/>
              </w:rPr>
              <w:t>מחמוד מחאג'נה (עציר)</w:t>
            </w:r>
            <w:r w:rsidRPr="00F1623D">
              <w:rPr>
                <w:b/>
                <w:bCs/>
                <w:rtl/>
              </w:rPr>
              <w:t xml:space="preserve"> </w:t>
            </w:r>
            <w:r w:rsidRPr="00F1623D">
              <w:rPr>
                <w:b/>
                <w:bCs/>
                <w:sz w:val="26"/>
                <w:szCs w:val="26"/>
                <w:rtl/>
              </w:rPr>
              <w:t xml:space="preserve">ת.ז.  </w:t>
            </w:r>
            <w:r w:rsidRPr="00F1623D">
              <w:rPr>
                <w:b/>
                <w:bCs/>
                <w:sz w:val="26"/>
                <w:szCs w:val="26"/>
              </w:rPr>
              <w:t>xxxxxxxxxx</w:t>
            </w:r>
          </w:p>
          <w:p w14:paraId="0414137B" w14:textId="77777777" w:rsidR="00214A51" w:rsidRPr="00F1623D" w:rsidRDefault="00214A51" w:rsidP="00F1623D">
            <w:pPr>
              <w:spacing w:before="120" w:after="120" w:line="240" w:lineRule="exact"/>
              <w:rPr>
                <w:rFonts w:hint="cs"/>
                <w:b/>
                <w:bCs/>
                <w:sz w:val="26"/>
                <w:szCs w:val="26"/>
                <w:rtl/>
              </w:rPr>
            </w:pPr>
            <w:r w:rsidRPr="00F1623D">
              <w:rPr>
                <w:b/>
                <w:bCs/>
                <w:sz w:val="26"/>
                <w:szCs w:val="26"/>
                <w:rtl/>
              </w:rPr>
              <w:t>ע"י ב"כ עו"ד אביגדור פלדמן</w:t>
            </w:r>
          </w:p>
        </w:tc>
      </w:tr>
    </w:tbl>
    <w:p w14:paraId="49E73CA8" w14:textId="77777777" w:rsidR="0050320B" w:rsidRDefault="0050320B" w:rsidP="00301139">
      <w:pPr>
        <w:spacing w:line="360" w:lineRule="auto"/>
        <w:jc w:val="both"/>
        <w:rPr>
          <w:rFonts w:ascii="Arial" w:hAnsi="Arial"/>
          <w:rtl/>
        </w:rPr>
      </w:pPr>
      <w:bookmarkStart w:id="4" w:name="LawTable"/>
      <w:bookmarkEnd w:id="3"/>
      <w:bookmarkEnd w:id="4"/>
    </w:p>
    <w:p w14:paraId="470EDEEF" w14:textId="77777777" w:rsidR="0050320B" w:rsidRPr="0050320B" w:rsidRDefault="0050320B" w:rsidP="0050320B">
      <w:pPr>
        <w:spacing w:after="120" w:line="240" w:lineRule="exact"/>
        <w:ind w:left="283" w:hanging="283"/>
        <w:jc w:val="both"/>
        <w:rPr>
          <w:rFonts w:ascii="FrankRuehl" w:hAnsi="FrankRuehl" w:cs="FrankRuehl"/>
          <w:rtl/>
        </w:rPr>
      </w:pPr>
      <w:r w:rsidRPr="0050320B">
        <w:rPr>
          <w:rFonts w:ascii="FrankRuehl" w:hAnsi="FrankRuehl" w:cs="FrankRuehl"/>
          <w:rtl/>
        </w:rPr>
        <w:t xml:space="preserve">חקיקה שאוזכרה: </w:t>
      </w:r>
    </w:p>
    <w:p w14:paraId="208B51DD" w14:textId="77777777" w:rsidR="0050320B" w:rsidRPr="0050320B" w:rsidRDefault="0050320B" w:rsidP="0050320B">
      <w:pPr>
        <w:spacing w:after="120" w:line="240" w:lineRule="exact"/>
        <w:ind w:left="283" w:hanging="283"/>
        <w:jc w:val="both"/>
        <w:rPr>
          <w:rFonts w:ascii="FrankRuehl" w:hAnsi="FrankRuehl" w:cs="FrankRuehl"/>
          <w:rtl/>
        </w:rPr>
      </w:pPr>
      <w:hyperlink r:id="rId8" w:history="1">
        <w:r w:rsidRPr="0050320B">
          <w:rPr>
            <w:rFonts w:ascii="FrankRuehl" w:hAnsi="FrankRuehl" w:cs="FrankRuehl"/>
            <w:color w:val="0000FF"/>
            <w:u w:val="single"/>
            <w:rtl/>
          </w:rPr>
          <w:t>חוק העונשין, תשל"ז-1977</w:t>
        </w:r>
      </w:hyperlink>
      <w:r w:rsidRPr="0050320B">
        <w:rPr>
          <w:rFonts w:ascii="FrankRuehl" w:hAnsi="FrankRuehl" w:cs="FrankRuehl"/>
          <w:rtl/>
        </w:rPr>
        <w:t xml:space="preserve">: סע'  </w:t>
      </w:r>
      <w:hyperlink r:id="rId9" w:history="1">
        <w:r w:rsidRPr="0050320B">
          <w:rPr>
            <w:rFonts w:ascii="FrankRuehl" w:hAnsi="FrankRuehl" w:cs="FrankRuehl"/>
            <w:color w:val="0000FF"/>
            <w:u w:val="single"/>
            <w:rtl/>
          </w:rPr>
          <w:t>77</w:t>
        </w:r>
      </w:hyperlink>
      <w:r w:rsidRPr="0050320B">
        <w:rPr>
          <w:rFonts w:ascii="FrankRuehl" w:hAnsi="FrankRuehl" w:cs="FrankRuehl"/>
          <w:rtl/>
        </w:rPr>
        <w:t xml:space="preserve">, </w:t>
      </w:r>
      <w:hyperlink r:id="rId10" w:history="1">
        <w:r w:rsidRPr="0050320B">
          <w:rPr>
            <w:rFonts w:ascii="FrankRuehl" w:hAnsi="FrankRuehl" w:cs="FrankRuehl"/>
            <w:color w:val="0000FF"/>
            <w:u w:val="single"/>
            <w:rtl/>
          </w:rPr>
          <w:t>77 (א)</w:t>
        </w:r>
      </w:hyperlink>
      <w:r w:rsidRPr="0050320B">
        <w:rPr>
          <w:rFonts w:ascii="FrankRuehl" w:hAnsi="FrankRuehl" w:cs="FrankRuehl"/>
          <w:rtl/>
        </w:rPr>
        <w:t xml:space="preserve">, </w:t>
      </w:r>
      <w:hyperlink r:id="rId11" w:history="1">
        <w:r w:rsidRPr="0050320B">
          <w:rPr>
            <w:rFonts w:ascii="FrankRuehl" w:hAnsi="FrankRuehl" w:cs="FrankRuehl"/>
            <w:color w:val="0000FF"/>
            <w:u w:val="single"/>
            <w:rtl/>
          </w:rPr>
          <w:t>144(א)</w:t>
        </w:r>
      </w:hyperlink>
      <w:r w:rsidRPr="0050320B">
        <w:rPr>
          <w:rFonts w:ascii="FrankRuehl" w:hAnsi="FrankRuehl" w:cs="FrankRuehl"/>
          <w:rtl/>
        </w:rPr>
        <w:t xml:space="preserve">, </w:t>
      </w:r>
      <w:hyperlink r:id="rId12" w:history="1">
        <w:r w:rsidRPr="0050320B">
          <w:rPr>
            <w:rFonts w:ascii="FrankRuehl" w:hAnsi="FrankRuehl" w:cs="FrankRuehl"/>
            <w:color w:val="0000FF"/>
            <w:u w:val="single"/>
            <w:rtl/>
          </w:rPr>
          <w:t>144(ב)</w:t>
        </w:r>
      </w:hyperlink>
      <w:r w:rsidRPr="0050320B">
        <w:rPr>
          <w:rFonts w:ascii="FrankRuehl" w:hAnsi="FrankRuehl" w:cs="FrankRuehl"/>
          <w:rtl/>
        </w:rPr>
        <w:t xml:space="preserve">, </w:t>
      </w:r>
      <w:hyperlink r:id="rId13" w:history="1">
        <w:r w:rsidRPr="0050320B">
          <w:rPr>
            <w:rFonts w:ascii="FrankRuehl" w:hAnsi="FrankRuehl" w:cs="FrankRuehl"/>
            <w:color w:val="0000FF"/>
            <w:u w:val="single"/>
            <w:rtl/>
          </w:rPr>
          <w:t>300(א)(2)</w:t>
        </w:r>
      </w:hyperlink>
      <w:r w:rsidRPr="0050320B">
        <w:rPr>
          <w:rFonts w:ascii="FrankRuehl" w:hAnsi="FrankRuehl" w:cs="FrankRuehl"/>
          <w:rtl/>
        </w:rPr>
        <w:t xml:space="preserve">, </w:t>
      </w:r>
      <w:hyperlink r:id="rId14" w:history="1">
        <w:r w:rsidRPr="0050320B">
          <w:rPr>
            <w:rFonts w:ascii="FrankRuehl" w:hAnsi="FrankRuehl" w:cs="FrankRuehl"/>
            <w:color w:val="0000FF"/>
            <w:u w:val="single"/>
            <w:rtl/>
          </w:rPr>
          <w:t>334</w:t>
        </w:r>
      </w:hyperlink>
      <w:r w:rsidRPr="0050320B">
        <w:rPr>
          <w:rFonts w:ascii="FrankRuehl" w:hAnsi="FrankRuehl" w:cs="FrankRuehl"/>
          <w:rtl/>
        </w:rPr>
        <w:t xml:space="preserve">, </w:t>
      </w:r>
      <w:hyperlink r:id="rId15" w:history="1">
        <w:r w:rsidRPr="0050320B">
          <w:rPr>
            <w:rFonts w:ascii="FrankRuehl" w:hAnsi="FrankRuehl" w:cs="FrankRuehl"/>
            <w:color w:val="0000FF"/>
            <w:u w:val="single"/>
            <w:rtl/>
          </w:rPr>
          <w:t>335 (א)(1)</w:t>
        </w:r>
      </w:hyperlink>
    </w:p>
    <w:p w14:paraId="1BD0595D" w14:textId="77777777" w:rsidR="0050320B" w:rsidRPr="0050320B" w:rsidRDefault="0050320B" w:rsidP="0050320B">
      <w:pPr>
        <w:spacing w:after="120" w:line="240" w:lineRule="exact"/>
        <w:ind w:left="283" w:hanging="283"/>
        <w:jc w:val="both"/>
        <w:rPr>
          <w:rFonts w:ascii="FrankRuehl" w:hAnsi="FrankRuehl" w:cs="FrankRuehl"/>
          <w:rtl/>
        </w:rPr>
      </w:pPr>
      <w:hyperlink r:id="rId16" w:history="1">
        <w:r w:rsidRPr="0050320B">
          <w:rPr>
            <w:rFonts w:ascii="FrankRuehl" w:hAnsi="FrankRuehl" w:cs="FrankRuehl"/>
            <w:color w:val="0000FF"/>
            <w:u w:val="single"/>
            <w:rtl/>
          </w:rPr>
          <w:t>חוק סדר הדין הפלילי [נוסח משולב], תשמ"ב-1982</w:t>
        </w:r>
      </w:hyperlink>
      <w:r w:rsidRPr="0050320B">
        <w:rPr>
          <w:rFonts w:ascii="FrankRuehl" w:hAnsi="FrankRuehl" w:cs="FrankRuehl"/>
          <w:rtl/>
        </w:rPr>
        <w:t xml:space="preserve">: סע'  </w:t>
      </w:r>
      <w:hyperlink r:id="rId17" w:history="1">
        <w:r w:rsidRPr="0050320B">
          <w:rPr>
            <w:rFonts w:ascii="FrankRuehl" w:hAnsi="FrankRuehl" w:cs="FrankRuehl"/>
            <w:color w:val="0000FF"/>
            <w:u w:val="single"/>
            <w:rtl/>
          </w:rPr>
          <w:t>186</w:t>
        </w:r>
      </w:hyperlink>
    </w:p>
    <w:p w14:paraId="2301029A" w14:textId="77777777" w:rsidR="0050320B" w:rsidRPr="0050320B" w:rsidRDefault="0050320B" w:rsidP="0050320B">
      <w:pPr>
        <w:spacing w:after="120" w:line="240" w:lineRule="exact"/>
        <w:ind w:left="283" w:hanging="283"/>
        <w:jc w:val="both"/>
        <w:rPr>
          <w:rFonts w:ascii="FrankRuehl" w:hAnsi="FrankRuehl" w:cs="FrankRuehl"/>
          <w:rtl/>
        </w:rPr>
      </w:pPr>
      <w:hyperlink r:id="rId18" w:history="1">
        <w:r w:rsidRPr="0050320B">
          <w:rPr>
            <w:rFonts w:ascii="FrankRuehl" w:hAnsi="FrankRuehl" w:cs="FrankRuehl"/>
            <w:color w:val="0000FF"/>
            <w:u w:val="single"/>
            <w:rtl/>
          </w:rPr>
          <w:t>חוק זכויות נפגעי עבירה, תשס"א-2001</w:t>
        </w:r>
      </w:hyperlink>
    </w:p>
    <w:p w14:paraId="78CDA229" w14:textId="77777777" w:rsidR="0050320B" w:rsidRDefault="0050320B" w:rsidP="0050320B">
      <w:pPr>
        <w:spacing w:after="120" w:line="240" w:lineRule="exact"/>
        <w:ind w:left="283" w:hanging="283"/>
        <w:jc w:val="both"/>
        <w:rPr>
          <w:rFonts w:ascii="FrankRuehl" w:hAnsi="FrankRuehl" w:cs="FrankRuehl" w:hint="cs"/>
          <w:rtl/>
        </w:rPr>
      </w:pPr>
    </w:p>
    <w:p w14:paraId="03D30565" w14:textId="77777777" w:rsidR="00244734" w:rsidRDefault="00244734" w:rsidP="00244734">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5182A8F7" w14:textId="77777777" w:rsidR="00244734" w:rsidRDefault="00244734" w:rsidP="0024473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244734">
        <w:rPr>
          <w:rFonts w:cs="FrankRuehl" w:hint="cs"/>
          <w:szCs w:val="26"/>
          <w:rtl/>
        </w:rPr>
        <w:t xml:space="preserve">בית המשפט גזר את דינו של נאשם בגין </w:t>
      </w:r>
      <w:r w:rsidRPr="00244734">
        <w:rPr>
          <w:rFonts w:cs="FrankRuehl"/>
          <w:szCs w:val="26"/>
          <w:rtl/>
        </w:rPr>
        <w:t>עבירות של רצח בכוונה תחילה, עבירות בנשק ושתי עבירות של פציעה בנסיבות מחמירות.</w:t>
      </w:r>
      <w:r w:rsidRPr="00244734">
        <w:rPr>
          <w:rFonts w:cs="FrankRuehl" w:hint="cs"/>
          <w:szCs w:val="26"/>
          <w:rtl/>
        </w:rPr>
        <w:t xml:space="preserve"> על הנאשם הוטלו </w:t>
      </w:r>
      <w:r w:rsidRPr="00244734">
        <w:rPr>
          <w:rFonts w:cs="FrankRuehl"/>
          <w:szCs w:val="26"/>
          <w:rtl/>
        </w:rPr>
        <w:t>מאסר עולם; שנתיים מאסר בפועל שירוצו בחופף</w:t>
      </w:r>
      <w:r w:rsidRPr="00244734">
        <w:rPr>
          <w:rFonts w:cs="FrankRuehl" w:hint="cs"/>
          <w:szCs w:val="26"/>
          <w:rtl/>
        </w:rPr>
        <w:t xml:space="preserve">; </w:t>
      </w:r>
      <w:r w:rsidRPr="00244734">
        <w:rPr>
          <w:rFonts w:cs="FrankRuehl"/>
          <w:szCs w:val="26"/>
          <w:rtl/>
        </w:rPr>
        <w:t>4 שנות מאסר בפועל במצטבר</w:t>
      </w:r>
      <w:r w:rsidRPr="00244734">
        <w:rPr>
          <w:rFonts w:cs="FrankRuehl" w:hint="cs"/>
          <w:szCs w:val="26"/>
          <w:rtl/>
        </w:rPr>
        <w:t xml:space="preserve">; </w:t>
      </w:r>
      <w:r w:rsidRPr="00244734">
        <w:rPr>
          <w:rFonts w:cs="FrankRuehl"/>
          <w:szCs w:val="26"/>
          <w:rtl/>
        </w:rPr>
        <w:t xml:space="preserve">פיצוי למשפחת המנוח </w:t>
      </w:r>
      <w:r w:rsidRPr="00244734">
        <w:rPr>
          <w:rFonts w:cs="FrankRuehl" w:hint="cs"/>
          <w:szCs w:val="26"/>
          <w:rtl/>
        </w:rPr>
        <w:t>ו</w:t>
      </w:r>
      <w:r w:rsidRPr="00244734">
        <w:rPr>
          <w:rFonts w:cs="FrankRuehl"/>
          <w:szCs w:val="26"/>
          <w:rtl/>
        </w:rPr>
        <w:t>לכל אחד מנפגעי העבירה</w:t>
      </w:r>
      <w:r w:rsidRPr="00244734">
        <w:rPr>
          <w:rFonts w:cs="FrankRuehl" w:hint="cs"/>
          <w:szCs w:val="26"/>
          <w:rtl/>
        </w:rPr>
        <w:t>.</w:t>
      </w:r>
    </w:p>
    <w:p w14:paraId="1C98EB31" w14:textId="77777777" w:rsidR="00244734" w:rsidRDefault="00244734" w:rsidP="00244734">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ענישה </w:t>
      </w:r>
      <w:r>
        <w:rPr>
          <w:rFonts w:cs="FrankRuehl" w:hint="cs"/>
          <w:szCs w:val="26"/>
          <w:rtl/>
        </w:rPr>
        <w:t>–</w:t>
      </w:r>
      <w:r>
        <w:rPr>
          <w:rFonts w:cs="FrankRuehl"/>
          <w:szCs w:val="26"/>
          <w:rtl/>
        </w:rPr>
        <w:t xml:space="preserve"> מדיניות ענישה: עבירות אלימות</w:t>
      </w:r>
    </w:p>
    <w:p w14:paraId="31837A03" w14:textId="77777777" w:rsidR="00244734" w:rsidRDefault="00244734" w:rsidP="00244734">
      <w:pPr>
        <w:pBdr>
          <w:top w:val="single" w:sz="4" w:space="1" w:color="auto"/>
          <w:bottom w:val="single" w:sz="4" w:space="1" w:color="auto"/>
        </w:pBdr>
        <w:spacing w:after="120" w:line="320" w:lineRule="exact"/>
        <w:jc w:val="both"/>
        <w:rPr>
          <w:rFonts w:cs="FrankRuehl"/>
          <w:szCs w:val="26"/>
          <w:rtl/>
        </w:rPr>
      </w:pPr>
      <w:r>
        <w:rPr>
          <w:rFonts w:cs="FrankRuehl"/>
          <w:szCs w:val="26"/>
          <w:rtl/>
        </w:rPr>
        <w:t xml:space="preserve">* עונשין </w:t>
      </w:r>
      <w:r>
        <w:rPr>
          <w:rFonts w:cs="FrankRuehl" w:hint="cs"/>
          <w:szCs w:val="26"/>
          <w:rtl/>
        </w:rPr>
        <w:t>–</w:t>
      </w:r>
      <w:r>
        <w:rPr>
          <w:rFonts w:cs="FrankRuehl"/>
          <w:szCs w:val="26"/>
          <w:rtl/>
        </w:rPr>
        <w:t xml:space="preserve"> עבירות </w:t>
      </w:r>
      <w:r>
        <w:rPr>
          <w:rFonts w:cs="FrankRuehl" w:hint="cs"/>
          <w:szCs w:val="26"/>
          <w:rtl/>
        </w:rPr>
        <w:t>–</w:t>
      </w:r>
      <w:r>
        <w:rPr>
          <w:rFonts w:cs="FrankRuehl"/>
          <w:szCs w:val="26"/>
          <w:rtl/>
        </w:rPr>
        <w:t xml:space="preserve"> רצח</w:t>
      </w:r>
    </w:p>
    <w:p w14:paraId="1BEC9C4F" w14:textId="77777777" w:rsidR="005D5E17" w:rsidRPr="00244734" w:rsidRDefault="00244734" w:rsidP="00244734">
      <w:pPr>
        <w:pBdr>
          <w:top w:val="single" w:sz="4" w:space="1" w:color="auto"/>
          <w:bottom w:val="single" w:sz="4" w:space="1" w:color="auto"/>
        </w:pBdr>
        <w:spacing w:after="120" w:line="320" w:lineRule="exact"/>
        <w:jc w:val="both"/>
        <w:rPr>
          <w:rFonts w:cs="FrankRuehl" w:hint="cs"/>
          <w:szCs w:val="26"/>
          <w:rtl/>
        </w:rPr>
      </w:pPr>
      <w:r>
        <w:rPr>
          <w:rFonts w:cs="FrankRuehl"/>
          <w:szCs w:val="26"/>
          <w:rtl/>
        </w:rPr>
        <w:t xml:space="preserve">* עונשין </w:t>
      </w:r>
      <w:r>
        <w:rPr>
          <w:rFonts w:cs="FrankRuehl" w:hint="cs"/>
          <w:szCs w:val="26"/>
          <w:rtl/>
        </w:rPr>
        <w:t>–</w:t>
      </w:r>
      <w:r>
        <w:rPr>
          <w:rFonts w:cs="FrankRuehl"/>
          <w:szCs w:val="26"/>
          <w:rtl/>
        </w:rPr>
        <w:t xml:space="preserve"> עבירות </w:t>
      </w:r>
      <w:r>
        <w:rPr>
          <w:rFonts w:cs="FrankRuehl" w:hint="cs"/>
          <w:szCs w:val="26"/>
          <w:rtl/>
        </w:rPr>
        <w:t>–</w:t>
      </w:r>
      <w:r>
        <w:rPr>
          <w:rFonts w:cs="FrankRuehl"/>
          <w:szCs w:val="26"/>
          <w:rtl/>
        </w:rPr>
        <w:t xml:space="preserve"> פציעה</w:t>
      </w:r>
    </w:p>
    <w:p w14:paraId="5F3546A8" w14:textId="77777777" w:rsidR="005D5E17" w:rsidRPr="00244734" w:rsidRDefault="00244734" w:rsidP="0024473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9E49192" w14:textId="77777777" w:rsidR="005D5E17" w:rsidRPr="00244734" w:rsidRDefault="005D5E17" w:rsidP="00244734">
      <w:pPr>
        <w:pBdr>
          <w:top w:val="single" w:sz="4" w:space="1" w:color="auto"/>
          <w:bottom w:val="single" w:sz="4" w:space="1" w:color="auto"/>
        </w:pBdr>
        <w:spacing w:after="120" w:line="320" w:lineRule="exact"/>
        <w:jc w:val="both"/>
        <w:rPr>
          <w:rFonts w:cs="FrankRuehl"/>
          <w:szCs w:val="26"/>
          <w:rtl/>
        </w:rPr>
      </w:pPr>
      <w:r w:rsidRPr="00244734">
        <w:rPr>
          <w:rFonts w:cs="FrankRuehl"/>
          <w:szCs w:val="26"/>
          <w:rtl/>
        </w:rPr>
        <w:t>הנאשם הורשע בביצוע עבירות של רצח בכוונה תחילה, עבירות בנשק ושתי עבירות של פציעה בנסיבות מחמירות.</w:t>
      </w:r>
    </w:p>
    <w:p w14:paraId="70B14F26" w14:textId="77777777" w:rsidR="00244734" w:rsidRDefault="00244734" w:rsidP="0024473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365F16" w14:textId="77777777" w:rsidR="005D5E17" w:rsidRPr="00244734" w:rsidRDefault="005D5E17" w:rsidP="00244734">
      <w:pPr>
        <w:pBdr>
          <w:top w:val="single" w:sz="4" w:space="1" w:color="auto"/>
          <w:bottom w:val="single" w:sz="4" w:space="1" w:color="auto"/>
        </w:pBdr>
        <w:spacing w:after="120" w:line="320" w:lineRule="exact"/>
        <w:jc w:val="both"/>
        <w:rPr>
          <w:rFonts w:cs="FrankRuehl"/>
          <w:szCs w:val="26"/>
          <w:rtl/>
        </w:rPr>
      </w:pPr>
      <w:r w:rsidRPr="00244734">
        <w:rPr>
          <w:rFonts w:cs="FrankRuehl"/>
          <w:szCs w:val="26"/>
          <w:rtl/>
        </w:rPr>
        <w:t>בית המשפט המחוזי</w:t>
      </w:r>
      <w:r w:rsidRPr="00244734">
        <w:rPr>
          <w:rFonts w:cs="FrankRuehl" w:hint="cs"/>
          <w:szCs w:val="26"/>
          <w:rtl/>
        </w:rPr>
        <w:t xml:space="preserve"> גזר את הדין כדלהלן:</w:t>
      </w:r>
    </w:p>
    <w:p w14:paraId="09EAB99E" w14:textId="77777777" w:rsidR="005D5E17" w:rsidRPr="0050320B" w:rsidRDefault="005D5E17" w:rsidP="00244734">
      <w:pPr>
        <w:pBdr>
          <w:top w:val="single" w:sz="4" w:space="1" w:color="auto"/>
          <w:bottom w:val="single" w:sz="4" w:space="1" w:color="auto"/>
        </w:pBdr>
        <w:spacing w:after="120" w:line="320" w:lineRule="exact"/>
        <w:jc w:val="both"/>
        <w:rPr>
          <w:rFonts w:ascii="FrankRuehl" w:hAnsi="FrankRuehl" w:cs="FrankRuehl" w:hint="cs"/>
          <w:rtl/>
        </w:rPr>
      </w:pPr>
      <w:r w:rsidRPr="00244734">
        <w:rPr>
          <w:rFonts w:cs="FrankRuehl"/>
          <w:szCs w:val="26"/>
          <w:rtl/>
        </w:rPr>
        <w:t xml:space="preserve">העבירה בנשק "נבלעת" בעבירת הרצח ואין הצדקה להטיל במקרה זה עונש מצטבר בשל הלחיצה על ההדק.  </w:t>
      </w:r>
      <w:r w:rsidRPr="00244734">
        <w:rPr>
          <w:rFonts w:cs="FrankRuehl" w:hint="cs"/>
          <w:szCs w:val="26"/>
          <w:rtl/>
        </w:rPr>
        <w:t xml:space="preserve">ואולם, </w:t>
      </w:r>
      <w:r w:rsidRPr="00244734">
        <w:rPr>
          <w:rFonts w:cs="FrankRuehl"/>
          <w:szCs w:val="26"/>
          <w:rtl/>
        </w:rPr>
        <w:t>יש להטיל עונש נפרד לשתי עבירות הפציעה בנסיבות חמורות ועונש זה צריך להיות במצטבר.</w:t>
      </w:r>
      <w:r w:rsidRPr="00244734">
        <w:rPr>
          <w:rFonts w:cs="FrankRuehl" w:hint="cs"/>
          <w:szCs w:val="26"/>
          <w:rtl/>
        </w:rPr>
        <w:t xml:space="preserve"> </w:t>
      </w:r>
      <w:r w:rsidRPr="00244734">
        <w:rPr>
          <w:rFonts w:cs="FrankRuehl"/>
          <w:szCs w:val="26"/>
          <w:rtl/>
        </w:rPr>
        <w:t xml:space="preserve">בהתחשב בערכים החברתיים שנפגעו מביצוע העבירות, במידת הפגיעה בהם, במדיניות הענישה הנהוגה ובנסיבות הקשורות בביצוע העבירות, </w:t>
      </w:r>
      <w:r w:rsidRPr="00244734">
        <w:rPr>
          <w:rFonts w:cs="FrankRuehl" w:hint="cs"/>
          <w:szCs w:val="26"/>
          <w:rtl/>
        </w:rPr>
        <w:t>יש</w:t>
      </w:r>
      <w:r w:rsidRPr="00244734">
        <w:rPr>
          <w:rFonts w:cs="FrankRuehl"/>
          <w:szCs w:val="26"/>
          <w:rtl/>
        </w:rPr>
        <w:t xml:space="preserve"> לקבוע כי בגין כל אחת משתי עבירות הפציעה בנסיבות מחמירות מתחם עונש הולם שנע בין 2 לבין 5 שנות מאסר בפועל, במצטבר לעונש של מאסר </w:t>
      </w:r>
      <w:r w:rsidRPr="00244734">
        <w:rPr>
          <w:rFonts w:cs="FrankRuehl"/>
          <w:szCs w:val="26"/>
          <w:rtl/>
        </w:rPr>
        <w:lastRenderedPageBreak/>
        <w:t xml:space="preserve">עולם. </w:t>
      </w:r>
      <w:r w:rsidRPr="00244734">
        <w:rPr>
          <w:rFonts w:cs="FrankRuehl" w:hint="cs"/>
          <w:szCs w:val="26"/>
          <w:rtl/>
        </w:rPr>
        <w:t xml:space="preserve">בנסיבות העניין יש להשית על הנאשם </w:t>
      </w:r>
      <w:r w:rsidRPr="00244734">
        <w:rPr>
          <w:rFonts w:cs="FrankRuehl"/>
          <w:szCs w:val="26"/>
          <w:rtl/>
        </w:rPr>
        <w:t xml:space="preserve">בגין </w:t>
      </w:r>
      <w:r w:rsidRPr="00244734">
        <w:rPr>
          <w:rFonts w:cs="FrankRuehl" w:hint="cs"/>
          <w:szCs w:val="26"/>
          <w:rtl/>
        </w:rPr>
        <w:t>ה</w:t>
      </w:r>
      <w:r w:rsidRPr="00244734">
        <w:rPr>
          <w:rFonts w:cs="FrankRuehl"/>
          <w:szCs w:val="26"/>
          <w:rtl/>
        </w:rPr>
        <w:t>רצח מאסר עולם; בגין עבירות הנשק שנתיים מאסר בפועל שירוצו בחופף לעונש מאסר העולם</w:t>
      </w:r>
      <w:r w:rsidRPr="00244734">
        <w:rPr>
          <w:rFonts w:cs="FrankRuehl" w:hint="cs"/>
          <w:szCs w:val="26"/>
          <w:rtl/>
        </w:rPr>
        <w:t xml:space="preserve">; </w:t>
      </w:r>
      <w:r w:rsidRPr="00244734">
        <w:rPr>
          <w:rFonts w:cs="FrankRuehl"/>
          <w:szCs w:val="26"/>
          <w:rtl/>
        </w:rPr>
        <w:t>בגין שתי עבירות של פציעה בנסיבות מחמירות</w:t>
      </w:r>
      <w:r w:rsidR="00244734">
        <w:rPr>
          <w:rFonts w:cs="FrankRuehl" w:hint="cs"/>
          <w:szCs w:val="26"/>
          <w:rtl/>
        </w:rPr>
        <w:t xml:space="preserve"> –</w:t>
      </w:r>
      <w:r w:rsidRPr="00244734">
        <w:rPr>
          <w:rFonts w:cs="FrankRuehl" w:hint="cs"/>
          <w:szCs w:val="26"/>
          <w:rtl/>
        </w:rPr>
        <w:t xml:space="preserve"> </w:t>
      </w:r>
      <w:r w:rsidRPr="00244734">
        <w:rPr>
          <w:rFonts w:cs="FrankRuehl"/>
          <w:szCs w:val="26"/>
          <w:rtl/>
        </w:rPr>
        <w:t>4 שנות מאסר בפועל אשר ירוצו במצטבר</w:t>
      </w:r>
      <w:r w:rsidRPr="00244734">
        <w:rPr>
          <w:rFonts w:cs="FrankRuehl" w:hint="cs"/>
          <w:szCs w:val="26"/>
          <w:rtl/>
        </w:rPr>
        <w:t xml:space="preserve">; </w:t>
      </w:r>
      <w:r w:rsidRPr="00244734">
        <w:rPr>
          <w:rFonts w:cs="FrankRuehl"/>
          <w:szCs w:val="26"/>
          <w:rtl/>
        </w:rPr>
        <w:t xml:space="preserve">פיצוי בשיעור של 258,000 ש"ח למשפחת המנוח </w:t>
      </w:r>
      <w:r w:rsidRPr="00244734">
        <w:rPr>
          <w:rFonts w:cs="FrankRuehl" w:hint="cs"/>
          <w:szCs w:val="26"/>
          <w:rtl/>
        </w:rPr>
        <w:t>ו</w:t>
      </w:r>
      <w:r w:rsidRPr="00244734">
        <w:rPr>
          <w:rFonts w:cs="FrankRuehl"/>
          <w:szCs w:val="26"/>
          <w:rtl/>
        </w:rPr>
        <w:t>פיצוי בשיעור של 35,000 ש"ח לכל אחד מנפגעי העבירה</w:t>
      </w:r>
      <w:r w:rsidRPr="00244734">
        <w:rPr>
          <w:rFonts w:cs="FrankRuehl" w:hint="cs"/>
          <w:szCs w:val="26"/>
          <w:rtl/>
        </w:rPr>
        <w:t>.</w:t>
      </w:r>
      <w:bookmarkStart w:id="6" w:name="ABSTRACT_END"/>
      <w:bookmarkEnd w:id="6"/>
    </w:p>
    <w:p w14:paraId="0CDFA816" w14:textId="77777777" w:rsidR="006B21F2" w:rsidRPr="00214A51" w:rsidRDefault="006B21F2" w:rsidP="00301139">
      <w:pPr>
        <w:spacing w:line="360" w:lineRule="auto"/>
        <w:jc w:val="both"/>
        <w:rPr>
          <w:rFonts w:ascii="Arial" w:hAnsi="Arial"/>
          <w:rtl/>
        </w:rPr>
      </w:pPr>
      <w:bookmarkStart w:id="7" w:name="LawTable_End"/>
      <w:bookmarkEnd w:id="7"/>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4A51" w14:paraId="6CB24A3F" w14:textId="77777777" w:rsidTr="00B97EC3">
        <w:trPr>
          <w:trHeight w:val="355"/>
          <w:jc w:val="center"/>
        </w:trPr>
        <w:tc>
          <w:tcPr>
            <w:tcW w:w="8820" w:type="dxa"/>
            <w:tcBorders>
              <w:top w:val="nil"/>
              <w:left w:val="nil"/>
              <w:bottom w:val="nil"/>
              <w:right w:val="nil"/>
            </w:tcBorders>
          </w:tcPr>
          <w:p w14:paraId="7B40049E" w14:textId="77777777" w:rsidR="00214A51" w:rsidRPr="00214A51" w:rsidRDefault="00214A51" w:rsidP="00214A51">
            <w:pPr>
              <w:jc w:val="center"/>
              <w:rPr>
                <w:rFonts w:ascii="Arial" w:hAnsi="Arial"/>
                <w:b/>
                <w:bCs/>
                <w:sz w:val="28"/>
                <w:szCs w:val="28"/>
                <w:u w:val="single"/>
                <w:rtl/>
              </w:rPr>
            </w:pPr>
            <w:bookmarkStart w:id="8" w:name="PsakDin" w:colFirst="0" w:colLast="0"/>
            <w:r w:rsidRPr="00214A51">
              <w:rPr>
                <w:rFonts w:ascii="Arial" w:hAnsi="Arial"/>
                <w:b/>
                <w:bCs/>
                <w:sz w:val="28"/>
                <w:szCs w:val="28"/>
                <w:u w:val="single"/>
                <w:rtl/>
              </w:rPr>
              <w:t>גזר דין</w:t>
            </w:r>
          </w:p>
          <w:p w14:paraId="61FE1D2E" w14:textId="77777777" w:rsidR="00214A51" w:rsidRPr="00214A51" w:rsidRDefault="00214A51" w:rsidP="00214A51">
            <w:pPr>
              <w:jc w:val="center"/>
              <w:rPr>
                <w:rFonts w:ascii="Arial" w:hAnsi="Arial"/>
                <w:bCs/>
                <w:sz w:val="28"/>
                <w:szCs w:val="28"/>
                <w:u w:val="single"/>
                <w:rtl/>
              </w:rPr>
            </w:pPr>
          </w:p>
        </w:tc>
      </w:tr>
      <w:bookmarkEnd w:id="8"/>
    </w:tbl>
    <w:p w14:paraId="0ED7393E" w14:textId="77777777" w:rsidR="00214A51" w:rsidRPr="00B05847" w:rsidRDefault="00214A51" w:rsidP="00301139">
      <w:pPr>
        <w:spacing w:line="360" w:lineRule="auto"/>
        <w:jc w:val="both"/>
        <w:rPr>
          <w:rFonts w:ascii="Arial" w:hAnsi="Arial"/>
          <w:rtl/>
        </w:rPr>
      </w:pPr>
    </w:p>
    <w:p w14:paraId="71BBB7CB" w14:textId="77777777" w:rsidR="006B21F2" w:rsidRDefault="006B21F2" w:rsidP="00301139">
      <w:pPr>
        <w:spacing w:line="360" w:lineRule="auto"/>
        <w:jc w:val="both"/>
        <w:rPr>
          <w:rtl/>
        </w:rPr>
      </w:pPr>
    </w:p>
    <w:p w14:paraId="4986D065" w14:textId="77777777" w:rsidR="006B21F2" w:rsidRPr="00197E2D" w:rsidRDefault="006B21F2" w:rsidP="00277697">
      <w:pPr>
        <w:spacing w:line="360" w:lineRule="auto"/>
        <w:jc w:val="both"/>
        <w:rPr>
          <w:u w:val="single"/>
        </w:rPr>
      </w:pPr>
      <w:r w:rsidRPr="00197E2D">
        <w:rPr>
          <w:b/>
          <w:bCs/>
          <w:u w:val="single"/>
          <w:rtl/>
        </w:rPr>
        <w:t>השופט אברהם אליקים, סגן נשיא:</w:t>
      </w:r>
    </w:p>
    <w:p w14:paraId="53F59106" w14:textId="77777777" w:rsidR="006B21F2" w:rsidRDefault="006B21F2" w:rsidP="00277697">
      <w:pPr>
        <w:spacing w:line="360" w:lineRule="auto"/>
        <w:contextualSpacing/>
        <w:jc w:val="both"/>
        <w:rPr>
          <w:rtl/>
        </w:rPr>
      </w:pPr>
    </w:p>
    <w:p w14:paraId="0EC98752" w14:textId="77777777" w:rsidR="006B21F2" w:rsidRPr="00277697" w:rsidRDefault="006B21F2" w:rsidP="00277697">
      <w:pPr>
        <w:spacing w:line="360" w:lineRule="auto"/>
        <w:jc w:val="both"/>
      </w:pPr>
      <w:r w:rsidRPr="00277697">
        <w:rPr>
          <w:u w:val="single"/>
          <w:rtl/>
        </w:rPr>
        <w:t>מבוא</w:t>
      </w:r>
    </w:p>
    <w:p w14:paraId="64591D18" w14:textId="77777777" w:rsidR="006B21F2" w:rsidRPr="00277697" w:rsidRDefault="006B21F2" w:rsidP="00277697">
      <w:pPr>
        <w:spacing w:line="360" w:lineRule="auto"/>
        <w:jc w:val="both"/>
        <w:rPr>
          <w:rtl/>
        </w:rPr>
      </w:pPr>
      <w:r w:rsidRPr="00277697">
        <w:rPr>
          <w:rtl/>
        </w:rPr>
        <w:t xml:space="preserve">הנאשם הורשע לאחר שמיעת ראיות בביצוע עבירות של רצח בכוונה תחילה-עבירה לפי </w:t>
      </w:r>
      <w:hyperlink r:id="rId19" w:history="1">
        <w:r w:rsidR="0050320B" w:rsidRPr="0050320B">
          <w:rPr>
            <w:color w:val="0000FF"/>
            <w:u w:val="single"/>
            <w:rtl/>
          </w:rPr>
          <w:t>סעיף 300(א)(2)</w:t>
        </w:r>
      </w:hyperlink>
      <w:r w:rsidRPr="00277697">
        <w:rPr>
          <w:rtl/>
        </w:rPr>
        <w:t xml:space="preserve"> </w:t>
      </w:r>
      <w:r w:rsidRPr="00277697">
        <w:rPr>
          <w:b/>
          <w:bCs/>
          <w:rtl/>
        </w:rPr>
        <w:t>ל</w:t>
      </w:r>
      <w:hyperlink r:id="rId20" w:history="1">
        <w:r w:rsidR="00214A51" w:rsidRPr="00214A51">
          <w:rPr>
            <w:rStyle w:val="Hyperlink"/>
            <w:b/>
            <w:bCs/>
            <w:rtl/>
          </w:rPr>
          <w:t>חוק העונשין</w:t>
        </w:r>
      </w:hyperlink>
      <w:r w:rsidRPr="00277697">
        <w:rPr>
          <w:b/>
          <w:bCs/>
          <w:rtl/>
        </w:rPr>
        <w:t xml:space="preserve"> התשל"ז-1977</w:t>
      </w:r>
      <w:r w:rsidRPr="00277697">
        <w:rPr>
          <w:rtl/>
        </w:rPr>
        <w:t xml:space="preserve"> (להלן-חוק העונשין), עבירות בנשק-עבירה לפי </w:t>
      </w:r>
      <w:hyperlink r:id="rId21" w:history="1">
        <w:r w:rsidR="0050320B" w:rsidRPr="0050320B">
          <w:rPr>
            <w:color w:val="0000FF"/>
            <w:u w:val="single"/>
            <w:rtl/>
          </w:rPr>
          <w:t>סעיף 144(א)</w:t>
        </w:r>
      </w:hyperlink>
      <w:r w:rsidRPr="00277697">
        <w:rPr>
          <w:rtl/>
        </w:rPr>
        <w:t xml:space="preserve"> רישה  </w:t>
      </w:r>
      <w:hyperlink r:id="rId22" w:history="1">
        <w:r w:rsidR="0050320B" w:rsidRPr="0050320B">
          <w:rPr>
            <w:color w:val="0000FF"/>
            <w:u w:val="single"/>
            <w:rtl/>
          </w:rPr>
          <w:t>וסעיף 144(ב)</w:t>
        </w:r>
      </w:hyperlink>
      <w:r w:rsidRPr="00277697">
        <w:rPr>
          <w:rtl/>
        </w:rPr>
        <w:t xml:space="preserve"> רישה לחוק העונשין ושתי עבירות של פציעה בנסיבות מחמירות-עבירות לפי </w:t>
      </w:r>
      <w:hyperlink r:id="rId23" w:history="1">
        <w:r w:rsidR="0050320B" w:rsidRPr="0050320B">
          <w:rPr>
            <w:color w:val="0000FF"/>
            <w:u w:val="single"/>
            <w:rtl/>
          </w:rPr>
          <w:t>סעיף 334</w:t>
        </w:r>
      </w:hyperlink>
      <w:r w:rsidRPr="00277697">
        <w:rPr>
          <w:rtl/>
        </w:rPr>
        <w:t xml:space="preserve"> ביחד עם </w:t>
      </w:r>
      <w:hyperlink r:id="rId24" w:history="1">
        <w:r w:rsidR="0050320B" w:rsidRPr="0050320B">
          <w:rPr>
            <w:color w:val="0000FF"/>
            <w:u w:val="single"/>
            <w:rtl/>
          </w:rPr>
          <w:t>סעיף 335 (א)(1)</w:t>
        </w:r>
      </w:hyperlink>
      <w:r w:rsidRPr="00277697">
        <w:rPr>
          <w:rtl/>
        </w:rPr>
        <w:t xml:space="preserve"> לחוק העונשין.</w:t>
      </w:r>
    </w:p>
    <w:p w14:paraId="49BE066C" w14:textId="77777777" w:rsidR="006B21F2" w:rsidRDefault="006B21F2" w:rsidP="00277697">
      <w:pPr>
        <w:contextualSpacing/>
        <w:jc w:val="both"/>
        <w:rPr>
          <w:rtl/>
        </w:rPr>
      </w:pPr>
    </w:p>
    <w:p w14:paraId="1A093BDF" w14:textId="77777777" w:rsidR="006B21F2" w:rsidRPr="00277697" w:rsidRDefault="006B21F2" w:rsidP="00277697">
      <w:pPr>
        <w:spacing w:line="360" w:lineRule="auto"/>
        <w:jc w:val="both"/>
        <w:rPr>
          <w:rtl/>
        </w:rPr>
      </w:pPr>
      <w:r w:rsidRPr="00277697">
        <w:rPr>
          <w:rtl/>
        </w:rPr>
        <w:t xml:space="preserve">על פי הכרעת הדין ביום 29.9.2016 השתתפו הנאשם וחוסין רעד מחאג'נה ז"ל (להלן- המנוח) במסיבת חתונה במהלכה שלף הנאשם אקדח וירה לעברו  8 כדורים מטווח קצר. שישה קליעים חדרו לפלג גופו העליון של המנוח וגרמו למותו. </w:t>
      </w:r>
    </w:p>
    <w:p w14:paraId="6F4A9D4B" w14:textId="77777777" w:rsidR="006B21F2" w:rsidRDefault="006B21F2" w:rsidP="00277697">
      <w:pPr>
        <w:contextualSpacing/>
        <w:jc w:val="both"/>
        <w:rPr>
          <w:rtl/>
        </w:rPr>
      </w:pPr>
    </w:p>
    <w:p w14:paraId="1C814ACC" w14:textId="77777777" w:rsidR="006B21F2" w:rsidRDefault="006B21F2" w:rsidP="00277697">
      <w:pPr>
        <w:spacing w:line="360" w:lineRule="auto"/>
        <w:contextualSpacing/>
        <w:jc w:val="both"/>
        <w:rPr>
          <w:rtl/>
        </w:rPr>
      </w:pPr>
      <w:r w:rsidRPr="00197E2D">
        <w:rPr>
          <w:rtl/>
        </w:rPr>
        <w:t xml:space="preserve">שאדי וחסן, שני חוגגים שעמדו בצמוד למנוח נפצעו מהירי, לשאדי אחיו של החתן חדר קליע לדופן הבטן והוא אושפז בבית חולים למשך יומיים, לחסן נגרם פצע ירי בעכוז, הוא אושפז למשך יומיים וסבל מקשיי הליכה עקב הפציעה. </w:t>
      </w:r>
    </w:p>
    <w:p w14:paraId="271F3406" w14:textId="77777777" w:rsidR="006B21F2" w:rsidRPr="00197E2D" w:rsidRDefault="006B21F2" w:rsidP="00277697">
      <w:pPr>
        <w:spacing w:line="360" w:lineRule="auto"/>
        <w:contextualSpacing/>
        <w:jc w:val="both"/>
        <w:rPr>
          <w:rtl/>
        </w:rPr>
      </w:pPr>
    </w:p>
    <w:p w14:paraId="731BA1B1" w14:textId="77777777" w:rsidR="006B21F2" w:rsidRPr="00197E2D" w:rsidRDefault="006B21F2" w:rsidP="00277697">
      <w:pPr>
        <w:spacing w:line="360" w:lineRule="auto"/>
        <w:contextualSpacing/>
        <w:jc w:val="both"/>
        <w:rPr>
          <w:u w:val="single"/>
          <w:rtl/>
        </w:rPr>
      </w:pPr>
      <w:r w:rsidRPr="00197E2D">
        <w:rPr>
          <w:u w:val="single"/>
          <w:rtl/>
        </w:rPr>
        <w:t>ראיות לעונש</w:t>
      </w:r>
    </w:p>
    <w:p w14:paraId="06170980" w14:textId="77777777" w:rsidR="006B21F2" w:rsidRDefault="006B21F2" w:rsidP="00277697">
      <w:pPr>
        <w:spacing w:line="360" w:lineRule="auto"/>
        <w:contextualSpacing/>
        <w:jc w:val="both"/>
        <w:rPr>
          <w:u w:val="single"/>
          <w:rtl/>
        </w:rPr>
      </w:pPr>
      <w:r w:rsidRPr="00197E2D">
        <w:rPr>
          <w:rtl/>
        </w:rPr>
        <w:t xml:space="preserve">לנאשם 6 הרשעות קודמות (ותיק נוסף ללא הרשעה בגין עבירת אלימות שבצע בהיותו בן 16 שנים). ההרשעה האחרונה היא משנת 2002 בגין עבירת אלימות בגינה נשפט הנאשם ל-24 חודשי מאסר בפועל.  הוא נשא גם עונש מאסר של 3 שנים בפועל בגין עבירה </w:t>
      </w:r>
      <w:r>
        <w:rPr>
          <w:rtl/>
        </w:rPr>
        <w:t>ש</w:t>
      </w:r>
      <w:r w:rsidRPr="00197E2D">
        <w:rPr>
          <w:rtl/>
        </w:rPr>
        <w:t>ל סחיטה באיומים  ומאסר של 4 חודשים בגין עבירת אלימות</w:t>
      </w:r>
      <w:r>
        <w:rPr>
          <w:rtl/>
        </w:rPr>
        <w:t>.</w:t>
      </w:r>
      <w:r w:rsidRPr="00197E2D">
        <w:rPr>
          <w:rtl/>
        </w:rPr>
        <w:t xml:space="preserve"> </w:t>
      </w:r>
    </w:p>
    <w:p w14:paraId="3CD43344" w14:textId="77777777" w:rsidR="006B21F2" w:rsidRPr="00197E2D" w:rsidRDefault="006B21F2" w:rsidP="00277697">
      <w:pPr>
        <w:contextualSpacing/>
        <w:jc w:val="both"/>
        <w:rPr>
          <w:u w:val="single"/>
          <w:rtl/>
        </w:rPr>
      </w:pPr>
    </w:p>
    <w:p w14:paraId="33BF8149" w14:textId="77777777" w:rsidR="006B21F2" w:rsidRPr="00197E2D" w:rsidRDefault="006B21F2" w:rsidP="00277697">
      <w:pPr>
        <w:spacing w:line="360" w:lineRule="auto"/>
        <w:contextualSpacing/>
        <w:jc w:val="both"/>
        <w:rPr>
          <w:u w:val="single"/>
          <w:rtl/>
        </w:rPr>
      </w:pPr>
      <w:r w:rsidRPr="00197E2D">
        <w:rPr>
          <w:u w:val="single"/>
          <w:rtl/>
        </w:rPr>
        <w:t>תמצית טענות הצדדים</w:t>
      </w:r>
    </w:p>
    <w:p w14:paraId="54CF8F3B" w14:textId="77777777" w:rsidR="006B21F2" w:rsidRDefault="006B21F2" w:rsidP="00277697">
      <w:pPr>
        <w:spacing w:line="360" w:lineRule="auto"/>
        <w:contextualSpacing/>
        <w:jc w:val="both"/>
        <w:rPr>
          <w:rtl/>
        </w:rPr>
      </w:pPr>
      <w:r w:rsidRPr="00197E2D">
        <w:rPr>
          <w:rtl/>
        </w:rPr>
        <w:t xml:space="preserve">מאחר ומדובר בעבירת רצח, העונש בגינה הוא מאסר עולם, המחלוקת בין הצדדים היא באשר לענישה בגין 3 העבירות הנוספות, עבירות בנשק ופציעת שני נפגעי העבירה. </w:t>
      </w:r>
    </w:p>
    <w:p w14:paraId="39B6AFBD" w14:textId="77777777" w:rsidR="006B21F2" w:rsidRPr="00197E2D" w:rsidRDefault="006B21F2" w:rsidP="00277697">
      <w:pPr>
        <w:contextualSpacing/>
        <w:jc w:val="both"/>
        <w:rPr>
          <w:rtl/>
        </w:rPr>
      </w:pPr>
    </w:p>
    <w:p w14:paraId="3080AF51" w14:textId="77777777" w:rsidR="006B21F2" w:rsidRDefault="006B21F2" w:rsidP="00277697">
      <w:pPr>
        <w:spacing w:line="360" w:lineRule="auto"/>
        <w:contextualSpacing/>
        <w:jc w:val="both"/>
        <w:rPr>
          <w:rtl/>
        </w:rPr>
      </w:pPr>
      <w:r w:rsidRPr="00197E2D">
        <w:rPr>
          <w:rtl/>
        </w:rPr>
        <w:t xml:space="preserve"> ב"כ המאשימה  בטיעוניה בכתב ובעל פה  ביקשה להטיל על הנאשם עונש של מאסר עולם בגין עבירת הרצח, לקבוע מתחם עונש הולם בגין העבירות בנשק והפציעה בנסיבות מחמירות בטווח שבין 3 ל-5 שנות מאסר בפועל ולגזור על הנאשם עונש של מאסר בפועל ברף העליון של המתחם ובמצטבר למאסר עולם.   בנוסף ביקש</w:t>
      </w:r>
      <w:r>
        <w:rPr>
          <w:rtl/>
        </w:rPr>
        <w:t>ה</w:t>
      </w:r>
      <w:r w:rsidRPr="00197E2D">
        <w:rPr>
          <w:rtl/>
        </w:rPr>
        <w:t xml:space="preserve"> להטיל עונש של מאסר על תנאי ולחייב את הנאשם לפצות את משפחת המנוח בגובה של 258,000 ש"ח ולפצות את שאדי וחסן בגין פציעותיהם.</w:t>
      </w:r>
    </w:p>
    <w:p w14:paraId="53D27F1B" w14:textId="77777777" w:rsidR="006B21F2" w:rsidRPr="00197E2D" w:rsidRDefault="006B21F2" w:rsidP="00277697">
      <w:pPr>
        <w:contextualSpacing/>
        <w:jc w:val="both"/>
        <w:rPr>
          <w:rtl/>
        </w:rPr>
      </w:pPr>
    </w:p>
    <w:p w14:paraId="4D630FFD" w14:textId="77777777" w:rsidR="006B21F2" w:rsidRPr="00197E2D" w:rsidRDefault="006B21F2" w:rsidP="00277697">
      <w:pPr>
        <w:spacing w:line="360" w:lineRule="auto"/>
        <w:contextualSpacing/>
        <w:jc w:val="both"/>
        <w:rPr>
          <w:rtl/>
        </w:rPr>
      </w:pPr>
      <w:r w:rsidRPr="00197E2D">
        <w:rPr>
          <w:rtl/>
        </w:rPr>
        <w:t xml:space="preserve"> בטיעוניה הבהירה ב"כ המאשימה כי בהתאם </w:t>
      </w:r>
      <w:hyperlink r:id="rId25" w:history="1">
        <w:r w:rsidR="0050320B" w:rsidRPr="0050320B">
          <w:rPr>
            <w:color w:val="0000FF"/>
            <w:u w:val="single"/>
            <w:rtl/>
          </w:rPr>
          <w:t>לסעיף 186</w:t>
        </w:r>
      </w:hyperlink>
      <w:r w:rsidRPr="00197E2D">
        <w:rPr>
          <w:rtl/>
        </w:rPr>
        <w:t xml:space="preserve"> </w:t>
      </w:r>
      <w:r w:rsidRPr="00197E2D">
        <w:rPr>
          <w:b/>
          <w:bCs/>
          <w:rtl/>
        </w:rPr>
        <w:t>ל</w:t>
      </w:r>
      <w:hyperlink r:id="rId26" w:history="1">
        <w:r w:rsidR="00214A51" w:rsidRPr="00214A51">
          <w:rPr>
            <w:rStyle w:val="Hyperlink"/>
            <w:b/>
            <w:bCs/>
            <w:rtl/>
          </w:rPr>
          <w:t>חוק סדר הדין הפלילי</w:t>
        </w:r>
      </w:hyperlink>
      <w:r w:rsidRPr="00197E2D">
        <w:rPr>
          <w:b/>
          <w:bCs/>
          <w:rtl/>
        </w:rPr>
        <w:t xml:space="preserve"> [נוסח משולב] התשמ"ב-1982</w:t>
      </w:r>
      <w:r w:rsidRPr="00197E2D">
        <w:rPr>
          <w:rtl/>
        </w:rPr>
        <w:t xml:space="preserve"> והאופן בו הוא פורש בפסיקה יש להטיל במקרה זה עונש מצטבר לעונש של מאסר עולם. כל העבירות מהוות אירוע אחד, אך מתחם העונש ההולם בגין נשיאת האקדח במשך כל יום האירוע על פי הודאת הנאשם צריך לנוע בין 1.5 ל-4 שנות מאסר בפועל והמתחם בגין כל עבירת פציעה בנסיבות מחמירות- באמצעות נשק צריכה להיות חמורה מהמתחם שנקבע לפציעה באמצעות סכין, מתחם שנע בין 12 ל-36 חודשי מאסר בפועל.  </w:t>
      </w:r>
    </w:p>
    <w:p w14:paraId="6C694D4D" w14:textId="77777777" w:rsidR="006B21F2" w:rsidRPr="00197E2D" w:rsidRDefault="006B21F2" w:rsidP="00277697">
      <w:pPr>
        <w:spacing w:line="360" w:lineRule="auto"/>
        <w:contextualSpacing/>
        <w:jc w:val="both"/>
        <w:rPr>
          <w:rtl/>
        </w:rPr>
      </w:pPr>
      <w:r w:rsidRPr="00197E2D">
        <w:rPr>
          <w:rtl/>
        </w:rPr>
        <w:t xml:space="preserve">לתמיכה בטענותיה הפנתה המאשימה לפסקי דין שונים שחלקם פורט בטבלה, בה פורטו גם מקרים של רצח ביחד עם פציעה באמצעות אקדח ובהם הוטלו עונשים של 3.5, 4 או 6 שנות מאסר במצטבר למאסר עולם. </w:t>
      </w:r>
    </w:p>
    <w:p w14:paraId="1EC76E7F" w14:textId="77777777" w:rsidR="006B21F2" w:rsidRPr="00197E2D" w:rsidRDefault="006B21F2" w:rsidP="00277697">
      <w:pPr>
        <w:spacing w:line="360" w:lineRule="auto"/>
        <w:contextualSpacing/>
        <w:jc w:val="both"/>
        <w:rPr>
          <w:rtl/>
        </w:rPr>
      </w:pPr>
      <w:r w:rsidRPr="00197E2D">
        <w:rPr>
          <w:rtl/>
        </w:rPr>
        <w:t xml:space="preserve">בטיעוניה לגבי דרישת הפיצוי המקסימלי למשפחת המנוח הבהירה כי המנוח היה בן 26 במותו, הותיר אחריו הורים וארבעה אחים. המנוח היה הבן הבכור, רווק ובעליו של בית קפה. המנוח היה המפרנס של משפחתו, אביו נכה, האב ובניו לא עובדים. </w:t>
      </w:r>
    </w:p>
    <w:p w14:paraId="63E6CAC9" w14:textId="77777777" w:rsidR="006B21F2" w:rsidRPr="00197E2D" w:rsidRDefault="006B21F2" w:rsidP="00277697">
      <w:pPr>
        <w:contextualSpacing/>
        <w:jc w:val="both"/>
        <w:rPr>
          <w:rtl/>
        </w:rPr>
      </w:pPr>
    </w:p>
    <w:p w14:paraId="27FE7A41" w14:textId="77777777" w:rsidR="006B21F2" w:rsidRPr="00197E2D" w:rsidRDefault="006B21F2" w:rsidP="00277697">
      <w:pPr>
        <w:spacing w:line="360" w:lineRule="auto"/>
        <w:jc w:val="both"/>
        <w:rPr>
          <w:rtl/>
        </w:rPr>
      </w:pPr>
      <w:r w:rsidRPr="00197E2D">
        <w:rPr>
          <w:rtl/>
        </w:rPr>
        <w:t xml:space="preserve">הסנגור ביקש להסתפק בעונש של מאסר עולם המבטא את התגובה העונשית לעבירה הדומיננטית שבה הורשע הנאשם ואם עמדתו לא תתקבל ביקש שעונש המאסר בגין עבירות הפציעה ירוצה בחופף לעונש מאסר עולם. </w:t>
      </w:r>
    </w:p>
    <w:p w14:paraId="68A4E567" w14:textId="77777777" w:rsidR="006B21F2" w:rsidRPr="00197E2D" w:rsidRDefault="006B21F2" w:rsidP="00277697">
      <w:pPr>
        <w:jc w:val="both"/>
        <w:rPr>
          <w:rtl/>
        </w:rPr>
      </w:pPr>
    </w:p>
    <w:p w14:paraId="19019FCC" w14:textId="77777777" w:rsidR="006B21F2" w:rsidRDefault="006B21F2" w:rsidP="00277697">
      <w:pPr>
        <w:spacing w:line="360" w:lineRule="auto"/>
        <w:jc w:val="both"/>
        <w:rPr>
          <w:rtl/>
        </w:rPr>
      </w:pPr>
      <w:r w:rsidRPr="00197E2D">
        <w:rPr>
          <w:rtl/>
        </w:rPr>
        <w:t>בתמיכה לטענותיו הפנה לפסקי דין שונים שרוכזו בטבלה והראה כי עובר לתיקון 113 ל</w:t>
      </w:r>
      <w:hyperlink r:id="rId27" w:history="1">
        <w:r w:rsidR="00214A51" w:rsidRPr="00214A51">
          <w:rPr>
            <w:rStyle w:val="Hyperlink"/>
            <w:rtl/>
          </w:rPr>
          <w:t>חוק העונשין</w:t>
        </w:r>
      </w:hyperlink>
      <w:r w:rsidRPr="00197E2D">
        <w:rPr>
          <w:rtl/>
        </w:rPr>
        <w:t xml:space="preserve">, הכלל היה כי עונשי מאסר באותו כתב אישום נקבעו בחופף. המקרה היחידי אליו הפנה שהתברר לאחר תיקון 113 הנ"ל, הוא </w:t>
      </w:r>
      <w:hyperlink r:id="rId28" w:history="1">
        <w:r w:rsidR="00214A51" w:rsidRPr="00214A51">
          <w:rPr>
            <w:rStyle w:val="Hyperlink"/>
            <w:rtl/>
          </w:rPr>
          <w:t>ע"פ 1127/13</w:t>
        </w:r>
      </w:hyperlink>
      <w:r w:rsidRPr="00197E2D">
        <w:rPr>
          <w:rtl/>
        </w:rPr>
        <w:t xml:space="preserve"> </w:t>
      </w:r>
      <w:r w:rsidRPr="00197E2D">
        <w:rPr>
          <w:b/>
          <w:bCs/>
          <w:rtl/>
        </w:rPr>
        <w:t>גברזגיי נגד מדינת ישראל</w:t>
      </w:r>
      <w:r w:rsidRPr="00197E2D">
        <w:rPr>
          <w:rtl/>
        </w:rPr>
        <w:t xml:space="preserve"> </w:t>
      </w:r>
      <w:r w:rsidR="00F1623D" w:rsidRPr="00F1623D">
        <w:rPr>
          <w:sz w:val="22"/>
          <w:rtl/>
        </w:rPr>
        <w:t xml:space="preserve">[פורסם בנבו] </w:t>
      </w:r>
      <w:r w:rsidRPr="00197E2D">
        <w:rPr>
          <w:rtl/>
        </w:rPr>
        <w:t>(15.1.2014) (להלן-עניין גברזגיי).  באותו מקרה הורשע הנאשם בעבירות שוד בנסיבות מחמירות ביחד עם עבירה של החזקת סכין ובית המשפט העליון קבע "ייתכן ויהיה ראוי לומר כי מתחם הענישה ההולם את העבירות, מבוסס בעיקרו על העבירה הדומיננטית".</w:t>
      </w:r>
    </w:p>
    <w:p w14:paraId="6E5C26DB" w14:textId="77777777" w:rsidR="006B21F2" w:rsidRPr="00197E2D" w:rsidRDefault="006B21F2" w:rsidP="00277697">
      <w:pPr>
        <w:jc w:val="both"/>
        <w:rPr>
          <w:rtl/>
        </w:rPr>
      </w:pPr>
    </w:p>
    <w:p w14:paraId="604B7FEA" w14:textId="77777777" w:rsidR="006B21F2" w:rsidRDefault="006B21F2" w:rsidP="00277697">
      <w:pPr>
        <w:spacing w:line="360" w:lineRule="auto"/>
        <w:jc w:val="both"/>
        <w:rPr>
          <w:rtl/>
        </w:rPr>
      </w:pPr>
      <w:r w:rsidRPr="00197E2D">
        <w:rPr>
          <w:rtl/>
        </w:rPr>
        <w:t>לטענתו כל שלוש העבירות "נבלעות" למעשה בעבירת הרצח שכן הנאשם לא ירה כדי לפגוע בשאדי או בחסן.</w:t>
      </w:r>
    </w:p>
    <w:p w14:paraId="4B7724A0" w14:textId="77777777" w:rsidR="006B21F2" w:rsidRPr="00197E2D" w:rsidRDefault="006B21F2" w:rsidP="00277697">
      <w:pPr>
        <w:jc w:val="both"/>
        <w:rPr>
          <w:rtl/>
        </w:rPr>
      </w:pPr>
    </w:p>
    <w:p w14:paraId="34C4E831" w14:textId="77777777" w:rsidR="006B21F2" w:rsidRDefault="006B21F2" w:rsidP="00277697">
      <w:pPr>
        <w:spacing w:line="360" w:lineRule="auto"/>
        <w:jc w:val="both"/>
        <w:rPr>
          <w:rtl/>
        </w:rPr>
      </w:pPr>
      <w:r w:rsidRPr="00197E2D">
        <w:rPr>
          <w:rtl/>
        </w:rPr>
        <w:t>לעניין הפיצויים- ביקש שלא לחייב את הנאשם בתשלום פיצוי, בשל חוסר יכולתו הכלכלית</w:t>
      </w:r>
      <w:r>
        <w:rPr>
          <w:rtl/>
        </w:rPr>
        <w:t xml:space="preserve">. ומאחר ולא יוכל לשלם את הפיצוי  </w:t>
      </w:r>
      <w:r w:rsidRPr="00197E2D">
        <w:rPr>
          <w:rtl/>
        </w:rPr>
        <w:t>הדבר יפריע לו בבוא העת ב</w:t>
      </w:r>
      <w:r>
        <w:rPr>
          <w:rtl/>
        </w:rPr>
        <w:t>הגיעו ל</w:t>
      </w:r>
      <w:r w:rsidRPr="00197E2D">
        <w:rPr>
          <w:rtl/>
        </w:rPr>
        <w:t xml:space="preserve">ועדת שחרורים.  </w:t>
      </w:r>
    </w:p>
    <w:p w14:paraId="010C6005" w14:textId="77777777" w:rsidR="006B21F2" w:rsidRDefault="006B21F2" w:rsidP="00277697">
      <w:pPr>
        <w:jc w:val="both"/>
        <w:rPr>
          <w:rtl/>
        </w:rPr>
      </w:pPr>
    </w:p>
    <w:p w14:paraId="52CC467B" w14:textId="77777777" w:rsidR="006B21F2" w:rsidRDefault="006B21F2" w:rsidP="00277697">
      <w:pPr>
        <w:spacing w:line="360" w:lineRule="auto"/>
        <w:jc w:val="both"/>
        <w:rPr>
          <w:rtl/>
        </w:rPr>
      </w:pPr>
      <w:r w:rsidRPr="00197E2D">
        <w:rPr>
          <w:rtl/>
        </w:rPr>
        <w:t xml:space="preserve">הנאשם בן 41, נשוי, אב לחמישה ילדים, ביניהם בן נכה. לטענת הסנגור בעקבות האירוע  נורו יריות לעבר ביתו של הנאשם, משפחתו נאלצה לעזוב את המקום, היא מתגוררת בתנאים לא תנאים במקום אחר. </w:t>
      </w:r>
    </w:p>
    <w:p w14:paraId="01B8AC0A" w14:textId="77777777" w:rsidR="006B21F2" w:rsidRPr="00197E2D" w:rsidRDefault="006B21F2" w:rsidP="00277697">
      <w:pPr>
        <w:jc w:val="both"/>
        <w:rPr>
          <w:rtl/>
        </w:rPr>
      </w:pPr>
    </w:p>
    <w:p w14:paraId="24ACA1EC" w14:textId="77777777" w:rsidR="006B21F2" w:rsidRDefault="006B21F2" w:rsidP="00277697">
      <w:pPr>
        <w:spacing w:line="360" w:lineRule="auto"/>
        <w:jc w:val="both"/>
        <w:rPr>
          <w:rtl/>
        </w:rPr>
      </w:pPr>
      <w:r w:rsidRPr="00197E2D">
        <w:rPr>
          <w:rtl/>
        </w:rPr>
        <w:t xml:space="preserve"> בתום הטיעונים ניתנה לנאשם האפשרות לומר את דברו והוא בחר לשתוק.</w:t>
      </w:r>
    </w:p>
    <w:p w14:paraId="0DCCAD9C" w14:textId="77777777" w:rsidR="006B21F2" w:rsidRPr="00197E2D" w:rsidRDefault="006B21F2" w:rsidP="00277697">
      <w:pPr>
        <w:spacing w:line="360" w:lineRule="auto"/>
        <w:jc w:val="both"/>
        <w:rPr>
          <w:rtl/>
        </w:rPr>
      </w:pPr>
    </w:p>
    <w:p w14:paraId="002D001C" w14:textId="77777777" w:rsidR="006B21F2" w:rsidRPr="00197E2D" w:rsidRDefault="006B21F2" w:rsidP="00277697">
      <w:pPr>
        <w:spacing w:line="360" w:lineRule="auto"/>
        <w:jc w:val="both"/>
        <w:rPr>
          <w:u w:val="single"/>
          <w:rtl/>
        </w:rPr>
      </w:pPr>
      <w:r w:rsidRPr="00197E2D">
        <w:rPr>
          <w:u w:val="single"/>
          <w:rtl/>
        </w:rPr>
        <w:t>דיון</w:t>
      </w:r>
    </w:p>
    <w:p w14:paraId="5969DBC1" w14:textId="77777777" w:rsidR="006B21F2" w:rsidRDefault="006B21F2" w:rsidP="00277697">
      <w:pPr>
        <w:spacing w:line="360" w:lineRule="auto"/>
        <w:jc w:val="both"/>
        <w:rPr>
          <w:rtl/>
        </w:rPr>
      </w:pPr>
      <w:r w:rsidRPr="00197E2D">
        <w:rPr>
          <w:rtl/>
        </w:rPr>
        <w:t>מקובלת עליי עמדת שני הצדדים ובמקרה זה מדובר באירוע אחד, למרות שתוצאותיו גרמו לפגיעה במנוח, בשאדי ובחסן.</w:t>
      </w:r>
    </w:p>
    <w:p w14:paraId="4D20740C" w14:textId="77777777" w:rsidR="006B21F2" w:rsidRPr="00197E2D" w:rsidRDefault="006B21F2" w:rsidP="00277697">
      <w:pPr>
        <w:jc w:val="both"/>
        <w:rPr>
          <w:rtl/>
        </w:rPr>
      </w:pPr>
    </w:p>
    <w:p w14:paraId="7110DF07" w14:textId="77777777" w:rsidR="006B21F2" w:rsidRPr="00C20280" w:rsidRDefault="006B21F2" w:rsidP="00277697">
      <w:pPr>
        <w:spacing w:line="360" w:lineRule="auto"/>
        <w:jc w:val="both"/>
        <w:rPr>
          <w:rtl/>
        </w:rPr>
      </w:pPr>
      <w:r w:rsidRPr="00197E2D">
        <w:rPr>
          <w:rtl/>
        </w:rPr>
        <w:t xml:space="preserve">לנאשם הייתה תכנית עבריינית אחת, לרצוח את המנוח ורק מזלם הרע של שאדי וחסן שעמדו </w:t>
      </w:r>
      <w:r w:rsidRPr="00C20280">
        <w:rPr>
          <w:rtl/>
        </w:rPr>
        <w:t xml:space="preserve">בסמוך אליו בעת הירי גרמה לפציעתם, כך שיש קשר הדוק בין כל העבירות.  </w:t>
      </w:r>
    </w:p>
    <w:p w14:paraId="2F48F43F" w14:textId="77777777" w:rsidR="006B21F2" w:rsidRPr="00197E2D" w:rsidRDefault="006B21F2" w:rsidP="00277697">
      <w:pPr>
        <w:spacing w:line="360" w:lineRule="auto"/>
        <w:jc w:val="both"/>
        <w:rPr>
          <w:rtl/>
        </w:rPr>
      </w:pPr>
      <w:r w:rsidRPr="00C20280">
        <w:rPr>
          <w:rtl/>
        </w:rPr>
        <w:t>מקובלת עליי עמדת הסנגור כי העבירה בנשק "נבלעת" בעבירת הרצח ואין הצדקה להטיל במקרה זה עונש מצטבר בשל הלחיצה על ההדק.  אני מסכים עם הסנגור כי אין להטיל ענישה נוספת בגין העובדה כי הנאשם נשא את הנשק עובר לאירוע כמתואר בעדותו. עבירה זו לא נכללה בעובדות כתב האישום. ואציע לחבריי לא להטיל עונש נוסף למאסר עולם בגין העבירות בנשק. המאשימה הציעה מתחם שבין 1.5 עד 4 שנות מאסר בפועל ואציע לגזור על הנאשם בגין העבירות בנשק עונש של שנתיים בפועל בחופף למאסר העולם.</w:t>
      </w:r>
    </w:p>
    <w:p w14:paraId="1CCEF386" w14:textId="77777777" w:rsidR="006B21F2" w:rsidRPr="00197E2D" w:rsidRDefault="006B21F2" w:rsidP="00277697">
      <w:pPr>
        <w:jc w:val="both"/>
        <w:rPr>
          <w:rtl/>
        </w:rPr>
      </w:pPr>
    </w:p>
    <w:p w14:paraId="4A611EF7" w14:textId="77777777" w:rsidR="006B21F2" w:rsidRPr="00197E2D" w:rsidRDefault="006B21F2" w:rsidP="00277697">
      <w:pPr>
        <w:spacing w:line="360" w:lineRule="auto"/>
        <w:jc w:val="both"/>
        <w:rPr>
          <w:rtl/>
        </w:rPr>
      </w:pPr>
      <w:r w:rsidRPr="00197E2D">
        <w:rPr>
          <w:rtl/>
        </w:rPr>
        <w:t xml:space="preserve">מקובלת עליי עמדת המאשימה באשר למדיניות הראויה לפיה יש להטיל עונש נפרד לשתי עבירות הפציעה בנסיבות חמורות ועונש זה צריך להיות במצטבר. </w:t>
      </w:r>
    </w:p>
    <w:p w14:paraId="0AEDC7EB" w14:textId="77777777" w:rsidR="006B21F2" w:rsidRPr="00197E2D" w:rsidRDefault="006B21F2" w:rsidP="00277697">
      <w:pPr>
        <w:jc w:val="both"/>
        <w:rPr>
          <w:rtl/>
        </w:rPr>
      </w:pPr>
    </w:p>
    <w:p w14:paraId="5F1B4235" w14:textId="77777777" w:rsidR="006B21F2" w:rsidRDefault="006B21F2" w:rsidP="00277697">
      <w:pPr>
        <w:spacing w:line="360" w:lineRule="auto"/>
        <w:jc w:val="both"/>
        <w:rPr>
          <w:rtl/>
        </w:rPr>
      </w:pPr>
      <w:r w:rsidRPr="00197E2D">
        <w:rPr>
          <w:rtl/>
        </w:rPr>
        <w:t xml:space="preserve">בראש ובראשונה אפנה  לפסק הדין עליו הסתמך הסנגור, עניין גברזגיי (שלא דן כלל בעבירת רצח, אלא בשוד והחזקת סכין, אותה </w:t>
      </w:r>
      <w:r>
        <w:rPr>
          <w:rtl/>
        </w:rPr>
        <w:t xml:space="preserve">לא </w:t>
      </w:r>
      <w:r w:rsidRPr="00197E2D">
        <w:rPr>
          <w:rtl/>
        </w:rPr>
        <w:t>החזיק הנאשם במהלך השוד) וכך נקבע באותו עניין על ידי בית המשפט העליון:</w:t>
      </w:r>
    </w:p>
    <w:p w14:paraId="33C7E22B" w14:textId="77777777" w:rsidR="006B21F2" w:rsidRPr="00197E2D" w:rsidRDefault="006B21F2" w:rsidP="00277697">
      <w:pPr>
        <w:jc w:val="both"/>
        <w:rPr>
          <w:rtl/>
        </w:rPr>
      </w:pPr>
    </w:p>
    <w:p w14:paraId="163C4937" w14:textId="77777777" w:rsidR="006B21F2" w:rsidRDefault="006B21F2" w:rsidP="00277697">
      <w:pPr>
        <w:ind w:left="360" w:right="709"/>
        <w:jc w:val="both"/>
        <w:rPr>
          <w:rtl/>
        </w:rPr>
      </w:pPr>
      <w:r w:rsidRPr="00197E2D">
        <w:rPr>
          <w:rtl/>
        </w:rPr>
        <w:t>"אחת השאלות המרכזיות בהקשר זה, היא כיצד יש לקבוע את מתחם הענישה כאשר לפני בית המשפט מספר עבירות המהוות אירוע אחד. לטעמי, גם בעניין זה, הכלל המנחה הוא שמירת ההלימה בין חומרת המעשה וגובה העונש, זאת בהתחשבות בערך החברתי שמגלות כל העבירות יחדיו; מדיניות הענישה הנוהגת של כל אחת מן העבירות ולבסוף גם הנסיבות של כל העבירות. ייתכן ובמקרה אחד, עבירה אחת תהיה הדומיננטית, והעבירות האחרות יהיו קשורות באותה העבירה. במקרה מסוג כזה, ייתכן ויהיה ראוי לומר כי מתחם הענישה ההולם את העבירות, מבוסס בעיקרו על העבירה הדומיננטית. אך כאמור, אין תשובה אחת ויחידה לעניין זה, וכל מקרה ידרוש הנמקה יסודית".</w:t>
      </w:r>
    </w:p>
    <w:p w14:paraId="21D1824C" w14:textId="77777777" w:rsidR="006B21F2" w:rsidRPr="00197E2D" w:rsidRDefault="006B21F2" w:rsidP="00277697">
      <w:pPr>
        <w:ind w:left="360" w:right="709"/>
        <w:jc w:val="both"/>
        <w:rPr>
          <w:rtl/>
        </w:rPr>
      </w:pPr>
    </w:p>
    <w:p w14:paraId="7D8063BD" w14:textId="77777777" w:rsidR="006B21F2" w:rsidRDefault="006B21F2" w:rsidP="00277697">
      <w:pPr>
        <w:spacing w:line="360" w:lineRule="auto"/>
        <w:jc w:val="both"/>
        <w:rPr>
          <w:rtl/>
        </w:rPr>
      </w:pPr>
    </w:p>
    <w:p w14:paraId="417F4A76" w14:textId="77777777" w:rsidR="006B21F2" w:rsidRDefault="006B21F2" w:rsidP="00277697">
      <w:pPr>
        <w:jc w:val="both"/>
        <w:rPr>
          <w:rtl/>
        </w:rPr>
      </w:pPr>
    </w:p>
    <w:p w14:paraId="4B5873FF" w14:textId="77777777" w:rsidR="006B21F2" w:rsidRDefault="006B21F2" w:rsidP="00277697">
      <w:pPr>
        <w:spacing w:line="360" w:lineRule="auto"/>
        <w:jc w:val="both"/>
        <w:rPr>
          <w:rtl/>
        </w:rPr>
      </w:pPr>
      <w:r w:rsidRPr="00197E2D">
        <w:rPr>
          <w:rtl/>
        </w:rPr>
        <w:t>במהלך השנים שלאחר כניסתו לתוקף של תיקון 113 ל</w:t>
      </w:r>
      <w:hyperlink r:id="rId29" w:history="1">
        <w:r w:rsidR="00214A51" w:rsidRPr="00214A51">
          <w:rPr>
            <w:rStyle w:val="Hyperlink"/>
            <w:rtl/>
          </w:rPr>
          <w:t>חוק העונשין</w:t>
        </w:r>
      </w:hyperlink>
      <w:r w:rsidRPr="00197E2D">
        <w:rPr>
          <w:rtl/>
        </w:rPr>
        <w:t xml:space="preserve"> קבע בית המשפט העליון לא אחת כי הענישה בגין העבירות הנלוות לעבירת רצח צריכה להיות במצטבר. </w:t>
      </w:r>
    </w:p>
    <w:p w14:paraId="1B66E364" w14:textId="77777777" w:rsidR="006B21F2" w:rsidRPr="00197E2D" w:rsidRDefault="006B21F2" w:rsidP="00277697">
      <w:pPr>
        <w:spacing w:line="360" w:lineRule="auto"/>
        <w:jc w:val="both"/>
        <w:rPr>
          <w:rtl/>
        </w:rPr>
      </w:pPr>
    </w:p>
    <w:p w14:paraId="552E406E" w14:textId="77777777" w:rsidR="006B21F2" w:rsidRDefault="006B21F2" w:rsidP="00277697">
      <w:pPr>
        <w:spacing w:line="360" w:lineRule="auto"/>
        <w:jc w:val="both"/>
        <w:rPr>
          <w:rtl/>
        </w:rPr>
      </w:pPr>
      <w:r w:rsidRPr="00197E2D">
        <w:rPr>
          <w:rtl/>
        </w:rPr>
        <w:t xml:space="preserve">ראו למשל </w:t>
      </w:r>
      <w:hyperlink r:id="rId30" w:history="1">
        <w:r w:rsidR="00214A51" w:rsidRPr="00214A51">
          <w:rPr>
            <w:rStyle w:val="Hyperlink"/>
            <w:rtl/>
          </w:rPr>
          <w:t>ע"פ 8686/15</w:t>
        </w:r>
      </w:hyperlink>
      <w:r w:rsidRPr="00197E2D">
        <w:rPr>
          <w:rtl/>
        </w:rPr>
        <w:t xml:space="preserve"> </w:t>
      </w:r>
      <w:r w:rsidRPr="00197E2D">
        <w:rPr>
          <w:b/>
          <w:bCs/>
          <w:rtl/>
        </w:rPr>
        <w:t>גריבוב  נגד מדינת ישראל</w:t>
      </w:r>
      <w:r w:rsidRPr="00197E2D">
        <w:rPr>
          <w:rtl/>
        </w:rPr>
        <w:t xml:space="preserve"> </w:t>
      </w:r>
      <w:r w:rsidR="00F1623D" w:rsidRPr="00F1623D">
        <w:rPr>
          <w:sz w:val="22"/>
          <w:rtl/>
        </w:rPr>
        <w:t xml:space="preserve">[פורסם בנבו] </w:t>
      </w:r>
      <w:r w:rsidRPr="00197E2D">
        <w:rPr>
          <w:rtl/>
        </w:rPr>
        <w:t>(3.10.2017) שהתברר בפנינו. באותו מקרה הורשע הנאשם בעבירה של רצח ביחד עם עבירה של שוד בנסיבות מחמירות. הנאשם שדד את המנוח באלימות ומיד לאחר מכן רצח אותו. הוא נדון על ידינו לעונש של מאסר עולם, ביחד עם 5 שנות מאסר בפועל במצטבר.  בית המשפט העליון דחה את ערעור הנאשם וכך קבע:</w:t>
      </w:r>
    </w:p>
    <w:p w14:paraId="6A6A9247" w14:textId="77777777" w:rsidR="006B21F2" w:rsidRPr="00197E2D" w:rsidRDefault="006B21F2" w:rsidP="00277697">
      <w:pPr>
        <w:jc w:val="both"/>
        <w:rPr>
          <w:rtl/>
        </w:rPr>
      </w:pPr>
    </w:p>
    <w:p w14:paraId="157A913A" w14:textId="77777777" w:rsidR="006B21F2" w:rsidRPr="00197E2D" w:rsidRDefault="006B21F2" w:rsidP="00277697">
      <w:pPr>
        <w:pStyle w:val="Ruller4"/>
        <w:numPr>
          <w:ilvl w:val="0"/>
          <w:numId w:val="0"/>
        </w:numPr>
        <w:spacing w:line="240" w:lineRule="auto"/>
        <w:ind w:left="720"/>
        <w:rPr>
          <w:rFonts w:ascii="Arial" w:hAnsi="Arial" w:cs="David"/>
          <w:szCs w:val="24"/>
          <w:rtl/>
        </w:rPr>
      </w:pPr>
      <w:r w:rsidRPr="00197E2D">
        <w:rPr>
          <w:rFonts w:ascii="Arial" w:hAnsi="Arial" w:cs="David"/>
          <w:szCs w:val="24"/>
          <w:rtl/>
        </w:rPr>
        <w:t xml:space="preserve">"ויודגש, עצם העובדה שחלק מיסודותיו המשפטיים של מעשה השוד נעוצים במעשה הרצח – קרי יסוד האלימות ויסוד הקשר הסיבתי – אין בה כשלעצמה כדי להביא למסקנה שלפיה מדובר במעשה אחד...עיקרון ההלימה מורה כי יש לתת ביטוי עונשי לכל מעשה שבו הורשע נאשם, ועל כן חפיפה של עונשים תחייב הנמקה – זאת בפרט בענישה בגין אירוע שבו התקיימו מעשה רצח ומעשה נוסף". </w:t>
      </w:r>
    </w:p>
    <w:p w14:paraId="1A2212F9" w14:textId="77777777" w:rsidR="006B21F2" w:rsidRDefault="006B21F2" w:rsidP="00277697">
      <w:pPr>
        <w:pStyle w:val="Ruller40"/>
        <w:rPr>
          <w:rFonts w:ascii="Arial" w:hAnsi="Arial" w:cs="David"/>
          <w:sz w:val="24"/>
          <w:szCs w:val="24"/>
          <w:rtl/>
        </w:rPr>
      </w:pPr>
    </w:p>
    <w:p w14:paraId="283E9713" w14:textId="77777777" w:rsidR="006B21F2" w:rsidRPr="00197E2D" w:rsidRDefault="006B21F2" w:rsidP="00277697">
      <w:pPr>
        <w:pStyle w:val="Ruller40"/>
        <w:rPr>
          <w:rFonts w:ascii="Arial" w:hAnsi="Arial" w:cs="David"/>
          <w:sz w:val="24"/>
          <w:szCs w:val="24"/>
          <w:rtl/>
        </w:rPr>
      </w:pPr>
    </w:p>
    <w:p w14:paraId="04368BB9" w14:textId="77777777" w:rsidR="006B21F2" w:rsidRPr="00197E2D" w:rsidRDefault="006B21F2" w:rsidP="00277697">
      <w:pPr>
        <w:pStyle w:val="Ruller40"/>
        <w:rPr>
          <w:rFonts w:ascii="Arial" w:hAnsi="Arial" w:cs="David"/>
          <w:sz w:val="24"/>
          <w:szCs w:val="24"/>
          <w:rtl/>
        </w:rPr>
      </w:pPr>
      <w:r w:rsidRPr="00197E2D">
        <w:rPr>
          <w:rFonts w:ascii="Arial" w:hAnsi="Arial" w:cs="David"/>
          <w:sz w:val="24"/>
          <w:szCs w:val="24"/>
          <w:rtl/>
        </w:rPr>
        <w:t>עוד אפנה ל</w:t>
      </w:r>
      <w:hyperlink r:id="rId31" w:history="1">
        <w:r w:rsidR="00214A51" w:rsidRPr="00214A51">
          <w:rPr>
            <w:rStyle w:val="Hyperlink"/>
            <w:rFonts w:ascii="Arial" w:hAnsi="Arial" w:cs="David"/>
            <w:sz w:val="24"/>
            <w:szCs w:val="24"/>
            <w:rtl/>
          </w:rPr>
          <w:t>ע"פ 2453/15</w:t>
        </w:r>
      </w:hyperlink>
      <w:r w:rsidRPr="00197E2D">
        <w:rPr>
          <w:rFonts w:ascii="Arial" w:hAnsi="Arial" w:cs="David"/>
          <w:sz w:val="24"/>
          <w:szCs w:val="24"/>
          <w:rtl/>
        </w:rPr>
        <w:t xml:space="preserve"> </w:t>
      </w:r>
      <w:r w:rsidRPr="00197E2D">
        <w:rPr>
          <w:rFonts w:ascii="Arial" w:hAnsi="Arial" w:cs="David"/>
          <w:b/>
          <w:bCs/>
          <w:sz w:val="24"/>
          <w:szCs w:val="24"/>
          <w:rtl/>
        </w:rPr>
        <w:t>חיימוב נגד מדינת ישראל</w:t>
      </w:r>
      <w:r w:rsidRPr="00197E2D">
        <w:rPr>
          <w:rFonts w:ascii="Arial" w:hAnsi="Arial" w:cs="David"/>
          <w:sz w:val="24"/>
          <w:szCs w:val="24"/>
          <w:rtl/>
        </w:rPr>
        <w:t xml:space="preserve"> </w:t>
      </w:r>
      <w:r w:rsidR="00C53542" w:rsidRPr="00C53542">
        <w:rPr>
          <w:rFonts w:ascii="Times New Roman" w:hAnsi="Times New Roman" w:cs="David"/>
          <w:spacing w:val="0"/>
          <w:szCs w:val="24"/>
          <w:rtl/>
        </w:rPr>
        <w:t xml:space="preserve">[פורסם בנבו] </w:t>
      </w:r>
      <w:r w:rsidRPr="00197E2D">
        <w:rPr>
          <w:rFonts w:ascii="Arial" w:hAnsi="Arial" w:cs="David"/>
          <w:sz w:val="24"/>
          <w:szCs w:val="24"/>
          <w:rtl/>
        </w:rPr>
        <w:t>(11.12.2016)  באותו מקרה הורשע הנאשם בשתי עבירות של סיוע להריגה, שני יושבי רכב נהרגו באותו מטח של ירי והנאשם ביקש להטיל לראות בכך מעשה אחד וכך קבע בית המשפט העליון כשחה את ערעורו:</w:t>
      </w:r>
    </w:p>
    <w:p w14:paraId="3B9AE730" w14:textId="77777777" w:rsidR="006B21F2" w:rsidRDefault="006B21F2" w:rsidP="00277697">
      <w:pPr>
        <w:overflowPunct w:val="0"/>
        <w:autoSpaceDE w:val="0"/>
        <w:autoSpaceDN w:val="0"/>
        <w:adjustRightInd w:val="0"/>
        <w:ind w:left="360" w:right="567"/>
        <w:jc w:val="both"/>
        <w:textAlignment w:val="baseline"/>
        <w:rPr>
          <w:rtl/>
          <w:lang w:eastAsia="he-IL"/>
        </w:rPr>
      </w:pPr>
    </w:p>
    <w:p w14:paraId="40A3F202" w14:textId="77777777" w:rsidR="006B21F2" w:rsidRPr="00197E2D" w:rsidRDefault="006B21F2" w:rsidP="00277697">
      <w:pPr>
        <w:overflowPunct w:val="0"/>
        <w:autoSpaceDE w:val="0"/>
        <w:autoSpaceDN w:val="0"/>
        <w:adjustRightInd w:val="0"/>
        <w:ind w:left="360" w:right="567"/>
        <w:jc w:val="both"/>
        <w:textAlignment w:val="baseline"/>
        <w:rPr>
          <w:rtl/>
          <w:lang w:eastAsia="he-IL"/>
        </w:rPr>
      </w:pPr>
      <w:r w:rsidRPr="00197E2D">
        <w:rPr>
          <w:rtl/>
          <w:lang w:eastAsia="he-IL"/>
        </w:rPr>
        <w:t>"</w:t>
      </w:r>
      <w:r w:rsidRPr="0042134D">
        <w:rPr>
          <w:rtl/>
          <w:lang w:eastAsia="he-IL"/>
        </w:rPr>
        <w:t>מתי ייאמר שעבירות נעשו ב"מעשה" אחד? בפסיקה נקבעו שני מבחנים עיקריים לעניין זה: המבחן הראשון, הוא בעל מאפיין צורני-עובדתי, ועניינו בשאלה האם מדובר בפעולה יחידה נמשכת, שלא ניתן לפצלה לתת-פעולות (ולכן צריכה להיחשב כמעשה אחד), או שמא מדובר בשרשרת של פעולות עוקבות שכל אחת היא חוליה נפרדת (כך שתיחשבנה למספר מעשים). המבחן השני הוא מבחן מהותי-מוסרי, שנוהג בעיקר בעבירות הנעברות בגופו של אדם. מבחן זה מתמקד בחשיבות הערך המוגן שנפגע, ובמסגרתו נבחן, בין היתר, מספר הנפגעים מביצוע העבירה.... שבעבירות המתה יש לתת משקל משמעותי למספר הקרבנות בקביעת מספר המעשים, על מנת לבטא את הערך הסגולי הטמון בחייו של כל אדם.... עיקרון זה הוחל גם באותם מקרים שבהם מעשי ההרג הרבים לא התבטאו בפעולות פיזיות שלכאורה ניתן להפרידן זו מזו (למשל, ירי של מספר כדורים) אלא גם במצבים של מעשה פיזי אחד שהוליד כמה מקרי הרג</w:t>
      </w:r>
      <w:r w:rsidRPr="00197E2D">
        <w:rPr>
          <w:rtl/>
          <w:lang w:eastAsia="he-IL"/>
        </w:rPr>
        <w:t>".</w:t>
      </w:r>
    </w:p>
    <w:p w14:paraId="6C87FAD6" w14:textId="77777777" w:rsidR="006B21F2" w:rsidRPr="00197E2D" w:rsidRDefault="006B21F2" w:rsidP="00277697">
      <w:pPr>
        <w:overflowPunct w:val="0"/>
        <w:autoSpaceDE w:val="0"/>
        <w:autoSpaceDN w:val="0"/>
        <w:adjustRightInd w:val="0"/>
        <w:spacing w:line="360" w:lineRule="auto"/>
        <w:ind w:right="567"/>
        <w:jc w:val="both"/>
        <w:textAlignment w:val="baseline"/>
        <w:rPr>
          <w:rtl/>
          <w:lang w:eastAsia="he-IL"/>
        </w:rPr>
      </w:pPr>
    </w:p>
    <w:p w14:paraId="37AEC1DA" w14:textId="77777777" w:rsidR="006B21F2" w:rsidRDefault="006B21F2" w:rsidP="00277697">
      <w:pPr>
        <w:overflowPunct w:val="0"/>
        <w:autoSpaceDE w:val="0"/>
        <w:autoSpaceDN w:val="0"/>
        <w:adjustRightInd w:val="0"/>
        <w:jc w:val="both"/>
        <w:textAlignment w:val="baseline"/>
        <w:rPr>
          <w:rtl/>
          <w:lang w:eastAsia="he-IL"/>
        </w:rPr>
      </w:pPr>
    </w:p>
    <w:p w14:paraId="464FA76E" w14:textId="77777777" w:rsidR="006B21F2" w:rsidRPr="00197E2D" w:rsidRDefault="006B21F2" w:rsidP="00277697">
      <w:pPr>
        <w:overflowPunct w:val="0"/>
        <w:autoSpaceDE w:val="0"/>
        <w:autoSpaceDN w:val="0"/>
        <w:adjustRightInd w:val="0"/>
        <w:spacing w:line="360" w:lineRule="auto"/>
        <w:jc w:val="both"/>
        <w:textAlignment w:val="baseline"/>
        <w:rPr>
          <w:rtl/>
          <w:lang w:eastAsia="he-IL"/>
        </w:rPr>
      </w:pPr>
      <w:r>
        <w:rPr>
          <w:rtl/>
          <w:lang w:eastAsia="he-IL"/>
        </w:rPr>
        <w:t>ה</w:t>
      </w:r>
      <w:r w:rsidRPr="00197E2D">
        <w:rPr>
          <w:rtl/>
          <w:lang w:eastAsia="he-IL"/>
        </w:rPr>
        <w:t xml:space="preserve">ערכים שנפגעו במקרה זה, קדושת החיים וזכותו של כל נפגע עבירה לבטחונו ושלמות גופו </w:t>
      </w:r>
      <w:r>
        <w:rPr>
          <w:rtl/>
          <w:lang w:eastAsia="he-IL"/>
        </w:rPr>
        <w:t xml:space="preserve">נפגעו בצורה קשה מאוד </w:t>
      </w:r>
      <w:r w:rsidRPr="00197E2D">
        <w:rPr>
          <w:rtl/>
          <w:lang w:eastAsia="he-IL"/>
        </w:rPr>
        <w:t>והפגיעה החמורה באותם ערכים מחייב</w:t>
      </w:r>
      <w:r>
        <w:rPr>
          <w:rtl/>
          <w:lang w:eastAsia="he-IL"/>
        </w:rPr>
        <w:t xml:space="preserve">ת </w:t>
      </w:r>
      <w:r w:rsidRPr="00197E2D">
        <w:rPr>
          <w:rtl/>
          <w:lang w:eastAsia="he-IL"/>
        </w:rPr>
        <w:t>לראות בארוע הכולל, ארוע המורכב משלושה מעשים נפרדים בגין כל אחד מהם יש להטיל עונש במצטבר.</w:t>
      </w:r>
    </w:p>
    <w:p w14:paraId="78D6FBA0" w14:textId="77777777" w:rsidR="006B21F2" w:rsidRPr="00197E2D" w:rsidRDefault="006B21F2" w:rsidP="00277697">
      <w:pPr>
        <w:overflowPunct w:val="0"/>
        <w:autoSpaceDE w:val="0"/>
        <w:autoSpaceDN w:val="0"/>
        <w:adjustRightInd w:val="0"/>
        <w:jc w:val="both"/>
        <w:textAlignment w:val="baseline"/>
        <w:rPr>
          <w:rtl/>
          <w:lang w:eastAsia="he-IL"/>
        </w:rPr>
      </w:pPr>
    </w:p>
    <w:p w14:paraId="6A803311" w14:textId="77777777" w:rsidR="006B21F2" w:rsidRPr="00197E2D" w:rsidRDefault="006B21F2" w:rsidP="00277697">
      <w:pPr>
        <w:overflowPunct w:val="0"/>
        <w:autoSpaceDE w:val="0"/>
        <w:autoSpaceDN w:val="0"/>
        <w:adjustRightInd w:val="0"/>
        <w:spacing w:line="360" w:lineRule="auto"/>
        <w:jc w:val="both"/>
        <w:textAlignment w:val="baseline"/>
        <w:rPr>
          <w:rtl/>
          <w:lang w:eastAsia="he-IL"/>
        </w:rPr>
      </w:pPr>
      <w:r w:rsidRPr="00197E2D">
        <w:rPr>
          <w:rtl/>
          <w:lang w:eastAsia="he-IL"/>
        </w:rPr>
        <w:t xml:space="preserve">מיותר להזכיר </w:t>
      </w:r>
      <w:r>
        <w:rPr>
          <w:rtl/>
          <w:lang w:eastAsia="he-IL"/>
        </w:rPr>
        <w:t xml:space="preserve">כי </w:t>
      </w:r>
      <w:r w:rsidRPr="00197E2D">
        <w:rPr>
          <w:rtl/>
          <w:lang w:eastAsia="he-IL"/>
        </w:rPr>
        <w:t xml:space="preserve">בגין עבירת הרצח העונש הקבוע הוא מאסר עולם חובה. </w:t>
      </w:r>
    </w:p>
    <w:p w14:paraId="5333FC73" w14:textId="77777777" w:rsidR="006B21F2" w:rsidRPr="00197E2D" w:rsidRDefault="006B21F2" w:rsidP="00277697">
      <w:pPr>
        <w:overflowPunct w:val="0"/>
        <w:autoSpaceDE w:val="0"/>
        <w:autoSpaceDN w:val="0"/>
        <w:adjustRightInd w:val="0"/>
        <w:spacing w:line="360" w:lineRule="auto"/>
        <w:jc w:val="both"/>
        <w:textAlignment w:val="baseline"/>
        <w:rPr>
          <w:rtl/>
        </w:rPr>
      </w:pPr>
      <w:r w:rsidRPr="00197E2D">
        <w:rPr>
          <w:rtl/>
          <w:lang w:eastAsia="he-IL"/>
        </w:rPr>
        <w:t xml:space="preserve">בגין עבירה של </w:t>
      </w:r>
      <w:r w:rsidRPr="00197E2D">
        <w:rPr>
          <w:color w:val="000000"/>
          <w:rtl/>
        </w:rPr>
        <w:t>פציעה בנסיבות מחמירות העונש המירבי הקבוע ב</w:t>
      </w:r>
      <w:hyperlink r:id="rId32" w:history="1">
        <w:r w:rsidR="00214A51" w:rsidRPr="00214A51">
          <w:rPr>
            <w:rStyle w:val="Hyperlink"/>
            <w:rtl/>
          </w:rPr>
          <w:t>חוק העונשין</w:t>
        </w:r>
      </w:hyperlink>
      <w:r w:rsidRPr="00197E2D">
        <w:rPr>
          <w:color w:val="000000"/>
          <w:rtl/>
        </w:rPr>
        <w:t xml:space="preserve"> עומד על 6 שנות מאסר</w:t>
      </w:r>
      <w:r>
        <w:rPr>
          <w:color w:val="000000"/>
          <w:rtl/>
        </w:rPr>
        <w:t xml:space="preserve"> (</w:t>
      </w:r>
      <w:r w:rsidRPr="00197E2D">
        <w:rPr>
          <w:color w:val="000000"/>
          <w:rtl/>
        </w:rPr>
        <w:t>לכל אחת משתי העבירות</w:t>
      </w:r>
      <w:r>
        <w:rPr>
          <w:color w:val="000000"/>
          <w:rtl/>
        </w:rPr>
        <w:t>).</w:t>
      </w:r>
    </w:p>
    <w:p w14:paraId="0C68A97D" w14:textId="77777777" w:rsidR="006B21F2" w:rsidRPr="00197E2D" w:rsidRDefault="006B21F2" w:rsidP="00277697">
      <w:pPr>
        <w:overflowPunct w:val="0"/>
        <w:autoSpaceDE w:val="0"/>
        <w:autoSpaceDN w:val="0"/>
        <w:adjustRightInd w:val="0"/>
        <w:spacing w:line="360" w:lineRule="auto"/>
        <w:jc w:val="both"/>
        <w:textAlignment w:val="baseline"/>
        <w:rPr>
          <w:rtl/>
        </w:rPr>
      </w:pPr>
    </w:p>
    <w:p w14:paraId="263ACE7E" w14:textId="77777777" w:rsidR="006B21F2" w:rsidRDefault="006B21F2" w:rsidP="00277697">
      <w:pPr>
        <w:overflowPunct w:val="0"/>
        <w:autoSpaceDE w:val="0"/>
        <w:autoSpaceDN w:val="0"/>
        <w:adjustRightInd w:val="0"/>
        <w:spacing w:line="360" w:lineRule="auto"/>
        <w:jc w:val="both"/>
        <w:textAlignment w:val="baseline"/>
        <w:rPr>
          <w:rtl/>
        </w:rPr>
      </w:pPr>
    </w:p>
    <w:p w14:paraId="39108673" w14:textId="77777777" w:rsidR="006B21F2" w:rsidRPr="00197E2D" w:rsidRDefault="006B21F2" w:rsidP="00277697">
      <w:pPr>
        <w:overflowPunct w:val="0"/>
        <w:autoSpaceDE w:val="0"/>
        <w:autoSpaceDN w:val="0"/>
        <w:adjustRightInd w:val="0"/>
        <w:spacing w:line="360" w:lineRule="auto"/>
        <w:jc w:val="both"/>
        <w:textAlignment w:val="baseline"/>
        <w:rPr>
          <w:rtl/>
        </w:rPr>
      </w:pPr>
      <w:r w:rsidRPr="00197E2D">
        <w:rPr>
          <w:rtl/>
        </w:rPr>
        <w:t xml:space="preserve">אשר למדיניות הענישה </w:t>
      </w:r>
      <w:r>
        <w:rPr>
          <w:rtl/>
        </w:rPr>
        <w:t xml:space="preserve">בעבירה של פציעה בנסיבות מחמירות </w:t>
      </w:r>
      <w:r w:rsidRPr="00197E2D">
        <w:rPr>
          <w:rtl/>
        </w:rPr>
        <w:t>אפנה ל</w:t>
      </w:r>
      <w:hyperlink r:id="rId33" w:history="1">
        <w:r w:rsidR="00214A51" w:rsidRPr="00214A51">
          <w:rPr>
            <w:rStyle w:val="Hyperlink"/>
            <w:rtl/>
          </w:rPr>
          <w:t>ע"פ 1120/15</w:t>
        </w:r>
      </w:hyperlink>
      <w:r w:rsidRPr="00197E2D">
        <w:rPr>
          <w:rtl/>
        </w:rPr>
        <w:t xml:space="preserve"> </w:t>
      </w:r>
      <w:r w:rsidRPr="00197E2D">
        <w:rPr>
          <w:b/>
          <w:bCs/>
          <w:rtl/>
        </w:rPr>
        <w:t>מדינת ישראל נגד תיתי</w:t>
      </w:r>
      <w:r w:rsidRPr="00197E2D">
        <w:rPr>
          <w:rtl/>
        </w:rPr>
        <w:t xml:space="preserve"> </w:t>
      </w:r>
      <w:r w:rsidR="00C53542" w:rsidRPr="00C53542">
        <w:rPr>
          <w:sz w:val="22"/>
          <w:rtl/>
        </w:rPr>
        <w:t xml:space="preserve">[פורסם בנבו] </w:t>
      </w:r>
      <w:r w:rsidRPr="00197E2D">
        <w:rPr>
          <w:rtl/>
        </w:rPr>
        <w:t>(16.11.2015), באותו מקרה ירי המשיב לעבר ביתם של המתלוננים ופגע בשניים מהם</w:t>
      </w:r>
      <w:r>
        <w:rPr>
          <w:rtl/>
        </w:rPr>
        <w:t>. ב</w:t>
      </w:r>
      <w:r w:rsidRPr="00197E2D">
        <w:rPr>
          <w:rtl/>
        </w:rPr>
        <w:t>ית משפט המחוזי דן אותו ל-40 חודשי מאסר (כחלק ממתחם  שנע בין 30 ל-60 חודשי מאסר בפועל. בית המשפט העליון קבל את ערעור המדינה העמיד עונשו על 56 חודשי מאסר בפועל וכך קבע:</w:t>
      </w:r>
    </w:p>
    <w:p w14:paraId="4A02B8FA" w14:textId="77777777" w:rsidR="006B21F2" w:rsidRPr="00197E2D" w:rsidRDefault="006B21F2" w:rsidP="00277697">
      <w:pPr>
        <w:tabs>
          <w:tab w:val="left" w:pos="992"/>
        </w:tabs>
        <w:overflowPunct w:val="0"/>
        <w:adjustRightInd w:val="0"/>
        <w:ind w:left="992" w:right="1134"/>
        <w:jc w:val="both"/>
        <w:rPr>
          <w:spacing w:val="10"/>
          <w:rtl/>
        </w:rPr>
      </w:pPr>
      <w:r w:rsidRPr="00197E2D">
        <w:rPr>
          <w:spacing w:val="10"/>
          <w:rtl/>
        </w:rPr>
        <w:t>"</w:t>
      </w:r>
      <w:r w:rsidRPr="00800602">
        <w:rPr>
          <w:spacing w:val="10"/>
          <w:rtl/>
        </w:rPr>
        <w:t>לא יכול להיות חולק כי מדובר באירוע אלים וקשה. המשיב הצטייד מבעוד מועד בנשק חם, שהוחזק על ידו שלא כדין, הגיע לבית משפחת המתלוננים וירה לעברם לא פחות מ-11 כדורים מטווח של מטרים בודדים. רק בנס לא נגמר האירוע בתוצאה חמורה יותר של קיפוח חיי אדם. אף אם בפועל לא נפצעו המתלוננים באורח קשה מאד, הרי שאין בכך כדי לשנות את פוטנציאל הנזק אשר היה טמון במעשיו של המשיב</w:t>
      </w:r>
      <w:r w:rsidRPr="00197E2D">
        <w:rPr>
          <w:spacing w:val="10"/>
          <w:rtl/>
        </w:rPr>
        <w:t>"</w:t>
      </w:r>
      <w:r w:rsidRPr="00800602">
        <w:rPr>
          <w:spacing w:val="10"/>
          <w:rtl/>
        </w:rPr>
        <w:t xml:space="preserve">. </w:t>
      </w:r>
    </w:p>
    <w:p w14:paraId="657F286F" w14:textId="77777777" w:rsidR="006B21F2" w:rsidRPr="00197E2D" w:rsidRDefault="006B21F2" w:rsidP="00277697">
      <w:pPr>
        <w:overflowPunct w:val="0"/>
        <w:autoSpaceDE w:val="0"/>
        <w:autoSpaceDN w:val="0"/>
        <w:adjustRightInd w:val="0"/>
        <w:spacing w:line="480" w:lineRule="auto"/>
        <w:jc w:val="both"/>
        <w:textAlignment w:val="baseline"/>
        <w:rPr>
          <w:rtl/>
        </w:rPr>
      </w:pPr>
    </w:p>
    <w:p w14:paraId="5A3F0D74" w14:textId="77777777" w:rsidR="006B21F2" w:rsidRPr="00197E2D" w:rsidRDefault="006B21F2" w:rsidP="00277697">
      <w:pPr>
        <w:overflowPunct w:val="0"/>
        <w:autoSpaceDE w:val="0"/>
        <w:autoSpaceDN w:val="0"/>
        <w:adjustRightInd w:val="0"/>
        <w:spacing w:line="360" w:lineRule="auto"/>
        <w:jc w:val="both"/>
        <w:textAlignment w:val="baseline"/>
        <w:rPr>
          <w:rtl/>
        </w:rPr>
      </w:pPr>
      <w:r w:rsidRPr="00197E2D">
        <w:rPr>
          <w:rtl/>
        </w:rPr>
        <w:t>ב</w:t>
      </w:r>
      <w:hyperlink r:id="rId34" w:history="1">
        <w:r w:rsidR="00214A51" w:rsidRPr="00214A51">
          <w:rPr>
            <w:rStyle w:val="Hyperlink"/>
            <w:rtl/>
          </w:rPr>
          <w:t>ע"פ 7017/14</w:t>
        </w:r>
      </w:hyperlink>
      <w:r w:rsidRPr="00197E2D">
        <w:rPr>
          <w:rtl/>
        </w:rPr>
        <w:t xml:space="preserve"> </w:t>
      </w:r>
      <w:r w:rsidRPr="00197E2D">
        <w:rPr>
          <w:b/>
          <w:bCs/>
          <w:rtl/>
        </w:rPr>
        <w:t>זריהון נגד מדינת ישראל</w:t>
      </w:r>
      <w:r w:rsidRPr="00197E2D">
        <w:rPr>
          <w:rtl/>
        </w:rPr>
        <w:t xml:space="preserve"> </w:t>
      </w:r>
      <w:r w:rsidR="00C53542" w:rsidRPr="00C53542">
        <w:rPr>
          <w:sz w:val="22"/>
          <w:rtl/>
        </w:rPr>
        <w:t xml:space="preserve">[פורסם בנבו] </w:t>
      </w:r>
      <w:r w:rsidRPr="00197E2D">
        <w:rPr>
          <w:rtl/>
        </w:rPr>
        <w:t>(14.5.2015), התברר עני</w:t>
      </w:r>
      <w:r>
        <w:rPr>
          <w:rtl/>
        </w:rPr>
        <w:t>י</w:t>
      </w:r>
      <w:r w:rsidRPr="00197E2D">
        <w:rPr>
          <w:rtl/>
        </w:rPr>
        <w:t>נו של נאשם שהחזיק אקדח ברישיון וירה לעבר המתלונן ופצע אותו. הוא הורשע בביצוע עבירה של חבלה חמורה בנסיבות מחמירות ונדון בגין עבירה זו לעונש של שנתיים מאסר בפועל. ערעורו נדחה על ידי בית המשפט העליון שכך קבע:</w:t>
      </w:r>
    </w:p>
    <w:p w14:paraId="3FF400E5" w14:textId="77777777" w:rsidR="006B21F2" w:rsidRPr="00197E2D" w:rsidRDefault="006B21F2" w:rsidP="00277697">
      <w:pPr>
        <w:tabs>
          <w:tab w:val="left" w:pos="1134"/>
        </w:tabs>
        <w:overflowPunct w:val="0"/>
        <w:adjustRightInd w:val="0"/>
        <w:ind w:left="1134" w:right="1134"/>
        <w:jc w:val="both"/>
        <w:rPr>
          <w:spacing w:val="10"/>
          <w:rtl/>
        </w:rPr>
      </w:pPr>
      <w:r w:rsidRPr="00197E2D">
        <w:rPr>
          <w:spacing w:val="10"/>
          <w:rtl/>
        </w:rPr>
        <w:t>"</w:t>
      </w:r>
      <w:r w:rsidRPr="00547FAD">
        <w:rPr>
          <w:spacing w:val="10"/>
          <w:rtl/>
        </w:rPr>
        <w:t>לבית המשפט תפקיד חשוב במאבק זה, ועליו לתרום לכך הם בדרך של קביעת רף ענישה מחמיר ומרתיע. במקרה הקונקרטי, המערער, אשר החזיק באקדח מתוקף תפקידו כשומר, יצא לבלות עם חברו, בעודו מתכוון לשתות משקאות אלכוהוליים, כשהאקדח מצוי עליו. כבר בנתונים אלו ניכר הסיכון שנלקח, כאשר אדם שותה אלכוהול בעודו נושא אקדח. השתלשלות העניינים הובילה לכך שהמערער עשה שימוש באקדח, ללא היכר, וירה חמש יריות לעבר אדם שתקף אותו ללא כלי נשק. כל זאת, אמנם באופן ספונטני והדדי, אך בידיעה כי שימוש בנשק חם יכול לגרור אף תוצאות חמורות מאלו שנגרמו</w:t>
      </w:r>
      <w:r w:rsidRPr="00197E2D">
        <w:rPr>
          <w:spacing w:val="10"/>
          <w:rtl/>
        </w:rPr>
        <w:t>".</w:t>
      </w:r>
    </w:p>
    <w:p w14:paraId="0ED31E4C" w14:textId="77777777" w:rsidR="006B21F2" w:rsidRPr="00197E2D" w:rsidRDefault="006B21F2" w:rsidP="00277697">
      <w:pPr>
        <w:tabs>
          <w:tab w:val="left" w:pos="800"/>
        </w:tabs>
        <w:overflowPunct w:val="0"/>
        <w:adjustRightInd w:val="0"/>
        <w:spacing w:line="480" w:lineRule="auto"/>
        <w:jc w:val="both"/>
        <w:rPr>
          <w:spacing w:val="10"/>
          <w:rtl/>
        </w:rPr>
      </w:pPr>
    </w:p>
    <w:p w14:paraId="543DF990" w14:textId="77777777" w:rsidR="006B21F2" w:rsidRPr="00547FAD" w:rsidRDefault="006B21F2" w:rsidP="00277697">
      <w:pPr>
        <w:tabs>
          <w:tab w:val="left" w:pos="800"/>
        </w:tabs>
        <w:overflowPunct w:val="0"/>
        <w:adjustRightInd w:val="0"/>
        <w:spacing w:line="360" w:lineRule="auto"/>
        <w:jc w:val="both"/>
        <w:rPr>
          <w:spacing w:val="10"/>
          <w:rtl/>
        </w:rPr>
      </w:pPr>
      <w:r w:rsidRPr="00547FAD">
        <w:rPr>
          <w:spacing w:val="10"/>
          <w:rtl/>
        </w:rPr>
        <w:t xml:space="preserve"> </w:t>
      </w:r>
      <w:r w:rsidRPr="00197E2D">
        <w:rPr>
          <w:spacing w:val="10"/>
          <w:rtl/>
        </w:rPr>
        <w:t>במקרה זה כל אחד מנפגעי העבירה נ</w:t>
      </w:r>
      <w:r>
        <w:rPr>
          <w:spacing w:val="10"/>
          <w:rtl/>
        </w:rPr>
        <w:t xml:space="preserve">פצע בנסיבות מחמירות  </w:t>
      </w:r>
      <w:r w:rsidRPr="00197E2D">
        <w:rPr>
          <w:spacing w:val="10"/>
          <w:rtl/>
        </w:rPr>
        <w:t xml:space="preserve">ורק בנס הפגיעה לא הייתה חמורה יותר. </w:t>
      </w:r>
    </w:p>
    <w:p w14:paraId="689BECBD" w14:textId="77777777" w:rsidR="006B21F2" w:rsidRPr="00197E2D" w:rsidRDefault="006B21F2" w:rsidP="00277697">
      <w:pPr>
        <w:overflowPunct w:val="0"/>
        <w:autoSpaceDE w:val="0"/>
        <w:autoSpaceDN w:val="0"/>
        <w:adjustRightInd w:val="0"/>
        <w:spacing w:line="360" w:lineRule="auto"/>
        <w:jc w:val="both"/>
        <w:textAlignment w:val="baseline"/>
        <w:rPr>
          <w:rtl/>
        </w:rPr>
      </w:pPr>
    </w:p>
    <w:p w14:paraId="40D61049" w14:textId="77777777" w:rsidR="006B21F2" w:rsidRPr="00197E2D" w:rsidRDefault="006B21F2" w:rsidP="00277697">
      <w:pPr>
        <w:spacing w:line="360" w:lineRule="auto"/>
        <w:jc w:val="both"/>
        <w:rPr>
          <w:rtl/>
        </w:rPr>
      </w:pPr>
      <w:r w:rsidRPr="00197E2D">
        <w:rPr>
          <w:rtl/>
        </w:rPr>
        <w:t xml:space="preserve">בהתחשב בערכים החברתיים שנפגעו מביצוע העבירות, במידת הפגיעה בהם, במדיניות הענישה הנהוגה ובנסיבות הקשורות בביצוע העבירות, אציע לחבריי לקבוע כי בגין כל אחת משתי עבירות הפציעה בנסיבות מחמירות ייקבע מתחם עונש הולם שנע בין </w:t>
      </w:r>
      <w:r w:rsidRPr="00CA2349">
        <w:rPr>
          <w:u w:val="single"/>
          <w:rtl/>
        </w:rPr>
        <w:t xml:space="preserve">2 </w:t>
      </w:r>
      <w:r w:rsidRPr="00197E2D">
        <w:rPr>
          <w:rtl/>
        </w:rPr>
        <w:t xml:space="preserve">לבין </w:t>
      </w:r>
      <w:r w:rsidRPr="00CA2349">
        <w:rPr>
          <w:u w:val="single"/>
          <w:rtl/>
        </w:rPr>
        <w:t>5</w:t>
      </w:r>
      <w:r w:rsidRPr="00197E2D">
        <w:rPr>
          <w:rtl/>
        </w:rPr>
        <w:t xml:space="preserve"> שנות מאסר בפועל, וכל זאת במצטבר לעונש של מאסר עולם. </w:t>
      </w:r>
    </w:p>
    <w:p w14:paraId="6F3BA37F" w14:textId="77777777" w:rsidR="006B21F2" w:rsidRPr="00197E2D" w:rsidRDefault="006B21F2" w:rsidP="00277697">
      <w:pPr>
        <w:spacing w:line="360" w:lineRule="auto"/>
        <w:jc w:val="both"/>
        <w:rPr>
          <w:rtl/>
        </w:rPr>
      </w:pPr>
    </w:p>
    <w:p w14:paraId="5DFC3D51" w14:textId="77777777" w:rsidR="006B21F2" w:rsidRPr="00197E2D" w:rsidRDefault="006B21F2" w:rsidP="00277697">
      <w:pPr>
        <w:spacing w:line="360" w:lineRule="auto"/>
        <w:jc w:val="both"/>
        <w:outlineLvl w:val="0"/>
        <w:rPr>
          <w:rtl/>
        </w:rPr>
      </w:pPr>
      <w:r w:rsidRPr="009513B4">
        <w:rPr>
          <w:rtl/>
        </w:rPr>
        <w:t>לא אציע קביעת מתחם עונש הולם כולל לשתי עבירות מאחר ודרך זו מנוגדת למהותו של תיקון 113 ל</w:t>
      </w:r>
      <w:hyperlink r:id="rId35" w:history="1">
        <w:r w:rsidR="00214A51" w:rsidRPr="00214A51">
          <w:rPr>
            <w:rStyle w:val="Hyperlink"/>
            <w:rtl/>
          </w:rPr>
          <w:t>חוק העונשין</w:t>
        </w:r>
      </w:hyperlink>
      <w:r w:rsidRPr="009513B4">
        <w:rPr>
          <w:rtl/>
        </w:rPr>
        <w:t xml:space="preserve">, ראו </w:t>
      </w:r>
      <w:hyperlink r:id="rId36" w:history="1">
        <w:r w:rsidR="00214A51" w:rsidRPr="00214A51">
          <w:rPr>
            <w:rStyle w:val="Hyperlink"/>
            <w:rtl/>
          </w:rPr>
          <w:t>ע"פ 2626/13</w:t>
        </w:r>
      </w:hyperlink>
      <w:r w:rsidRPr="009513B4">
        <w:rPr>
          <w:rtl/>
        </w:rPr>
        <w:t xml:space="preserve"> </w:t>
      </w:r>
      <w:r w:rsidRPr="009513B4">
        <w:rPr>
          <w:b/>
          <w:bCs/>
          <w:rtl/>
        </w:rPr>
        <w:t>אל צופי נגד מדינת ישראל</w:t>
      </w:r>
      <w:r w:rsidRPr="009513B4">
        <w:rPr>
          <w:rtl/>
        </w:rPr>
        <w:t xml:space="preserve"> </w:t>
      </w:r>
      <w:r w:rsidR="00C53542" w:rsidRPr="00C53542">
        <w:rPr>
          <w:sz w:val="22"/>
          <w:rtl/>
        </w:rPr>
        <w:t xml:space="preserve">[פורסם בנבו] </w:t>
      </w:r>
      <w:r w:rsidRPr="009513B4">
        <w:rPr>
          <w:rtl/>
        </w:rPr>
        <w:t>(6.1.2015).</w:t>
      </w:r>
    </w:p>
    <w:p w14:paraId="30C921C5" w14:textId="77777777" w:rsidR="006B21F2" w:rsidRDefault="006B21F2" w:rsidP="00277697">
      <w:pPr>
        <w:spacing w:line="360" w:lineRule="auto"/>
        <w:jc w:val="both"/>
        <w:outlineLvl w:val="0"/>
        <w:rPr>
          <w:rtl/>
        </w:rPr>
      </w:pPr>
    </w:p>
    <w:p w14:paraId="2F215823" w14:textId="77777777" w:rsidR="006B21F2" w:rsidRDefault="006B21F2" w:rsidP="00277697">
      <w:pPr>
        <w:spacing w:line="360" w:lineRule="auto"/>
        <w:jc w:val="both"/>
        <w:outlineLvl w:val="0"/>
        <w:rPr>
          <w:rtl/>
        </w:rPr>
      </w:pPr>
    </w:p>
    <w:p w14:paraId="2D3EFAD3" w14:textId="77777777" w:rsidR="006B21F2" w:rsidRPr="00197E2D" w:rsidRDefault="006B21F2" w:rsidP="00277697">
      <w:pPr>
        <w:spacing w:line="360" w:lineRule="auto"/>
        <w:jc w:val="both"/>
        <w:outlineLvl w:val="0"/>
        <w:rPr>
          <w:rtl/>
        </w:rPr>
      </w:pPr>
    </w:p>
    <w:p w14:paraId="64294EC3" w14:textId="77777777" w:rsidR="006B21F2" w:rsidRPr="00197E2D" w:rsidRDefault="006B21F2" w:rsidP="00277697">
      <w:pPr>
        <w:spacing w:line="360" w:lineRule="auto"/>
        <w:jc w:val="both"/>
        <w:rPr>
          <w:u w:val="single"/>
          <w:rtl/>
        </w:rPr>
      </w:pPr>
      <w:r w:rsidRPr="00197E2D">
        <w:rPr>
          <w:u w:val="single"/>
          <w:rtl/>
        </w:rPr>
        <w:t>העונש המתאים</w:t>
      </w:r>
    </w:p>
    <w:p w14:paraId="1FBF6E13" w14:textId="77777777" w:rsidR="006B21F2" w:rsidRPr="00197E2D" w:rsidRDefault="006B21F2" w:rsidP="00277697">
      <w:pPr>
        <w:spacing w:line="360" w:lineRule="auto"/>
        <w:jc w:val="both"/>
        <w:rPr>
          <w:rtl/>
        </w:rPr>
      </w:pPr>
      <w:r w:rsidRPr="00197E2D">
        <w:rPr>
          <w:rtl/>
        </w:rPr>
        <w:t xml:space="preserve">לא עומדת על הפרק שאלת שיקום ובהתחשב בעונש של מאסר עולם לא אתן משקל לשיקולי הרתעה, לא אייחס משקל לעברו של הנאשם מאחר ומדובר בעבירות מלפני 16 שנה ויותר. </w:t>
      </w:r>
    </w:p>
    <w:p w14:paraId="0DEEA393" w14:textId="77777777" w:rsidR="006B21F2" w:rsidRPr="00197E2D" w:rsidRDefault="006B21F2" w:rsidP="00277697">
      <w:pPr>
        <w:spacing w:line="360" w:lineRule="auto"/>
        <w:jc w:val="both"/>
        <w:rPr>
          <w:rtl/>
        </w:rPr>
      </w:pPr>
      <w:r w:rsidRPr="00197E2D">
        <w:rPr>
          <w:rtl/>
        </w:rPr>
        <w:t xml:space="preserve"> בהתחשב בנתונים הנ"ל ולא אזקוף לחובת הנאשם את אי נטילת האחריות, אציע לחבריי להעמיד את העונש</w:t>
      </w:r>
      <w:r>
        <w:rPr>
          <w:rtl/>
        </w:rPr>
        <w:t xml:space="preserve"> המתאים הכולל </w:t>
      </w:r>
      <w:r w:rsidRPr="00197E2D">
        <w:rPr>
          <w:rtl/>
        </w:rPr>
        <w:t>בגין שתי עבירות של פציעה בנסיבות מחמירות על 4 שנות מאסר בפועל ועונש זה יהיה במצטבר לעונש של מאסר עולם.</w:t>
      </w:r>
    </w:p>
    <w:p w14:paraId="1705FB9F" w14:textId="77777777" w:rsidR="006B21F2" w:rsidRPr="00197E2D" w:rsidRDefault="006B21F2" w:rsidP="00277697">
      <w:pPr>
        <w:spacing w:line="360" w:lineRule="auto"/>
        <w:jc w:val="both"/>
        <w:rPr>
          <w:rtl/>
        </w:rPr>
      </w:pPr>
    </w:p>
    <w:p w14:paraId="5B92C599" w14:textId="77777777" w:rsidR="006B21F2" w:rsidRPr="00197E2D" w:rsidRDefault="006B21F2" w:rsidP="00277697">
      <w:pPr>
        <w:spacing w:line="360" w:lineRule="auto"/>
        <w:jc w:val="both"/>
        <w:rPr>
          <w:u w:val="single"/>
          <w:rtl/>
        </w:rPr>
      </w:pPr>
      <w:r w:rsidRPr="00197E2D">
        <w:rPr>
          <w:u w:val="single"/>
          <w:rtl/>
        </w:rPr>
        <w:t>פיצויים</w:t>
      </w:r>
    </w:p>
    <w:p w14:paraId="28B35952" w14:textId="77777777" w:rsidR="006B21F2" w:rsidRDefault="006B21F2" w:rsidP="00277697">
      <w:pPr>
        <w:spacing w:line="360" w:lineRule="auto"/>
        <w:jc w:val="both"/>
        <w:rPr>
          <w:rtl/>
        </w:rPr>
      </w:pPr>
      <w:r w:rsidRPr="00197E2D">
        <w:rPr>
          <w:rtl/>
        </w:rPr>
        <w:t xml:space="preserve">אקדים ואבהיר כי מצבם הכלכלי של הנאשם או משפחתו </w:t>
      </w:r>
      <w:r>
        <w:rPr>
          <w:rtl/>
        </w:rPr>
        <w:t xml:space="preserve">אינו רלבנטי. </w:t>
      </w:r>
    </w:p>
    <w:p w14:paraId="0376775C" w14:textId="77777777" w:rsidR="006B21F2" w:rsidRPr="00197E2D" w:rsidRDefault="006B21F2" w:rsidP="00277697">
      <w:pPr>
        <w:spacing w:line="360" w:lineRule="auto"/>
        <w:jc w:val="both"/>
        <w:rPr>
          <w:spacing w:val="10"/>
          <w:rtl/>
        </w:rPr>
      </w:pPr>
      <w:r w:rsidRPr="00197E2D">
        <w:rPr>
          <w:rtl/>
        </w:rPr>
        <w:t xml:space="preserve">להבדיל מקנס, הפיצוי שנפסק מכוח </w:t>
      </w:r>
      <w:hyperlink r:id="rId37" w:history="1">
        <w:r w:rsidR="0050320B" w:rsidRPr="0050320B">
          <w:rPr>
            <w:color w:val="0000FF"/>
            <w:u w:val="single"/>
            <w:rtl/>
          </w:rPr>
          <w:t>סעיף 77</w:t>
        </w:r>
      </w:hyperlink>
      <w:r w:rsidRPr="00197E2D">
        <w:rPr>
          <w:rtl/>
        </w:rPr>
        <w:t xml:space="preserve"> ל</w:t>
      </w:r>
      <w:hyperlink r:id="rId38" w:history="1">
        <w:r w:rsidR="00214A51" w:rsidRPr="00214A51">
          <w:rPr>
            <w:rStyle w:val="Hyperlink"/>
            <w:rtl/>
          </w:rPr>
          <w:t>חוק העונשין</w:t>
        </w:r>
      </w:hyperlink>
      <w:r w:rsidRPr="00197E2D">
        <w:rPr>
          <w:rtl/>
        </w:rPr>
        <w:t xml:space="preserve"> אינו עונש</w:t>
      </w:r>
      <w:r w:rsidRPr="00197E2D">
        <w:rPr>
          <w:spacing w:val="10"/>
          <w:rtl/>
        </w:rPr>
        <w:t xml:space="preserve"> אלא פיצוי ראשוני לנפגע עבירה ומכאן שיכולתו הכלכלית של הפוגע אינה מהווה שיקול רלבנטי, כפי ש</w:t>
      </w:r>
      <w:r>
        <w:rPr>
          <w:spacing w:val="10"/>
          <w:rtl/>
        </w:rPr>
        <w:t xml:space="preserve">היא </w:t>
      </w:r>
      <w:r w:rsidRPr="00197E2D">
        <w:rPr>
          <w:spacing w:val="10"/>
          <w:rtl/>
        </w:rPr>
        <w:t xml:space="preserve">אינה </w:t>
      </w:r>
      <w:r>
        <w:rPr>
          <w:spacing w:val="10"/>
          <w:rtl/>
        </w:rPr>
        <w:t xml:space="preserve">מהווה </w:t>
      </w:r>
      <w:r w:rsidRPr="00197E2D">
        <w:rPr>
          <w:spacing w:val="10"/>
          <w:rtl/>
        </w:rPr>
        <w:t xml:space="preserve">שיקול בתביעה בהליך אזרחי. </w:t>
      </w:r>
    </w:p>
    <w:p w14:paraId="72CDAC5B" w14:textId="77777777" w:rsidR="006B21F2" w:rsidRPr="00197E2D" w:rsidRDefault="006B21F2" w:rsidP="00277697">
      <w:pPr>
        <w:spacing w:line="360" w:lineRule="auto"/>
        <w:jc w:val="both"/>
        <w:rPr>
          <w:spacing w:val="10"/>
          <w:rtl/>
        </w:rPr>
      </w:pPr>
    </w:p>
    <w:p w14:paraId="575A1824" w14:textId="77777777" w:rsidR="006B21F2" w:rsidRPr="00197E2D" w:rsidRDefault="006B21F2" w:rsidP="009F1930">
      <w:pPr>
        <w:spacing w:line="360" w:lineRule="auto"/>
        <w:jc w:val="both"/>
        <w:rPr>
          <w:spacing w:val="10"/>
          <w:rtl/>
        </w:rPr>
      </w:pPr>
      <w:r w:rsidRPr="00197E2D">
        <w:rPr>
          <w:spacing w:val="10"/>
          <w:rtl/>
        </w:rPr>
        <w:t>אשר לזכות משפחת המנוח לפיצוי ולטעמי במקרה זה בגובה המקסימלי בהתאם לנתונים שהציגה ב"כ המאשימה בנושא הפגיעה באביו של המנוח וארבעת אחיו</w:t>
      </w:r>
      <w:r>
        <w:rPr>
          <w:spacing w:val="10"/>
          <w:rtl/>
        </w:rPr>
        <w:t xml:space="preserve">, </w:t>
      </w:r>
      <w:r w:rsidRPr="00197E2D">
        <w:rPr>
          <w:spacing w:val="10"/>
          <w:rtl/>
        </w:rPr>
        <w:t>אפנה</w:t>
      </w:r>
      <w:r>
        <w:rPr>
          <w:spacing w:val="10"/>
          <w:rtl/>
        </w:rPr>
        <w:t xml:space="preserve">  </w:t>
      </w:r>
      <w:r w:rsidRPr="00197E2D">
        <w:rPr>
          <w:spacing w:val="10"/>
          <w:rtl/>
        </w:rPr>
        <w:t>ל</w:t>
      </w:r>
      <w:hyperlink r:id="rId39" w:history="1">
        <w:r w:rsidR="00214A51" w:rsidRPr="00214A51">
          <w:rPr>
            <w:rStyle w:val="Hyperlink"/>
            <w:spacing w:val="10"/>
            <w:rtl/>
          </w:rPr>
          <w:t>ע"פ 7899/16</w:t>
        </w:r>
      </w:hyperlink>
      <w:r w:rsidRPr="00197E2D">
        <w:rPr>
          <w:spacing w:val="10"/>
          <w:rtl/>
        </w:rPr>
        <w:t xml:space="preserve"> </w:t>
      </w:r>
      <w:r w:rsidRPr="00CA2349">
        <w:rPr>
          <w:b/>
          <w:bCs/>
          <w:spacing w:val="10"/>
          <w:rtl/>
        </w:rPr>
        <w:t>אבו חאשייה נגד מדינת ישראל</w:t>
      </w:r>
      <w:r w:rsidRPr="00197E2D">
        <w:rPr>
          <w:spacing w:val="10"/>
          <w:rtl/>
        </w:rPr>
        <w:t xml:space="preserve"> </w:t>
      </w:r>
      <w:r w:rsidR="00C53542" w:rsidRPr="00C53542">
        <w:rPr>
          <w:sz w:val="22"/>
          <w:rtl/>
        </w:rPr>
        <w:t xml:space="preserve">[פורסם בנבו] </w:t>
      </w:r>
      <w:r w:rsidRPr="00197E2D">
        <w:rPr>
          <w:spacing w:val="10"/>
          <w:rtl/>
        </w:rPr>
        <w:t>(16.10.2018)</w:t>
      </w:r>
      <w:r>
        <w:rPr>
          <w:spacing w:val="10"/>
          <w:rtl/>
        </w:rPr>
        <w:t>:</w:t>
      </w:r>
    </w:p>
    <w:p w14:paraId="365D0B4C" w14:textId="77777777" w:rsidR="006B21F2" w:rsidRPr="00197E2D" w:rsidRDefault="006B21F2" w:rsidP="009F1930">
      <w:pPr>
        <w:overflowPunct w:val="0"/>
        <w:autoSpaceDE w:val="0"/>
        <w:autoSpaceDN w:val="0"/>
        <w:adjustRightInd w:val="0"/>
        <w:ind w:left="1134" w:right="1134"/>
        <w:jc w:val="both"/>
        <w:textAlignment w:val="baseline"/>
        <w:rPr>
          <w:spacing w:val="10"/>
          <w:rtl/>
        </w:rPr>
      </w:pPr>
      <w:r w:rsidRPr="00197E2D">
        <w:rPr>
          <w:rtl/>
          <w:lang w:eastAsia="he-IL"/>
        </w:rPr>
        <w:t>"</w:t>
      </w:r>
      <w:r w:rsidRPr="00261898">
        <w:rPr>
          <w:rtl/>
          <w:lang w:eastAsia="he-IL"/>
        </w:rPr>
        <w:t>האפשרות לפסוק פיצוי לטובת נפגע עבירה נועדה, בראש ובראשונה, להעניק לו פיצוי מהיר ויעיל (גם אם חלקי) על "נזק וסבל" שנגרם לו. בפסיקה הוסבר כי הפיצוי הוא בעל "אופי אזרחי" אך יש לו היבטים שמושפעים מסביבתו הפלילית, ואחד ההיבטים הללו הוא הגמשת דרכי ההוכחה של אומדן הנזק</w:t>
      </w:r>
      <w:r w:rsidRPr="00197E2D">
        <w:rPr>
          <w:rtl/>
          <w:lang w:eastAsia="he-IL"/>
        </w:rPr>
        <w:t>...</w:t>
      </w:r>
      <w:r w:rsidRPr="00261898">
        <w:rPr>
          <w:spacing w:val="10"/>
          <w:rtl/>
        </w:rPr>
        <w:t>לטעמי, במקרים בהם הנזק הוא ברור וגלוי, כמו במקרים של עבירות המתה, אין הכרח להיזקק לתסקיר כדי לקבוע את גובה הפיצוי, אשר ממילא מוגבל לסכום המירבי שנקבע בחוק</w:t>
      </w:r>
      <w:r w:rsidRPr="00197E2D">
        <w:rPr>
          <w:spacing w:val="10"/>
          <w:rtl/>
        </w:rPr>
        <w:t>".</w:t>
      </w:r>
    </w:p>
    <w:p w14:paraId="2A8743DE" w14:textId="77777777" w:rsidR="006B21F2" w:rsidRPr="00197E2D" w:rsidRDefault="006B21F2" w:rsidP="00277697">
      <w:pPr>
        <w:overflowPunct w:val="0"/>
        <w:autoSpaceDE w:val="0"/>
        <w:autoSpaceDN w:val="0"/>
        <w:adjustRightInd w:val="0"/>
        <w:spacing w:line="360" w:lineRule="auto"/>
        <w:ind w:right="567"/>
        <w:jc w:val="both"/>
        <w:textAlignment w:val="baseline"/>
        <w:rPr>
          <w:spacing w:val="10"/>
          <w:rtl/>
        </w:rPr>
      </w:pPr>
    </w:p>
    <w:p w14:paraId="22436CA6" w14:textId="77777777" w:rsidR="006B21F2" w:rsidRPr="00261898" w:rsidRDefault="006B21F2" w:rsidP="00277697">
      <w:pPr>
        <w:overflowPunct w:val="0"/>
        <w:autoSpaceDE w:val="0"/>
        <w:autoSpaceDN w:val="0"/>
        <w:adjustRightInd w:val="0"/>
        <w:spacing w:line="360" w:lineRule="auto"/>
        <w:ind w:right="567"/>
        <w:jc w:val="both"/>
        <w:textAlignment w:val="baseline"/>
        <w:rPr>
          <w:spacing w:val="10"/>
          <w:rtl/>
        </w:rPr>
      </w:pPr>
      <w:r w:rsidRPr="00197E2D">
        <w:rPr>
          <w:spacing w:val="10"/>
          <w:rtl/>
        </w:rPr>
        <w:t>אשר לזכות שאדי וחסן לפיצוי אפנה ל</w:t>
      </w:r>
      <w:hyperlink r:id="rId40" w:history="1">
        <w:r w:rsidR="00214A51" w:rsidRPr="00214A51">
          <w:rPr>
            <w:rStyle w:val="Hyperlink"/>
            <w:spacing w:val="10"/>
            <w:rtl/>
          </w:rPr>
          <w:t>ע"פ 5860/14</w:t>
        </w:r>
      </w:hyperlink>
      <w:r w:rsidRPr="00197E2D">
        <w:rPr>
          <w:spacing w:val="10"/>
          <w:rtl/>
        </w:rPr>
        <w:t xml:space="preserve"> </w:t>
      </w:r>
      <w:r w:rsidRPr="00CA2349">
        <w:rPr>
          <w:b/>
          <w:bCs/>
          <w:spacing w:val="10"/>
          <w:rtl/>
        </w:rPr>
        <w:t>לביא נגד מדינת ישראל</w:t>
      </w:r>
      <w:r w:rsidRPr="00197E2D">
        <w:rPr>
          <w:spacing w:val="10"/>
          <w:rtl/>
        </w:rPr>
        <w:t xml:space="preserve"> </w:t>
      </w:r>
      <w:r w:rsidR="00C53542" w:rsidRPr="00C53542">
        <w:rPr>
          <w:sz w:val="22"/>
          <w:rtl/>
        </w:rPr>
        <w:t xml:space="preserve">[פורסם בנבו] </w:t>
      </w:r>
      <w:r w:rsidRPr="00197E2D">
        <w:rPr>
          <w:spacing w:val="10"/>
          <w:rtl/>
        </w:rPr>
        <w:t>(6.3.2016).</w:t>
      </w:r>
    </w:p>
    <w:p w14:paraId="0FABDD59" w14:textId="77777777" w:rsidR="006B21F2" w:rsidRPr="00261898" w:rsidRDefault="006B21F2" w:rsidP="009F1930">
      <w:pPr>
        <w:tabs>
          <w:tab w:val="num" w:pos="907"/>
          <w:tab w:val="left" w:pos="1134"/>
        </w:tabs>
        <w:overflowPunct w:val="0"/>
        <w:adjustRightInd w:val="0"/>
        <w:ind w:left="1134" w:right="1134"/>
        <w:jc w:val="both"/>
        <w:rPr>
          <w:spacing w:val="10"/>
          <w:rtl/>
        </w:rPr>
      </w:pPr>
      <w:r w:rsidRPr="00197E2D">
        <w:rPr>
          <w:spacing w:val="10"/>
          <w:rtl/>
        </w:rPr>
        <w:t>"</w:t>
      </w:r>
      <w:r w:rsidRPr="00261898">
        <w:rPr>
          <w:spacing w:val="10"/>
          <w:rtl/>
        </w:rPr>
        <w:t xml:space="preserve">עם חקיקת </w:t>
      </w:r>
      <w:hyperlink r:id="rId41" w:history="1">
        <w:r w:rsidR="00214A51" w:rsidRPr="00214A51">
          <w:rPr>
            <w:rStyle w:val="Hyperlink"/>
            <w:spacing w:val="10"/>
            <w:rtl/>
          </w:rPr>
          <w:t>חוק זכויות נפגעי עבירה</w:t>
        </w:r>
      </w:hyperlink>
      <w:r w:rsidRPr="00261898">
        <w:rPr>
          <w:spacing w:val="10"/>
          <w:rtl/>
        </w:rPr>
        <w:t>, התשס"א-2001, התחזקה התפיסה הרואה בדין הפלילי כדין שנועד להגן על החברה בכללותה אך גם על יחידיה (.... תפיסה זו באה לידי ביטוי, בין היתר, בעידוד השימוש בהוראת סעיף 77 ל</w:t>
      </w:r>
      <w:hyperlink r:id="rId42" w:history="1">
        <w:r w:rsidR="00214A51" w:rsidRPr="00214A51">
          <w:rPr>
            <w:rStyle w:val="Hyperlink"/>
            <w:spacing w:val="10"/>
            <w:rtl/>
          </w:rPr>
          <w:t>חוק העונשין</w:t>
        </w:r>
      </w:hyperlink>
      <w:r w:rsidRPr="00261898">
        <w:rPr>
          <w:spacing w:val="10"/>
          <w:rtl/>
        </w:rPr>
        <w:t>, מכוחה ניתן לפסוק פיצויים לקורבנות עבירה</w:t>
      </w:r>
      <w:r w:rsidRPr="00197E2D">
        <w:rPr>
          <w:spacing w:val="10"/>
          <w:rtl/>
        </w:rPr>
        <w:t>...</w:t>
      </w:r>
      <w:r w:rsidRPr="00261898">
        <w:rPr>
          <w:spacing w:val="10"/>
          <w:rtl/>
        </w:rPr>
        <w:t xml:space="preserve"> הוראה זו נועדה להעניק סעד מיידי לנפגע העבירה ולבטא הכרה חברתית בסבלו</w:t>
      </w:r>
      <w:r w:rsidRPr="00197E2D">
        <w:rPr>
          <w:spacing w:val="10"/>
          <w:rtl/>
        </w:rPr>
        <w:t>..</w:t>
      </w:r>
      <w:r w:rsidRPr="00261898">
        <w:rPr>
          <w:spacing w:val="10"/>
          <w:rtl/>
        </w:rPr>
        <w:t>.המתלוננים כאן נפגעו מהירי שבוצע על ידי המערערים וסבלו פציעות גופניות, וזהו לכאורה מקרה מובהק המצדיק פסיקת פיצויים</w:t>
      </w:r>
      <w:r w:rsidRPr="00197E2D">
        <w:rPr>
          <w:spacing w:val="10"/>
          <w:rtl/>
        </w:rPr>
        <w:t>".</w:t>
      </w:r>
      <w:r w:rsidRPr="00261898">
        <w:rPr>
          <w:spacing w:val="10"/>
          <w:rtl/>
        </w:rPr>
        <w:t xml:space="preserve"> </w:t>
      </w:r>
    </w:p>
    <w:p w14:paraId="4F5745EB" w14:textId="77777777" w:rsidR="006B21F2" w:rsidRDefault="006B21F2" w:rsidP="00277697">
      <w:pPr>
        <w:spacing w:line="360" w:lineRule="auto"/>
        <w:jc w:val="both"/>
        <w:rPr>
          <w:rtl/>
        </w:rPr>
      </w:pPr>
    </w:p>
    <w:p w14:paraId="6222371D" w14:textId="77777777" w:rsidR="006B21F2" w:rsidRDefault="006B21F2" w:rsidP="009F1930">
      <w:pPr>
        <w:jc w:val="both"/>
        <w:rPr>
          <w:rtl/>
        </w:rPr>
      </w:pPr>
    </w:p>
    <w:p w14:paraId="55A93F35" w14:textId="77777777" w:rsidR="006B21F2" w:rsidRDefault="006B21F2" w:rsidP="00277697">
      <w:pPr>
        <w:spacing w:line="360" w:lineRule="auto"/>
        <w:jc w:val="both"/>
        <w:rPr>
          <w:rtl/>
        </w:rPr>
      </w:pPr>
      <w:r>
        <w:rPr>
          <w:rtl/>
        </w:rPr>
        <w:t xml:space="preserve">מיותר לציין כי שאדי אחיו של החתן מצא עצמו מאושפז בבית חולים במקום להמשיך ולחגוג עם אחיו. </w:t>
      </w:r>
    </w:p>
    <w:p w14:paraId="58EAAEC4" w14:textId="77777777" w:rsidR="006B21F2" w:rsidRDefault="006B21F2" w:rsidP="00277697">
      <w:pPr>
        <w:spacing w:line="360" w:lineRule="auto"/>
        <w:jc w:val="both"/>
        <w:rPr>
          <w:rtl/>
        </w:rPr>
      </w:pPr>
    </w:p>
    <w:p w14:paraId="3E3F7F3A" w14:textId="77777777" w:rsidR="006B21F2" w:rsidRDefault="006B21F2" w:rsidP="00277697">
      <w:pPr>
        <w:spacing w:line="360" w:lineRule="auto"/>
        <w:jc w:val="both"/>
        <w:rPr>
          <w:rtl/>
        </w:rPr>
      </w:pPr>
    </w:p>
    <w:p w14:paraId="2500AEBC" w14:textId="77777777" w:rsidR="006B21F2" w:rsidRPr="00197E2D" w:rsidRDefault="006B21F2" w:rsidP="00277697">
      <w:pPr>
        <w:spacing w:line="360" w:lineRule="auto"/>
        <w:jc w:val="both"/>
        <w:rPr>
          <w:rtl/>
        </w:rPr>
      </w:pPr>
    </w:p>
    <w:p w14:paraId="263C33E5" w14:textId="77777777" w:rsidR="006B21F2" w:rsidRDefault="006B21F2" w:rsidP="00FE1D77">
      <w:pPr>
        <w:jc w:val="both"/>
        <w:rPr>
          <w:rtl/>
        </w:rPr>
      </w:pPr>
      <w:r w:rsidRPr="00057BEA">
        <w:rPr>
          <w:rtl/>
        </w:rPr>
        <w:t>לאור האמור לעיל אציע לחבריי להטיל על הנאשם את העונשים הבאים:</w:t>
      </w:r>
    </w:p>
    <w:p w14:paraId="6E9FAA9C" w14:textId="77777777" w:rsidR="006B21F2" w:rsidRPr="00057BEA" w:rsidRDefault="006B21F2" w:rsidP="00FE1D77">
      <w:pPr>
        <w:jc w:val="both"/>
        <w:rPr>
          <w:rtl/>
        </w:rPr>
      </w:pPr>
    </w:p>
    <w:p w14:paraId="7E611B61" w14:textId="77777777" w:rsidR="006B21F2" w:rsidRPr="00057BEA" w:rsidRDefault="006B21F2" w:rsidP="00277697">
      <w:pPr>
        <w:spacing w:line="360" w:lineRule="auto"/>
        <w:ind w:left="360"/>
        <w:contextualSpacing/>
        <w:jc w:val="both"/>
        <w:rPr>
          <w:rtl/>
        </w:rPr>
      </w:pPr>
      <w:r w:rsidRPr="00057BEA">
        <w:rPr>
          <w:rtl/>
        </w:rPr>
        <w:t xml:space="preserve">-בגין רצח המנוח מאסר עולם (עונש חובה); </w:t>
      </w:r>
    </w:p>
    <w:p w14:paraId="6E644A0D" w14:textId="77777777" w:rsidR="006B21F2" w:rsidRPr="00741BBA" w:rsidRDefault="006B21F2" w:rsidP="00277697">
      <w:pPr>
        <w:spacing w:line="360" w:lineRule="auto"/>
        <w:ind w:left="360"/>
        <w:contextualSpacing/>
        <w:jc w:val="both"/>
        <w:rPr>
          <w:rtl/>
        </w:rPr>
      </w:pPr>
      <w:r w:rsidRPr="00057BEA">
        <w:rPr>
          <w:rtl/>
        </w:rPr>
        <w:t>בגין עבירות הנשק בהן הורשע הנאשם נגזור עליו שנתיים מאסר בפועל שירוצו בחופף לעונש מאסר העולם שנגזר לעיל.</w:t>
      </w:r>
      <w:r>
        <w:rPr>
          <w:rtl/>
        </w:rPr>
        <w:t xml:space="preserve"> </w:t>
      </w:r>
    </w:p>
    <w:p w14:paraId="1879D1A2" w14:textId="77777777" w:rsidR="006B21F2" w:rsidRPr="00197E2D" w:rsidRDefault="006B21F2" w:rsidP="00277697">
      <w:pPr>
        <w:spacing w:line="360" w:lineRule="auto"/>
        <w:ind w:left="360"/>
        <w:contextualSpacing/>
        <w:jc w:val="both"/>
        <w:rPr>
          <w:rtl/>
        </w:rPr>
      </w:pPr>
    </w:p>
    <w:p w14:paraId="146BDF8A" w14:textId="77777777" w:rsidR="006B21F2" w:rsidRPr="007F38CE" w:rsidRDefault="006B21F2" w:rsidP="00277697">
      <w:pPr>
        <w:spacing w:line="360" w:lineRule="auto"/>
        <w:ind w:left="360"/>
        <w:contextualSpacing/>
        <w:jc w:val="both"/>
        <w:rPr>
          <w:rtl/>
        </w:rPr>
      </w:pPr>
      <w:r w:rsidRPr="007F38CE">
        <w:rPr>
          <w:rtl/>
        </w:rPr>
        <w:t xml:space="preserve">-בגין </w:t>
      </w:r>
      <w:r w:rsidRPr="00197E2D">
        <w:rPr>
          <w:rtl/>
        </w:rPr>
        <w:t xml:space="preserve">שתי </w:t>
      </w:r>
      <w:r w:rsidRPr="007F38CE">
        <w:rPr>
          <w:rtl/>
        </w:rPr>
        <w:t>עביר</w:t>
      </w:r>
      <w:r w:rsidRPr="00197E2D">
        <w:rPr>
          <w:rtl/>
        </w:rPr>
        <w:t>ו</w:t>
      </w:r>
      <w:r w:rsidRPr="007F38CE">
        <w:rPr>
          <w:rtl/>
        </w:rPr>
        <w:t xml:space="preserve">ת </w:t>
      </w:r>
      <w:r w:rsidRPr="00197E2D">
        <w:rPr>
          <w:rtl/>
        </w:rPr>
        <w:t xml:space="preserve">של פציעה </w:t>
      </w:r>
      <w:r w:rsidRPr="007F38CE">
        <w:rPr>
          <w:rtl/>
        </w:rPr>
        <w:t>בנסיבות מחמירות -</w:t>
      </w:r>
      <w:r w:rsidRPr="00197E2D">
        <w:rPr>
          <w:rtl/>
        </w:rPr>
        <w:t>4</w:t>
      </w:r>
      <w:r w:rsidRPr="007F38CE">
        <w:rPr>
          <w:rtl/>
        </w:rPr>
        <w:t xml:space="preserve"> שנות מאסר בפועל אשר ירוצו במצטבר לעונש מאסר העולם.</w:t>
      </w:r>
    </w:p>
    <w:p w14:paraId="096B60A4" w14:textId="77777777" w:rsidR="006B21F2" w:rsidRPr="00197E2D" w:rsidRDefault="006B21F2" w:rsidP="00277697">
      <w:pPr>
        <w:spacing w:line="360" w:lineRule="auto"/>
        <w:ind w:left="360"/>
        <w:contextualSpacing/>
        <w:jc w:val="both"/>
        <w:rPr>
          <w:rtl/>
        </w:rPr>
      </w:pPr>
    </w:p>
    <w:p w14:paraId="77672D32" w14:textId="77777777" w:rsidR="006B21F2" w:rsidRPr="007F38CE" w:rsidRDefault="006B21F2" w:rsidP="00277697">
      <w:pPr>
        <w:spacing w:line="360" w:lineRule="auto"/>
        <w:ind w:left="360"/>
        <w:contextualSpacing/>
        <w:jc w:val="both"/>
        <w:rPr>
          <w:rtl/>
        </w:rPr>
      </w:pPr>
      <w:r w:rsidRPr="007F38CE">
        <w:rPr>
          <w:rtl/>
        </w:rPr>
        <w:t xml:space="preserve">תחילת המאסר תימנה מיום מעצרו של הנאשם – </w:t>
      </w:r>
      <w:r w:rsidRPr="00197E2D">
        <w:rPr>
          <w:rtl/>
        </w:rPr>
        <w:t>30.9.2016</w:t>
      </w:r>
      <w:r w:rsidRPr="007F38CE">
        <w:rPr>
          <w:rtl/>
        </w:rPr>
        <w:t xml:space="preserve">; </w:t>
      </w:r>
    </w:p>
    <w:p w14:paraId="4C3DCB27" w14:textId="77777777" w:rsidR="006B21F2" w:rsidRPr="00197E2D" w:rsidRDefault="006B21F2" w:rsidP="00277697">
      <w:pPr>
        <w:spacing w:line="360" w:lineRule="auto"/>
        <w:ind w:left="360"/>
        <w:jc w:val="both"/>
        <w:rPr>
          <w:rtl/>
        </w:rPr>
      </w:pPr>
    </w:p>
    <w:p w14:paraId="79A777E6" w14:textId="77777777" w:rsidR="006B21F2" w:rsidRPr="00197E2D" w:rsidRDefault="006B21F2" w:rsidP="00277697">
      <w:pPr>
        <w:spacing w:line="360" w:lineRule="auto"/>
        <w:ind w:left="360"/>
        <w:jc w:val="both"/>
        <w:rPr>
          <w:rtl/>
        </w:rPr>
      </w:pPr>
      <w:r w:rsidRPr="007F38CE">
        <w:rPr>
          <w:rtl/>
        </w:rPr>
        <w:t xml:space="preserve">-הנאשם ישלם פיצוי בשיעור של </w:t>
      </w:r>
      <w:r w:rsidRPr="00197E2D">
        <w:rPr>
          <w:rtl/>
        </w:rPr>
        <w:t xml:space="preserve">258,000 </w:t>
      </w:r>
      <w:r w:rsidRPr="007F38CE">
        <w:rPr>
          <w:rtl/>
        </w:rPr>
        <w:t>ש"ח ל</w:t>
      </w:r>
      <w:r w:rsidRPr="00197E2D">
        <w:rPr>
          <w:rtl/>
        </w:rPr>
        <w:t xml:space="preserve">משפחת המנוח. </w:t>
      </w:r>
    </w:p>
    <w:p w14:paraId="28AF9F81" w14:textId="77777777" w:rsidR="006B21F2" w:rsidRPr="00197E2D" w:rsidRDefault="006B21F2" w:rsidP="00277697">
      <w:pPr>
        <w:spacing w:line="360" w:lineRule="auto"/>
        <w:ind w:left="360"/>
        <w:jc w:val="both"/>
        <w:rPr>
          <w:rtl/>
        </w:rPr>
      </w:pPr>
      <w:r w:rsidRPr="007F38CE">
        <w:rPr>
          <w:rtl/>
        </w:rPr>
        <w:t xml:space="preserve">-הנאשם ישלם פיצוי בשיעור של </w:t>
      </w:r>
      <w:r w:rsidRPr="00197E2D">
        <w:rPr>
          <w:rtl/>
        </w:rPr>
        <w:t xml:space="preserve">35,000 </w:t>
      </w:r>
      <w:r w:rsidRPr="007F38CE">
        <w:rPr>
          <w:rtl/>
        </w:rPr>
        <w:t>ש"ח לכל אח</w:t>
      </w:r>
      <w:r w:rsidRPr="00197E2D">
        <w:rPr>
          <w:rtl/>
        </w:rPr>
        <w:t>ד</w:t>
      </w:r>
      <w:r w:rsidRPr="007F38CE">
        <w:rPr>
          <w:rtl/>
        </w:rPr>
        <w:t xml:space="preserve"> מנפגע</w:t>
      </w:r>
      <w:r w:rsidRPr="00197E2D">
        <w:rPr>
          <w:rtl/>
        </w:rPr>
        <w:t xml:space="preserve">י </w:t>
      </w:r>
      <w:r w:rsidRPr="007F38CE">
        <w:rPr>
          <w:rtl/>
        </w:rPr>
        <w:t xml:space="preserve">העבירה, </w:t>
      </w:r>
      <w:r w:rsidRPr="00197E2D">
        <w:rPr>
          <w:rtl/>
        </w:rPr>
        <w:t xml:space="preserve">שאדי וחסן (עדי תביעה מספר 1 ו-2). </w:t>
      </w:r>
    </w:p>
    <w:p w14:paraId="7486CF88" w14:textId="77777777" w:rsidR="006B21F2" w:rsidRPr="00197E2D" w:rsidRDefault="006B21F2" w:rsidP="00277697">
      <w:pPr>
        <w:spacing w:line="360" w:lineRule="auto"/>
        <w:ind w:left="360"/>
        <w:jc w:val="both"/>
        <w:rPr>
          <w:rtl/>
        </w:rPr>
      </w:pPr>
    </w:p>
    <w:p w14:paraId="72D49308" w14:textId="77777777" w:rsidR="006B21F2" w:rsidRPr="00197E2D" w:rsidRDefault="006B21F2" w:rsidP="00277697">
      <w:pPr>
        <w:spacing w:line="360" w:lineRule="auto"/>
        <w:ind w:left="360"/>
        <w:jc w:val="both"/>
        <w:rPr>
          <w:rtl/>
        </w:rPr>
      </w:pPr>
      <w:r w:rsidRPr="00197E2D">
        <w:rPr>
          <w:rtl/>
        </w:rPr>
        <w:t xml:space="preserve">סכומי </w:t>
      </w:r>
      <w:r w:rsidRPr="007F38CE">
        <w:rPr>
          <w:rtl/>
        </w:rPr>
        <w:t>הפיצוי</w:t>
      </w:r>
      <w:r w:rsidRPr="00197E2D">
        <w:rPr>
          <w:rtl/>
        </w:rPr>
        <w:t>ים</w:t>
      </w:r>
      <w:r w:rsidRPr="007F38CE">
        <w:rPr>
          <w:rtl/>
        </w:rPr>
        <w:t xml:space="preserve"> יופקד</w:t>
      </w:r>
      <w:r w:rsidRPr="00197E2D">
        <w:rPr>
          <w:rtl/>
        </w:rPr>
        <w:t>ו</w:t>
      </w:r>
      <w:r w:rsidRPr="007F38CE">
        <w:rPr>
          <w:rtl/>
        </w:rPr>
        <w:t xml:space="preserve"> בקופת בית משפט עבור כל אח</w:t>
      </w:r>
      <w:r w:rsidRPr="00197E2D">
        <w:rPr>
          <w:rtl/>
        </w:rPr>
        <w:t>ד</w:t>
      </w:r>
      <w:r w:rsidRPr="007F38CE">
        <w:rPr>
          <w:rtl/>
        </w:rPr>
        <w:t xml:space="preserve"> מנפגע</w:t>
      </w:r>
      <w:r w:rsidRPr="00197E2D">
        <w:rPr>
          <w:rtl/>
        </w:rPr>
        <w:t xml:space="preserve">י </w:t>
      </w:r>
      <w:r w:rsidRPr="007F38CE">
        <w:rPr>
          <w:rtl/>
        </w:rPr>
        <w:t>העבירה עד לא יאוחר מיום 1.4.201</w:t>
      </w:r>
      <w:r w:rsidRPr="00197E2D">
        <w:rPr>
          <w:rtl/>
        </w:rPr>
        <w:t>9</w:t>
      </w:r>
      <w:r w:rsidRPr="007F38CE">
        <w:rPr>
          <w:rtl/>
        </w:rPr>
        <w:t>.</w:t>
      </w:r>
      <w:r w:rsidRPr="00197E2D">
        <w:rPr>
          <w:rtl/>
        </w:rPr>
        <w:t xml:space="preserve"> אין בקביעת גובה הפיצוי כדי להגביל את נפגעי העבירה לתבוע פיצוי על מלוא נזקיהם. </w:t>
      </w:r>
    </w:p>
    <w:p w14:paraId="60199935" w14:textId="77777777" w:rsidR="006B21F2" w:rsidRPr="00197E2D" w:rsidRDefault="006B21F2" w:rsidP="00277697">
      <w:pPr>
        <w:spacing w:line="360" w:lineRule="auto"/>
        <w:ind w:left="360"/>
        <w:jc w:val="both"/>
        <w:rPr>
          <w:rtl/>
        </w:rPr>
      </w:pPr>
    </w:p>
    <w:p w14:paraId="51177778" w14:textId="77777777" w:rsidR="006B21F2" w:rsidRPr="007F38CE" w:rsidRDefault="006B21F2" w:rsidP="00277697">
      <w:pPr>
        <w:spacing w:line="360" w:lineRule="auto"/>
        <w:ind w:left="360"/>
        <w:contextualSpacing/>
        <w:jc w:val="both"/>
        <w:rPr>
          <w:rtl/>
        </w:rPr>
      </w:pPr>
      <w:r w:rsidRPr="007F38CE">
        <w:rPr>
          <w:rtl/>
        </w:rPr>
        <w:t xml:space="preserve">-בשים לב למשכו של המאסר שאנו גוזרים אציע לחברי שלא להוסיף עוד עונש של מאסר מותנה. </w:t>
      </w:r>
    </w:p>
    <w:p w14:paraId="0C4F220B" w14:textId="77777777" w:rsidR="006B21F2" w:rsidRDefault="006B21F2" w:rsidP="00277697">
      <w:pPr>
        <w:spacing w:line="360" w:lineRule="auto"/>
        <w:ind w:left="720"/>
        <w:jc w:val="both"/>
        <w:rPr>
          <w:rtl/>
        </w:rPr>
      </w:pPr>
    </w:p>
    <w:tbl>
      <w:tblPr>
        <w:bidiVisual/>
        <w:tblW w:w="0" w:type="auto"/>
        <w:tblLook w:val="01E0" w:firstRow="1" w:lastRow="1" w:firstColumn="1" w:lastColumn="1" w:noHBand="0" w:noVBand="0"/>
      </w:tblPr>
      <w:tblGrid>
        <w:gridCol w:w="2801"/>
        <w:gridCol w:w="316"/>
        <w:gridCol w:w="2551"/>
        <w:gridCol w:w="236"/>
        <w:gridCol w:w="2600"/>
      </w:tblGrid>
      <w:tr w:rsidR="006B21F2" w14:paraId="169D3763" w14:textId="77777777" w:rsidTr="00497BAC">
        <w:tc>
          <w:tcPr>
            <w:tcW w:w="2801" w:type="dxa"/>
            <w:tcBorders>
              <w:left w:val="nil"/>
              <w:bottom w:val="nil"/>
              <w:right w:val="nil"/>
            </w:tcBorders>
          </w:tcPr>
          <w:p w14:paraId="52D9C59B" w14:textId="77777777" w:rsidR="006B21F2" w:rsidRPr="00497BAC" w:rsidRDefault="006B21F2" w:rsidP="00497BAC">
            <w:pPr>
              <w:jc w:val="center"/>
              <w:rPr>
                <w:b/>
                <w:bCs/>
              </w:rPr>
            </w:pPr>
          </w:p>
        </w:tc>
        <w:tc>
          <w:tcPr>
            <w:tcW w:w="316" w:type="dxa"/>
          </w:tcPr>
          <w:p w14:paraId="077E9B56" w14:textId="77777777" w:rsidR="006B21F2" w:rsidRPr="00497BAC" w:rsidRDefault="006B21F2" w:rsidP="00497BAC">
            <w:pPr>
              <w:jc w:val="center"/>
              <w:rPr>
                <w:b/>
                <w:bCs/>
                <w:rtl/>
              </w:rPr>
            </w:pPr>
          </w:p>
        </w:tc>
        <w:tc>
          <w:tcPr>
            <w:tcW w:w="2551" w:type="dxa"/>
            <w:tcBorders>
              <w:left w:val="nil"/>
              <w:bottom w:val="nil"/>
              <w:right w:val="nil"/>
            </w:tcBorders>
          </w:tcPr>
          <w:p w14:paraId="1F19E56C" w14:textId="77777777" w:rsidR="006B21F2" w:rsidRPr="00497BAC" w:rsidRDefault="006B21F2" w:rsidP="00497BAC">
            <w:pPr>
              <w:jc w:val="center"/>
              <w:rPr>
                <w:b/>
                <w:bCs/>
              </w:rPr>
            </w:pPr>
          </w:p>
        </w:tc>
        <w:tc>
          <w:tcPr>
            <w:tcW w:w="236" w:type="dxa"/>
          </w:tcPr>
          <w:p w14:paraId="3F831609" w14:textId="77777777" w:rsidR="006B21F2" w:rsidRPr="00497BAC" w:rsidRDefault="006B21F2" w:rsidP="00497BAC">
            <w:pPr>
              <w:jc w:val="center"/>
              <w:rPr>
                <w:b/>
                <w:bCs/>
              </w:rPr>
            </w:pPr>
          </w:p>
        </w:tc>
        <w:tc>
          <w:tcPr>
            <w:tcW w:w="2600" w:type="dxa"/>
            <w:tcBorders>
              <w:top w:val="single" w:sz="4" w:space="0" w:color="auto"/>
              <w:left w:val="nil"/>
              <w:bottom w:val="nil"/>
              <w:right w:val="nil"/>
            </w:tcBorders>
          </w:tcPr>
          <w:p w14:paraId="22F11AC8" w14:textId="77777777" w:rsidR="006B21F2" w:rsidRPr="00497BAC" w:rsidRDefault="006B21F2" w:rsidP="00497BAC">
            <w:pPr>
              <w:jc w:val="center"/>
              <w:rPr>
                <w:b/>
                <w:bCs/>
              </w:rPr>
            </w:pPr>
            <w:r w:rsidRPr="00497BAC">
              <w:rPr>
                <w:b/>
                <w:bCs/>
                <w:rtl/>
              </w:rPr>
              <w:t>אברהם אליקים, סגן נשיא</w:t>
            </w:r>
          </w:p>
        </w:tc>
      </w:tr>
    </w:tbl>
    <w:p w14:paraId="28628471" w14:textId="77777777" w:rsidR="006B21F2" w:rsidRDefault="006B21F2" w:rsidP="00277697">
      <w:pPr>
        <w:spacing w:line="360" w:lineRule="auto"/>
        <w:ind w:left="720"/>
        <w:jc w:val="both"/>
        <w:rPr>
          <w:rtl/>
        </w:rPr>
      </w:pPr>
    </w:p>
    <w:p w14:paraId="667FB4B8" w14:textId="77777777" w:rsidR="006B21F2" w:rsidRPr="00197E2D" w:rsidRDefault="006B21F2" w:rsidP="00277697">
      <w:pPr>
        <w:spacing w:line="360" w:lineRule="auto"/>
        <w:jc w:val="both"/>
      </w:pPr>
      <w:r w:rsidRPr="00197E2D">
        <w:rPr>
          <w:b/>
          <w:bCs/>
          <w:u w:val="single"/>
          <w:rtl/>
        </w:rPr>
        <w:t>השופט רון שפירא, נשיא [אב"ד]:</w:t>
      </w:r>
      <w:r w:rsidRPr="00197E2D">
        <w:t xml:space="preserve"> </w:t>
      </w:r>
    </w:p>
    <w:p w14:paraId="4C44F699" w14:textId="77777777" w:rsidR="006B21F2" w:rsidRDefault="006B21F2" w:rsidP="00277697">
      <w:pPr>
        <w:spacing w:line="360" w:lineRule="auto"/>
        <w:jc w:val="both"/>
        <w:rPr>
          <w:b/>
          <w:bCs/>
          <w:rtl/>
        </w:rPr>
      </w:pPr>
    </w:p>
    <w:p w14:paraId="0CB519D0" w14:textId="77777777" w:rsidR="006B21F2" w:rsidRDefault="006B21F2" w:rsidP="00277697">
      <w:pPr>
        <w:spacing w:line="360" w:lineRule="auto"/>
        <w:jc w:val="both"/>
        <w:rPr>
          <w:rtl/>
        </w:rPr>
      </w:pPr>
      <w:r w:rsidRPr="00C3509E">
        <w:rPr>
          <w:rtl/>
        </w:rPr>
        <w:t>אני מסכים.</w:t>
      </w:r>
    </w:p>
    <w:p w14:paraId="1AABE5F4" w14:textId="77777777" w:rsidR="006B21F2" w:rsidRDefault="006B21F2" w:rsidP="00277697">
      <w:pPr>
        <w:spacing w:line="360" w:lineRule="auto"/>
        <w:jc w:val="both"/>
        <w:rPr>
          <w:rtl/>
        </w:rPr>
      </w:pPr>
    </w:p>
    <w:p w14:paraId="4FA18D9E" w14:textId="77777777" w:rsidR="006B21F2" w:rsidRDefault="006B21F2" w:rsidP="00277697">
      <w:pPr>
        <w:spacing w:line="360" w:lineRule="auto"/>
        <w:jc w:val="both"/>
        <w:rPr>
          <w:rtl/>
        </w:rPr>
      </w:pPr>
      <w:r>
        <w:rPr>
          <w:rtl/>
        </w:rPr>
        <w:t xml:space="preserve">אציין כי באירוע זה היו עוד שני נפגעים שההליך הפלילי אינו מגדירם כנפגעי העבירה. כוונתי לחתן והכלה שאירוע הירי הקטלני אירע בעת הריקודים בחתונתם.  </w:t>
      </w:r>
    </w:p>
    <w:p w14:paraId="03C2C749" w14:textId="77777777" w:rsidR="006B21F2" w:rsidRDefault="006B21F2" w:rsidP="00277697">
      <w:pPr>
        <w:spacing w:line="360" w:lineRule="auto"/>
        <w:jc w:val="both"/>
        <w:rPr>
          <w:rtl/>
        </w:rPr>
      </w:pPr>
    </w:p>
    <w:p w14:paraId="6263E9AC" w14:textId="77777777" w:rsidR="006B21F2" w:rsidRDefault="006B21F2" w:rsidP="00277697">
      <w:pPr>
        <w:spacing w:line="360" w:lineRule="auto"/>
        <w:jc w:val="both"/>
        <w:rPr>
          <w:rtl/>
        </w:rPr>
      </w:pPr>
    </w:p>
    <w:p w14:paraId="2E08677E" w14:textId="77777777" w:rsidR="006B21F2" w:rsidRDefault="006B21F2" w:rsidP="00277697">
      <w:pPr>
        <w:spacing w:line="360" w:lineRule="auto"/>
        <w:jc w:val="both"/>
        <w:rPr>
          <w:rtl/>
        </w:rPr>
      </w:pPr>
    </w:p>
    <w:p w14:paraId="137717DB" w14:textId="77777777" w:rsidR="006B21F2" w:rsidRDefault="006B21F2" w:rsidP="00277697">
      <w:pPr>
        <w:spacing w:line="360" w:lineRule="auto"/>
        <w:jc w:val="both"/>
        <w:rPr>
          <w:rtl/>
        </w:rPr>
      </w:pPr>
      <w:r w:rsidRPr="00E4080A">
        <w:rPr>
          <w:rtl/>
        </w:rPr>
        <w:t>"נפגע עבירה"</w:t>
      </w:r>
      <w:r>
        <w:rPr>
          <w:rtl/>
        </w:rPr>
        <w:t xml:space="preserve"> מוגדר </w:t>
      </w:r>
      <w:r w:rsidRPr="00E4080A">
        <w:rPr>
          <w:rtl/>
        </w:rPr>
        <w:t xml:space="preserve"> </w:t>
      </w:r>
      <w:r>
        <w:rPr>
          <w:rtl/>
        </w:rPr>
        <w:t>ב</w:t>
      </w:r>
      <w:hyperlink r:id="rId43" w:history="1">
        <w:r w:rsidR="00214A51" w:rsidRPr="00214A51">
          <w:rPr>
            <w:rStyle w:val="Hyperlink"/>
            <w:rtl/>
          </w:rPr>
          <w:t>חוק זכויות נפגעי עבירה</w:t>
        </w:r>
      </w:hyperlink>
      <w:r w:rsidRPr="00E4080A">
        <w:rPr>
          <w:rtl/>
        </w:rPr>
        <w:t xml:space="preserve">, תשס"א-2001– </w:t>
      </w:r>
      <w:r>
        <w:rPr>
          <w:rtl/>
        </w:rPr>
        <w:t>"</w:t>
      </w:r>
      <w:r w:rsidRPr="00704FAB">
        <w:rPr>
          <w:b/>
          <w:bCs/>
          <w:rtl/>
        </w:rPr>
        <w:t>מי שנפגע במישרין מעבירה, וכן בן משפחה של מי שהעבירה גרמה למותו, למעט החשוד, הנאשם או הנידון</w:t>
      </w:r>
      <w:r>
        <w:rPr>
          <w:rtl/>
        </w:rPr>
        <w:t xml:space="preserve">". </w:t>
      </w:r>
      <w:hyperlink r:id="rId44" w:history="1">
        <w:r w:rsidR="0050320B" w:rsidRPr="0050320B">
          <w:rPr>
            <w:color w:val="0000FF"/>
            <w:u w:val="single"/>
            <w:rtl/>
          </w:rPr>
          <w:t>סעיף 77 (א)</w:t>
        </w:r>
      </w:hyperlink>
      <w:r>
        <w:rPr>
          <w:rtl/>
        </w:rPr>
        <w:t xml:space="preserve"> ל</w:t>
      </w:r>
      <w:hyperlink r:id="rId45" w:history="1">
        <w:r w:rsidR="00214A51" w:rsidRPr="00214A51">
          <w:rPr>
            <w:rStyle w:val="Hyperlink"/>
            <w:rtl/>
          </w:rPr>
          <w:t>חוק העונשין</w:t>
        </w:r>
      </w:hyperlink>
      <w:r>
        <w:rPr>
          <w:rtl/>
        </w:rPr>
        <w:t xml:space="preserve"> תשל"ז – 1977 מורה על תשלום פיצוי "...</w:t>
      </w:r>
      <w:r w:rsidRPr="00704FAB">
        <w:rPr>
          <w:b/>
          <w:bCs/>
          <w:rtl/>
        </w:rPr>
        <w:t>לאדם שניזוק על ידי העבירה</w:t>
      </w:r>
      <w:r>
        <w:rPr>
          <w:rtl/>
        </w:rPr>
        <w:t xml:space="preserve">...". בהתאם, הכירה הפסיקה, עד היום, בזכאות בזכות לפיצוי מכוח הוראות חוק אלו רק לנפגעים ישירים ו/או למשפחותיהם.   </w:t>
      </w:r>
    </w:p>
    <w:p w14:paraId="5ADAE02F" w14:textId="77777777" w:rsidR="006B21F2" w:rsidRDefault="006B21F2" w:rsidP="00277697">
      <w:pPr>
        <w:spacing w:line="360" w:lineRule="auto"/>
        <w:jc w:val="both"/>
        <w:rPr>
          <w:rtl/>
        </w:rPr>
      </w:pPr>
    </w:p>
    <w:p w14:paraId="19D74AAF" w14:textId="77777777" w:rsidR="006B21F2" w:rsidRDefault="006B21F2" w:rsidP="00277697">
      <w:pPr>
        <w:spacing w:line="360" w:lineRule="auto"/>
        <w:jc w:val="both"/>
        <w:rPr>
          <w:rtl/>
        </w:rPr>
      </w:pPr>
      <w:r>
        <w:rPr>
          <w:rtl/>
        </w:rPr>
        <w:t xml:space="preserve">לטעמי מדיניות הפיצוי במסגרת הפלילית, שמטרתה לאפשר פיצוי לנפגעים מבלי שיצטרכו לכתת רגליהם לבית המשפט כדי לנקוט בהליך האזרחי, צריכה הייתה לאפשר להרחיב את מעגל הנפגעים הזכאים לפיצוי במסגרת הליך הפלילי. יש מקום להרחיב את האפשרות לפצות נפגעי עבירה במסגרת ההליך הפלילי גם לנפגעים שאולי אינם בגדר של נפגעים ישירים ואולם פגיעת המעשה הפלילי בהם ברורה, מעצם נסיבות ביצוע העבירה, כדוגמת אירוע מסוג זה שבפנינו. אציע כי גם המחוקק ייתן דעתו לנושא זה.     </w:t>
      </w:r>
    </w:p>
    <w:p w14:paraId="7358ECB8" w14:textId="77777777" w:rsidR="006B21F2" w:rsidRDefault="006B21F2" w:rsidP="00277697">
      <w:pPr>
        <w:spacing w:line="360" w:lineRule="auto"/>
        <w:jc w:val="both"/>
        <w:rPr>
          <w:rtl/>
        </w:rPr>
      </w:pPr>
    </w:p>
    <w:p w14:paraId="357E442F" w14:textId="77777777" w:rsidR="006B21F2" w:rsidRDefault="006B21F2" w:rsidP="006152E6">
      <w:pPr>
        <w:spacing w:line="360" w:lineRule="auto"/>
        <w:jc w:val="both"/>
        <w:rPr>
          <w:rtl/>
        </w:rPr>
      </w:pPr>
      <w:r>
        <w:rPr>
          <w:rtl/>
        </w:rPr>
        <w:t xml:space="preserve">במקרה שבפנינו, מאחר והטענה לא הובאה לדיון, מצאתי לנכון להעיר את האמור ולהשאירו לעתיד, בצריך עיון.  </w:t>
      </w:r>
    </w:p>
    <w:p w14:paraId="480A83EF" w14:textId="77777777" w:rsidR="006B21F2" w:rsidRDefault="006B21F2" w:rsidP="00277697">
      <w:pPr>
        <w:spacing w:line="360" w:lineRule="auto"/>
        <w:jc w:val="both"/>
        <w:rPr>
          <w:rtl/>
        </w:rPr>
      </w:pPr>
    </w:p>
    <w:tbl>
      <w:tblPr>
        <w:bidiVisual/>
        <w:tblW w:w="0" w:type="auto"/>
        <w:tblLook w:val="01E0" w:firstRow="1" w:lastRow="1" w:firstColumn="1" w:lastColumn="1" w:noHBand="0" w:noVBand="0"/>
      </w:tblPr>
      <w:tblGrid>
        <w:gridCol w:w="2801"/>
        <w:gridCol w:w="316"/>
        <w:gridCol w:w="2551"/>
        <w:gridCol w:w="236"/>
        <w:gridCol w:w="2600"/>
      </w:tblGrid>
      <w:tr w:rsidR="006B21F2" w14:paraId="1BFCCBCC" w14:textId="77777777" w:rsidTr="00497BAC">
        <w:tc>
          <w:tcPr>
            <w:tcW w:w="2801" w:type="dxa"/>
            <w:tcBorders>
              <w:top w:val="nil"/>
              <w:left w:val="nil"/>
              <w:right w:val="nil"/>
            </w:tcBorders>
            <w:vAlign w:val="center"/>
          </w:tcPr>
          <w:p w14:paraId="56743EE4" w14:textId="77777777" w:rsidR="006B21F2" w:rsidRPr="00497BAC" w:rsidRDefault="006B21F2" w:rsidP="00497BAC">
            <w:pPr>
              <w:jc w:val="center"/>
              <w:rPr>
                <w:rFonts w:ascii="Courier New" w:hAnsi="Courier New"/>
                <w:b/>
                <w:bCs/>
              </w:rPr>
            </w:pPr>
          </w:p>
        </w:tc>
        <w:tc>
          <w:tcPr>
            <w:tcW w:w="316" w:type="dxa"/>
            <w:vAlign w:val="center"/>
          </w:tcPr>
          <w:p w14:paraId="449D8D37" w14:textId="77777777" w:rsidR="006B21F2" w:rsidRPr="00497BAC" w:rsidRDefault="006B21F2" w:rsidP="00497BAC">
            <w:pPr>
              <w:jc w:val="center"/>
              <w:rPr>
                <w:rFonts w:ascii="Courier New" w:hAnsi="Courier New"/>
                <w:b/>
                <w:bCs/>
              </w:rPr>
            </w:pPr>
          </w:p>
        </w:tc>
        <w:tc>
          <w:tcPr>
            <w:tcW w:w="2551" w:type="dxa"/>
            <w:tcBorders>
              <w:top w:val="nil"/>
              <w:left w:val="nil"/>
              <w:right w:val="nil"/>
            </w:tcBorders>
            <w:vAlign w:val="center"/>
          </w:tcPr>
          <w:p w14:paraId="6B3F4F65" w14:textId="77777777" w:rsidR="006B21F2" w:rsidRPr="00497BAC" w:rsidRDefault="006B21F2" w:rsidP="00497BAC">
            <w:pPr>
              <w:jc w:val="center"/>
              <w:rPr>
                <w:rFonts w:ascii="Courier New" w:hAnsi="Courier New"/>
                <w:b/>
                <w:bCs/>
              </w:rPr>
            </w:pPr>
          </w:p>
        </w:tc>
        <w:tc>
          <w:tcPr>
            <w:tcW w:w="236" w:type="dxa"/>
            <w:vAlign w:val="center"/>
          </w:tcPr>
          <w:p w14:paraId="76D5BC6A" w14:textId="77777777" w:rsidR="006B21F2" w:rsidRPr="00497BAC" w:rsidRDefault="006B21F2" w:rsidP="00497BAC">
            <w:pPr>
              <w:jc w:val="center"/>
              <w:rPr>
                <w:rFonts w:ascii="Courier New" w:hAnsi="Courier New"/>
                <w:b/>
                <w:bCs/>
              </w:rPr>
            </w:pPr>
          </w:p>
        </w:tc>
        <w:tc>
          <w:tcPr>
            <w:tcW w:w="2600" w:type="dxa"/>
            <w:tcBorders>
              <w:top w:val="nil"/>
              <w:left w:val="nil"/>
              <w:bottom w:val="single" w:sz="4" w:space="0" w:color="auto"/>
              <w:right w:val="nil"/>
            </w:tcBorders>
            <w:vAlign w:val="center"/>
          </w:tcPr>
          <w:p w14:paraId="00AA2FEA" w14:textId="77777777" w:rsidR="006B21F2" w:rsidRPr="00497BAC" w:rsidRDefault="006B21F2" w:rsidP="00497BAC">
            <w:pPr>
              <w:jc w:val="center"/>
              <w:rPr>
                <w:rFonts w:ascii="Courier New" w:hAnsi="Courier New"/>
                <w:b/>
                <w:bCs/>
              </w:rPr>
            </w:pPr>
          </w:p>
        </w:tc>
      </w:tr>
      <w:tr w:rsidR="006B21F2" w14:paraId="75414865" w14:textId="77777777" w:rsidTr="00497BAC">
        <w:tc>
          <w:tcPr>
            <w:tcW w:w="2801" w:type="dxa"/>
            <w:tcBorders>
              <w:left w:val="nil"/>
              <w:bottom w:val="nil"/>
              <w:right w:val="nil"/>
            </w:tcBorders>
          </w:tcPr>
          <w:p w14:paraId="4C2315E5" w14:textId="77777777" w:rsidR="006B21F2" w:rsidRPr="00497BAC" w:rsidRDefault="006B21F2" w:rsidP="00497BAC">
            <w:pPr>
              <w:jc w:val="center"/>
              <w:rPr>
                <w:b/>
                <w:bCs/>
              </w:rPr>
            </w:pPr>
          </w:p>
        </w:tc>
        <w:tc>
          <w:tcPr>
            <w:tcW w:w="316" w:type="dxa"/>
          </w:tcPr>
          <w:p w14:paraId="790BCDCA" w14:textId="77777777" w:rsidR="006B21F2" w:rsidRPr="00497BAC" w:rsidRDefault="006B21F2" w:rsidP="00497BAC">
            <w:pPr>
              <w:jc w:val="center"/>
              <w:rPr>
                <w:b/>
                <w:bCs/>
                <w:rtl/>
              </w:rPr>
            </w:pPr>
          </w:p>
        </w:tc>
        <w:tc>
          <w:tcPr>
            <w:tcW w:w="2551" w:type="dxa"/>
            <w:tcBorders>
              <w:left w:val="nil"/>
              <w:bottom w:val="nil"/>
              <w:right w:val="nil"/>
            </w:tcBorders>
          </w:tcPr>
          <w:p w14:paraId="54E2AD93" w14:textId="77777777" w:rsidR="006B21F2" w:rsidRPr="00497BAC" w:rsidRDefault="006B21F2" w:rsidP="00497BAC">
            <w:pPr>
              <w:jc w:val="center"/>
              <w:rPr>
                <w:b/>
                <w:bCs/>
              </w:rPr>
            </w:pPr>
          </w:p>
        </w:tc>
        <w:tc>
          <w:tcPr>
            <w:tcW w:w="236" w:type="dxa"/>
          </w:tcPr>
          <w:p w14:paraId="1729CF86" w14:textId="77777777" w:rsidR="006B21F2" w:rsidRPr="00497BAC" w:rsidRDefault="006B21F2" w:rsidP="00497BAC">
            <w:pPr>
              <w:jc w:val="center"/>
              <w:rPr>
                <w:b/>
                <w:bCs/>
              </w:rPr>
            </w:pPr>
          </w:p>
        </w:tc>
        <w:tc>
          <w:tcPr>
            <w:tcW w:w="2600" w:type="dxa"/>
            <w:tcBorders>
              <w:top w:val="single" w:sz="4" w:space="0" w:color="auto"/>
              <w:left w:val="nil"/>
              <w:bottom w:val="nil"/>
              <w:right w:val="nil"/>
            </w:tcBorders>
          </w:tcPr>
          <w:p w14:paraId="3A0B0978" w14:textId="77777777" w:rsidR="006B21F2" w:rsidRPr="00497BAC" w:rsidRDefault="006B21F2" w:rsidP="00497BAC">
            <w:pPr>
              <w:jc w:val="center"/>
              <w:rPr>
                <w:b/>
                <w:bCs/>
              </w:rPr>
            </w:pPr>
            <w:r w:rsidRPr="00497BAC">
              <w:rPr>
                <w:b/>
                <w:bCs/>
                <w:rtl/>
              </w:rPr>
              <w:t>רון שפירא, נשיא</w:t>
            </w:r>
          </w:p>
          <w:p w14:paraId="54770680" w14:textId="77777777" w:rsidR="006B21F2" w:rsidRPr="00497BAC" w:rsidRDefault="006B21F2" w:rsidP="00497BAC">
            <w:pPr>
              <w:jc w:val="center"/>
              <w:rPr>
                <w:b/>
                <w:bCs/>
              </w:rPr>
            </w:pPr>
            <w:r w:rsidRPr="00497BAC">
              <w:rPr>
                <w:b/>
                <w:bCs/>
                <w:rtl/>
              </w:rPr>
              <w:t>[אב"ד]</w:t>
            </w:r>
          </w:p>
        </w:tc>
      </w:tr>
    </w:tbl>
    <w:p w14:paraId="64833A1C" w14:textId="77777777" w:rsidR="006B21F2" w:rsidRDefault="006B21F2" w:rsidP="00277697">
      <w:pPr>
        <w:spacing w:line="360" w:lineRule="auto"/>
        <w:jc w:val="both"/>
        <w:rPr>
          <w:rtl/>
        </w:rPr>
      </w:pPr>
    </w:p>
    <w:p w14:paraId="195921E9" w14:textId="77777777" w:rsidR="006B21F2" w:rsidRPr="00197E2D" w:rsidRDefault="006B21F2" w:rsidP="00277697">
      <w:pPr>
        <w:spacing w:line="360" w:lineRule="auto"/>
        <w:jc w:val="both"/>
        <w:rPr>
          <w:b/>
          <w:bCs/>
          <w:u w:val="single"/>
          <w:rtl/>
        </w:rPr>
      </w:pPr>
      <w:r w:rsidRPr="00197E2D">
        <w:rPr>
          <w:b/>
          <w:bCs/>
          <w:u w:val="single"/>
          <w:rtl/>
        </w:rPr>
        <w:t>השופטת תמר נאות פרי:</w:t>
      </w:r>
    </w:p>
    <w:p w14:paraId="0B76A40A" w14:textId="77777777" w:rsidR="006B21F2" w:rsidRDefault="006B21F2" w:rsidP="00FE1D77">
      <w:pPr>
        <w:spacing w:line="360" w:lineRule="auto"/>
        <w:jc w:val="both"/>
        <w:rPr>
          <w:rtl/>
        </w:rPr>
      </w:pPr>
      <w:r>
        <w:rPr>
          <w:rtl/>
        </w:rPr>
        <w:t>אני מסכימה.</w:t>
      </w:r>
    </w:p>
    <w:p w14:paraId="617FD68B" w14:textId="77777777" w:rsidR="006B21F2" w:rsidRDefault="006B21F2" w:rsidP="00277697">
      <w:pPr>
        <w:spacing w:line="360" w:lineRule="auto"/>
        <w:jc w:val="both"/>
        <w:rPr>
          <w:rtl/>
        </w:rPr>
      </w:pPr>
    </w:p>
    <w:tbl>
      <w:tblPr>
        <w:bidiVisual/>
        <w:tblW w:w="0" w:type="auto"/>
        <w:tblLook w:val="01E0" w:firstRow="1" w:lastRow="1" w:firstColumn="1" w:lastColumn="1" w:noHBand="0" w:noVBand="0"/>
      </w:tblPr>
      <w:tblGrid>
        <w:gridCol w:w="2801"/>
        <w:gridCol w:w="316"/>
        <w:gridCol w:w="2551"/>
        <w:gridCol w:w="236"/>
        <w:gridCol w:w="2600"/>
      </w:tblGrid>
      <w:tr w:rsidR="006B21F2" w14:paraId="6891624C" w14:textId="77777777" w:rsidTr="00497BAC">
        <w:tc>
          <w:tcPr>
            <w:tcW w:w="2801" w:type="dxa"/>
            <w:tcBorders>
              <w:top w:val="nil"/>
              <w:left w:val="nil"/>
              <w:right w:val="nil"/>
            </w:tcBorders>
            <w:vAlign w:val="center"/>
          </w:tcPr>
          <w:p w14:paraId="00567435" w14:textId="77777777" w:rsidR="006B21F2" w:rsidRPr="00497BAC" w:rsidRDefault="006B21F2" w:rsidP="00497BAC">
            <w:pPr>
              <w:jc w:val="center"/>
              <w:rPr>
                <w:rFonts w:ascii="Courier New" w:hAnsi="Courier New"/>
                <w:b/>
                <w:bCs/>
              </w:rPr>
            </w:pPr>
          </w:p>
        </w:tc>
        <w:tc>
          <w:tcPr>
            <w:tcW w:w="316" w:type="dxa"/>
            <w:vAlign w:val="center"/>
          </w:tcPr>
          <w:p w14:paraId="0FB4C357" w14:textId="77777777" w:rsidR="006B21F2" w:rsidRPr="00497BAC" w:rsidRDefault="006B21F2" w:rsidP="00497BAC">
            <w:pPr>
              <w:jc w:val="center"/>
              <w:rPr>
                <w:rFonts w:ascii="Courier New" w:hAnsi="Courier New"/>
                <w:b/>
                <w:bCs/>
              </w:rPr>
            </w:pPr>
          </w:p>
        </w:tc>
        <w:tc>
          <w:tcPr>
            <w:tcW w:w="2551" w:type="dxa"/>
            <w:tcBorders>
              <w:top w:val="nil"/>
              <w:left w:val="nil"/>
              <w:right w:val="nil"/>
            </w:tcBorders>
            <w:vAlign w:val="center"/>
          </w:tcPr>
          <w:p w14:paraId="24B688EC" w14:textId="77777777" w:rsidR="006B21F2" w:rsidRPr="00497BAC" w:rsidRDefault="006B21F2" w:rsidP="00497BAC">
            <w:pPr>
              <w:jc w:val="center"/>
              <w:rPr>
                <w:rFonts w:ascii="Courier New" w:hAnsi="Courier New"/>
                <w:b/>
                <w:bCs/>
              </w:rPr>
            </w:pPr>
          </w:p>
        </w:tc>
        <w:tc>
          <w:tcPr>
            <w:tcW w:w="236" w:type="dxa"/>
            <w:vAlign w:val="center"/>
          </w:tcPr>
          <w:p w14:paraId="09AF7CF1" w14:textId="77777777" w:rsidR="006B21F2" w:rsidRPr="00497BAC" w:rsidRDefault="006B21F2" w:rsidP="00497BAC">
            <w:pPr>
              <w:jc w:val="center"/>
              <w:rPr>
                <w:rFonts w:ascii="Courier New" w:hAnsi="Courier New"/>
                <w:b/>
                <w:bCs/>
              </w:rPr>
            </w:pPr>
          </w:p>
        </w:tc>
        <w:tc>
          <w:tcPr>
            <w:tcW w:w="2600" w:type="dxa"/>
            <w:tcBorders>
              <w:top w:val="nil"/>
              <w:left w:val="nil"/>
              <w:bottom w:val="single" w:sz="4" w:space="0" w:color="auto"/>
              <w:right w:val="nil"/>
            </w:tcBorders>
            <w:vAlign w:val="center"/>
          </w:tcPr>
          <w:p w14:paraId="2C58DFE0" w14:textId="77777777" w:rsidR="006B21F2" w:rsidRPr="00497BAC" w:rsidRDefault="006B21F2" w:rsidP="00497BAC">
            <w:pPr>
              <w:jc w:val="center"/>
              <w:rPr>
                <w:rFonts w:ascii="Courier New" w:hAnsi="Courier New"/>
                <w:b/>
                <w:bCs/>
              </w:rPr>
            </w:pPr>
          </w:p>
        </w:tc>
      </w:tr>
      <w:tr w:rsidR="006B21F2" w14:paraId="30432322" w14:textId="77777777" w:rsidTr="00497BAC">
        <w:tc>
          <w:tcPr>
            <w:tcW w:w="2801" w:type="dxa"/>
            <w:tcBorders>
              <w:left w:val="nil"/>
              <w:bottom w:val="nil"/>
              <w:right w:val="nil"/>
            </w:tcBorders>
          </w:tcPr>
          <w:p w14:paraId="2C74FA37" w14:textId="77777777" w:rsidR="006B21F2" w:rsidRPr="00497BAC" w:rsidRDefault="006B21F2" w:rsidP="00497BAC">
            <w:pPr>
              <w:jc w:val="center"/>
              <w:rPr>
                <w:b/>
                <w:bCs/>
              </w:rPr>
            </w:pPr>
          </w:p>
        </w:tc>
        <w:tc>
          <w:tcPr>
            <w:tcW w:w="316" w:type="dxa"/>
          </w:tcPr>
          <w:p w14:paraId="1EAFEC72" w14:textId="77777777" w:rsidR="006B21F2" w:rsidRPr="00497BAC" w:rsidRDefault="006B21F2" w:rsidP="00497BAC">
            <w:pPr>
              <w:jc w:val="center"/>
              <w:rPr>
                <w:b/>
                <w:bCs/>
                <w:rtl/>
              </w:rPr>
            </w:pPr>
          </w:p>
        </w:tc>
        <w:tc>
          <w:tcPr>
            <w:tcW w:w="2551" w:type="dxa"/>
            <w:tcBorders>
              <w:left w:val="nil"/>
              <w:bottom w:val="nil"/>
              <w:right w:val="nil"/>
            </w:tcBorders>
          </w:tcPr>
          <w:p w14:paraId="5E0E8A6F" w14:textId="77777777" w:rsidR="006B21F2" w:rsidRPr="00497BAC" w:rsidRDefault="006B21F2" w:rsidP="00497BAC">
            <w:pPr>
              <w:jc w:val="center"/>
              <w:rPr>
                <w:b/>
                <w:bCs/>
              </w:rPr>
            </w:pPr>
          </w:p>
        </w:tc>
        <w:tc>
          <w:tcPr>
            <w:tcW w:w="236" w:type="dxa"/>
          </w:tcPr>
          <w:p w14:paraId="6EE1A6ED" w14:textId="77777777" w:rsidR="006B21F2" w:rsidRPr="00497BAC" w:rsidRDefault="006B21F2" w:rsidP="00497BAC">
            <w:pPr>
              <w:jc w:val="center"/>
              <w:rPr>
                <w:b/>
                <w:bCs/>
              </w:rPr>
            </w:pPr>
          </w:p>
        </w:tc>
        <w:tc>
          <w:tcPr>
            <w:tcW w:w="2600" w:type="dxa"/>
            <w:tcBorders>
              <w:top w:val="single" w:sz="4" w:space="0" w:color="auto"/>
              <w:left w:val="nil"/>
              <w:bottom w:val="nil"/>
              <w:right w:val="nil"/>
            </w:tcBorders>
          </w:tcPr>
          <w:p w14:paraId="61CDD3CC" w14:textId="77777777" w:rsidR="006B21F2" w:rsidRPr="00497BAC" w:rsidRDefault="006B21F2" w:rsidP="00497BAC">
            <w:pPr>
              <w:jc w:val="center"/>
              <w:rPr>
                <w:b/>
                <w:bCs/>
              </w:rPr>
            </w:pPr>
            <w:r w:rsidRPr="00497BAC">
              <w:rPr>
                <w:b/>
                <w:bCs/>
                <w:rtl/>
              </w:rPr>
              <w:t>תמר נאות פרי, שופטת</w:t>
            </w:r>
          </w:p>
        </w:tc>
      </w:tr>
    </w:tbl>
    <w:p w14:paraId="1AA7AA04" w14:textId="77777777" w:rsidR="006B21F2" w:rsidRPr="00FE1D77" w:rsidRDefault="006B21F2" w:rsidP="00277697">
      <w:pPr>
        <w:spacing w:line="360" w:lineRule="auto"/>
        <w:jc w:val="both"/>
        <w:rPr>
          <w:rtl/>
        </w:rPr>
      </w:pPr>
    </w:p>
    <w:p w14:paraId="2D322D0D" w14:textId="77777777" w:rsidR="006B21F2" w:rsidRDefault="006B21F2" w:rsidP="00277697">
      <w:pPr>
        <w:spacing w:line="360" w:lineRule="auto"/>
        <w:jc w:val="both"/>
        <w:rPr>
          <w:rtl/>
        </w:rPr>
      </w:pPr>
    </w:p>
    <w:p w14:paraId="78F71E24" w14:textId="77777777" w:rsidR="006B21F2" w:rsidRDefault="006B21F2" w:rsidP="00277697">
      <w:pPr>
        <w:spacing w:line="360" w:lineRule="auto"/>
        <w:jc w:val="both"/>
        <w:rPr>
          <w:rtl/>
        </w:rPr>
      </w:pPr>
    </w:p>
    <w:p w14:paraId="3B4C43CA" w14:textId="77777777" w:rsidR="006B21F2" w:rsidRPr="00197E2D" w:rsidRDefault="006B21F2" w:rsidP="00277697">
      <w:pPr>
        <w:spacing w:line="360" w:lineRule="auto"/>
        <w:jc w:val="both"/>
        <w:rPr>
          <w:rtl/>
        </w:rPr>
      </w:pPr>
    </w:p>
    <w:p w14:paraId="77D167D5" w14:textId="77777777" w:rsidR="006B21F2" w:rsidRPr="00057BEA" w:rsidRDefault="006B21F2" w:rsidP="00FE1D77">
      <w:pPr>
        <w:spacing w:line="480" w:lineRule="auto"/>
        <w:jc w:val="both"/>
        <w:rPr>
          <w:rtl/>
        </w:rPr>
      </w:pPr>
      <w:bookmarkStart w:id="9" w:name="_ETM_Q_387004"/>
      <w:bookmarkStart w:id="10" w:name="_ETM_Q_394823"/>
      <w:bookmarkStart w:id="11" w:name="_ETM_Q_1274157"/>
      <w:bookmarkStart w:id="12" w:name="_ETM_Q_1279581"/>
      <w:bookmarkStart w:id="13" w:name="_ETM_Q_1290465"/>
      <w:bookmarkStart w:id="14" w:name="_ETM_Q_1296651"/>
      <w:bookmarkEnd w:id="9"/>
      <w:bookmarkEnd w:id="10"/>
      <w:bookmarkEnd w:id="11"/>
      <w:bookmarkEnd w:id="12"/>
      <w:bookmarkEnd w:id="13"/>
      <w:bookmarkEnd w:id="14"/>
      <w:r>
        <w:rPr>
          <w:rtl/>
        </w:rPr>
        <w:t xml:space="preserve">הוחלט פה אחד </w:t>
      </w:r>
      <w:r w:rsidRPr="00057BEA">
        <w:rPr>
          <w:rtl/>
        </w:rPr>
        <w:t>להטיל על הנאשם את העונשים הבאים:</w:t>
      </w:r>
    </w:p>
    <w:p w14:paraId="37895336" w14:textId="77777777" w:rsidR="006B21F2" w:rsidRPr="00057BEA" w:rsidRDefault="006B21F2" w:rsidP="00277697">
      <w:pPr>
        <w:spacing w:line="360" w:lineRule="auto"/>
        <w:ind w:left="360"/>
        <w:contextualSpacing/>
        <w:jc w:val="both"/>
        <w:rPr>
          <w:rtl/>
        </w:rPr>
      </w:pPr>
      <w:r w:rsidRPr="00057BEA">
        <w:rPr>
          <w:rtl/>
        </w:rPr>
        <w:t xml:space="preserve">-בגין רצח המנוח מאסר עולם (עונש חובה); </w:t>
      </w:r>
    </w:p>
    <w:p w14:paraId="2A4A09C6" w14:textId="77777777" w:rsidR="006B21F2" w:rsidRPr="00741BBA" w:rsidRDefault="006B21F2" w:rsidP="00277697">
      <w:pPr>
        <w:spacing w:line="360" w:lineRule="auto"/>
        <w:ind w:left="360"/>
        <w:contextualSpacing/>
        <w:jc w:val="both"/>
        <w:rPr>
          <w:rtl/>
        </w:rPr>
      </w:pPr>
      <w:r>
        <w:rPr>
          <w:rtl/>
        </w:rPr>
        <w:t>-</w:t>
      </w:r>
      <w:r w:rsidRPr="00057BEA">
        <w:rPr>
          <w:rtl/>
        </w:rPr>
        <w:t>בגין עבירות הנשק בהן הורשע הנאשם נגזור עליו שנתיים מאסר בפועל שירוצו בחופף לעונש מאסר העולם שנגזר לעיל.</w:t>
      </w:r>
      <w:r>
        <w:rPr>
          <w:rtl/>
        </w:rPr>
        <w:t xml:space="preserve"> </w:t>
      </w:r>
    </w:p>
    <w:p w14:paraId="7565AB85" w14:textId="77777777" w:rsidR="006B21F2" w:rsidRPr="00197E2D" w:rsidRDefault="006B21F2" w:rsidP="00277697">
      <w:pPr>
        <w:spacing w:line="360" w:lineRule="auto"/>
        <w:ind w:left="360"/>
        <w:contextualSpacing/>
        <w:jc w:val="both"/>
        <w:rPr>
          <w:rtl/>
        </w:rPr>
      </w:pPr>
    </w:p>
    <w:p w14:paraId="58720F2A" w14:textId="77777777" w:rsidR="006B21F2" w:rsidRPr="007F38CE" w:rsidRDefault="006B21F2" w:rsidP="00277697">
      <w:pPr>
        <w:spacing w:line="360" w:lineRule="auto"/>
        <w:ind w:left="360"/>
        <w:contextualSpacing/>
        <w:jc w:val="both"/>
        <w:rPr>
          <w:rtl/>
        </w:rPr>
      </w:pPr>
      <w:r w:rsidRPr="007F38CE">
        <w:rPr>
          <w:rtl/>
        </w:rPr>
        <w:t xml:space="preserve">-בגין </w:t>
      </w:r>
      <w:r w:rsidRPr="00197E2D">
        <w:rPr>
          <w:rtl/>
        </w:rPr>
        <w:t xml:space="preserve">שתי </w:t>
      </w:r>
      <w:r w:rsidRPr="007F38CE">
        <w:rPr>
          <w:rtl/>
        </w:rPr>
        <w:t>עביר</w:t>
      </w:r>
      <w:r w:rsidRPr="00197E2D">
        <w:rPr>
          <w:rtl/>
        </w:rPr>
        <w:t>ו</w:t>
      </w:r>
      <w:r w:rsidRPr="007F38CE">
        <w:rPr>
          <w:rtl/>
        </w:rPr>
        <w:t xml:space="preserve">ת </w:t>
      </w:r>
      <w:r w:rsidRPr="00197E2D">
        <w:rPr>
          <w:rtl/>
        </w:rPr>
        <w:t xml:space="preserve">של פציעה </w:t>
      </w:r>
      <w:r w:rsidRPr="007F38CE">
        <w:rPr>
          <w:rtl/>
        </w:rPr>
        <w:t>בנסיבות מחמירות -</w:t>
      </w:r>
      <w:r w:rsidRPr="00197E2D">
        <w:rPr>
          <w:rtl/>
        </w:rPr>
        <w:t>4</w:t>
      </w:r>
      <w:r w:rsidRPr="007F38CE">
        <w:rPr>
          <w:rtl/>
        </w:rPr>
        <w:t xml:space="preserve"> שנות מאסר בפועל אשר ירוצו במצטבר לעונש מאסר העולם.</w:t>
      </w:r>
    </w:p>
    <w:p w14:paraId="2ABCB638" w14:textId="77777777" w:rsidR="006B21F2" w:rsidRPr="00197E2D" w:rsidRDefault="006B21F2" w:rsidP="00277697">
      <w:pPr>
        <w:spacing w:line="360" w:lineRule="auto"/>
        <w:ind w:left="360"/>
        <w:contextualSpacing/>
        <w:jc w:val="both"/>
        <w:rPr>
          <w:rtl/>
        </w:rPr>
      </w:pPr>
    </w:p>
    <w:p w14:paraId="24A754C4" w14:textId="77777777" w:rsidR="006B21F2" w:rsidRPr="007F38CE" w:rsidRDefault="006B21F2" w:rsidP="00277697">
      <w:pPr>
        <w:spacing w:line="360" w:lineRule="auto"/>
        <w:ind w:left="360"/>
        <w:contextualSpacing/>
        <w:jc w:val="both"/>
        <w:rPr>
          <w:rtl/>
        </w:rPr>
      </w:pPr>
      <w:r w:rsidRPr="007F38CE">
        <w:rPr>
          <w:rtl/>
        </w:rPr>
        <w:t xml:space="preserve">תחילת המאסר תימנה מיום מעצרו של הנאשם – </w:t>
      </w:r>
      <w:r w:rsidRPr="00197E2D">
        <w:rPr>
          <w:rtl/>
        </w:rPr>
        <w:t>30.9.2016</w:t>
      </w:r>
      <w:r w:rsidRPr="007F38CE">
        <w:rPr>
          <w:rtl/>
        </w:rPr>
        <w:t xml:space="preserve">; </w:t>
      </w:r>
    </w:p>
    <w:p w14:paraId="426BB58D" w14:textId="77777777" w:rsidR="006B21F2" w:rsidRPr="00197E2D" w:rsidRDefault="006B21F2" w:rsidP="00277697">
      <w:pPr>
        <w:spacing w:line="360" w:lineRule="auto"/>
        <w:ind w:left="360"/>
        <w:jc w:val="both"/>
        <w:rPr>
          <w:rtl/>
        </w:rPr>
      </w:pPr>
    </w:p>
    <w:p w14:paraId="3920AD9A" w14:textId="77777777" w:rsidR="006B21F2" w:rsidRPr="00197E2D" w:rsidRDefault="006B21F2" w:rsidP="00277697">
      <w:pPr>
        <w:spacing w:line="360" w:lineRule="auto"/>
        <w:ind w:left="360"/>
        <w:jc w:val="both"/>
        <w:rPr>
          <w:rtl/>
        </w:rPr>
      </w:pPr>
      <w:r w:rsidRPr="007F38CE">
        <w:rPr>
          <w:rtl/>
        </w:rPr>
        <w:t xml:space="preserve">-הנאשם ישלם פיצוי בשיעור של </w:t>
      </w:r>
      <w:r w:rsidRPr="00197E2D">
        <w:rPr>
          <w:rtl/>
        </w:rPr>
        <w:t xml:space="preserve">258,000 </w:t>
      </w:r>
      <w:r w:rsidRPr="007F38CE">
        <w:rPr>
          <w:rtl/>
        </w:rPr>
        <w:t>ש"ח ל</w:t>
      </w:r>
      <w:r w:rsidRPr="00197E2D">
        <w:rPr>
          <w:rtl/>
        </w:rPr>
        <w:t xml:space="preserve">משפחת המנוח. </w:t>
      </w:r>
    </w:p>
    <w:p w14:paraId="35B0BC72" w14:textId="77777777" w:rsidR="006B21F2" w:rsidRPr="00197E2D" w:rsidRDefault="006B21F2" w:rsidP="00277697">
      <w:pPr>
        <w:spacing w:line="360" w:lineRule="auto"/>
        <w:ind w:left="360"/>
        <w:jc w:val="both"/>
        <w:rPr>
          <w:rtl/>
        </w:rPr>
      </w:pPr>
      <w:r w:rsidRPr="007F38CE">
        <w:rPr>
          <w:rtl/>
        </w:rPr>
        <w:t xml:space="preserve">-הנאשם ישלם פיצוי בשיעור של </w:t>
      </w:r>
      <w:r w:rsidRPr="00197E2D">
        <w:rPr>
          <w:rtl/>
        </w:rPr>
        <w:t xml:space="preserve">35,000 </w:t>
      </w:r>
      <w:r w:rsidRPr="007F38CE">
        <w:rPr>
          <w:rtl/>
        </w:rPr>
        <w:t>ש"ח לכל אח</w:t>
      </w:r>
      <w:r w:rsidRPr="00197E2D">
        <w:rPr>
          <w:rtl/>
        </w:rPr>
        <w:t>ד</w:t>
      </w:r>
      <w:r w:rsidRPr="007F38CE">
        <w:rPr>
          <w:rtl/>
        </w:rPr>
        <w:t xml:space="preserve"> מנפגע</w:t>
      </w:r>
      <w:r w:rsidRPr="00197E2D">
        <w:rPr>
          <w:rtl/>
        </w:rPr>
        <w:t xml:space="preserve">י </w:t>
      </w:r>
      <w:r w:rsidRPr="007F38CE">
        <w:rPr>
          <w:rtl/>
        </w:rPr>
        <w:t xml:space="preserve">העבירה, </w:t>
      </w:r>
      <w:r w:rsidRPr="00197E2D">
        <w:rPr>
          <w:rtl/>
        </w:rPr>
        <w:t xml:space="preserve">שאדי וחסן (עדי תביעה מספר 1 ו-2). </w:t>
      </w:r>
    </w:p>
    <w:p w14:paraId="583A308A" w14:textId="77777777" w:rsidR="006B21F2" w:rsidRPr="00197E2D" w:rsidRDefault="006B21F2" w:rsidP="00277697">
      <w:pPr>
        <w:spacing w:line="360" w:lineRule="auto"/>
        <w:ind w:left="360"/>
        <w:jc w:val="both"/>
        <w:rPr>
          <w:rtl/>
        </w:rPr>
      </w:pPr>
    </w:p>
    <w:p w14:paraId="4B64F0C7" w14:textId="77777777" w:rsidR="006B21F2" w:rsidRPr="00197E2D" w:rsidRDefault="006B21F2" w:rsidP="00277697">
      <w:pPr>
        <w:spacing w:line="360" w:lineRule="auto"/>
        <w:ind w:left="360"/>
        <w:jc w:val="both"/>
        <w:rPr>
          <w:rtl/>
        </w:rPr>
      </w:pPr>
      <w:r w:rsidRPr="00197E2D">
        <w:rPr>
          <w:rtl/>
        </w:rPr>
        <w:t xml:space="preserve">סכומי </w:t>
      </w:r>
      <w:r w:rsidRPr="007F38CE">
        <w:rPr>
          <w:rtl/>
        </w:rPr>
        <w:t>הפיצוי</w:t>
      </w:r>
      <w:r w:rsidRPr="00197E2D">
        <w:rPr>
          <w:rtl/>
        </w:rPr>
        <w:t>ים</w:t>
      </w:r>
      <w:r w:rsidRPr="007F38CE">
        <w:rPr>
          <w:rtl/>
        </w:rPr>
        <w:t xml:space="preserve"> יופקד</w:t>
      </w:r>
      <w:r w:rsidRPr="00197E2D">
        <w:rPr>
          <w:rtl/>
        </w:rPr>
        <w:t>ו</w:t>
      </w:r>
      <w:r w:rsidRPr="007F38CE">
        <w:rPr>
          <w:rtl/>
        </w:rPr>
        <w:t xml:space="preserve"> בקופת בית משפט עבור כל אח</w:t>
      </w:r>
      <w:r w:rsidRPr="00197E2D">
        <w:rPr>
          <w:rtl/>
        </w:rPr>
        <w:t>ד</w:t>
      </w:r>
      <w:r w:rsidRPr="007F38CE">
        <w:rPr>
          <w:rtl/>
        </w:rPr>
        <w:t xml:space="preserve"> מנפגע</w:t>
      </w:r>
      <w:r w:rsidRPr="00197E2D">
        <w:rPr>
          <w:rtl/>
        </w:rPr>
        <w:t xml:space="preserve">י </w:t>
      </w:r>
      <w:r w:rsidRPr="007F38CE">
        <w:rPr>
          <w:rtl/>
        </w:rPr>
        <w:t>העבירה עד לא יאוחר מיום 1.4.201</w:t>
      </w:r>
      <w:r w:rsidRPr="00197E2D">
        <w:rPr>
          <w:rtl/>
        </w:rPr>
        <w:t>9</w:t>
      </w:r>
      <w:r w:rsidRPr="007F38CE">
        <w:rPr>
          <w:rtl/>
        </w:rPr>
        <w:t>.</w:t>
      </w:r>
      <w:r w:rsidRPr="00197E2D">
        <w:rPr>
          <w:rtl/>
        </w:rPr>
        <w:t xml:space="preserve"> אין בקביעת גובה הפיצוי כדי להגביל את נפגעי העבירה לתבוע פיצוי על מלוא נזקיהם. </w:t>
      </w:r>
    </w:p>
    <w:p w14:paraId="7A75E98A" w14:textId="77777777" w:rsidR="006B21F2" w:rsidRPr="00197E2D" w:rsidRDefault="006B21F2" w:rsidP="00277697">
      <w:pPr>
        <w:spacing w:line="360" w:lineRule="auto"/>
        <w:ind w:left="360"/>
        <w:jc w:val="both"/>
        <w:rPr>
          <w:rtl/>
        </w:rPr>
      </w:pPr>
    </w:p>
    <w:p w14:paraId="188D5EE0" w14:textId="77777777" w:rsidR="006B21F2" w:rsidRPr="007F38CE" w:rsidRDefault="006B21F2" w:rsidP="006152E6">
      <w:pPr>
        <w:spacing w:line="360" w:lineRule="auto"/>
        <w:ind w:left="360"/>
        <w:contextualSpacing/>
        <w:jc w:val="both"/>
        <w:rPr>
          <w:rtl/>
        </w:rPr>
      </w:pPr>
      <w:r w:rsidRPr="007F38CE">
        <w:rPr>
          <w:rtl/>
        </w:rPr>
        <w:t xml:space="preserve">-בשים לב למשכו של המאסר שאנו גוזרים </w:t>
      </w:r>
      <w:r>
        <w:rPr>
          <w:rtl/>
        </w:rPr>
        <w:t>הוחלט</w:t>
      </w:r>
      <w:r w:rsidRPr="007F38CE">
        <w:rPr>
          <w:rtl/>
        </w:rPr>
        <w:t xml:space="preserve"> שלא להוסיף עוד עונש של מאסר מותנה. </w:t>
      </w:r>
    </w:p>
    <w:p w14:paraId="027D8814" w14:textId="77777777" w:rsidR="006B21F2" w:rsidRDefault="006B21F2" w:rsidP="00277697">
      <w:pPr>
        <w:spacing w:line="360" w:lineRule="auto"/>
        <w:jc w:val="both"/>
        <w:rPr>
          <w:rtl/>
        </w:rPr>
      </w:pPr>
    </w:p>
    <w:p w14:paraId="24DA0C6F" w14:textId="77777777" w:rsidR="006B21F2" w:rsidRPr="00FE1D77" w:rsidRDefault="006B21F2" w:rsidP="00277697">
      <w:pPr>
        <w:spacing w:line="360" w:lineRule="auto"/>
        <w:ind w:firstLine="360"/>
        <w:jc w:val="both"/>
        <w:rPr>
          <w:b/>
          <w:bCs/>
          <w:rtl/>
        </w:rPr>
      </w:pPr>
      <w:r w:rsidRPr="00FE1D77">
        <w:rPr>
          <w:b/>
          <w:bCs/>
          <w:rtl/>
        </w:rPr>
        <w:t>זכות ערעור תוך 45 יום מהיום</w:t>
      </w:r>
      <w:r>
        <w:rPr>
          <w:b/>
          <w:bCs/>
          <w:rtl/>
        </w:rPr>
        <w:t>.</w:t>
      </w:r>
    </w:p>
    <w:p w14:paraId="5C1BB566" w14:textId="77777777" w:rsidR="006B21F2" w:rsidRPr="00B05847" w:rsidRDefault="006B21F2" w:rsidP="00301139">
      <w:pPr>
        <w:spacing w:line="360" w:lineRule="auto"/>
        <w:jc w:val="both"/>
        <w:rPr>
          <w:rtl/>
        </w:rPr>
      </w:pPr>
    </w:p>
    <w:p w14:paraId="2E0AE7F1" w14:textId="77777777" w:rsidR="006B21F2" w:rsidRDefault="00214A51">
      <w:pPr>
        <w:pStyle w:val="a3"/>
        <w:jc w:val="center"/>
        <w:rPr>
          <w:rtl/>
        </w:rPr>
      </w:pPr>
      <w:r>
        <w:rPr>
          <w:rFonts w:ascii="Arial" w:hAnsi="Arial"/>
          <w:rtl/>
        </w:rPr>
        <w:t xml:space="preserve">ניתן היום,  ז' כסלו תשע"ט, 15 נובמבר 2018, במעמד הנאשם וב"כ הצדדים.  </w:t>
      </w:r>
    </w:p>
    <w:p w14:paraId="7370D2E0" w14:textId="77777777" w:rsidR="006B21F2" w:rsidRPr="00214A51" w:rsidRDefault="00C53542">
      <w:pPr>
        <w:pStyle w:val="a3"/>
        <w:jc w:val="center"/>
        <w:rPr>
          <w:color w:val="FFFFFF"/>
          <w:sz w:val="2"/>
          <w:szCs w:val="2"/>
          <w:rtl/>
        </w:rPr>
      </w:pPr>
      <w:r w:rsidRPr="00C53542">
        <w:rPr>
          <w:color w:val="FFFFFF"/>
          <w:sz w:val="2"/>
          <w:szCs w:val="2"/>
          <w:rtl/>
        </w:rPr>
        <w:t>5129371</w:t>
      </w:r>
      <w:r w:rsidR="00214A51" w:rsidRPr="00214A51">
        <w:rPr>
          <w:color w:val="FFFFFF"/>
          <w:sz w:val="2"/>
          <w:szCs w:val="2"/>
          <w:rtl/>
        </w:rPr>
        <w:t>5129371</w:t>
      </w:r>
    </w:p>
    <w:tbl>
      <w:tblPr>
        <w:bidiVisual/>
        <w:tblW w:w="0" w:type="auto"/>
        <w:tblLook w:val="01E0" w:firstRow="1" w:lastRow="1" w:firstColumn="1" w:lastColumn="1" w:noHBand="0" w:noVBand="0"/>
      </w:tblPr>
      <w:tblGrid>
        <w:gridCol w:w="2801"/>
        <w:gridCol w:w="316"/>
        <w:gridCol w:w="2551"/>
        <w:gridCol w:w="236"/>
        <w:gridCol w:w="2600"/>
      </w:tblGrid>
      <w:tr w:rsidR="006B21F2" w14:paraId="333A07DE" w14:textId="77777777" w:rsidTr="00497BAC">
        <w:tc>
          <w:tcPr>
            <w:tcW w:w="2801" w:type="dxa"/>
            <w:tcBorders>
              <w:top w:val="single" w:sz="4" w:space="0" w:color="auto"/>
              <w:left w:val="nil"/>
              <w:bottom w:val="nil"/>
              <w:right w:val="nil"/>
            </w:tcBorders>
          </w:tcPr>
          <w:p w14:paraId="4A56E2C5" w14:textId="77777777" w:rsidR="006B21F2" w:rsidRPr="00497BAC" w:rsidRDefault="00C53542" w:rsidP="00497BAC">
            <w:pPr>
              <w:jc w:val="center"/>
              <w:rPr>
                <w:b/>
                <w:bCs/>
              </w:rPr>
            </w:pPr>
            <w:r w:rsidRPr="00C53542">
              <w:rPr>
                <w:b/>
                <w:bCs/>
                <w:color w:val="FFFFFF"/>
                <w:sz w:val="2"/>
                <w:szCs w:val="2"/>
                <w:rtl/>
              </w:rPr>
              <w:t>54678313</w:t>
            </w:r>
            <w:r w:rsidR="006B21F2" w:rsidRPr="00497BAC">
              <w:rPr>
                <w:b/>
                <w:bCs/>
                <w:rtl/>
              </w:rPr>
              <w:t xml:space="preserve"> רון שפירא, נשיא</w:t>
            </w:r>
          </w:p>
          <w:p w14:paraId="0246821A" w14:textId="77777777" w:rsidR="006B21F2" w:rsidRPr="00497BAC" w:rsidRDefault="006B21F2" w:rsidP="00497BAC">
            <w:pPr>
              <w:jc w:val="center"/>
              <w:rPr>
                <w:b/>
                <w:bCs/>
              </w:rPr>
            </w:pPr>
            <w:r w:rsidRPr="00497BAC">
              <w:rPr>
                <w:b/>
                <w:bCs/>
                <w:rtl/>
              </w:rPr>
              <w:t>[אב"ד]</w:t>
            </w:r>
          </w:p>
        </w:tc>
        <w:tc>
          <w:tcPr>
            <w:tcW w:w="316" w:type="dxa"/>
          </w:tcPr>
          <w:p w14:paraId="65F9CD73" w14:textId="77777777" w:rsidR="006B21F2" w:rsidRPr="00497BAC" w:rsidRDefault="006B21F2" w:rsidP="00497BAC">
            <w:pPr>
              <w:jc w:val="center"/>
              <w:rPr>
                <w:b/>
                <w:bCs/>
                <w:rtl/>
              </w:rPr>
            </w:pPr>
          </w:p>
        </w:tc>
        <w:tc>
          <w:tcPr>
            <w:tcW w:w="2551" w:type="dxa"/>
            <w:tcBorders>
              <w:top w:val="single" w:sz="4" w:space="0" w:color="auto"/>
              <w:left w:val="nil"/>
              <w:bottom w:val="nil"/>
              <w:right w:val="nil"/>
            </w:tcBorders>
          </w:tcPr>
          <w:p w14:paraId="3B4BA2DA" w14:textId="77777777" w:rsidR="006B21F2" w:rsidRPr="00497BAC" w:rsidRDefault="006B21F2" w:rsidP="00497BAC">
            <w:pPr>
              <w:jc w:val="center"/>
              <w:rPr>
                <w:b/>
                <w:bCs/>
              </w:rPr>
            </w:pPr>
            <w:r w:rsidRPr="00497BAC">
              <w:rPr>
                <w:b/>
                <w:bCs/>
                <w:rtl/>
              </w:rPr>
              <w:t>אברהם אליקים, סגן נשיא</w:t>
            </w:r>
          </w:p>
        </w:tc>
        <w:tc>
          <w:tcPr>
            <w:tcW w:w="236" w:type="dxa"/>
          </w:tcPr>
          <w:p w14:paraId="5FB34927" w14:textId="77777777" w:rsidR="006B21F2" w:rsidRPr="00497BAC" w:rsidRDefault="006B21F2" w:rsidP="00497BAC">
            <w:pPr>
              <w:jc w:val="center"/>
              <w:rPr>
                <w:b/>
                <w:bCs/>
              </w:rPr>
            </w:pPr>
          </w:p>
        </w:tc>
        <w:tc>
          <w:tcPr>
            <w:tcW w:w="2600" w:type="dxa"/>
            <w:tcBorders>
              <w:top w:val="single" w:sz="4" w:space="0" w:color="auto"/>
              <w:left w:val="nil"/>
              <w:bottom w:val="nil"/>
              <w:right w:val="nil"/>
            </w:tcBorders>
          </w:tcPr>
          <w:p w14:paraId="7C0A53B4" w14:textId="77777777" w:rsidR="006B21F2" w:rsidRPr="00497BAC" w:rsidRDefault="006B21F2" w:rsidP="00497BAC">
            <w:pPr>
              <w:jc w:val="center"/>
              <w:rPr>
                <w:b/>
                <w:bCs/>
              </w:rPr>
            </w:pPr>
            <w:r w:rsidRPr="00497BAC">
              <w:rPr>
                <w:b/>
                <w:bCs/>
                <w:rtl/>
              </w:rPr>
              <w:t>תמר נאות פרי, שופטת</w:t>
            </w:r>
          </w:p>
        </w:tc>
      </w:tr>
    </w:tbl>
    <w:p w14:paraId="544CA3A4" w14:textId="77777777" w:rsidR="006B21F2" w:rsidRPr="00214A51" w:rsidRDefault="006B21F2" w:rsidP="00214A51">
      <w:pPr>
        <w:keepNext/>
        <w:rPr>
          <w:rFonts w:ascii="David" w:hAnsi="David"/>
          <w:color w:val="000000"/>
          <w:sz w:val="22"/>
          <w:szCs w:val="22"/>
          <w:rtl/>
        </w:rPr>
      </w:pPr>
    </w:p>
    <w:p w14:paraId="1B2EBC2C" w14:textId="77777777" w:rsidR="00214A51" w:rsidRDefault="00214A51" w:rsidP="00214A51">
      <w:pPr>
        <w:rPr>
          <w:rtl/>
        </w:rPr>
      </w:pPr>
    </w:p>
    <w:p w14:paraId="6AF5A58B" w14:textId="77777777" w:rsidR="00214A51" w:rsidRDefault="00214A51" w:rsidP="00214A51">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6CDCC339" w14:textId="77777777" w:rsidR="00C53542" w:rsidRPr="00C53542" w:rsidRDefault="00C53542" w:rsidP="00C53542">
      <w:pPr>
        <w:keepNext/>
        <w:rPr>
          <w:rFonts w:ascii="David" w:hAnsi="David"/>
          <w:color w:val="000000"/>
          <w:sz w:val="22"/>
          <w:szCs w:val="22"/>
          <w:rtl/>
        </w:rPr>
      </w:pPr>
    </w:p>
    <w:p w14:paraId="6C3A5A1D" w14:textId="77777777" w:rsidR="00C53542" w:rsidRPr="00C53542" w:rsidRDefault="00C53542" w:rsidP="00C53542">
      <w:pPr>
        <w:keepNext/>
        <w:rPr>
          <w:rFonts w:ascii="David" w:hAnsi="David"/>
          <w:color w:val="000000"/>
          <w:sz w:val="22"/>
          <w:szCs w:val="22"/>
          <w:rtl/>
        </w:rPr>
      </w:pPr>
      <w:r w:rsidRPr="00C53542">
        <w:rPr>
          <w:rFonts w:ascii="David" w:hAnsi="David"/>
          <w:color w:val="000000"/>
          <w:sz w:val="22"/>
          <w:szCs w:val="22"/>
          <w:rtl/>
        </w:rPr>
        <w:t>רון שפירא 54678313-/</w:t>
      </w:r>
    </w:p>
    <w:p w14:paraId="15A006D8" w14:textId="77777777" w:rsidR="00214A51" w:rsidRPr="00214A51" w:rsidRDefault="00C53542" w:rsidP="00C53542">
      <w:pPr>
        <w:rPr>
          <w:color w:val="0000FF"/>
          <w:u w:val="single"/>
        </w:rPr>
      </w:pPr>
      <w:r w:rsidRPr="00C53542">
        <w:rPr>
          <w:color w:val="000000"/>
          <w:u w:val="single"/>
          <w:rtl/>
        </w:rPr>
        <w:t>נוסח מסמך זה כפוף לשינויי ניסוח ועריכה</w:t>
      </w:r>
    </w:p>
    <w:sectPr w:rsidR="00214A51" w:rsidRPr="00214A51" w:rsidSect="00C53542">
      <w:headerReference w:type="even" r:id="rId47"/>
      <w:headerReference w:type="default" r:id="rId48"/>
      <w:footerReference w:type="even" r:id="rId49"/>
      <w:footerReference w:type="default" r:id="rId50"/>
      <w:pgSz w:w="11907" w:h="16840" w:code="9"/>
      <w:pgMar w:top="1701" w:right="1701" w:bottom="1134"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DDF94" w14:textId="77777777" w:rsidR="00DE09F3" w:rsidRDefault="00DE09F3">
      <w:r>
        <w:separator/>
      </w:r>
    </w:p>
  </w:endnote>
  <w:endnote w:type="continuationSeparator" w:id="0">
    <w:p w14:paraId="07A6FCBA" w14:textId="77777777" w:rsidR="00DE09F3" w:rsidRDefault="00DE0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EDFE4" w14:textId="77777777" w:rsidR="00C53542" w:rsidRDefault="00C53542" w:rsidP="00C5354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19AFE2F4" w14:textId="77777777" w:rsidR="006B21F2" w:rsidRPr="00C53542" w:rsidRDefault="00C53542" w:rsidP="00C53542">
    <w:pPr>
      <w:pStyle w:val="a4"/>
      <w:pBdr>
        <w:top w:val="single" w:sz="4" w:space="1" w:color="auto"/>
        <w:between w:val="single" w:sz="4" w:space="0" w:color="auto"/>
      </w:pBdr>
      <w:spacing w:after="60"/>
      <w:jc w:val="center"/>
      <w:rPr>
        <w:rFonts w:ascii="FrankRuehl" w:hAnsi="FrankRuehl" w:cs="FrankRuehl"/>
        <w:color w:val="000000"/>
      </w:rPr>
    </w:pPr>
    <w:r w:rsidRPr="00C5354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222B5" w14:textId="77777777" w:rsidR="00C53542" w:rsidRDefault="00C53542" w:rsidP="00C53542">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766F5">
      <w:rPr>
        <w:rFonts w:ascii="FrankRuehl" w:hAnsi="FrankRuehl" w:cs="FrankRuehl"/>
        <w:noProof/>
        <w:rtl/>
      </w:rPr>
      <w:t>1</w:t>
    </w:r>
    <w:r>
      <w:rPr>
        <w:rFonts w:ascii="FrankRuehl" w:hAnsi="FrankRuehl" w:cs="FrankRuehl"/>
        <w:rtl/>
      </w:rPr>
      <w:fldChar w:fldCharType="end"/>
    </w:r>
  </w:p>
  <w:p w14:paraId="627A7695" w14:textId="77777777" w:rsidR="006B21F2" w:rsidRPr="00C53542" w:rsidRDefault="00C53542" w:rsidP="00C53542">
    <w:pPr>
      <w:pStyle w:val="a4"/>
      <w:pBdr>
        <w:top w:val="single" w:sz="4" w:space="1" w:color="auto"/>
        <w:between w:val="single" w:sz="4" w:space="0" w:color="auto"/>
      </w:pBdr>
      <w:spacing w:after="60"/>
      <w:jc w:val="center"/>
      <w:rPr>
        <w:rFonts w:ascii="FrankRuehl" w:hAnsi="FrankRuehl" w:cs="FrankRuehl"/>
        <w:color w:val="000000"/>
      </w:rPr>
    </w:pPr>
    <w:r w:rsidRPr="00C53542">
      <w:rPr>
        <w:rFonts w:ascii="FrankRuehl" w:hAnsi="FrankRuehl" w:cs="FrankRuehl"/>
        <w:color w:val="000000"/>
      </w:rPr>
      <w:pict w14:anchorId="3AEAC0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2E1D3" w14:textId="77777777" w:rsidR="00DE09F3" w:rsidRDefault="00DE09F3">
      <w:r>
        <w:separator/>
      </w:r>
    </w:p>
  </w:footnote>
  <w:footnote w:type="continuationSeparator" w:id="0">
    <w:p w14:paraId="450FAF03" w14:textId="77777777" w:rsidR="00DE09F3" w:rsidRDefault="00DE0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ED183" w14:textId="77777777" w:rsidR="00214A51" w:rsidRPr="00C53542" w:rsidRDefault="00C53542" w:rsidP="00C535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26175-10-16</w:t>
    </w:r>
    <w:r>
      <w:rPr>
        <w:rFonts w:ascii="David" w:hAnsi="David"/>
        <w:color w:val="000000"/>
        <w:sz w:val="22"/>
        <w:szCs w:val="22"/>
        <w:rtl/>
      </w:rPr>
      <w:tab/>
      <w:t xml:space="preserve"> מדינת ישראל נ' מחמוד מחאג'נה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ACF2A" w14:textId="77777777" w:rsidR="006B21F2" w:rsidRPr="00C53542" w:rsidRDefault="00C53542" w:rsidP="00C5354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26175-10-16</w:t>
    </w:r>
    <w:r>
      <w:rPr>
        <w:rFonts w:ascii="David" w:hAnsi="David"/>
        <w:color w:val="000000"/>
        <w:sz w:val="22"/>
        <w:szCs w:val="22"/>
        <w:rtl/>
      </w:rPr>
      <w:tab/>
      <w:t xml:space="preserve"> מדינת ישראל נ' מחמוד מחאג'נה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6963374C"/>
    <w:multiLevelType w:val="multilevel"/>
    <w:tmpl w:val="4E42B04A"/>
    <w:lvl w:ilvl="0">
      <w:start w:val="1"/>
      <w:numFmt w:val="decimal"/>
      <w:pStyle w:val="Ruller4"/>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num w:numId="1" w16cid:durableId="1293443117">
    <w:abstractNumId w:val="1"/>
  </w:num>
  <w:num w:numId="2" w16cid:durableId="1765228723">
    <w:abstractNumId w:val="0"/>
  </w:num>
  <w:num w:numId="3" w16cid:durableId="1548296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3972997"/>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UseCurrentLocale=&amp;quot;true&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AccessibilityRequired&amp;quot; type=&amp;quot;xs:boolean&amp;quot; default=&amp;quot;false&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element name=&amp;quot;IsElectronicallyMonitoredDetainee&amp;quot; type=&amp;quot;xs:boolean&amp;quot; minOccurs=&amp;quot;0&amp;quot; /&amp;gt;_x000d__x000a_                &amp;lt;xs:element name=&amp;quot;IsCasePredictedToAge&amp;quot; type=&amp;quot;xs:int&amp;quot; default=&amp;quot;0&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3972997&amp;lt;/CaseID&amp;gt;_x000d__x000a_        &amp;lt;CaseMonth&amp;gt;10&amp;lt;/CaseMonth&amp;gt;_x000d__x000a_        &amp;lt;CaseYear&amp;gt;2016&amp;lt;/CaseYear&amp;gt;_x000d__x000a_        &amp;lt;CaseNumber&amp;gt;26175&amp;lt;/CaseNumber&amp;gt;_x000d__x000a_        &amp;lt;NumeratorGroupID&amp;gt;1&amp;lt;/NumeratorGroupID&amp;gt;_x000d__x000a_        &amp;lt;CaseName&amp;gt;îãéðú éùøàì ð&amp;#39; îçàâ&amp;#39;ðä(òöéø)&amp;lt;/CaseName&amp;gt;_x000d__x000a_        &amp;lt;CourtID&amp;gt;13&amp;lt;/CourtID&amp;gt;_x000d__x000a_        &amp;lt;CaseTypeID&amp;gt;10077&amp;lt;/CaseTypeID&amp;gt;_x000d__x000a_        &amp;lt;CaseJudgeName&amp;gt;øåï ùôéøà&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26175-10-16&amp;lt;/CaseDisplayIdentifier&amp;gt;_x000d__x000a_        &amp;lt;CaseTypeDesc&amp;gt;úô&amp;quot;ç&amp;lt;/CaseTypeDesc&amp;gt;_x000d__x000a_        &amp;lt;CourtDesc&amp;gt;äîçåæé çéôä&amp;lt;/CourtDesc&amp;gt;_x000d__x000a_        &amp;lt;CaseStageDesc&amp;gt;úé÷ àì÷èøåðé&amp;lt;/CaseStageDesc&amp;gt;_x000d__x000a_        &amp;lt;IsUnpaidFeeExist&amp;gt;false&amp;lt;/IsUnpaidFeeExist&amp;gt;_x000d__x000a_        &amp;lt;CaseNextDeterminingTask&amp;gt;150&amp;lt;/CaseNextDeterminingTask&amp;gt;_x000d__x000a_        &amp;lt;CaseOpenDate&amp;gt;2016-10-25T10:18:00+03:00&amp;lt;/CaseOpenDate&amp;gt;_x000d__x000a_        &amp;lt;PleaTypeID&amp;gt;8&amp;lt;/PleaTypeID&amp;gt;_x000d__x000a_        &amp;lt;CourtLevelID&amp;gt;2&amp;lt;/CourtLevelID&amp;gt;_x000d__x000a_        &amp;lt;CaseJudgeFirstName&amp;gt;øåï&amp;lt;/CaseJudgeFirstName&amp;gt;_x000d__x000a_        &amp;lt;CaseJudgeLastName&amp;gt;ùôéøà&amp;lt;/CaseJudgeLastName&amp;gt;_x000d__x000a_        &amp;lt;JudicalPersonID&amp;gt;054004569@GOV.IL&amp;lt;/JudicalPersonID&amp;gt;_x000d__x000a_        &amp;lt;IsJudicalPanel&amp;gt;tru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äçìèú áéú îùôè òìéåï ááù&amp;quot;ô  6265/18 îéåí 2.9.18 òì äàøëú îòöøå ùì äðàùí á- 90 éîéí äçì îéåí 12.10.18 àå òã ìîúï ôñ÷ ãéï ìôé äîå÷ãí äåòáø ììùëú äðùéà ùôéøà.øá÷ä&amp;lt;/CaseDesc&amp;gt;_x000d__x000a_        &amp;lt;isExistMinorSide&amp;gt;false&amp;lt;/isExistMinorSide&amp;gt;_x000d__x000a_        &amp;lt;isExistMinorWitness&amp;gt;false&amp;lt;/isExistMinorWitness&amp;gt;_x000d__x000a_        &amp;lt;ArchivingActivityID&amp;gt;2&amp;lt;/ArchivingActivityID&amp;gt;_x000d__x000a_        &amp;lt;GettingReasonID&amp;gt;1&amp;lt;/GettingReasonID&amp;gt;_x000d__x000a_        &amp;lt;IsAccessibilityRequired&amp;gt;false&amp;lt;/IsAccessibilityRequired&amp;gt;_x000d__x000a_        &amp;lt;IsDecisionTypeZaveElyon&amp;gt;false&amp;lt;/IsDecisionTypeZaveElyon&amp;gt;_x000d__x000a_        &amp;lt;IsFeePaid&amp;gt;false&amp;lt;/IsFeePaid&amp;gt;_x000d__x000a_        &amp;lt;IsExistPrisoner&amp;gt;false&amp;lt;/IsExistPrisoner&amp;gt;_x000d__x000a_        &amp;lt;IsExistDetainee&amp;gt;true&amp;lt;/IsExistDetainee&amp;gt;_x000d__x000a_        &amp;lt;IsDebitExist&amp;gt;false&amp;lt;/IsDebitExist&amp;gt;_x000d__x000a_        &amp;lt;IsExistSeizure&amp;gt;false&amp;lt;/IsExistSeizure&amp;gt;_x000d__x000a_        &amp;lt;IsExemptionExistInCase&amp;gt;false&amp;lt;/IsExemptionExistInCase&amp;gt;_x000d__x000a_        &amp;lt;IsDebitTransferedInCase&amp;gt;false&amp;lt;/IsDebitTransferedInCase&amp;gt;_x000d__x000a_        &amp;lt;IsElectronicallyMonitoredDetainee&amp;gt;false&amp;lt;/IsElectronicallyMonitoredDetainee&amp;gt;_x000d__x000a_        &amp;lt;IsCasePredictedToAge&amp;gt;0&amp;lt;/IsCasePredictedToAg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3972997&amp;lt;/CaseID&amp;gt;_x000d__x000a_        &amp;lt;CaseMonth&amp;gt;10&amp;lt;/CaseMonth&amp;gt;_x000d__x000a_        &amp;lt;CaseYear&amp;gt;2016&amp;lt;/CaseYear&amp;gt;_x000d__x000a_        &amp;lt;CaseNumber&amp;gt;26175&amp;lt;/CaseNumber&amp;gt;_x000d__x000a_        &amp;lt;NumeratorGroupID&amp;gt;1&amp;lt;/NumeratorGroupID&amp;gt;_x000d__x000a_        &amp;lt;CaseName&amp;gt;îãéðú éùøàì ð&amp;#39; îçàâ&amp;#39;ðä(òöéø)&amp;lt;/CaseName&amp;gt;_x000d__x000a_        &amp;lt;CourtID&amp;gt;13&amp;lt;/CourtID&amp;gt;_x000d__x000a_        &amp;lt;CaseTypeID&amp;gt;10077&amp;lt;/CaseTypeID&amp;gt;_x000d__x000a_        &amp;lt;CaseJudgeName&amp;gt;øåï ùôéøà&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26175-10-16&amp;lt;/CaseDisplayIdentifier&amp;gt;_x000d__x000a_        &amp;lt;CaseTypeDesc&amp;gt;úô&amp;quot;ç&amp;lt;/CaseTypeDesc&amp;gt;_x000d__x000a_        &amp;lt;CourtDesc&amp;gt;äîçåæé çéôä&amp;lt;/CourtDesc&amp;gt;_x000d__x000a_        &amp;lt;CaseStageDesc&amp;gt;úé÷ àì÷èøåðé&amp;lt;/CaseStageDesc&amp;gt;_x000d__x000a_        &amp;lt;CaseNextDeterminingTask&amp;gt;150&amp;lt;/CaseNextDeterminingTask&amp;gt;_x000d__x000a_        &amp;lt;CaseOpenDate&amp;gt;2016-10-25T10:18:00+03:00&amp;lt;/CaseOpenDate&amp;gt;_x000d__x000a_        &amp;lt;PleaTypeID&amp;gt;8&amp;lt;/PleaTypeID&amp;gt;_x000d__x000a_        &amp;lt;CourtLevelID&amp;gt;2&amp;lt;/CourtLevelID&amp;gt;_x000d__x000a_        &amp;lt;CaseJudgeFirstName&amp;gt;øåï&amp;lt;/CaseJudgeFirstName&amp;gt;_x000d__x000a_        &amp;lt;CaseJudgeLastName&amp;gt;ùôéøà&amp;lt;/CaseJudgeLastName&amp;gt;_x000d__x000a_        &amp;lt;JudicalPersonID&amp;gt;054004569@GOV.IL&amp;lt;/JudicalPersonID&amp;gt;_x000d__x000a_        &amp;lt;IsJudicalPanel&amp;gt;true&amp;lt;/IsJudicalPanel&amp;gt;_x000d__x000a_        &amp;lt;CourtDisplayName&amp;gt;áéú äîùôè äîçåæé áçéôä&amp;lt;/CourtDisplayName&amp;gt;_x000d__x000a_        &amp;lt;IsAllStartDataCollected&amp;gt;true&amp;lt;/IsAllStartDataCollected&amp;gt;_x000d__x000a_        &amp;lt;IsMainCase&amp;gt;false&amp;lt;/IsMainCase&amp;gt;_x000d__x000a_        &amp;lt;CaseDesc&amp;gt;äçìèú áéú îùôè òìéåï ááù&amp;quot;ô  6265/18 îéåí 2.9.18 òì äàøëú îòöøå ùì äðàùí á- 90 éîéí äçì îéåí 12.10.18 àå òã ìîúï ôñ÷ ãéï ìôé äîå÷ãí äåòáø ììùëú äðùéà ùôéøà.øá÷ä&amp;lt;/CaseDesc&amp;gt;_x000d__x000a_        &amp;lt;ArchivingActivityID&amp;gt;2&amp;lt;/ArchivingActivityID&amp;gt;_x000d__x000a_        &amp;lt;GettingReasonID&amp;gt;1&amp;lt;/GettingReasonID&amp;gt;_x000d__x000a_        &amp;lt;IsAccessibilityRequired&amp;gt;false&amp;lt;/IsAccessibilityRequired&amp;gt;_x000d__x000a_        &amp;lt;IsCasePredictedToAge&amp;gt;0&amp;lt;/IsCasePredictedToAge&amp;gt;_x000d__x000a_      &amp;lt;/CasePresentationDataSet&amp;gt;_x000d__x000a_    &amp;lt;/diffgr:before&amp;gt;_x000d__x000a_  &amp;lt;/diffgr:diffgram&amp;gt;_x000d__x000a_&amp;lt;/CasePresentationDS&amp;gt;"/>
    <w:docVar w:name="CourtID" w:val="13"/>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TechnicalCancel&amp;quot; type=&amp;quot;xs:boolean&amp;quot; minOccurs=&amp;quot;0&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114985992&amp;lt;/DecisionID&amp;gt;_x000d__x000a_        &amp;lt;DecisionName&amp;gt;âæø ãéï  ùðéúðä ò&amp;quot;é  øåï ùôéøà&amp;lt;/DecisionName&amp;gt;_x000d__x000a_        &amp;lt;DecisionStatusID&amp;gt;1&amp;lt;/DecisionStatusID&amp;gt;_x000d__x000a_        &amp;lt;DecisionStatusChangeDate&amp;gt;2018-11-15T12:42:08.24+02:00&amp;lt;/DecisionStatusChangeDate&amp;gt;_x000d__x000a_        &amp;lt;DecisionSignatureDate&amp;gt;2018-10-31T13:06:13.353+02:00&amp;lt;/DecisionSignatureDate&amp;gt;_x000d__x000a_        &amp;lt;DecisionSignatureUserID&amp;gt;054004569@GOV.IL&amp;lt;/DecisionSignatureUserID&amp;gt;_x000d__x000a_        &amp;lt;DecisionCreateDate&amp;gt;2018-10-31T13:11:18.427+02:00&amp;lt;/DecisionCreateDate&amp;gt;_x000d__x000a_        &amp;lt;DecisionChangeDate&amp;gt;2018-11-15T12:42:08.74+02:00&amp;lt;/DecisionChangeDate&amp;gt;_x000d__x000a_        &amp;lt;DecisionChangeUserID&amp;gt;024449225@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4&amp;lt;/DecisionTypeID&amp;gt;_x000d__x000a_        &amp;lt;IsOnlyOneParty&amp;gt;false&amp;lt;/IsOnlyOneParty&amp;gt;_x000d__x000a_        &amp;lt;IsCanceledDecision&amp;gt;false&amp;lt;/IsCanceledDecision&amp;gt;_x000d__x000a_        &amp;lt;DocumentID&amp;gt;277318681&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54004569@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31804206@GOV.IL&amp;lt;/DecisionCreationUserID&amp;gt;_x000d__x000a_        &amp;lt;DecisionDisplayName&amp;gt;âæø ãéï  ùðéúðä ò&amp;quot;é  øåï ùôéøà&amp;lt;/DecisionDisplayName&amp;gt;_x000d__x000a_        &amp;lt;IsScanned&amp;gt;false&amp;lt;/IsScanned&amp;gt;_x000d__x000a_        &amp;lt;DecisionSignatureUserName&amp;gt;øåï ùôéøà&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114985992&amp;lt;/DecisionID&amp;gt;_x000d__x000a_        &amp;lt;CaseID&amp;gt;73972997&amp;lt;/CaseID&amp;gt;_x000d__x000a_        &amp;lt;IsOriginal&amp;gt;true&amp;lt;/IsOriginal&amp;gt;_x000d__x000a_        &amp;lt;IsDeleted&amp;gt;false&amp;lt;/IsDeleted&amp;gt;_x000d__x000a_        &amp;lt;CaseName&amp;gt;îãéðú éùøàì ð&amp;#39; îçàâ&amp;#39;ðä(òöéø)&amp;lt;/CaseName&amp;gt;_x000d__x000a_        &amp;lt;CaseDisplayIdentifier&amp;gt;26175-10-16 úô&amp;quot;ç&amp;lt;/CaseDisplayIdentifier&amp;gt;_x000d__x000a_      &amp;lt;/dt_DecisionCase&amp;gt;_x000d__x000a_      &amp;lt;dt_DecisionJudgePanel diffgr:id=&amp;quot;dt_DecisionJudgePanel1&amp;quot; msdata:rowOrder=&amp;quot;0&amp;quot;&amp;gt;_x000d__x000a_        &amp;lt;DecisionID&amp;gt;114985992&amp;lt;/DecisionID&amp;gt;_x000d__x000a_        &amp;lt;JudgeID&amp;gt;054004569@GOV.IL&amp;lt;/JudgeID&amp;gt;_x000d__x000a_        &amp;lt;OrdinalNumber&amp;gt;1&amp;lt;/OrdinalNumber&amp;gt;_x000d__x000a_      &amp;lt;/dt_DecisionJudgePanel&amp;gt;_x000d__x000a_      &amp;lt;dt_DecisionJudgePanel diffgr:id=&amp;quot;dt_DecisionJudgePanel2&amp;quot; msdata:rowOrder=&amp;quot;1&amp;quot;&amp;gt;_x000d__x000a_        &amp;lt;DecisionID&amp;gt;114985992&amp;lt;/DecisionID&amp;gt;_x000d__x000a_        &amp;lt;JudgeID&amp;gt;054674635@GOV.IL&amp;lt;/JudgeID&amp;gt;_x000d__x000a_        &amp;lt;OrdinalNumber&amp;gt;2&amp;lt;/OrdinalNumber&amp;gt;_x000d__x000a_      &amp;lt;/dt_DecisionJudgePanel&amp;gt;_x000d__x000a_      &amp;lt;dt_DecisionJudgePanel diffgr:id=&amp;quot;dt_DecisionJudgePanel3&amp;quot; msdata:rowOrder=&amp;quot;2&amp;quot;&amp;gt;_x000d__x000a_        &amp;lt;DecisionID&amp;gt;114985992&amp;lt;/DecisionID&amp;gt;_x000d__x000a_        &amp;lt;JudgeID&amp;gt;024070989@GOV.IL&amp;lt;/JudgeID&amp;gt;_x000d__x000a_        &amp;lt;OrdinalNumber&amp;gt;3&amp;lt;/OrdinalNumber&amp;gt;_x000d__x000a_      &amp;lt;/dt_DecisionJudgePanel&amp;gt;_x000d__x000a_    &amp;lt;/DecisionDS&amp;gt;_x000d__x000a_  &amp;lt;/diffgr:diffgram&amp;gt;_x000d__x000a_&amp;lt;/DecisionDS&amp;gt;"/>
    <w:docVar w:name="DecisionID" w:val="114985992"/>
    <w:docVar w:name="docID" w:val="277318681"/>
    <w:docVar w:name="judgeUPN" w:val="054004569@GOV.IL"/>
    <w:docVar w:name="MyInfo" w:val="This document was extracted from Nevo's site"/>
    <w:docVar w:name="NGCS.TemplateCaseInterestID" w:val="-1"/>
    <w:docVar w:name="NGCS.TemplateCaseTypeID" w:val="10077"/>
    <w:docVar w:name="NGCS.TemplateCourtID" w:val="13"/>
    <w:docVar w:name="NGCS.TemplateProceedingID" w:val="2"/>
    <w:docVar w:name="noteDocID" w:val="277318681"/>
    <w:docVar w:name="WordClientAssemblyName" w:val="NGCS.Decision.ClientWordBL"/>
    <w:docVar w:name="WordClientClassName" w:val="NGCS.Decision.ClientWordBL.JudgePanelSignDecisionClient"/>
  </w:docVars>
  <w:rsids>
    <w:rsidRoot w:val="00507694"/>
    <w:rsid w:val="00031F8A"/>
    <w:rsid w:val="00047616"/>
    <w:rsid w:val="00054FC4"/>
    <w:rsid w:val="00057BEA"/>
    <w:rsid w:val="0006726A"/>
    <w:rsid w:val="00093764"/>
    <w:rsid w:val="00100577"/>
    <w:rsid w:val="001434F7"/>
    <w:rsid w:val="00197E2D"/>
    <w:rsid w:val="001D5D44"/>
    <w:rsid w:val="00212125"/>
    <w:rsid w:val="00214A51"/>
    <w:rsid w:val="00244734"/>
    <w:rsid w:val="00261898"/>
    <w:rsid w:val="00277697"/>
    <w:rsid w:val="002D6C61"/>
    <w:rsid w:val="002E6F9B"/>
    <w:rsid w:val="00301139"/>
    <w:rsid w:val="00367565"/>
    <w:rsid w:val="003C552B"/>
    <w:rsid w:val="003E0C9F"/>
    <w:rsid w:val="003E6665"/>
    <w:rsid w:val="0042134D"/>
    <w:rsid w:val="004215DC"/>
    <w:rsid w:val="00497BAC"/>
    <w:rsid w:val="004E2907"/>
    <w:rsid w:val="0050320B"/>
    <w:rsid w:val="00507694"/>
    <w:rsid w:val="00512E2C"/>
    <w:rsid w:val="00547FAD"/>
    <w:rsid w:val="005766F5"/>
    <w:rsid w:val="005C7B0B"/>
    <w:rsid w:val="005D5E17"/>
    <w:rsid w:val="006152E6"/>
    <w:rsid w:val="00683ABD"/>
    <w:rsid w:val="00684E84"/>
    <w:rsid w:val="00693A7F"/>
    <w:rsid w:val="00695C2B"/>
    <w:rsid w:val="006B21F2"/>
    <w:rsid w:val="00704FAB"/>
    <w:rsid w:val="00741BBA"/>
    <w:rsid w:val="00757983"/>
    <w:rsid w:val="007D46DD"/>
    <w:rsid w:val="007F38CE"/>
    <w:rsid w:val="00800602"/>
    <w:rsid w:val="0082135D"/>
    <w:rsid w:val="00821F29"/>
    <w:rsid w:val="00832D73"/>
    <w:rsid w:val="008F3A6A"/>
    <w:rsid w:val="009513B4"/>
    <w:rsid w:val="00994521"/>
    <w:rsid w:val="009B7FF3"/>
    <w:rsid w:val="009E35A7"/>
    <w:rsid w:val="009E49A1"/>
    <w:rsid w:val="009F1930"/>
    <w:rsid w:val="009F504D"/>
    <w:rsid w:val="00A504C4"/>
    <w:rsid w:val="00AC05A1"/>
    <w:rsid w:val="00AF2438"/>
    <w:rsid w:val="00B05847"/>
    <w:rsid w:val="00B22E0A"/>
    <w:rsid w:val="00B6192D"/>
    <w:rsid w:val="00B97EC3"/>
    <w:rsid w:val="00BA64A9"/>
    <w:rsid w:val="00BD67E7"/>
    <w:rsid w:val="00BE0015"/>
    <w:rsid w:val="00BF0467"/>
    <w:rsid w:val="00C02463"/>
    <w:rsid w:val="00C20280"/>
    <w:rsid w:val="00C3509E"/>
    <w:rsid w:val="00C53542"/>
    <w:rsid w:val="00C55E62"/>
    <w:rsid w:val="00C55FE9"/>
    <w:rsid w:val="00C572E8"/>
    <w:rsid w:val="00CA2349"/>
    <w:rsid w:val="00CE3413"/>
    <w:rsid w:val="00CE76D4"/>
    <w:rsid w:val="00D202F4"/>
    <w:rsid w:val="00D3203D"/>
    <w:rsid w:val="00D65D11"/>
    <w:rsid w:val="00DE09F3"/>
    <w:rsid w:val="00E4080A"/>
    <w:rsid w:val="00E70F9C"/>
    <w:rsid w:val="00F1623D"/>
    <w:rsid w:val="00F41395"/>
    <w:rsid w:val="00F75AFC"/>
    <w:rsid w:val="00F90A98"/>
    <w:rsid w:val="00FE1D77"/>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71F94A3"/>
  <w15:chartTrackingRefBased/>
  <w15:docId w15:val="{F1B5518D-71FC-4513-8179-9E8D54BCC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rFonts w:cs="Times New Roman"/>
      <w:sz w:val="16"/>
      <w:szCs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customStyle="1" w:styleId="TimesNewRomanTimesNewRoman">
    <w:name w:val="סגנון (לטיני) Times New Roman (עברית ושפות אחרות) Times New Roman..."/>
    <w:rsid w:val="00AC05A1"/>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C05A1"/>
    <w:rPr>
      <w:b/>
      <w:bCs/>
      <w:u w:val="single"/>
    </w:rPr>
  </w:style>
  <w:style w:type="paragraph" w:customStyle="1" w:styleId="Ruller40">
    <w:name w:val="Ruller4"/>
    <w:basedOn w:val="a"/>
    <w:link w:val="Ruller41"/>
    <w:rsid w:val="00277697"/>
    <w:pPr>
      <w:tabs>
        <w:tab w:val="left" w:pos="800"/>
      </w:tabs>
      <w:overflowPunct w:val="0"/>
      <w:adjustRightInd w:val="0"/>
      <w:spacing w:line="360" w:lineRule="auto"/>
      <w:jc w:val="both"/>
    </w:pPr>
    <w:rPr>
      <w:rFonts w:ascii="Arial TUR" w:hAnsi="Arial TUR" w:cs="FrankRuehl"/>
      <w:spacing w:val="10"/>
      <w:sz w:val="22"/>
      <w:szCs w:val="28"/>
    </w:rPr>
  </w:style>
  <w:style w:type="character" w:customStyle="1" w:styleId="Ruller41">
    <w:name w:val="Ruller4 תו"/>
    <w:link w:val="Ruller40"/>
    <w:locked/>
    <w:rsid w:val="00277697"/>
    <w:rPr>
      <w:rFonts w:ascii="Arial TUR" w:hAnsi="Arial TUR" w:cs="FrankRuehl"/>
      <w:spacing w:val="10"/>
      <w:sz w:val="28"/>
      <w:szCs w:val="28"/>
      <w:lang w:bidi="he-IL"/>
    </w:rPr>
  </w:style>
  <w:style w:type="paragraph" w:customStyle="1" w:styleId="Ruller4">
    <w:name w:val="Ruller 4 ממוספר"/>
    <w:basedOn w:val="Ruller40"/>
    <w:next w:val="Ruller40"/>
    <w:link w:val="Ruller42"/>
    <w:rsid w:val="00277697"/>
    <w:pPr>
      <w:numPr>
        <w:numId w:val="3"/>
      </w:numPr>
      <w:tabs>
        <w:tab w:val="num" w:pos="907"/>
      </w:tabs>
      <w:ind w:right="720"/>
    </w:pPr>
    <w:rPr>
      <w:rFonts w:ascii="Garamond" w:hAnsi="Garamond" w:cs="Times New Roman"/>
      <w:sz w:val="24"/>
    </w:rPr>
  </w:style>
  <w:style w:type="character" w:customStyle="1" w:styleId="Ruller42">
    <w:name w:val="Ruller 4 ממוספר תו"/>
    <w:link w:val="Ruller4"/>
    <w:locked/>
    <w:rsid w:val="00277697"/>
    <w:rPr>
      <w:rFonts w:ascii="Garamond" w:hAnsi="Garamond"/>
      <w:spacing w:val="10"/>
      <w:sz w:val="28"/>
    </w:rPr>
  </w:style>
  <w:style w:type="paragraph" w:customStyle="1" w:styleId="ListParagraph">
    <w:name w:val="List Paragraph"/>
    <w:basedOn w:val="a"/>
    <w:qFormat/>
    <w:rsid w:val="00277697"/>
    <w:pPr>
      <w:ind w:left="720"/>
      <w:contextualSpacing/>
    </w:pPr>
    <w:rPr>
      <w:rFonts w:ascii="Arial" w:hAnsi="Arial" w:cs="FrankRuehl"/>
      <w:szCs w:val="28"/>
    </w:rPr>
  </w:style>
  <w:style w:type="character" w:styleId="Hyperlink">
    <w:name w:val="Hyperlink"/>
    <w:rsid w:val="00214A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300.a.2" TargetMode="External"/><Relationship Id="rId18" Type="http://schemas.openxmlformats.org/officeDocument/2006/relationships/hyperlink" Target="http://www.nevo.co.il/law/71835" TargetMode="External"/><Relationship Id="rId26" Type="http://schemas.openxmlformats.org/officeDocument/2006/relationships/hyperlink" Target="http://www.nevo.co.il/law/74903" TargetMode="External"/><Relationship Id="rId39" Type="http://schemas.openxmlformats.org/officeDocument/2006/relationships/hyperlink" Target="http://www.nevo.co.il/case/21490136"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case/18107518" TargetMode="External"/><Relationship Id="rId42" Type="http://schemas.openxmlformats.org/officeDocument/2006/relationships/hyperlink" Target="http://www.nevo.co.il/law/7030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7490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law/70301/335.a.1"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77" TargetMode="External"/><Relationship Id="rId40" Type="http://schemas.openxmlformats.org/officeDocument/2006/relationships/hyperlink" Target="http://www.nevo.co.il/case/17948122" TargetMode="External"/><Relationship Id="rId45" Type="http://schemas.openxmlformats.org/officeDocument/2006/relationships/hyperlink" Target="http://www.nevo.co.il/law/70301" TargetMode="External"/><Relationship Id="rId5" Type="http://schemas.openxmlformats.org/officeDocument/2006/relationships/webSettings" Target="webSettings.xml"/><Relationship Id="rId15" Type="http://schemas.openxmlformats.org/officeDocument/2006/relationships/hyperlink" Target="http://www.nevo.co.il/law/70301/335.a.1" TargetMode="External"/><Relationship Id="rId23" Type="http://schemas.openxmlformats.org/officeDocument/2006/relationships/hyperlink" Target="http://www.nevo.co.il/law/70301/334" TargetMode="External"/><Relationship Id="rId28" Type="http://schemas.openxmlformats.org/officeDocument/2006/relationships/hyperlink" Target="http://www.nevo.co.il/case/6018516" TargetMode="External"/><Relationship Id="rId36" Type="http://schemas.openxmlformats.org/officeDocument/2006/relationships/hyperlink" Target="http://www.nevo.co.il/case/7765404" TargetMode="External"/><Relationship Id="rId49" Type="http://schemas.openxmlformats.org/officeDocument/2006/relationships/footer" Target="footer1.xml"/><Relationship Id="rId10" Type="http://schemas.openxmlformats.org/officeDocument/2006/relationships/hyperlink" Target="http://www.nevo.co.il/law/70301/77.a" TargetMode="External"/><Relationship Id="rId19" Type="http://schemas.openxmlformats.org/officeDocument/2006/relationships/hyperlink" Target="http://www.nevo.co.il/law/70301/300.a.2" TargetMode="External"/><Relationship Id="rId31" Type="http://schemas.openxmlformats.org/officeDocument/2006/relationships/hyperlink" Target="http://www.nevo.co.il/case/20178061" TargetMode="External"/><Relationship Id="rId44" Type="http://schemas.openxmlformats.org/officeDocument/2006/relationships/hyperlink" Target="http://www.nevo.co.il/law/70301/77.a"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evo.co.il/law/70301/77" TargetMode="External"/><Relationship Id="rId14" Type="http://schemas.openxmlformats.org/officeDocument/2006/relationships/hyperlink" Target="http://www.nevo.co.il/law/70301/334"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0798648" TargetMode="External"/><Relationship Id="rId35" Type="http://schemas.openxmlformats.org/officeDocument/2006/relationships/hyperlink" Target="http://www.nevo.co.il/law/70301" TargetMode="External"/><Relationship Id="rId43" Type="http://schemas.openxmlformats.org/officeDocument/2006/relationships/hyperlink" Target="http://www.nevo.co.il/law/71835" TargetMode="External"/><Relationship Id="rId48" Type="http://schemas.openxmlformats.org/officeDocument/2006/relationships/header" Target="header2.xml"/><Relationship Id="rId8" Type="http://schemas.openxmlformats.org/officeDocument/2006/relationships/hyperlink" Target="http://www.nevo.co.il/law/70301"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nevo.co.il/law/70301/144.b" TargetMode="External"/><Relationship Id="rId17" Type="http://schemas.openxmlformats.org/officeDocument/2006/relationships/hyperlink" Target="http://www.nevo.co.il/law/74903/186" TargetMode="External"/><Relationship Id="rId25" Type="http://schemas.openxmlformats.org/officeDocument/2006/relationships/hyperlink" Target="http://www.nevo.co.il/law/74903/186" TargetMode="External"/><Relationship Id="rId33" Type="http://schemas.openxmlformats.org/officeDocument/2006/relationships/hyperlink" Target="http://www.nevo.co.il/case/20028742" TargetMode="External"/><Relationship Id="rId38" Type="http://schemas.openxmlformats.org/officeDocument/2006/relationships/hyperlink" Target="http://www.nevo.co.il/law/70301"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law/70301" TargetMode="External"/><Relationship Id="rId41" Type="http://schemas.openxmlformats.org/officeDocument/2006/relationships/hyperlink" Target="http://www.nevo.co.il/law/71835" TargetMode="External"/><Relationship Id="rId1" Type="http://schemas.microsoft.com/office/2006/relationships/keyMapCustomizations" Target="customizations.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3033</Words>
  <Characters>15170</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18167</CharactersWithSpaces>
  <SharedDoc>false</SharedDoc>
  <HLinks>
    <vt:vector size="234" baseType="variant">
      <vt:variant>
        <vt:i4>393283</vt:i4>
      </vt:variant>
      <vt:variant>
        <vt:i4>114</vt:i4>
      </vt:variant>
      <vt:variant>
        <vt:i4>0</vt:i4>
      </vt:variant>
      <vt:variant>
        <vt:i4>5</vt:i4>
      </vt:variant>
      <vt:variant>
        <vt:lpwstr>http://www.nevo.co.il/advertisements/nevo-100.doc</vt:lpwstr>
      </vt:variant>
      <vt:variant>
        <vt:lpwstr/>
      </vt:variant>
      <vt:variant>
        <vt:i4>7995492</vt:i4>
      </vt:variant>
      <vt:variant>
        <vt:i4>111</vt:i4>
      </vt:variant>
      <vt:variant>
        <vt:i4>0</vt:i4>
      </vt:variant>
      <vt:variant>
        <vt:i4>5</vt:i4>
      </vt:variant>
      <vt:variant>
        <vt:lpwstr>http://www.nevo.co.il/law/70301</vt:lpwstr>
      </vt:variant>
      <vt:variant>
        <vt:lpwstr/>
      </vt:variant>
      <vt:variant>
        <vt:i4>196684</vt:i4>
      </vt:variant>
      <vt:variant>
        <vt:i4>108</vt:i4>
      </vt:variant>
      <vt:variant>
        <vt:i4>0</vt:i4>
      </vt:variant>
      <vt:variant>
        <vt:i4>5</vt:i4>
      </vt:variant>
      <vt:variant>
        <vt:lpwstr>http://www.nevo.co.il/law/70301/77.a</vt:lpwstr>
      </vt:variant>
      <vt:variant>
        <vt:lpwstr/>
      </vt:variant>
      <vt:variant>
        <vt:i4>7864431</vt:i4>
      </vt:variant>
      <vt:variant>
        <vt:i4>105</vt:i4>
      </vt:variant>
      <vt:variant>
        <vt:i4>0</vt:i4>
      </vt:variant>
      <vt:variant>
        <vt:i4>5</vt:i4>
      </vt:variant>
      <vt:variant>
        <vt:lpwstr>http://www.nevo.co.il/law/71835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7864431</vt:i4>
      </vt:variant>
      <vt:variant>
        <vt:i4>99</vt:i4>
      </vt:variant>
      <vt:variant>
        <vt:i4>0</vt:i4>
      </vt:variant>
      <vt:variant>
        <vt:i4>5</vt:i4>
      </vt:variant>
      <vt:variant>
        <vt:lpwstr>http://www.nevo.co.il/law/71835</vt:lpwstr>
      </vt:variant>
      <vt:variant>
        <vt:lpwstr/>
      </vt:variant>
      <vt:variant>
        <vt:i4>3276918</vt:i4>
      </vt:variant>
      <vt:variant>
        <vt:i4>96</vt:i4>
      </vt:variant>
      <vt:variant>
        <vt:i4>0</vt:i4>
      </vt:variant>
      <vt:variant>
        <vt:i4>5</vt:i4>
      </vt:variant>
      <vt:variant>
        <vt:lpwstr>http://www.nevo.co.il/case/17948122</vt:lpwstr>
      </vt:variant>
      <vt:variant>
        <vt:lpwstr/>
      </vt:variant>
      <vt:variant>
        <vt:i4>3473533</vt:i4>
      </vt:variant>
      <vt:variant>
        <vt:i4>93</vt:i4>
      </vt:variant>
      <vt:variant>
        <vt:i4>0</vt:i4>
      </vt:variant>
      <vt:variant>
        <vt:i4>5</vt:i4>
      </vt:variant>
      <vt:variant>
        <vt:lpwstr>http://www.nevo.co.il/case/21490136</vt:lpwstr>
      </vt:variant>
      <vt:variant>
        <vt:lpwstr/>
      </vt:variant>
      <vt:variant>
        <vt:i4>7995492</vt:i4>
      </vt:variant>
      <vt:variant>
        <vt:i4>90</vt:i4>
      </vt:variant>
      <vt:variant>
        <vt:i4>0</vt:i4>
      </vt:variant>
      <vt:variant>
        <vt:i4>5</vt:i4>
      </vt:variant>
      <vt:variant>
        <vt:lpwstr>http://www.nevo.co.il/law/70301</vt:lpwstr>
      </vt:variant>
      <vt:variant>
        <vt:lpwstr/>
      </vt:variant>
      <vt:variant>
        <vt:i4>6422626</vt:i4>
      </vt:variant>
      <vt:variant>
        <vt:i4>87</vt:i4>
      </vt:variant>
      <vt:variant>
        <vt:i4>0</vt:i4>
      </vt:variant>
      <vt:variant>
        <vt:i4>5</vt:i4>
      </vt:variant>
      <vt:variant>
        <vt:lpwstr>http://www.nevo.co.il/law/70301/77</vt:lpwstr>
      </vt:variant>
      <vt:variant>
        <vt:lpwstr/>
      </vt:variant>
      <vt:variant>
        <vt:i4>3211382</vt:i4>
      </vt:variant>
      <vt:variant>
        <vt:i4>84</vt:i4>
      </vt:variant>
      <vt:variant>
        <vt:i4>0</vt:i4>
      </vt:variant>
      <vt:variant>
        <vt:i4>5</vt:i4>
      </vt:variant>
      <vt:variant>
        <vt:lpwstr>http://www.nevo.co.il/case/7765404</vt:lpwstr>
      </vt:variant>
      <vt:variant>
        <vt:lpwstr/>
      </vt:variant>
      <vt:variant>
        <vt:i4>7995492</vt:i4>
      </vt:variant>
      <vt:variant>
        <vt:i4>81</vt:i4>
      </vt:variant>
      <vt:variant>
        <vt:i4>0</vt:i4>
      </vt:variant>
      <vt:variant>
        <vt:i4>5</vt:i4>
      </vt:variant>
      <vt:variant>
        <vt:lpwstr>http://www.nevo.co.il/law/70301</vt:lpwstr>
      </vt:variant>
      <vt:variant>
        <vt:lpwstr/>
      </vt:variant>
      <vt:variant>
        <vt:i4>3539065</vt:i4>
      </vt:variant>
      <vt:variant>
        <vt:i4>78</vt:i4>
      </vt:variant>
      <vt:variant>
        <vt:i4>0</vt:i4>
      </vt:variant>
      <vt:variant>
        <vt:i4>5</vt:i4>
      </vt:variant>
      <vt:variant>
        <vt:lpwstr>http://www.nevo.co.il/case/18107518</vt:lpwstr>
      </vt:variant>
      <vt:variant>
        <vt:lpwstr/>
      </vt:variant>
      <vt:variant>
        <vt:i4>4063345</vt:i4>
      </vt:variant>
      <vt:variant>
        <vt:i4>75</vt:i4>
      </vt:variant>
      <vt:variant>
        <vt:i4>0</vt:i4>
      </vt:variant>
      <vt:variant>
        <vt:i4>5</vt:i4>
      </vt:variant>
      <vt:variant>
        <vt:lpwstr>http://www.nevo.co.il/case/20028742</vt:lpwstr>
      </vt:variant>
      <vt:variant>
        <vt:lpwstr/>
      </vt:variant>
      <vt:variant>
        <vt:i4>7995492</vt:i4>
      </vt:variant>
      <vt:variant>
        <vt:i4>72</vt:i4>
      </vt:variant>
      <vt:variant>
        <vt:i4>0</vt:i4>
      </vt:variant>
      <vt:variant>
        <vt:i4>5</vt:i4>
      </vt:variant>
      <vt:variant>
        <vt:lpwstr>http://www.nevo.co.il/law/70301</vt:lpwstr>
      </vt:variant>
      <vt:variant>
        <vt:lpwstr/>
      </vt:variant>
      <vt:variant>
        <vt:i4>3997811</vt:i4>
      </vt:variant>
      <vt:variant>
        <vt:i4>69</vt:i4>
      </vt:variant>
      <vt:variant>
        <vt:i4>0</vt:i4>
      </vt:variant>
      <vt:variant>
        <vt:i4>5</vt:i4>
      </vt:variant>
      <vt:variant>
        <vt:lpwstr>http://www.nevo.co.il/case/20178061</vt:lpwstr>
      </vt:variant>
      <vt:variant>
        <vt:lpwstr/>
      </vt:variant>
      <vt:variant>
        <vt:i4>3735675</vt:i4>
      </vt:variant>
      <vt:variant>
        <vt:i4>66</vt:i4>
      </vt:variant>
      <vt:variant>
        <vt:i4>0</vt:i4>
      </vt:variant>
      <vt:variant>
        <vt:i4>5</vt:i4>
      </vt:variant>
      <vt:variant>
        <vt:lpwstr>http://www.nevo.co.il/case/20798648</vt:lpwstr>
      </vt:variant>
      <vt:variant>
        <vt:lpwstr/>
      </vt:variant>
      <vt:variant>
        <vt:i4>7995492</vt:i4>
      </vt:variant>
      <vt:variant>
        <vt:i4>63</vt:i4>
      </vt:variant>
      <vt:variant>
        <vt:i4>0</vt:i4>
      </vt:variant>
      <vt:variant>
        <vt:i4>5</vt:i4>
      </vt:variant>
      <vt:variant>
        <vt:lpwstr>http://www.nevo.co.il/law/70301</vt:lpwstr>
      </vt:variant>
      <vt:variant>
        <vt:lpwstr/>
      </vt:variant>
      <vt:variant>
        <vt:i4>3407997</vt:i4>
      </vt:variant>
      <vt:variant>
        <vt:i4>60</vt:i4>
      </vt:variant>
      <vt:variant>
        <vt:i4>0</vt:i4>
      </vt:variant>
      <vt:variant>
        <vt:i4>5</vt:i4>
      </vt:variant>
      <vt:variant>
        <vt:lpwstr>http://www.nevo.co.il/case/6018516</vt:lpwstr>
      </vt:variant>
      <vt:variant>
        <vt:lpwstr/>
      </vt:variant>
      <vt:variant>
        <vt:i4>7995492</vt:i4>
      </vt:variant>
      <vt:variant>
        <vt:i4>57</vt:i4>
      </vt:variant>
      <vt:variant>
        <vt:i4>0</vt:i4>
      </vt:variant>
      <vt:variant>
        <vt:i4>5</vt:i4>
      </vt:variant>
      <vt:variant>
        <vt:lpwstr>http://www.nevo.co.il/law/70301</vt:lpwstr>
      </vt:variant>
      <vt:variant>
        <vt:lpwstr/>
      </vt:variant>
      <vt:variant>
        <vt:i4>8257646</vt:i4>
      </vt:variant>
      <vt:variant>
        <vt:i4>54</vt:i4>
      </vt:variant>
      <vt:variant>
        <vt:i4>0</vt:i4>
      </vt:variant>
      <vt:variant>
        <vt:i4>5</vt:i4>
      </vt:variant>
      <vt:variant>
        <vt:lpwstr>http://www.nevo.co.il/law/74903</vt:lpwstr>
      </vt:variant>
      <vt:variant>
        <vt:lpwstr/>
      </vt:variant>
      <vt:variant>
        <vt:i4>6881388</vt:i4>
      </vt:variant>
      <vt:variant>
        <vt:i4>51</vt:i4>
      </vt:variant>
      <vt:variant>
        <vt:i4>0</vt:i4>
      </vt:variant>
      <vt:variant>
        <vt:i4>5</vt:i4>
      </vt:variant>
      <vt:variant>
        <vt:lpwstr>http://www.nevo.co.il/law/74903/186</vt:lpwstr>
      </vt:variant>
      <vt:variant>
        <vt:lpwstr/>
      </vt:variant>
      <vt:variant>
        <vt:i4>6684722</vt:i4>
      </vt:variant>
      <vt:variant>
        <vt:i4>48</vt:i4>
      </vt:variant>
      <vt:variant>
        <vt:i4>0</vt:i4>
      </vt:variant>
      <vt:variant>
        <vt:i4>5</vt:i4>
      </vt:variant>
      <vt:variant>
        <vt:lpwstr>http://www.nevo.co.il/law/70301/335.a.1</vt:lpwstr>
      </vt:variant>
      <vt:variant>
        <vt:lpwstr/>
      </vt:variant>
      <vt:variant>
        <vt:i4>6684774</vt:i4>
      </vt:variant>
      <vt:variant>
        <vt:i4>45</vt:i4>
      </vt:variant>
      <vt:variant>
        <vt:i4>0</vt:i4>
      </vt:variant>
      <vt:variant>
        <vt:i4>5</vt:i4>
      </vt:variant>
      <vt:variant>
        <vt:lpwstr>http://www.nevo.co.il/law/70301/334</vt:lpwstr>
      </vt:variant>
      <vt:variant>
        <vt:lpwstr/>
      </vt:variant>
      <vt:variant>
        <vt:i4>5177424</vt:i4>
      </vt:variant>
      <vt:variant>
        <vt:i4>42</vt:i4>
      </vt:variant>
      <vt:variant>
        <vt:i4>0</vt:i4>
      </vt:variant>
      <vt:variant>
        <vt:i4>5</vt:i4>
      </vt:variant>
      <vt:variant>
        <vt:lpwstr>http://www.nevo.co.il/law/70301/144.b</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6619191</vt:i4>
      </vt:variant>
      <vt:variant>
        <vt:i4>33</vt:i4>
      </vt:variant>
      <vt:variant>
        <vt:i4>0</vt:i4>
      </vt:variant>
      <vt:variant>
        <vt:i4>5</vt:i4>
      </vt:variant>
      <vt:variant>
        <vt:lpwstr>http://www.nevo.co.il/law/70301/300.a.2</vt:lpwstr>
      </vt:variant>
      <vt:variant>
        <vt:lpwstr/>
      </vt:variant>
      <vt:variant>
        <vt:i4>7864431</vt:i4>
      </vt:variant>
      <vt:variant>
        <vt:i4>30</vt:i4>
      </vt:variant>
      <vt:variant>
        <vt:i4>0</vt:i4>
      </vt:variant>
      <vt:variant>
        <vt:i4>5</vt:i4>
      </vt:variant>
      <vt:variant>
        <vt:lpwstr>http://www.nevo.co.il/law/71835</vt:lpwstr>
      </vt:variant>
      <vt:variant>
        <vt:lpwstr/>
      </vt:variant>
      <vt:variant>
        <vt:i4>6881388</vt:i4>
      </vt:variant>
      <vt:variant>
        <vt:i4>27</vt:i4>
      </vt:variant>
      <vt:variant>
        <vt:i4>0</vt:i4>
      </vt:variant>
      <vt:variant>
        <vt:i4>5</vt:i4>
      </vt:variant>
      <vt:variant>
        <vt:lpwstr>http://www.nevo.co.il/law/74903/186</vt:lpwstr>
      </vt:variant>
      <vt:variant>
        <vt:lpwstr/>
      </vt:variant>
      <vt:variant>
        <vt:i4>8257646</vt:i4>
      </vt:variant>
      <vt:variant>
        <vt:i4>24</vt:i4>
      </vt:variant>
      <vt:variant>
        <vt:i4>0</vt:i4>
      </vt:variant>
      <vt:variant>
        <vt:i4>5</vt:i4>
      </vt:variant>
      <vt:variant>
        <vt:lpwstr>http://www.nevo.co.il/law/74903</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http://www.nevo.co.il/law/70301/334</vt:lpwstr>
      </vt:variant>
      <vt:variant>
        <vt:lpwstr/>
      </vt:variant>
      <vt:variant>
        <vt:i4>6619191</vt:i4>
      </vt:variant>
      <vt:variant>
        <vt:i4>15</vt:i4>
      </vt:variant>
      <vt:variant>
        <vt:i4>0</vt:i4>
      </vt:variant>
      <vt:variant>
        <vt:i4>5</vt:i4>
      </vt:variant>
      <vt:variant>
        <vt:lpwstr>http://www.nevo.co.il/law/70301/300.a.2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196684</vt:i4>
      </vt:variant>
      <vt:variant>
        <vt:i4>6</vt:i4>
      </vt:variant>
      <vt:variant>
        <vt:i4>0</vt:i4>
      </vt:variant>
      <vt:variant>
        <vt:i4>5</vt:i4>
      </vt:variant>
      <vt:variant>
        <vt:lpwstr>http://www.nevo.co.il/law/70301/77.a</vt:lpwstr>
      </vt:variant>
      <vt:variant>
        <vt:lpwstr/>
      </vt:variant>
      <vt:variant>
        <vt:i4>6422626</vt:i4>
      </vt:variant>
      <vt:variant>
        <vt:i4>3</vt:i4>
      </vt:variant>
      <vt:variant>
        <vt:i4>0</vt:i4>
      </vt:variant>
      <vt:variant>
        <vt:i4>5</vt:i4>
      </vt:variant>
      <vt:variant>
        <vt:lpwstr>http://www.nevo.co.il/law/70301/77</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2018-11-15T10:42:00Z</cp:lastPrinted>
  <dcterms:created xsi:type="dcterms:W3CDTF">2025-01-19T16:12:00Z</dcterms:created>
  <dcterms:modified xsi:type="dcterms:W3CDTF">2025-01-19T16:12:00Z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26175</vt:lpwstr>
  </property>
  <property fmtid="{D5CDD505-2E9C-101B-9397-08002B2CF9AE}" pid="6" name="NEWPARTB">
    <vt:lpwstr>10</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מחמוד מחאג'נה</vt:lpwstr>
  </property>
  <property fmtid="{D5CDD505-2E9C-101B-9397-08002B2CF9AE}" pid="10" name="LAWYER">
    <vt:lpwstr>אביגדור פלדמן</vt:lpwstr>
  </property>
  <property fmtid="{D5CDD505-2E9C-101B-9397-08002B2CF9AE}" pid="11" name="JUDGE">
    <vt:lpwstr>רון שפירא;אברהם אליקים;תמר נאות פרי</vt:lpwstr>
  </property>
  <property fmtid="{D5CDD505-2E9C-101B-9397-08002B2CF9AE}" pid="12" name="CITY">
    <vt:lpwstr>חי'</vt:lpwstr>
  </property>
  <property fmtid="{D5CDD505-2E9C-101B-9397-08002B2CF9AE}" pid="13" name="DATE">
    <vt:lpwstr>20181115</vt:lpwstr>
  </property>
  <property fmtid="{D5CDD505-2E9C-101B-9397-08002B2CF9AE}" pid="14" name="TYPE_N_DATE">
    <vt:lpwstr>39020181115</vt:lpwstr>
  </property>
  <property fmtid="{D5CDD505-2E9C-101B-9397-08002B2CF9AE}" pid="15" name="CASESLISTTMP1">
    <vt:lpwstr>6018516;20798648;20178061;20028742;18107518;7765404;21490136;17948122</vt:lpwstr>
  </property>
  <property fmtid="{D5CDD505-2E9C-101B-9397-08002B2CF9AE}" pid="16" name="WORDNUMPAGES">
    <vt:lpwstr>10</vt:lpwstr>
  </property>
  <property fmtid="{D5CDD505-2E9C-101B-9397-08002B2CF9AE}" pid="17" name="TYPE_ABS_DATE">
    <vt:lpwstr>390120181115</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YES</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70301/300.a.2;144.a;144.b;334;335.a.1;077;077.a</vt:lpwstr>
  </property>
  <property fmtid="{D5CDD505-2E9C-101B-9397-08002B2CF9AE}" pid="37" name="LAWLISTTMP2">
    <vt:lpwstr>74903/186</vt:lpwstr>
  </property>
  <property fmtid="{D5CDD505-2E9C-101B-9397-08002B2CF9AE}" pid="38" name="LAWLISTTMP3">
    <vt:lpwstr>71835:2</vt:lpwstr>
  </property>
  <property fmtid="{D5CDD505-2E9C-101B-9397-08002B2CF9AE}" pid="39" name="METAKZER">
    <vt:lpwstr>מיכל</vt:lpwstr>
  </property>
  <property fmtid="{D5CDD505-2E9C-101B-9397-08002B2CF9AE}" pid="40" name="NOSE1ID">
    <vt:lpwstr>77;77;77</vt:lpwstr>
  </property>
  <property fmtid="{D5CDD505-2E9C-101B-9397-08002B2CF9AE}" pid="41" name="NOSE2ID">
    <vt:lpwstr>1446;1443;1443</vt:lpwstr>
  </property>
  <property fmtid="{D5CDD505-2E9C-101B-9397-08002B2CF9AE}" pid="42" name="NOSE3ID">
    <vt:lpwstr>8984;8927;8910</vt:lpwstr>
  </property>
  <property fmtid="{D5CDD505-2E9C-101B-9397-08002B2CF9AE}" pid="43" name="NOSE11">
    <vt:lpwstr>עונשין</vt:lpwstr>
  </property>
  <property fmtid="{D5CDD505-2E9C-101B-9397-08002B2CF9AE}" pid="44" name="NOSE21">
    <vt:lpwstr>ענישה</vt:lpwstr>
  </property>
  <property fmtid="{D5CDD505-2E9C-101B-9397-08002B2CF9AE}" pid="45" name="NOSE31">
    <vt:lpwstr>מדיניות ענישה: עבירות אלימות</vt:lpwstr>
  </property>
  <property fmtid="{D5CDD505-2E9C-101B-9397-08002B2CF9AE}" pid="46" name="NOSE12">
    <vt:lpwstr>עונשין</vt:lpwstr>
  </property>
  <property fmtid="{D5CDD505-2E9C-101B-9397-08002B2CF9AE}" pid="47" name="NOSE22">
    <vt:lpwstr>עבירות</vt:lpwstr>
  </property>
  <property fmtid="{D5CDD505-2E9C-101B-9397-08002B2CF9AE}" pid="48" name="NOSE32">
    <vt:lpwstr>רצח</vt:lpwstr>
  </property>
  <property fmtid="{D5CDD505-2E9C-101B-9397-08002B2CF9AE}" pid="49" name="NOSE13">
    <vt:lpwstr>עונשין</vt:lpwstr>
  </property>
  <property fmtid="{D5CDD505-2E9C-101B-9397-08002B2CF9AE}" pid="50" name="NOSE23">
    <vt:lpwstr>עבירות</vt:lpwstr>
  </property>
  <property fmtid="{D5CDD505-2E9C-101B-9397-08002B2CF9AE}" pid="51" name="NOSE33">
    <vt:lpwstr>פציעה</vt:lpwstr>
  </property>
  <property fmtid="{D5CDD505-2E9C-101B-9397-08002B2CF9AE}" pid="52" name="NOSE14">
    <vt:lpwstr/>
  </property>
  <property fmtid="{D5CDD505-2E9C-101B-9397-08002B2CF9AE}" pid="53" name="NOSE24">
    <vt:lpwstr/>
  </property>
  <property fmtid="{D5CDD505-2E9C-101B-9397-08002B2CF9AE}" pid="54" name="NOSE34">
    <vt:lpwstr/>
  </property>
  <property fmtid="{D5CDD505-2E9C-101B-9397-08002B2CF9AE}" pid="55" name="NOSE15">
    <vt:lpwstr/>
  </property>
  <property fmtid="{D5CDD505-2E9C-101B-9397-08002B2CF9AE}" pid="56" name="NOSE25">
    <vt:lpwstr/>
  </property>
  <property fmtid="{D5CDD505-2E9C-101B-9397-08002B2CF9AE}" pid="57" name="NOSE35">
    <vt:lpwstr/>
  </property>
  <property fmtid="{D5CDD505-2E9C-101B-9397-08002B2CF9AE}" pid="58" name="NOSE16">
    <vt:lpwstr/>
  </property>
  <property fmtid="{D5CDD505-2E9C-101B-9397-08002B2CF9AE}" pid="59" name="NOSE26">
    <vt:lpwstr/>
  </property>
  <property fmtid="{D5CDD505-2E9C-101B-9397-08002B2CF9AE}" pid="60" name="NOSE36">
    <vt:lpwstr/>
  </property>
  <property fmtid="{D5CDD505-2E9C-101B-9397-08002B2CF9AE}" pid="61" name="NOSE17">
    <vt:lpwstr/>
  </property>
  <property fmtid="{D5CDD505-2E9C-101B-9397-08002B2CF9AE}" pid="62" name="NOSE27">
    <vt:lpwstr/>
  </property>
  <property fmtid="{D5CDD505-2E9C-101B-9397-08002B2CF9AE}" pid="63" name="NOSE37">
    <vt:lpwstr/>
  </property>
  <property fmtid="{D5CDD505-2E9C-101B-9397-08002B2CF9AE}" pid="64" name="NOSE18">
    <vt:lpwstr/>
  </property>
  <property fmtid="{D5CDD505-2E9C-101B-9397-08002B2CF9AE}" pid="65" name="NOSE28">
    <vt:lpwstr/>
  </property>
  <property fmtid="{D5CDD505-2E9C-101B-9397-08002B2CF9AE}" pid="66" name="NOSE38">
    <vt:lpwstr/>
  </property>
  <property fmtid="{D5CDD505-2E9C-101B-9397-08002B2CF9AE}" pid="67" name="NOSE19">
    <vt:lpwstr/>
  </property>
  <property fmtid="{D5CDD505-2E9C-101B-9397-08002B2CF9AE}" pid="68" name="NOSE29">
    <vt:lpwstr/>
  </property>
  <property fmtid="{D5CDD505-2E9C-101B-9397-08002B2CF9AE}" pid="69" name="NOSE39">
    <vt:lpwstr/>
  </property>
  <property fmtid="{D5CDD505-2E9C-101B-9397-08002B2CF9AE}" pid="70" name="NOSE110">
    <vt:lpwstr/>
  </property>
  <property fmtid="{D5CDD505-2E9C-101B-9397-08002B2CF9AE}" pid="71" name="NOSE210">
    <vt:lpwstr/>
  </property>
  <property fmtid="{D5CDD505-2E9C-101B-9397-08002B2CF9AE}" pid="72" name="NOSE310">
    <vt:lpwstr/>
  </property>
  <property fmtid="{D5CDD505-2E9C-101B-9397-08002B2CF9AE}" pid="73" name="PADIDATE">
    <vt:lpwstr>20181125</vt:lpwstr>
  </property>
</Properties>
</file>