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DB63C3" w:rsidRPr="00FC6921" w14:paraId="28956D8C" w14:textId="77777777" w:rsidTr="008D425E">
        <w:trPr>
          <w:trHeight w:hRule="exact" w:val="418"/>
          <w:jc w:val="center"/>
        </w:trPr>
        <w:tc>
          <w:tcPr>
            <w:tcW w:w="8721" w:type="dxa"/>
            <w:gridSpan w:val="2"/>
          </w:tcPr>
          <w:p w14:paraId="369C632C" w14:textId="77777777" w:rsidR="00DB63C3" w:rsidRPr="00FC6921" w:rsidRDefault="00DB63C3" w:rsidP="003D25FF">
            <w:pPr>
              <w:pStyle w:val="a3"/>
              <w:jc w:val="center"/>
              <w:rPr>
                <w:rFonts w:ascii="Tahoma" w:hAnsi="Tahoma" w:cs="Tahoma"/>
                <w:color w:val="000080"/>
                <w:rtl/>
              </w:rPr>
            </w:pPr>
            <w:bookmarkStart w:id="0" w:name="LastJudge"/>
            <w:r w:rsidRPr="00FC6921">
              <w:rPr>
                <w:rFonts w:ascii="Tahoma" w:hAnsi="Tahoma" w:cs="Tahoma"/>
                <w:b/>
                <w:bCs/>
                <w:color w:val="000080"/>
                <w:rtl/>
              </w:rPr>
              <w:t>בית המשפט המחוזי מרכז-לוד</w:t>
            </w:r>
          </w:p>
        </w:tc>
      </w:tr>
      <w:tr w:rsidR="00DB63C3" w:rsidRPr="00FC6921" w14:paraId="4CF0C848" w14:textId="77777777" w:rsidTr="008D425E">
        <w:trPr>
          <w:trHeight w:val="337"/>
          <w:jc w:val="center"/>
        </w:trPr>
        <w:tc>
          <w:tcPr>
            <w:tcW w:w="5059" w:type="dxa"/>
          </w:tcPr>
          <w:p w14:paraId="0798502E" w14:textId="77777777" w:rsidR="00DB63C3" w:rsidRPr="00FC6921" w:rsidRDefault="00DB63C3" w:rsidP="003D25FF">
            <w:pPr>
              <w:rPr>
                <w:rFonts w:cs="FrankRuehl"/>
                <w:sz w:val="28"/>
                <w:szCs w:val="28"/>
                <w:rtl/>
              </w:rPr>
            </w:pPr>
            <w:r w:rsidRPr="00FC6921">
              <w:rPr>
                <w:rFonts w:cs="FrankRuehl"/>
                <w:sz w:val="28"/>
                <w:szCs w:val="28"/>
                <w:rtl/>
              </w:rPr>
              <w:t>ת"פ</w:t>
            </w:r>
            <w:r w:rsidRPr="00FC6921">
              <w:rPr>
                <w:rFonts w:cs="FrankRuehl" w:hint="cs"/>
                <w:sz w:val="28"/>
                <w:szCs w:val="28"/>
                <w:rtl/>
              </w:rPr>
              <w:t xml:space="preserve"> </w:t>
            </w:r>
            <w:r w:rsidRPr="00FC6921">
              <w:rPr>
                <w:rFonts w:cs="FrankRuehl"/>
                <w:sz w:val="28"/>
                <w:szCs w:val="28"/>
                <w:rtl/>
              </w:rPr>
              <w:t>5037-10-16</w:t>
            </w:r>
            <w:r w:rsidRPr="00FC6921">
              <w:rPr>
                <w:rFonts w:cs="FrankRuehl" w:hint="cs"/>
                <w:sz w:val="28"/>
                <w:szCs w:val="28"/>
                <w:rtl/>
              </w:rPr>
              <w:t xml:space="preserve"> </w:t>
            </w:r>
            <w:r w:rsidRPr="00FC6921">
              <w:rPr>
                <w:rFonts w:cs="FrankRuehl"/>
                <w:sz w:val="28"/>
                <w:szCs w:val="28"/>
                <w:rtl/>
              </w:rPr>
              <w:t>מדינת ישראל נ' מגאהד(עציר)</w:t>
            </w:r>
          </w:p>
          <w:p w14:paraId="7948B0A7" w14:textId="77777777" w:rsidR="00DB63C3" w:rsidRPr="00FC6921" w:rsidRDefault="00DB63C3" w:rsidP="003D25FF">
            <w:pPr>
              <w:pStyle w:val="a3"/>
              <w:rPr>
                <w:rFonts w:cs="FrankRuehl"/>
                <w:sz w:val="28"/>
                <w:szCs w:val="28"/>
                <w:rtl/>
              </w:rPr>
            </w:pPr>
          </w:p>
        </w:tc>
        <w:tc>
          <w:tcPr>
            <w:tcW w:w="3662" w:type="dxa"/>
          </w:tcPr>
          <w:p w14:paraId="74ADDC7E" w14:textId="77777777" w:rsidR="00DB63C3" w:rsidRPr="00FC6921" w:rsidRDefault="00DB63C3" w:rsidP="003D25FF">
            <w:pPr>
              <w:pStyle w:val="a3"/>
              <w:jc w:val="right"/>
              <w:rPr>
                <w:rFonts w:cs="FrankRuehl"/>
                <w:sz w:val="28"/>
                <w:szCs w:val="28"/>
                <w:rtl/>
              </w:rPr>
            </w:pPr>
          </w:p>
        </w:tc>
      </w:tr>
    </w:tbl>
    <w:p w14:paraId="4C404B65" w14:textId="77777777" w:rsidR="00DB63C3" w:rsidRPr="00FC6921" w:rsidRDefault="00DB63C3" w:rsidP="00DB63C3">
      <w:pPr>
        <w:pStyle w:val="a3"/>
        <w:rPr>
          <w:rtl/>
        </w:rPr>
      </w:pPr>
      <w:r w:rsidRPr="00FC6921">
        <w:rPr>
          <w:rFonts w:hint="cs"/>
          <w:rtl/>
        </w:rPr>
        <w:t xml:space="preserve"> </w:t>
      </w:r>
    </w:p>
    <w:p w14:paraId="59994858" w14:textId="77777777" w:rsidR="00DB63C3" w:rsidRPr="00FC6921" w:rsidRDefault="00DB63C3" w:rsidP="00DB63C3">
      <w:pPr>
        <w:pStyle w:val="a9"/>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B63C3" w:rsidRPr="00FC6921" w14:paraId="32AEA310" w14:textId="77777777" w:rsidTr="00DB63C3">
        <w:trPr>
          <w:trHeight w:val="295"/>
          <w:jc w:val="center"/>
        </w:trPr>
        <w:tc>
          <w:tcPr>
            <w:tcW w:w="923" w:type="dxa"/>
            <w:tcBorders>
              <w:top w:val="nil"/>
              <w:left w:val="nil"/>
              <w:bottom w:val="nil"/>
              <w:right w:val="nil"/>
            </w:tcBorders>
            <w:shd w:val="clear" w:color="auto" w:fill="auto"/>
          </w:tcPr>
          <w:p w14:paraId="68792BF6" w14:textId="77777777" w:rsidR="00DB63C3" w:rsidRPr="00FC6921" w:rsidRDefault="00DB63C3" w:rsidP="003D25FF">
            <w:pPr>
              <w:pStyle w:val="a9"/>
              <w:rPr>
                <w:rFonts w:ascii="Arial" w:hAnsi="Arial"/>
                <w:b/>
                <w:bCs/>
              </w:rPr>
            </w:pPr>
            <w:r w:rsidRPr="00FC6921">
              <w:rPr>
                <w:rFonts w:ascii="Arial" w:hAnsi="Arial" w:hint="cs"/>
                <w:b/>
                <w:bCs/>
                <w:rtl/>
              </w:rPr>
              <w:t>ב</w:t>
            </w:r>
            <w:r w:rsidRPr="00FC6921">
              <w:rPr>
                <w:rFonts w:ascii="Arial" w:hAnsi="Arial"/>
                <w:b/>
                <w:bCs/>
                <w:rtl/>
              </w:rPr>
              <w:t xml:space="preserve">פני </w:t>
            </w:r>
          </w:p>
        </w:tc>
        <w:tc>
          <w:tcPr>
            <w:tcW w:w="7897" w:type="dxa"/>
            <w:gridSpan w:val="2"/>
            <w:tcBorders>
              <w:top w:val="nil"/>
              <w:left w:val="nil"/>
              <w:bottom w:val="nil"/>
              <w:right w:val="nil"/>
            </w:tcBorders>
            <w:shd w:val="clear" w:color="auto" w:fill="auto"/>
          </w:tcPr>
          <w:p w14:paraId="0B986DF6" w14:textId="77777777" w:rsidR="00DB63C3" w:rsidRPr="00FC6921" w:rsidRDefault="00DB63C3" w:rsidP="003D25FF">
            <w:pPr>
              <w:pStyle w:val="a9"/>
              <w:rPr>
                <w:rFonts w:ascii="Arial" w:hAnsi="Arial"/>
                <w:b/>
                <w:bCs/>
                <w:rtl/>
              </w:rPr>
            </w:pPr>
            <w:r w:rsidRPr="00FC6921">
              <w:rPr>
                <w:rFonts w:ascii="Arial" w:hAnsi="Arial" w:hint="cs"/>
                <w:b/>
                <w:bCs/>
                <w:rtl/>
              </w:rPr>
              <w:t>כבוד ה</w:t>
            </w:r>
            <w:r w:rsidRPr="00FC6921">
              <w:rPr>
                <w:rFonts w:ascii="Arial" w:hAnsi="Arial"/>
                <w:b/>
                <w:bCs/>
                <w:rtl/>
              </w:rPr>
              <w:t>שופטת</w:t>
            </w:r>
            <w:r w:rsidRPr="00FC6921">
              <w:rPr>
                <w:rFonts w:ascii="Arial" w:hAnsi="Arial" w:hint="cs"/>
                <w:b/>
                <w:bCs/>
                <w:rtl/>
              </w:rPr>
              <w:t xml:space="preserve">  </w:t>
            </w:r>
            <w:r w:rsidRPr="00FC6921">
              <w:rPr>
                <w:rFonts w:ascii="Arial" w:hAnsi="Arial"/>
                <w:b/>
                <w:bCs/>
                <w:rtl/>
              </w:rPr>
              <w:t>מיכל ברנט</w:t>
            </w:r>
          </w:p>
          <w:p w14:paraId="71BF37ED" w14:textId="77777777" w:rsidR="00DB63C3" w:rsidRPr="00FC6921" w:rsidRDefault="00DB63C3" w:rsidP="003D25FF">
            <w:pPr>
              <w:pStyle w:val="a9"/>
              <w:rPr>
                <w:b/>
                <w:bCs/>
                <w:rtl/>
              </w:rPr>
            </w:pPr>
          </w:p>
          <w:p w14:paraId="4FD17CD4" w14:textId="77777777" w:rsidR="00DB63C3" w:rsidRPr="00FC6921" w:rsidRDefault="00DB63C3" w:rsidP="003D25FF">
            <w:pPr>
              <w:pStyle w:val="a9"/>
              <w:rPr>
                <w:rFonts w:ascii="Arial" w:hAnsi="Arial"/>
                <w:b/>
                <w:bCs/>
              </w:rPr>
            </w:pPr>
          </w:p>
        </w:tc>
      </w:tr>
      <w:tr w:rsidR="00DB63C3" w:rsidRPr="00FC6921" w14:paraId="673749FC" w14:textId="77777777" w:rsidTr="00DB63C3">
        <w:trPr>
          <w:trHeight w:val="355"/>
          <w:jc w:val="center"/>
        </w:trPr>
        <w:tc>
          <w:tcPr>
            <w:tcW w:w="923" w:type="dxa"/>
            <w:tcBorders>
              <w:top w:val="nil"/>
              <w:left w:val="nil"/>
              <w:bottom w:val="nil"/>
              <w:right w:val="nil"/>
            </w:tcBorders>
            <w:shd w:val="clear" w:color="auto" w:fill="auto"/>
          </w:tcPr>
          <w:p w14:paraId="70B272AD" w14:textId="77777777" w:rsidR="00DB63C3" w:rsidRPr="00FC6921" w:rsidRDefault="00DB63C3" w:rsidP="003D25FF">
            <w:pPr>
              <w:pStyle w:val="a9"/>
              <w:rPr>
                <w:rFonts w:ascii="Arial" w:hAnsi="Arial"/>
                <w:b/>
                <w:bCs/>
              </w:rPr>
            </w:pPr>
            <w:bookmarkStart w:id="1" w:name="FirstAppellant"/>
            <w:r w:rsidRPr="00FC6921">
              <w:rPr>
                <w:rFonts w:ascii="Arial" w:hAnsi="Arial" w:hint="cs"/>
                <w:b/>
                <w:bCs/>
                <w:rtl/>
              </w:rPr>
              <w:t>בעניין:</w:t>
            </w:r>
          </w:p>
        </w:tc>
        <w:tc>
          <w:tcPr>
            <w:tcW w:w="4126" w:type="dxa"/>
            <w:tcBorders>
              <w:top w:val="nil"/>
              <w:left w:val="nil"/>
              <w:bottom w:val="nil"/>
              <w:right w:val="nil"/>
            </w:tcBorders>
            <w:shd w:val="clear" w:color="auto" w:fill="auto"/>
          </w:tcPr>
          <w:p w14:paraId="08E65D33" w14:textId="77777777" w:rsidR="00DB63C3" w:rsidRPr="00FC6921" w:rsidRDefault="00DB63C3" w:rsidP="003D25FF">
            <w:pPr>
              <w:pStyle w:val="a9"/>
              <w:rPr>
                <w:b/>
                <w:bCs/>
              </w:rPr>
            </w:pPr>
            <w:r w:rsidRPr="00FC6921">
              <w:rPr>
                <w:rFonts w:ascii="Arial" w:hAnsi="Arial"/>
                <w:b/>
                <w:bCs/>
                <w:rtl/>
              </w:rPr>
              <w:t>מדינת ישראל</w:t>
            </w:r>
          </w:p>
        </w:tc>
        <w:tc>
          <w:tcPr>
            <w:tcW w:w="3771" w:type="dxa"/>
            <w:tcBorders>
              <w:top w:val="nil"/>
              <w:left w:val="nil"/>
              <w:bottom w:val="nil"/>
              <w:right w:val="nil"/>
            </w:tcBorders>
            <w:shd w:val="clear" w:color="auto" w:fill="auto"/>
          </w:tcPr>
          <w:p w14:paraId="089214DE" w14:textId="77777777" w:rsidR="00DB63C3" w:rsidRPr="00FC6921" w:rsidRDefault="00DB63C3" w:rsidP="003D25FF">
            <w:pPr>
              <w:pStyle w:val="a9"/>
              <w:rPr>
                <w:rFonts w:ascii="Arial" w:hAnsi="Arial"/>
                <w:b/>
                <w:bCs/>
              </w:rPr>
            </w:pPr>
          </w:p>
        </w:tc>
      </w:tr>
      <w:bookmarkEnd w:id="1"/>
      <w:tr w:rsidR="00DB63C3" w:rsidRPr="00FC6921" w14:paraId="7BD8E815" w14:textId="77777777" w:rsidTr="00DB63C3">
        <w:trPr>
          <w:trHeight w:val="355"/>
          <w:jc w:val="center"/>
        </w:trPr>
        <w:tc>
          <w:tcPr>
            <w:tcW w:w="923" w:type="dxa"/>
            <w:tcBorders>
              <w:top w:val="nil"/>
              <w:left w:val="nil"/>
              <w:bottom w:val="nil"/>
              <w:right w:val="nil"/>
            </w:tcBorders>
            <w:shd w:val="clear" w:color="auto" w:fill="auto"/>
          </w:tcPr>
          <w:p w14:paraId="4F1E315F" w14:textId="77777777" w:rsidR="00DB63C3" w:rsidRPr="00FC6921" w:rsidRDefault="00DB63C3" w:rsidP="003D25FF">
            <w:pPr>
              <w:pStyle w:val="a9"/>
              <w:rPr>
                <w:rFonts w:ascii="Arial" w:hAnsi="Arial"/>
                <w:b/>
                <w:bCs/>
                <w:rtl/>
              </w:rPr>
            </w:pPr>
          </w:p>
        </w:tc>
        <w:tc>
          <w:tcPr>
            <w:tcW w:w="4126" w:type="dxa"/>
            <w:tcBorders>
              <w:top w:val="nil"/>
              <w:left w:val="nil"/>
              <w:bottom w:val="nil"/>
              <w:right w:val="nil"/>
            </w:tcBorders>
            <w:shd w:val="clear" w:color="auto" w:fill="auto"/>
          </w:tcPr>
          <w:p w14:paraId="5458E7C5" w14:textId="77777777" w:rsidR="00DB63C3" w:rsidRPr="00FC6921" w:rsidRDefault="00DB63C3" w:rsidP="003D25FF">
            <w:pPr>
              <w:pStyle w:val="a9"/>
              <w:rPr>
                <w:b/>
                <w:bCs/>
                <w:rtl/>
              </w:rPr>
            </w:pPr>
          </w:p>
        </w:tc>
        <w:tc>
          <w:tcPr>
            <w:tcW w:w="3771" w:type="dxa"/>
            <w:tcBorders>
              <w:top w:val="nil"/>
              <w:left w:val="nil"/>
              <w:bottom w:val="nil"/>
              <w:right w:val="nil"/>
            </w:tcBorders>
            <w:shd w:val="clear" w:color="auto" w:fill="auto"/>
          </w:tcPr>
          <w:p w14:paraId="71C05DBC" w14:textId="77777777" w:rsidR="00DB63C3" w:rsidRPr="00FC6921" w:rsidRDefault="00DB63C3" w:rsidP="003D25FF">
            <w:pPr>
              <w:pStyle w:val="a9"/>
              <w:rPr>
                <w:rFonts w:ascii="Arial" w:hAnsi="Arial"/>
                <w:b/>
                <w:bCs/>
                <w:rtl/>
              </w:rPr>
            </w:pPr>
            <w:r w:rsidRPr="00FC6921">
              <w:rPr>
                <w:rFonts w:ascii="Arial" w:hAnsi="Arial" w:hint="cs"/>
                <w:b/>
                <w:bCs/>
                <w:rtl/>
              </w:rPr>
              <w:t>ה</w:t>
            </w:r>
            <w:r w:rsidRPr="00FC6921">
              <w:rPr>
                <w:rFonts w:ascii="Arial" w:hAnsi="Arial"/>
                <w:b/>
                <w:bCs/>
                <w:rtl/>
              </w:rPr>
              <w:t>מאשימה</w:t>
            </w:r>
          </w:p>
        </w:tc>
      </w:tr>
      <w:tr w:rsidR="00DB63C3" w:rsidRPr="00FC6921" w14:paraId="1A4CC475" w14:textId="77777777" w:rsidTr="00DB63C3">
        <w:trPr>
          <w:trHeight w:val="355"/>
          <w:jc w:val="center"/>
        </w:trPr>
        <w:tc>
          <w:tcPr>
            <w:tcW w:w="923" w:type="dxa"/>
            <w:tcBorders>
              <w:top w:val="nil"/>
              <w:left w:val="nil"/>
              <w:bottom w:val="nil"/>
              <w:right w:val="nil"/>
            </w:tcBorders>
            <w:shd w:val="clear" w:color="auto" w:fill="auto"/>
          </w:tcPr>
          <w:p w14:paraId="4B4C7852" w14:textId="77777777" w:rsidR="00DB63C3" w:rsidRPr="00FC6921" w:rsidRDefault="00DB63C3" w:rsidP="003D25FF">
            <w:pPr>
              <w:pStyle w:val="a9"/>
              <w:rPr>
                <w:rFonts w:ascii="Arial" w:hAnsi="Arial"/>
                <w:b/>
                <w:bCs/>
                <w:rtl/>
              </w:rPr>
            </w:pPr>
          </w:p>
        </w:tc>
        <w:tc>
          <w:tcPr>
            <w:tcW w:w="7897" w:type="dxa"/>
            <w:gridSpan w:val="2"/>
            <w:tcBorders>
              <w:top w:val="nil"/>
              <w:left w:val="nil"/>
              <w:bottom w:val="nil"/>
              <w:right w:val="nil"/>
            </w:tcBorders>
            <w:shd w:val="clear" w:color="auto" w:fill="auto"/>
          </w:tcPr>
          <w:p w14:paraId="4FB0C405" w14:textId="77777777" w:rsidR="00DB63C3" w:rsidRPr="00FC6921" w:rsidRDefault="00DB63C3" w:rsidP="003D25FF">
            <w:pPr>
              <w:pStyle w:val="a9"/>
              <w:rPr>
                <w:rFonts w:ascii="Arial" w:hAnsi="Arial"/>
                <w:b/>
                <w:bCs/>
                <w:rtl/>
              </w:rPr>
            </w:pPr>
          </w:p>
          <w:p w14:paraId="4B5CD2AD" w14:textId="77777777" w:rsidR="00DB63C3" w:rsidRPr="00FC6921" w:rsidRDefault="00DB63C3" w:rsidP="003D25FF">
            <w:pPr>
              <w:pStyle w:val="a9"/>
              <w:rPr>
                <w:rFonts w:ascii="Arial" w:hAnsi="Arial"/>
                <w:b/>
                <w:bCs/>
                <w:rtl/>
              </w:rPr>
            </w:pPr>
            <w:r w:rsidRPr="00FC6921">
              <w:rPr>
                <w:rFonts w:ascii="Arial" w:hAnsi="Arial"/>
                <w:b/>
                <w:bCs/>
                <w:rtl/>
              </w:rPr>
              <w:t>נגד</w:t>
            </w:r>
          </w:p>
          <w:p w14:paraId="430B0F0A" w14:textId="77777777" w:rsidR="00DB63C3" w:rsidRPr="00FC6921" w:rsidRDefault="00DB63C3" w:rsidP="003D25FF">
            <w:pPr>
              <w:pStyle w:val="a9"/>
              <w:rPr>
                <w:rFonts w:ascii="Arial" w:hAnsi="Arial"/>
                <w:b/>
                <w:bCs/>
              </w:rPr>
            </w:pPr>
          </w:p>
        </w:tc>
      </w:tr>
      <w:tr w:rsidR="00DB63C3" w:rsidRPr="00FC6921" w14:paraId="5DB1E800" w14:textId="77777777" w:rsidTr="00DB63C3">
        <w:trPr>
          <w:trHeight w:val="355"/>
          <w:jc w:val="center"/>
        </w:trPr>
        <w:tc>
          <w:tcPr>
            <w:tcW w:w="923" w:type="dxa"/>
            <w:tcBorders>
              <w:top w:val="nil"/>
              <w:left w:val="nil"/>
              <w:bottom w:val="nil"/>
              <w:right w:val="nil"/>
            </w:tcBorders>
            <w:shd w:val="clear" w:color="auto" w:fill="auto"/>
          </w:tcPr>
          <w:p w14:paraId="0E197D78" w14:textId="77777777" w:rsidR="00DB63C3" w:rsidRPr="00FC6921" w:rsidRDefault="00DB63C3" w:rsidP="003D25FF">
            <w:pPr>
              <w:pStyle w:val="a9"/>
              <w:rPr>
                <w:rFonts w:ascii="Arial" w:hAnsi="Arial"/>
                <w:b/>
                <w:bCs/>
                <w:rtl/>
              </w:rPr>
            </w:pPr>
          </w:p>
        </w:tc>
        <w:tc>
          <w:tcPr>
            <w:tcW w:w="4126" w:type="dxa"/>
            <w:tcBorders>
              <w:top w:val="nil"/>
              <w:left w:val="nil"/>
              <w:bottom w:val="nil"/>
              <w:right w:val="nil"/>
            </w:tcBorders>
            <w:shd w:val="clear" w:color="auto" w:fill="auto"/>
          </w:tcPr>
          <w:p w14:paraId="02EF2A95" w14:textId="77777777" w:rsidR="00DB63C3" w:rsidRPr="00FC6921" w:rsidRDefault="00DB63C3" w:rsidP="003D25FF">
            <w:pPr>
              <w:pStyle w:val="a9"/>
              <w:rPr>
                <w:b/>
                <w:bCs/>
                <w:rtl/>
              </w:rPr>
            </w:pPr>
            <w:r w:rsidRPr="00FC6921">
              <w:rPr>
                <w:rFonts w:ascii="Arial" w:hAnsi="Arial"/>
                <w:b/>
                <w:bCs/>
                <w:rtl/>
              </w:rPr>
              <w:t>פאדי מגאהד (עציר)</w:t>
            </w:r>
          </w:p>
        </w:tc>
        <w:tc>
          <w:tcPr>
            <w:tcW w:w="3771" w:type="dxa"/>
            <w:tcBorders>
              <w:top w:val="nil"/>
              <w:left w:val="nil"/>
              <w:bottom w:val="nil"/>
              <w:right w:val="nil"/>
            </w:tcBorders>
            <w:shd w:val="clear" w:color="auto" w:fill="auto"/>
          </w:tcPr>
          <w:p w14:paraId="2C413C45" w14:textId="77777777" w:rsidR="00DB63C3" w:rsidRPr="00FC6921" w:rsidRDefault="00DB63C3" w:rsidP="003D25FF">
            <w:pPr>
              <w:pStyle w:val="a9"/>
              <w:rPr>
                <w:rFonts w:ascii="Arial" w:hAnsi="Arial"/>
                <w:b/>
                <w:bCs/>
              </w:rPr>
            </w:pPr>
          </w:p>
        </w:tc>
      </w:tr>
      <w:tr w:rsidR="00DB63C3" w:rsidRPr="00FC6921" w14:paraId="479E9667" w14:textId="77777777" w:rsidTr="00DB63C3">
        <w:trPr>
          <w:trHeight w:val="355"/>
          <w:jc w:val="center"/>
        </w:trPr>
        <w:tc>
          <w:tcPr>
            <w:tcW w:w="923" w:type="dxa"/>
            <w:tcBorders>
              <w:top w:val="nil"/>
              <w:left w:val="nil"/>
              <w:bottom w:val="nil"/>
              <w:right w:val="nil"/>
            </w:tcBorders>
            <w:shd w:val="clear" w:color="auto" w:fill="auto"/>
          </w:tcPr>
          <w:p w14:paraId="0D1E3D0B" w14:textId="77777777" w:rsidR="00DB63C3" w:rsidRPr="00FC6921" w:rsidRDefault="00DB63C3" w:rsidP="003D25FF">
            <w:pPr>
              <w:pStyle w:val="a9"/>
              <w:rPr>
                <w:rFonts w:ascii="Arial" w:hAnsi="Arial"/>
                <w:b/>
                <w:bCs/>
                <w:rtl/>
              </w:rPr>
            </w:pPr>
          </w:p>
        </w:tc>
        <w:tc>
          <w:tcPr>
            <w:tcW w:w="4126" w:type="dxa"/>
            <w:tcBorders>
              <w:top w:val="nil"/>
              <w:left w:val="nil"/>
              <w:bottom w:val="nil"/>
              <w:right w:val="nil"/>
            </w:tcBorders>
            <w:shd w:val="clear" w:color="auto" w:fill="auto"/>
          </w:tcPr>
          <w:p w14:paraId="5C1877D5" w14:textId="77777777" w:rsidR="00DB63C3" w:rsidRPr="00FC6921" w:rsidRDefault="00DB63C3" w:rsidP="003D25FF">
            <w:pPr>
              <w:pStyle w:val="a9"/>
              <w:rPr>
                <w:b/>
                <w:bCs/>
                <w:rtl/>
              </w:rPr>
            </w:pPr>
          </w:p>
        </w:tc>
        <w:tc>
          <w:tcPr>
            <w:tcW w:w="3771" w:type="dxa"/>
            <w:tcBorders>
              <w:top w:val="nil"/>
              <w:left w:val="nil"/>
              <w:bottom w:val="nil"/>
              <w:right w:val="nil"/>
            </w:tcBorders>
            <w:shd w:val="clear" w:color="auto" w:fill="auto"/>
          </w:tcPr>
          <w:p w14:paraId="31B9FFFF" w14:textId="77777777" w:rsidR="00DB63C3" w:rsidRPr="00FC6921" w:rsidRDefault="00DB63C3" w:rsidP="003D25FF">
            <w:pPr>
              <w:pStyle w:val="a9"/>
              <w:rPr>
                <w:rFonts w:ascii="Arial" w:hAnsi="Arial"/>
                <w:b/>
                <w:bCs/>
              </w:rPr>
            </w:pPr>
            <w:r w:rsidRPr="00FC6921">
              <w:rPr>
                <w:rFonts w:ascii="Arial" w:hAnsi="Arial" w:hint="cs"/>
                <w:b/>
                <w:bCs/>
                <w:rtl/>
              </w:rPr>
              <w:t>ה</w:t>
            </w:r>
            <w:r w:rsidRPr="00FC6921">
              <w:rPr>
                <w:rFonts w:ascii="Arial" w:hAnsi="Arial"/>
                <w:b/>
                <w:bCs/>
                <w:rtl/>
              </w:rPr>
              <w:t>נאשם</w:t>
            </w:r>
          </w:p>
        </w:tc>
      </w:tr>
    </w:tbl>
    <w:p w14:paraId="29FCD32C" w14:textId="77777777" w:rsidR="008D425E" w:rsidRDefault="008D425E" w:rsidP="00DB63C3">
      <w:pPr>
        <w:pStyle w:val="a9"/>
        <w:rPr>
          <w:color w:val="auto"/>
          <w:rtl/>
        </w:rPr>
      </w:pPr>
      <w:bookmarkStart w:id="2" w:name="LawTable"/>
      <w:bookmarkEnd w:id="2"/>
    </w:p>
    <w:p w14:paraId="633E0C15" w14:textId="77777777" w:rsidR="008D425E" w:rsidRPr="008D425E" w:rsidRDefault="008D425E" w:rsidP="008D425E">
      <w:pPr>
        <w:pStyle w:val="a9"/>
        <w:spacing w:after="120" w:line="240" w:lineRule="exact"/>
        <w:ind w:left="283" w:hanging="283"/>
        <w:jc w:val="both"/>
        <w:rPr>
          <w:rFonts w:ascii="FrankRuehl" w:hAnsi="FrankRuehl" w:cs="FrankRuehl"/>
          <w:color w:val="auto"/>
          <w:spacing w:val="0"/>
          <w:sz w:val="24"/>
          <w:szCs w:val="24"/>
          <w:rtl/>
        </w:rPr>
      </w:pPr>
    </w:p>
    <w:p w14:paraId="5E627E4F" w14:textId="77777777" w:rsidR="008D425E" w:rsidRPr="008D425E" w:rsidRDefault="008D425E" w:rsidP="008D425E">
      <w:pPr>
        <w:pStyle w:val="a9"/>
        <w:spacing w:after="120" w:line="240" w:lineRule="exact"/>
        <w:ind w:left="283" w:hanging="283"/>
        <w:jc w:val="both"/>
        <w:rPr>
          <w:rFonts w:ascii="FrankRuehl" w:hAnsi="FrankRuehl" w:cs="FrankRuehl"/>
          <w:color w:val="auto"/>
          <w:spacing w:val="0"/>
          <w:sz w:val="24"/>
          <w:szCs w:val="24"/>
          <w:rtl/>
        </w:rPr>
      </w:pPr>
      <w:r w:rsidRPr="008D425E">
        <w:rPr>
          <w:rFonts w:ascii="FrankRuehl" w:hAnsi="FrankRuehl" w:cs="FrankRuehl" w:hint="eastAsia"/>
          <w:color w:val="auto"/>
          <w:spacing w:val="0"/>
          <w:sz w:val="24"/>
          <w:szCs w:val="24"/>
          <w:rtl/>
        </w:rPr>
        <w:t>חקיקה</w:t>
      </w:r>
      <w:r w:rsidRPr="008D425E">
        <w:rPr>
          <w:rFonts w:ascii="FrankRuehl" w:hAnsi="FrankRuehl" w:cs="FrankRuehl"/>
          <w:color w:val="auto"/>
          <w:spacing w:val="0"/>
          <w:sz w:val="24"/>
          <w:szCs w:val="24"/>
          <w:rtl/>
        </w:rPr>
        <w:t xml:space="preserve"> </w:t>
      </w:r>
      <w:r w:rsidRPr="008D425E">
        <w:rPr>
          <w:rFonts w:ascii="FrankRuehl" w:hAnsi="FrankRuehl" w:cs="FrankRuehl" w:hint="eastAsia"/>
          <w:color w:val="auto"/>
          <w:spacing w:val="0"/>
          <w:sz w:val="24"/>
          <w:szCs w:val="24"/>
          <w:rtl/>
        </w:rPr>
        <w:t>שאוזכרה</w:t>
      </w:r>
      <w:r w:rsidRPr="008D425E">
        <w:rPr>
          <w:rFonts w:ascii="FrankRuehl" w:hAnsi="FrankRuehl" w:cs="FrankRuehl"/>
          <w:color w:val="auto"/>
          <w:spacing w:val="0"/>
          <w:sz w:val="24"/>
          <w:szCs w:val="24"/>
          <w:rtl/>
        </w:rPr>
        <w:t xml:space="preserve">: </w:t>
      </w:r>
    </w:p>
    <w:p w14:paraId="03948022" w14:textId="77777777" w:rsidR="008D425E" w:rsidRPr="008D425E" w:rsidRDefault="008D425E" w:rsidP="008D425E">
      <w:pPr>
        <w:pStyle w:val="a9"/>
        <w:spacing w:after="120" w:line="240" w:lineRule="exact"/>
        <w:ind w:left="283" w:hanging="283"/>
        <w:jc w:val="both"/>
        <w:rPr>
          <w:rFonts w:ascii="FrankRuehl" w:hAnsi="FrankRuehl" w:cs="FrankRuehl"/>
          <w:color w:val="auto"/>
          <w:spacing w:val="0"/>
          <w:sz w:val="24"/>
          <w:szCs w:val="24"/>
          <w:rtl/>
        </w:rPr>
      </w:pPr>
      <w:hyperlink r:id="rId6" w:history="1">
        <w:r w:rsidRPr="008D425E">
          <w:rPr>
            <w:rFonts w:ascii="FrankRuehl" w:hAnsi="FrankRuehl" w:cs="FrankRuehl" w:hint="eastAsia"/>
            <w:color w:val="0000FF"/>
            <w:spacing w:val="0"/>
            <w:sz w:val="24"/>
            <w:szCs w:val="24"/>
            <w:u w:val="single"/>
            <w:rtl/>
          </w:rPr>
          <w:t>חוק</w:t>
        </w:r>
        <w:r w:rsidRPr="008D425E">
          <w:rPr>
            <w:rFonts w:ascii="FrankRuehl" w:hAnsi="FrankRuehl" w:cs="FrankRuehl"/>
            <w:color w:val="0000FF"/>
            <w:spacing w:val="0"/>
            <w:sz w:val="24"/>
            <w:szCs w:val="24"/>
            <w:u w:val="single"/>
            <w:rtl/>
          </w:rPr>
          <w:t xml:space="preserve"> </w:t>
        </w:r>
        <w:r w:rsidRPr="008D425E">
          <w:rPr>
            <w:rFonts w:ascii="FrankRuehl" w:hAnsi="FrankRuehl" w:cs="FrankRuehl" w:hint="eastAsia"/>
            <w:color w:val="0000FF"/>
            <w:spacing w:val="0"/>
            <w:sz w:val="24"/>
            <w:szCs w:val="24"/>
            <w:u w:val="single"/>
            <w:rtl/>
          </w:rPr>
          <w:t>העונשין</w:t>
        </w:r>
        <w:r w:rsidRPr="008D425E">
          <w:rPr>
            <w:rFonts w:ascii="FrankRuehl" w:hAnsi="FrankRuehl" w:cs="FrankRuehl"/>
            <w:color w:val="0000FF"/>
            <w:spacing w:val="0"/>
            <w:sz w:val="24"/>
            <w:szCs w:val="24"/>
            <w:u w:val="single"/>
            <w:rtl/>
          </w:rPr>
          <w:t xml:space="preserve">, </w:t>
        </w:r>
        <w:r w:rsidRPr="008D425E">
          <w:rPr>
            <w:rFonts w:ascii="FrankRuehl" w:hAnsi="FrankRuehl" w:cs="FrankRuehl" w:hint="eastAsia"/>
            <w:color w:val="0000FF"/>
            <w:spacing w:val="0"/>
            <w:sz w:val="24"/>
            <w:szCs w:val="24"/>
            <w:u w:val="single"/>
            <w:rtl/>
          </w:rPr>
          <w:t>תשל</w:t>
        </w:r>
        <w:r w:rsidRPr="008D425E">
          <w:rPr>
            <w:rFonts w:ascii="FrankRuehl" w:hAnsi="FrankRuehl" w:cs="FrankRuehl"/>
            <w:color w:val="0000FF"/>
            <w:spacing w:val="0"/>
            <w:sz w:val="24"/>
            <w:szCs w:val="24"/>
            <w:u w:val="single"/>
            <w:rtl/>
          </w:rPr>
          <w:t>"</w:t>
        </w:r>
        <w:r w:rsidRPr="008D425E">
          <w:rPr>
            <w:rFonts w:ascii="FrankRuehl" w:hAnsi="FrankRuehl" w:cs="FrankRuehl" w:hint="eastAsia"/>
            <w:color w:val="0000FF"/>
            <w:spacing w:val="0"/>
            <w:sz w:val="24"/>
            <w:szCs w:val="24"/>
            <w:u w:val="single"/>
            <w:rtl/>
          </w:rPr>
          <w:t>ז</w:t>
        </w:r>
        <w:r w:rsidRPr="008D425E">
          <w:rPr>
            <w:rFonts w:ascii="FrankRuehl" w:hAnsi="FrankRuehl" w:cs="FrankRuehl"/>
            <w:color w:val="0000FF"/>
            <w:spacing w:val="0"/>
            <w:sz w:val="24"/>
            <w:szCs w:val="24"/>
            <w:u w:val="single"/>
            <w:rtl/>
          </w:rPr>
          <w:t>-1977</w:t>
        </w:r>
      </w:hyperlink>
      <w:r w:rsidRPr="008D425E">
        <w:rPr>
          <w:rFonts w:ascii="FrankRuehl" w:hAnsi="FrankRuehl" w:cs="FrankRuehl"/>
          <w:color w:val="auto"/>
          <w:spacing w:val="0"/>
          <w:sz w:val="24"/>
          <w:szCs w:val="24"/>
          <w:rtl/>
        </w:rPr>
        <w:t xml:space="preserve">: </w:t>
      </w:r>
      <w:r w:rsidRPr="008D425E">
        <w:rPr>
          <w:rFonts w:ascii="FrankRuehl" w:hAnsi="FrankRuehl" w:cs="FrankRuehl" w:hint="eastAsia"/>
          <w:color w:val="auto"/>
          <w:spacing w:val="0"/>
          <w:sz w:val="24"/>
          <w:szCs w:val="24"/>
          <w:rtl/>
        </w:rPr>
        <w:t>סע</w:t>
      </w:r>
      <w:r w:rsidRPr="008D425E">
        <w:rPr>
          <w:rFonts w:ascii="FrankRuehl" w:hAnsi="FrankRuehl" w:cs="FrankRuehl"/>
          <w:color w:val="auto"/>
          <w:spacing w:val="0"/>
          <w:sz w:val="24"/>
          <w:szCs w:val="24"/>
          <w:rtl/>
        </w:rPr>
        <w:t xml:space="preserve">'  </w:t>
      </w:r>
      <w:hyperlink r:id="rId7" w:history="1">
        <w:r w:rsidRPr="008D425E">
          <w:rPr>
            <w:rFonts w:ascii="FrankRuehl" w:hAnsi="FrankRuehl" w:cs="FrankRuehl"/>
            <w:color w:val="0000FF"/>
            <w:spacing w:val="0"/>
            <w:sz w:val="24"/>
            <w:szCs w:val="24"/>
            <w:u w:val="single"/>
            <w:rtl/>
          </w:rPr>
          <w:t>144(</w:t>
        </w:r>
        <w:r w:rsidRPr="008D425E">
          <w:rPr>
            <w:rFonts w:ascii="FrankRuehl" w:hAnsi="FrankRuehl" w:cs="FrankRuehl" w:hint="eastAsia"/>
            <w:color w:val="0000FF"/>
            <w:spacing w:val="0"/>
            <w:sz w:val="24"/>
            <w:szCs w:val="24"/>
            <w:u w:val="single"/>
            <w:rtl/>
          </w:rPr>
          <w:t>ב</w:t>
        </w:r>
        <w:r w:rsidRPr="008D425E">
          <w:rPr>
            <w:rFonts w:ascii="FrankRuehl" w:hAnsi="FrankRuehl" w:cs="FrankRuehl"/>
            <w:color w:val="0000FF"/>
            <w:spacing w:val="0"/>
            <w:sz w:val="24"/>
            <w:szCs w:val="24"/>
            <w:u w:val="single"/>
            <w:rtl/>
          </w:rPr>
          <w:t>)</w:t>
        </w:r>
      </w:hyperlink>
      <w:r w:rsidRPr="008D425E">
        <w:rPr>
          <w:rFonts w:ascii="FrankRuehl" w:hAnsi="FrankRuehl" w:cs="FrankRuehl"/>
          <w:color w:val="auto"/>
          <w:spacing w:val="0"/>
          <w:sz w:val="24"/>
          <w:szCs w:val="24"/>
          <w:rtl/>
        </w:rPr>
        <w:t xml:space="preserve">, </w:t>
      </w:r>
      <w:hyperlink r:id="rId8" w:history="1">
        <w:r w:rsidRPr="008D425E">
          <w:rPr>
            <w:rFonts w:ascii="FrankRuehl" w:hAnsi="FrankRuehl" w:cs="FrankRuehl"/>
            <w:color w:val="0000FF"/>
            <w:spacing w:val="0"/>
            <w:sz w:val="24"/>
            <w:szCs w:val="24"/>
            <w:u w:val="single"/>
            <w:rtl/>
          </w:rPr>
          <w:t>499(</w:t>
        </w:r>
        <w:r w:rsidRPr="008D425E">
          <w:rPr>
            <w:rFonts w:ascii="FrankRuehl" w:hAnsi="FrankRuehl" w:cs="FrankRuehl" w:hint="eastAsia"/>
            <w:color w:val="0000FF"/>
            <w:spacing w:val="0"/>
            <w:sz w:val="24"/>
            <w:szCs w:val="24"/>
            <w:u w:val="single"/>
            <w:rtl/>
          </w:rPr>
          <w:t>א</w:t>
        </w:r>
        <w:r w:rsidRPr="008D425E">
          <w:rPr>
            <w:rFonts w:ascii="FrankRuehl" w:hAnsi="FrankRuehl" w:cs="FrankRuehl"/>
            <w:color w:val="0000FF"/>
            <w:spacing w:val="0"/>
            <w:sz w:val="24"/>
            <w:szCs w:val="24"/>
            <w:u w:val="single"/>
            <w:rtl/>
          </w:rPr>
          <w:t>)(1)</w:t>
        </w:r>
      </w:hyperlink>
    </w:p>
    <w:p w14:paraId="73044D40" w14:textId="77777777" w:rsidR="008D425E" w:rsidRDefault="008D425E" w:rsidP="008D425E">
      <w:pPr>
        <w:pStyle w:val="a9"/>
        <w:spacing w:after="120" w:line="240" w:lineRule="exact"/>
        <w:ind w:left="283" w:hanging="283"/>
        <w:jc w:val="both"/>
        <w:rPr>
          <w:rFonts w:ascii="FrankRuehl" w:hAnsi="FrankRuehl" w:cs="FrankRuehl" w:hint="cs"/>
          <w:color w:val="auto"/>
          <w:spacing w:val="0"/>
          <w:sz w:val="24"/>
          <w:szCs w:val="24"/>
          <w:rtl/>
        </w:rPr>
      </w:pPr>
    </w:p>
    <w:p w14:paraId="0714733C" w14:textId="77777777" w:rsidR="008D425E" w:rsidRPr="008D425E" w:rsidRDefault="008D425E" w:rsidP="008D425E">
      <w:pPr>
        <w:rPr>
          <w:rFonts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B63C3" w:rsidRPr="000A216F" w14:paraId="720EE8AD" w14:textId="77777777" w:rsidTr="00DB63C3">
        <w:trPr>
          <w:trHeight w:val="355"/>
          <w:jc w:val="center"/>
        </w:trPr>
        <w:tc>
          <w:tcPr>
            <w:tcW w:w="8820" w:type="dxa"/>
            <w:tcBorders>
              <w:top w:val="nil"/>
              <w:left w:val="nil"/>
              <w:bottom w:val="nil"/>
              <w:right w:val="nil"/>
            </w:tcBorders>
            <w:shd w:val="clear" w:color="auto" w:fill="auto"/>
          </w:tcPr>
          <w:p w14:paraId="36957653" w14:textId="77777777" w:rsidR="00FC6921" w:rsidRPr="00FC6921" w:rsidRDefault="00FC6921" w:rsidP="00FC6921">
            <w:pPr>
              <w:pStyle w:val="a9"/>
              <w:jc w:val="center"/>
              <w:rPr>
                <w:rFonts w:ascii="Arial" w:hAnsi="Arial"/>
                <w:b/>
                <w:bCs/>
                <w:u w:val="single"/>
                <w:rtl/>
              </w:rPr>
            </w:pPr>
            <w:bookmarkStart w:id="3" w:name="LawTable_End"/>
            <w:bookmarkStart w:id="4" w:name="PsakDin" w:colFirst="0" w:colLast="0"/>
            <w:bookmarkEnd w:id="0"/>
            <w:bookmarkEnd w:id="3"/>
            <w:r w:rsidRPr="00FC6921">
              <w:rPr>
                <w:rFonts w:ascii="Arial" w:hAnsi="Arial"/>
                <w:b/>
                <w:bCs/>
                <w:u w:val="single"/>
                <w:rtl/>
              </w:rPr>
              <w:t>גזר דין</w:t>
            </w:r>
          </w:p>
          <w:p w14:paraId="1EE92A77" w14:textId="77777777" w:rsidR="00DB63C3" w:rsidRPr="00FC6921" w:rsidRDefault="00DB63C3" w:rsidP="00FC6921">
            <w:pPr>
              <w:pStyle w:val="a9"/>
              <w:jc w:val="center"/>
              <w:rPr>
                <w:rFonts w:ascii="Arial" w:hAnsi="Arial"/>
                <w:bCs/>
                <w:u w:val="single"/>
                <w:rtl/>
              </w:rPr>
            </w:pPr>
          </w:p>
        </w:tc>
      </w:tr>
      <w:bookmarkEnd w:id="4"/>
    </w:tbl>
    <w:p w14:paraId="41011FB2" w14:textId="77777777" w:rsidR="00DB63C3" w:rsidRPr="000A216F" w:rsidRDefault="00DB63C3" w:rsidP="00DB63C3">
      <w:pPr>
        <w:pStyle w:val="a9"/>
        <w:rPr>
          <w:rFonts w:ascii="Arial" w:hAnsi="Arial"/>
          <w:rtl/>
        </w:rPr>
      </w:pPr>
    </w:p>
    <w:p w14:paraId="6329CA67" w14:textId="77777777" w:rsidR="00DB63C3" w:rsidRPr="000A216F" w:rsidRDefault="00DB63C3" w:rsidP="00DB63C3">
      <w:pPr>
        <w:pStyle w:val="a9"/>
        <w:rPr>
          <w:rFonts w:ascii="Arial" w:hAnsi="Arial"/>
          <w:rtl/>
        </w:rPr>
      </w:pPr>
    </w:p>
    <w:p w14:paraId="5546A9FB" w14:textId="77777777" w:rsidR="00DB63C3" w:rsidRPr="000A216F" w:rsidRDefault="00DB63C3" w:rsidP="00DB63C3">
      <w:pPr>
        <w:pStyle w:val="a9"/>
        <w:rPr>
          <w:b/>
          <w:bCs/>
          <w:u w:val="single"/>
          <w:rtl/>
        </w:rPr>
      </w:pPr>
      <w:r w:rsidRPr="000A216F">
        <w:rPr>
          <w:b/>
          <w:bCs/>
          <w:u w:val="single"/>
          <w:rtl/>
        </w:rPr>
        <w:t>כללי</w:t>
      </w:r>
    </w:p>
    <w:p w14:paraId="12F3F6DA" w14:textId="77777777" w:rsidR="00DB63C3" w:rsidRPr="000A216F" w:rsidRDefault="00DB63C3" w:rsidP="00DB63C3">
      <w:pPr>
        <w:pStyle w:val="a9"/>
        <w:rPr>
          <w:rtl/>
        </w:rPr>
      </w:pPr>
      <w:bookmarkStart w:id="5" w:name="ABSTRACT_START"/>
      <w:bookmarkEnd w:id="5"/>
      <w:r w:rsidRPr="000A216F">
        <w:rPr>
          <w:rtl/>
        </w:rPr>
        <w:t xml:space="preserve">הנאשם הודה במסגרת הסדר טיעון בכתב אישום מתוקן והורשע בביצוע עבירות קשירות קשר לפשע, הובלת נשק והובלת אביזר לנשק, עבירות לפי </w:t>
      </w:r>
      <w:hyperlink r:id="rId9" w:history="1">
        <w:r w:rsidR="008D425E" w:rsidRPr="008D425E">
          <w:rPr>
            <w:rFonts w:hint="eastAsia"/>
            <w:color w:val="0000FF"/>
            <w:u w:val="single"/>
            <w:rtl/>
          </w:rPr>
          <w:t>סעיפים</w:t>
        </w:r>
        <w:r w:rsidR="008D425E" w:rsidRPr="008D425E">
          <w:rPr>
            <w:color w:val="0000FF"/>
            <w:u w:val="single"/>
            <w:rtl/>
          </w:rPr>
          <w:t xml:space="preserve"> 499(</w:t>
        </w:r>
        <w:r w:rsidR="008D425E" w:rsidRPr="008D425E">
          <w:rPr>
            <w:rFonts w:hint="eastAsia"/>
            <w:color w:val="0000FF"/>
            <w:u w:val="single"/>
            <w:rtl/>
          </w:rPr>
          <w:t>א</w:t>
        </w:r>
        <w:r w:rsidR="008D425E" w:rsidRPr="008D425E">
          <w:rPr>
            <w:color w:val="0000FF"/>
            <w:u w:val="single"/>
            <w:rtl/>
          </w:rPr>
          <w:t>)(1)</w:t>
        </w:r>
      </w:hyperlink>
      <w:r w:rsidRPr="000A216F">
        <w:rPr>
          <w:rtl/>
        </w:rPr>
        <w:t xml:space="preserve">, </w:t>
      </w:r>
      <w:hyperlink r:id="rId10" w:history="1">
        <w:r w:rsidR="008D425E" w:rsidRPr="008D425E">
          <w:rPr>
            <w:color w:val="0000FF"/>
            <w:u w:val="single"/>
            <w:rtl/>
          </w:rPr>
          <w:t>144(</w:t>
        </w:r>
        <w:r w:rsidR="008D425E" w:rsidRPr="008D425E">
          <w:rPr>
            <w:rFonts w:hint="eastAsia"/>
            <w:color w:val="0000FF"/>
            <w:u w:val="single"/>
            <w:rtl/>
          </w:rPr>
          <w:t>ב</w:t>
        </w:r>
        <w:r w:rsidR="008D425E" w:rsidRPr="008D425E">
          <w:rPr>
            <w:color w:val="0000FF"/>
            <w:u w:val="single"/>
            <w:rtl/>
          </w:rPr>
          <w:t>)</w:t>
        </w:r>
      </w:hyperlink>
      <w:r w:rsidRPr="000A216F">
        <w:rPr>
          <w:rtl/>
        </w:rPr>
        <w:t xml:space="preserve"> רישא, ו</w:t>
      </w:r>
      <w:hyperlink r:id="rId11" w:history="1">
        <w:r w:rsidR="008D425E" w:rsidRPr="008D425E">
          <w:rPr>
            <w:color w:val="0000FF"/>
            <w:u w:val="single"/>
            <w:rtl/>
          </w:rPr>
          <w:t>-144(</w:t>
        </w:r>
        <w:r w:rsidR="008D425E" w:rsidRPr="008D425E">
          <w:rPr>
            <w:rFonts w:hint="eastAsia"/>
            <w:color w:val="0000FF"/>
            <w:u w:val="single"/>
            <w:rtl/>
          </w:rPr>
          <w:t>ב</w:t>
        </w:r>
        <w:r w:rsidR="008D425E" w:rsidRPr="008D425E">
          <w:rPr>
            <w:color w:val="0000FF"/>
            <w:u w:val="single"/>
            <w:rtl/>
          </w:rPr>
          <w:t>)</w:t>
        </w:r>
      </w:hyperlink>
      <w:r w:rsidRPr="000A216F">
        <w:rPr>
          <w:rtl/>
        </w:rPr>
        <w:t xml:space="preserve"> סיפא ל</w:t>
      </w:r>
      <w:hyperlink r:id="rId12" w:history="1">
        <w:r w:rsidR="00FC6921" w:rsidRPr="00FC6921">
          <w:rPr>
            <w:rFonts w:hint="eastAsia"/>
            <w:color w:val="0000FF"/>
            <w:u w:val="single"/>
            <w:rtl/>
          </w:rPr>
          <w:t>חוק</w:t>
        </w:r>
        <w:r w:rsidR="00FC6921" w:rsidRPr="00FC6921">
          <w:rPr>
            <w:color w:val="0000FF"/>
            <w:u w:val="single"/>
            <w:rtl/>
          </w:rPr>
          <w:t xml:space="preserve"> </w:t>
        </w:r>
        <w:r w:rsidR="00FC6921" w:rsidRPr="00FC6921">
          <w:rPr>
            <w:rFonts w:hint="eastAsia"/>
            <w:color w:val="0000FF"/>
            <w:u w:val="single"/>
            <w:rtl/>
          </w:rPr>
          <w:t>העונשין</w:t>
        </w:r>
      </w:hyperlink>
      <w:r w:rsidRPr="000A216F">
        <w:rPr>
          <w:rtl/>
        </w:rPr>
        <w:t>, התשל"ז-1977.</w:t>
      </w:r>
    </w:p>
    <w:p w14:paraId="3451B58E" w14:textId="77777777" w:rsidR="00DB63C3" w:rsidRPr="000A216F" w:rsidRDefault="00DB63C3" w:rsidP="00DB63C3">
      <w:pPr>
        <w:pStyle w:val="a9"/>
      </w:pPr>
      <w:bookmarkStart w:id="6" w:name="ABSTRACT_END"/>
      <w:bookmarkEnd w:id="6"/>
    </w:p>
    <w:p w14:paraId="3DAED071" w14:textId="77777777" w:rsidR="00DB63C3" w:rsidRPr="000A216F" w:rsidRDefault="00DB63C3" w:rsidP="00DB63C3">
      <w:pPr>
        <w:pStyle w:val="a9"/>
      </w:pPr>
      <w:r w:rsidRPr="000A216F">
        <w:rPr>
          <w:rtl/>
        </w:rPr>
        <w:t>מכתב האישום המתוקן עולה כי עובר ליום 20.9.16, במועד שאינו ידוע במדויק, קשר הנאשם קשר עם אחר, שזהותו אינה ידועה, להעברת נשק משכם שבשטחי הרשות הפלשתינית</w:t>
      </w:r>
      <w:r>
        <w:rPr>
          <w:rFonts w:hint="cs"/>
          <w:rtl/>
        </w:rPr>
        <w:t>,</w:t>
      </w:r>
      <w:r w:rsidRPr="000A216F">
        <w:rPr>
          <w:rtl/>
        </w:rPr>
        <w:t xml:space="preserve"> לשטחי מדינת ישראל. עבור העברת הנשק הובטח לנאשם סך של 2</w:t>
      </w:r>
      <w:r>
        <w:rPr>
          <w:rFonts w:hint="cs"/>
          <w:rtl/>
        </w:rPr>
        <w:t>,</w:t>
      </w:r>
      <w:r w:rsidRPr="000A216F">
        <w:rPr>
          <w:rtl/>
        </w:rPr>
        <w:t xml:space="preserve">000 ₪ (להלן: "העסקה"). </w:t>
      </w:r>
    </w:p>
    <w:p w14:paraId="767F604E" w14:textId="77777777" w:rsidR="00DB63C3" w:rsidRPr="000A216F" w:rsidRDefault="00DB63C3" w:rsidP="00DB63C3">
      <w:pPr>
        <w:pStyle w:val="a9"/>
      </w:pPr>
    </w:p>
    <w:p w14:paraId="0F9E87B3" w14:textId="77777777" w:rsidR="00DB63C3" w:rsidRPr="000A216F" w:rsidRDefault="00DB63C3" w:rsidP="00DB63C3">
      <w:pPr>
        <w:pStyle w:val="a9"/>
      </w:pPr>
      <w:r w:rsidRPr="000A216F">
        <w:rPr>
          <w:rtl/>
        </w:rPr>
        <w:t>לשם קידום הקשר והעסקה, צייד האחר את הנאשם במספר טלפון של אדם המכונה "יוסף", המתגורר בשכם.</w:t>
      </w:r>
    </w:p>
    <w:p w14:paraId="4FC89F24" w14:textId="77777777" w:rsidR="00DB63C3" w:rsidRPr="000A216F" w:rsidRDefault="00DB63C3" w:rsidP="00DB63C3">
      <w:pPr>
        <w:pStyle w:val="a9"/>
        <w:rPr>
          <w:rtl/>
        </w:rPr>
      </w:pPr>
    </w:p>
    <w:p w14:paraId="5E8DFBFF" w14:textId="77777777" w:rsidR="00DB63C3" w:rsidRPr="000A216F" w:rsidRDefault="00DB63C3" w:rsidP="00DB63C3">
      <w:pPr>
        <w:pStyle w:val="a9"/>
        <w:rPr>
          <w:rtl/>
        </w:rPr>
      </w:pPr>
      <w:r w:rsidRPr="000A216F">
        <w:rPr>
          <w:rtl/>
        </w:rPr>
        <w:t xml:space="preserve">בהמשך לאמור לעיל, נוצר קשר טלפוני בין הנאשם ליוסף, במסגרתו פנה הנאשם ליוסף, ביקש לקבל ממנו נשק, והשניים סיכמו כי הנאשם יגיע אל יוסף ביום 20.9.16 בשעות הערב. </w:t>
      </w:r>
    </w:p>
    <w:p w14:paraId="08095043" w14:textId="77777777" w:rsidR="00DB63C3" w:rsidRPr="000A216F" w:rsidRDefault="00DB63C3" w:rsidP="00DB63C3">
      <w:pPr>
        <w:pStyle w:val="a9"/>
        <w:rPr>
          <w:rtl/>
        </w:rPr>
      </w:pPr>
    </w:p>
    <w:p w14:paraId="6858E005" w14:textId="77777777" w:rsidR="00DB63C3" w:rsidRPr="000A216F" w:rsidRDefault="00DB63C3" w:rsidP="00DB63C3">
      <w:pPr>
        <w:pStyle w:val="a9"/>
        <w:rPr>
          <w:rtl/>
        </w:rPr>
      </w:pPr>
      <w:r w:rsidRPr="000A216F">
        <w:rPr>
          <w:rtl/>
        </w:rPr>
        <w:t xml:space="preserve">לשם הוצאת העסקה אל הפועל, ביקש הנאשם מחברו מחמד פרחאת שיסיעו לשכם ברכב הנמצא בחזקתו, וביום 20.9.16 בסמוך לשעה 21:00 נסעו הנאשם ומחמד פרחאת משטחי מדינת ישראל לשכם. בהיותם בשכם, הסליק יוסף נשק ותחמושת ברכב, והנאשם פנה לשוב לשטחי מדינת ישראל על מנת ליתן את הנשק והתחמושת לאחר. </w:t>
      </w:r>
    </w:p>
    <w:p w14:paraId="34971D2C" w14:textId="77777777" w:rsidR="00DB63C3" w:rsidRPr="000A216F" w:rsidRDefault="00DB63C3" w:rsidP="00DB63C3">
      <w:pPr>
        <w:pStyle w:val="a9"/>
        <w:rPr>
          <w:rtl/>
        </w:rPr>
      </w:pPr>
    </w:p>
    <w:p w14:paraId="2446F668" w14:textId="77777777" w:rsidR="00DB63C3" w:rsidRPr="000A216F" w:rsidRDefault="00DB63C3" w:rsidP="00DB63C3">
      <w:pPr>
        <w:pStyle w:val="a9"/>
        <w:rPr>
          <w:rtl/>
        </w:rPr>
      </w:pPr>
      <w:r w:rsidRPr="000A216F">
        <w:rPr>
          <w:rtl/>
        </w:rPr>
        <w:t xml:space="preserve">ביום 21.9.16 בשעה 00:15 לערך הגיע הנאשם ברכב למחסום "צומת תפוח", ועוכב לצורך בדיקה, במהלכה נתגלה ונתפס רובה סער דמוי </w:t>
      </w:r>
      <w:r w:rsidRPr="000A216F">
        <w:t>M-4</w:t>
      </w:r>
      <w:r w:rsidRPr="000A216F">
        <w:rPr>
          <w:rtl/>
        </w:rPr>
        <w:t xml:space="preserve"> קליבר </w:t>
      </w:r>
      <w:r w:rsidRPr="000A216F">
        <w:t>5.56 x 45</w:t>
      </w:r>
      <w:r w:rsidRPr="000A216F">
        <w:rPr>
          <w:rtl/>
        </w:rPr>
        <w:t xml:space="preserve"> מוסלק בגחון הרכב מאחור, ו-1001 כדורי נשק 0.9 מ"מ ארוזים בקופסאות קרטון בתעלת המזגן של הרכב. כל זאת, כאשר לנאשם לא היה רישיון על פי דין להחזקת נשק, לנשיאתו או הובלתו.</w:t>
      </w:r>
    </w:p>
    <w:p w14:paraId="5167A9F4" w14:textId="77777777" w:rsidR="00DB63C3" w:rsidRPr="000A216F" w:rsidRDefault="00DB63C3" w:rsidP="00DB63C3">
      <w:pPr>
        <w:pStyle w:val="a9"/>
        <w:rPr>
          <w:rtl/>
        </w:rPr>
      </w:pPr>
    </w:p>
    <w:p w14:paraId="10EFDBFF" w14:textId="77777777" w:rsidR="00DB63C3" w:rsidRPr="000A216F" w:rsidRDefault="00DB63C3" w:rsidP="00DB63C3">
      <w:pPr>
        <w:pStyle w:val="a9"/>
        <w:rPr>
          <w:rtl/>
        </w:rPr>
      </w:pPr>
      <w:r w:rsidRPr="000A216F">
        <w:rPr>
          <w:rtl/>
        </w:rPr>
        <w:t xml:space="preserve">ב"כ המאשימה עמדה בטיעוניה על הסיכון הטמון במעשיו של הנאשם לשלום הציבור ובטחונו, ועל העמדת חפים מפשע בפני סכנת חיים, בשים לב לכך שמדובר בנשק התקפי, ולכמות התחמושת שנתפסה. כמו כן נטען, כי המניע למעשים הוא בצע כסף, והם בוצעו לאחר תכנון מוקדם, וכללו הכנסת נשק משטחי הרשות הפלשתינית לישראל, פעולה אשר היא כשלעצמה </w:t>
      </w:r>
      <w:r>
        <w:rPr>
          <w:rFonts w:hint="cs"/>
          <w:rtl/>
        </w:rPr>
        <w:t xml:space="preserve">מהווה </w:t>
      </w:r>
      <w:r w:rsidRPr="000A216F">
        <w:rPr>
          <w:rtl/>
        </w:rPr>
        <w:t xml:space="preserve">נסיבה נוספת לחומרה. </w:t>
      </w:r>
    </w:p>
    <w:p w14:paraId="5CD77DC2" w14:textId="77777777" w:rsidR="00DB63C3" w:rsidRPr="000A216F" w:rsidRDefault="00DB63C3" w:rsidP="00DB63C3">
      <w:pPr>
        <w:pStyle w:val="a9"/>
      </w:pPr>
      <w:r w:rsidRPr="000A216F">
        <w:rPr>
          <w:rtl/>
        </w:rPr>
        <w:t xml:space="preserve">עוד נטען, כי מדובר בעבירה נפוצה עד כדי היותה "מכת מדינה". </w:t>
      </w:r>
    </w:p>
    <w:p w14:paraId="52005730" w14:textId="77777777" w:rsidR="00DB63C3" w:rsidRPr="000A216F" w:rsidRDefault="00DB63C3" w:rsidP="00DB63C3">
      <w:pPr>
        <w:pStyle w:val="a9"/>
        <w:rPr>
          <w:rtl/>
        </w:rPr>
      </w:pPr>
      <w:r w:rsidRPr="000A216F">
        <w:rPr>
          <w:rtl/>
        </w:rPr>
        <w:t xml:space="preserve">בנסיבות האמורות טענה ב"כ המאשימה כי מתחם העונש ההולם נע בין 2.5 ל-5 שנות מאסר, וכתימוכין לעתירתה הפנתה לפסיקה כדלקמן: </w:t>
      </w:r>
    </w:p>
    <w:p w14:paraId="721DB2DD" w14:textId="77777777" w:rsidR="00DB63C3" w:rsidRPr="000A216F" w:rsidRDefault="00DB63C3" w:rsidP="00DB63C3">
      <w:pPr>
        <w:pStyle w:val="a9"/>
        <w:rPr>
          <w:rtl/>
        </w:rPr>
      </w:pPr>
    </w:p>
    <w:p w14:paraId="7863ADBC" w14:textId="77777777" w:rsidR="00DB63C3" w:rsidRPr="000A216F" w:rsidRDefault="00FC6921" w:rsidP="00DB63C3">
      <w:pPr>
        <w:pStyle w:val="a9"/>
        <w:rPr>
          <w:rtl/>
        </w:rPr>
      </w:pPr>
      <w:hyperlink r:id="rId13" w:history="1">
        <w:r w:rsidRPr="00FC6921">
          <w:rPr>
            <w:rFonts w:hint="eastAsia"/>
            <w:color w:val="0000FF"/>
            <w:u w:val="single"/>
            <w:rtl/>
          </w:rPr>
          <w:t>ע</w:t>
        </w:r>
        <w:r w:rsidRPr="00FC6921">
          <w:rPr>
            <w:color w:val="0000FF"/>
            <w:u w:val="single"/>
            <w:rtl/>
          </w:rPr>
          <w:t>"</w:t>
        </w:r>
        <w:r w:rsidRPr="00FC6921">
          <w:rPr>
            <w:rFonts w:hint="eastAsia"/>
            <w:color w:val="0000FF"/>
            <w:u w:val="single"/>
            <w:rtl/>
          </w:rPr>
          <w:t>פ</w:t>
        </w:r>
        <w:r w:rsidRPr="00FC6921">
          <w:rPr>
            <w:color w:val="0000FF"/>
            <w:u w:val="single"/>
            <w:rtl/>
          </w:rPr>
          <w:t xml:space="preserve"> 3877/16</w:t>
        </w:r>
      </w:hyperlink>
      <w:r w:rsidR="00DB63C3" w:rsidRPr="000A216F">
        <w:rPr>
          <w:rtl/>
        </w:rPr>
        <w:t xml:space="preserve"> </w:t>
      </w:r>
      <w:r w:rsidR="00DB63C3" w:rsidRPr="000A216F">
        <w:rPr>
          <w:b/>
          <w:bCs/>
          <w:rtl/>
        </w:rPr>
        <w:t>פאדי ג'באלי נ' מדינת ישראל</w:t>
      </w:r>
      <w:r w:rsidR="00DB63C3" w:rsidRPr="000A216F">
        <w:rPr>
          <w:rtl/>
        </w:rPr>
        <w:t xml:space="preserve"> – המערער הורשע בעבירת נשיאת נשק, כאשר הגיע לפגישה עם אדם עמו יש לו סכסוך כשנשא על גופו אקדח גנוב, טעון במחסנית עם 14 כדורים. המערער צעיר בעל עבר פלילי מכביד, אשר סיים לרצות עונש מאסר ממושך זמן קצר עובר לביצוע העבירה. בית משפט זה קבע מתחם שנע בין 24 ל-48 חודשי מאסר בפועל והשית 34 חודשי מאסר בפועל ובית המשפט העליון מצא שאין מקום להתערב בעונש. </w:t>
      </w:r>
    </w:p>
    <w:p w14:paraId="230D0367" w14:textId="77777777" w:rsidR="00DB63C3" w:rsidRPr="000A216F" w:rsidRDefault="00FC6921" w:rsidP="00DB63C3">
      <w:pPr>
        <w:pStyle w:val="a9"/>
      </w:pPr>
      <w:hyperlink r:id="rId14" w:history="1">
        <w:r w:rsidRPr="00FC6921">
          <w:rPr>
            <w:rFonts w:hint="eastAsia"/>
            <w:color w:val="0000FF"/>
            <w:u w:val="single"/>
            <w:rtl/>
          </w:rPr>
          <w:t>ע</w:t>
        </w:r>
        <w:r w:rsidRPr="00FC6921">
          <w:rPr>
            <w:color w:val="0000FF"/>
            <w:u w:val="single"/>
            <w:rtl/>
          </w:rPr>
          <w:t>"</w:t>
        </w:r>
        <w:r w:rsidRPr="00FC6921">
          <w:rPr>
            <w:rFonts w:hint="eastAsia"/>
            <w:color w:val="0000FF"/>
            <w:u w:val="single"/>
            <w:rtl/>
          </w:rPr>
          <w:t>פ</w:t>
        </w:r>
        <w:r w:rsidRPr="00FC6921">
          <w:rPr>
            <w:color w:val="0000FF"/>
            <w:u w:val="single"/>
            <w:rtl/>
          </w:rPr>
          <w:t xml:space="preserve"> 9373/10</w:t>
        </w:r>
      </w:hyperlink>
      <w:r w:rsidR="00DB63C3" w:rsidRPr="000A216F">
        <w:rPr>
          <w:rtl/>
        </w:rPr>
        <w:t xml:space="preserve"> </w:t>
      </w:r>
      <w:r w:rsidR="00DB63C3" w:rsidRPr="000A216F">
        <w:rPr>
          <w:b/>
          <w:bCs/>
          <w:rtl/>
        </w:rPr>
        <w:t>חמד ותד נ' מדינת ישראל</w:t>
      </w:r>
      <w:r w:rsidR="00DB63C3" w:rsidRPr="000A216F">
        <w:rPr>
          <w:rtl/>
        </w:rPr>
        <w:t xml:space="preserve"> – המערער, בעל עבר פלילי, הורשע בעבירת החזקת נשק ונשיאתו, בכך שהחזיק בביתו מתחת למזרן המיטה אקדח ומחסנית בה היו 9 כדורים, ו-63 כדורים נוספים נמצאו מוטמנים בחצר, והושתו עליו 30 חודשי מאסר בפועל. </w:t>
      </w:r>
    </w:p>
    <w:p w14:paraId="454854DE" w14:textId="77777777" w:rsidR="00DB63C3" w:rsidRPr="000A216F" w:rsidRDefault="00FC6921" w:rsidP="00DB63C3">
      <w:pPr>
        <w:pStyle w:val="a9"/>
      </w:pPr>
      <w:hyperlink r:id="rId15" w:history="1">
        <w:r w:rsidRPr="00FC6921">
          <w:rPr>
            <w:rFonts w:hint="eastAsia"/>
            <w:color w:val="0000FF"/>
            <w:u w:val="single"/>
            <w:rtl/>
          </w:rPr>
          <w:t>ת</w:t>
        </w:r>
        <w:r w:rsidRPr="00FC6921">
          <w:rPr>
            <w:color w:val="0000FF"/>
            <w:u w:val="single"/>
            <w:rtl/>
          </w:rPr>
          <w:t>"</w:t>
        </w:r>
        <w:r w:rsidRPr="00FC6921">
          <w:rPr>
            <w:rFonts w:hint="eastAsia"/>
            <w:color w:val="0000FF"/>
            <w:u w:val="single"/>
            <w:rtl/>
          </w:rPr>
          <w:t>פ</w:t>
        </w:r>
        <w:r w:rsidRPr="00FC6921">
          <w:rPr>
            <w:color w:val="0000FF"/>
            <w:u w:val="single"/>
            <w:rtl/>
          </w:rPr>
          <w:t xml:space="preserve"> (</w:t>
        </w:r>
        <w:r w:rsidRPr="00FC6921">
          <w:rPr>
            <w:rFonts w:hint="eastAsia"/>
            <w:color w:val="0000FF"/>
            <w:u w:val="single"/>
            <w:rtl/>
          </w:rPr>
          <w:t>מרכז</w:t>
        </w:r>
        <w:r w:rsidRPr="00FC6921">
          <w:rPr>
            <w:color w:val="0000FF"/>
            <w:u w:val="single"/>
            <w:rtl/>
          </w:rPr>
          <w:t>) 49160-11-15</w:t>
        </w:r>
      </w:hyperlink>
      <w:r w:rsidR="00DB63C3" w:rsidRPr="000A216F">
        <w:rPr>
          <w:rtl/>
        </w:rPr>
        <w:t xml:space="preserve"> </w:t>
      </w:r>
      <w:r w:rsidR="00DB63C3" w:rsidRPr="000A216F">
        <w:rPr>
          <w:b/>
          <w:bCs/>
          <w:rtl/>
        </w:rPr>
        <w:t>מדינת ישראל נ' מחמד נאסר</w:t>
      </w:r>
      <w:r w:rsidR="00DB63C3" w:rsidRPr="000A216F">
        <w:rPr>
          <w:rtl/>
        </w:rPr>
        <w:t xml:space="preserve"> – הנאשם הורשע בעבירות החזקת נשק שלא כדין, </w:t>
      </w:r>
      <w:r w:rsidR="00DB63C3">
        <w:rPr>
          <w:rtl/>
        </w:rPr>
        <w:t>הובלת נשק ונהיגה בזמן פסילה, בכ</w:t>
      </w:r>
      <w:r w:rsidR="00DB63C3">
        <w:rPr>
          <w:rFonts w:hint="cs"/>
          <w:rtl/>
        </w:rPr>
        <w:t>ך</w:t>
      </w:r>
      <w:r w:rsidR="00DB63C3" w:rsidRPr="000A216F">
        <w:rPr>
          <w:rtl/>
        </w:rPr>
        <w:t xml:space="preserve"> שקיבל לידיו אקדח, שתי </w:t>
      </w:r>
      <w:r w:rsidR="00DB63C3" w:rsidRPr="000A216F">
        <w:rPr>
          <w:rtl/>
        </w:rPr>
        <w:lastRenderedPageBreak/>
        <w:t>מחסניות תואמות ו-13 כדורים תואמים, הסליקם בשדה ליד ביתו ובחלוף מספר ימים, בשעת לילה מאוחרת, נטל את הנשק, הניחו כשהוא טעון במחסנית ובה 6 כדורים מתחת למושב הנהג ברכב שבבעלותו, ונסע מביתו. בית המשפט התייחס לטענת המאשימה כי מדובר בעבירות שהפכו ל"מכת מדינה" ולחוות דעת שהוגשה ביחס לנתונים סטטיסטיים אודות מספר תיקי עבירות הנשק ב</w:t>
      </w:r>
      <w:r w:rsidR="00DB63C3">
        <w:rPr>
          <w:rtl/>
        </w:rPr>
        <w:t xml:space="preserve">קרב נאשמים צעירים במחוז המרכז, </w:t>
      </w:r>
      <w:r w:rsidR="00DB63C3" w:rsidRPr="000A216F">
        <w:rPr>
          <w:rtl/>
        </w:rPr>
        <w:t xml:space="preserve">מצא כי המתחם ההולם נע בין 18 ל-40 חודשי מאסר בפועל, והשית על הנאשם, בעל עבר פלילי ותעבורתי, 36 חודשי מאסר בפועל, הכוללים הפעלת עונש מאסר מותנה.  </w:t>
      </w:r>
    </w:p>
    <w:p w14:paraId="02ECA94F" w14:textId="77777777" w:rsidR="00DB63C3" w:rsidRPr="000A216F" w:rsidRDefault="00FC6921" w:rsidP="00DB63C3">
      <w:pPr>
        <w:pStyle w:val="a9"/>
      </w:pPr>
      <w:hyperlink r:id="rId16" w:history="1">
        <w:r w:rsidRPr="00FC6921">
          <w:rPr>
            <w:rFonts w:hint="eastAsia"/>
            <w:color w:val="0000FF"/>
            <w:u w:val="single"/>
            <w:rtl/>
          </w:rPr>
          <w:t>ת</w:t>
        </w:r>
        <w:r w:rsidRPr="00FC6921">
          <w:rPr>
            <w:color w:val="0000FF"/>
            <w:u w:val="single"/>
            <w:rtl/>
          </w:rPr>
          <w:t>"</w:t>
        </w:r>
        <w:r w:rsidRPr="00FC6921">
          <w:rPr>
            <w:rFonts w:hint="eastAsia"/>
            <w:color w:val="0000FF"/>
            <w:u w:val="single"/>
            <w:rtl/>
          </w:rPr>
          <w:t>פ</w:t>
        </w:r>
        <w:r w:rsidRPr="00FC6921">
          <w:rPr>
            <w:color w:val="0000FF"/>
            <w:u w:val="single"/>
            <w:rtl/>
          </w:rPr>
          <w:t xml:space="preserve"> (</w:t>
        </w:r>
        <w:r w:rsidRPr="00FC6921">
          <w:rPr>
            <w:rFonts w:hint="eastAsia"/>
            <w:color w:val="0000FF"/>
            <w:u w:val="single"/>
            <w:rtl/>
          </w:rPr>
          <w:t>חיפה</w:t>
        </w:r>
        <w:r w:rsidRPr="00FC6921">
          <w:rPr>
            <w:color w:val="0000FF"/>
            <w:u w:val="single"/>
            <w:rtl/>
          </w:rPr>
          <w:t>) 2823-11-11</w:t>
        </w:r>
      </w:hyperlink>
      <w:r w:rsidR="00DB63C3" w:rsidRPr="000A216F">
        <w:rPr>
          <w:rtl/>
        </w:rPr>
        <w:t xml:space="preserve"> </w:t>
      </w:r>
      <w:r w:rsidR="00DB63C3" w:rsidRPr="000A216F">
        <w:rPr>
          <w:b/>
          <w:bCs/>
          <w:rtl/>
        </w:rPr>
        <w:t>מדינת ישראל נ' ג'מאל עודה</w:t>
      </w:r>
      <w:r w:rsidR="00DB63C3" w:rsidRPr="000A216F">
        <w:rPr>
          <w:rtl/>
        </w:rPr>
        <w:t xml:space="preserve"> – הנאשם הורשע בביצוע עבירות נשיאת נשק ותחמושת והחזקת נשק ותחמושת, לאחר שנשא והוביל לביתו ממקום אחר רובה ציד בעל קנה אחד ללא מספר סידורי, שני אקדחים ללא מספר סידורי, מחסנית תואמת לאקדח ותחמושת בקטרים שונים. הנאשם ללא עבר פלילי, עבד בעסק משפחתי אולם צבר חובות, והסברו למעשיו היה נעוץ בטעמים כלכליים. בנסיבות האמורות הושתו על הנאשם 30 חודשי מאסר בפועל.</w:t>
      </w:r>
    </w:p>
    <w:p w14:paraId="4C27FB50" w14:textId="77777777" w:rsidR="00DB63C3" w:rsidRPr="000A216F" w:rsidRDefault="00FC6921" w:rsidP="00DB63C3">
      <w:pPr>
        <w:pStyle w:val="a9"/>
      </w:pPr>
      <w:hyperlink r:id="rId17" w:history="1">
        <w:r w:rsidRPr="00FC6921">
          <w:rPr>
            <w:rFonts w:hint="eastAsia"/>
            <w:color w:val="0000FF"/>
            <w:u w:val="single"/>
            <w:rtl/>
          </w:rPr>
          <w:t>ת</w:t>
        </w:r>
        <w:r w:rsidRPr="00FC6921">
          <w:rPr>
            <w:color w:val="0000FF"/>
            <w:u w:val="single"/>
            <w:rtl/>
          </w:rPr>
          <w:t>"</w:t>
        </w:r>
        <w:r w:rsidRPr="00FC6921">
          <w:rPr>
            <w:rFonts w:hint="eastAsia"/>
            <w:color w:val="0000FF"/>
            <w:u w:val="single"/>
            <w:rtl/>
          </w:rPr>
          <w:t>פ</w:t>
        </w:r>
        <w:r w:rsidRPr="00FC6921">
          <w:rPr>
            <w:color w:val="0000FF"/>
            <w:u w:val="single"/>
            <w:rtl/>
          </w:rPr>
          <w:t xml:space="preserve"> (</w:t>
        </w:r>
        <w:r w:rsidRPr="00FC6921">
          <w:rPr>
            <w:rFonts w:hint="eastAsia"/>
            <w:color w:val="0000FF"/>
            <w:u w:val="single"/>
            <w:rtl/>
          </w:rPr>
          <w:t>חיפה</w:t>
        </w:r>
        <w:r w:rsidRPr="00FC6921">
          <w:rPr>
            <w:color w:val="0000FF"/>
            <w:u w:val="single"/>
            <w:rtl/>
          </w:rPr>
          <w:t>) 28889-07-14</w:t>
        </w:r>
      </w:hyperlink>
      <w:r w:rsidR="00DB63C3" w:rsidRPr="000A216F">
        <w:rPr>
          <w:rtl/>
        </w:rPr>
        <w:t xml:space="preserve"> </w:t>
      </w:r>
      <w:r w:rsidR="00DB63C3" w:rsidRPr="002C1DB7">
        <w:rPr>
          <w:b/>
          <w:bCs/>
          <w:rtl/>
        </w:rPr>
        <w:t>מדינת ישראל נ' אבו חמיס</w:t>
      </w:r>
      <w:r w:rsidR="00DB63C3" w:rsidRPr="000A216F">
        <w:rPr>
          <w:rtl/>
        </w:rPr>
        <w:t xml:space="preserve"> – בגין עבירות החזקה ונשיאת נשק (הכנסה מהשטחים של רובה מסוג קרל גוסטב ומחסנית טעונה בכדורי 9 מ"מ והחזקתם בדירה), כניסה ושהייה בלתי חוקית בישראל ושימוש במסמך מזויף הושתו על הנאשם, צעיר בעל עבר פלילי שאינו מכביד, 30 חודשי מאסר בפועל. </w:t>
      </w:r>
    </w:p>
    <w:p w14:paraId="34E10E12" w14:textId="77777777" w:rsidR="00DB63C3" w:rsidRPr="000A216F" w:rsidRDefault="00DB63C3" w:rsidP="00DB63C3">
      <w:pPr>
        <w:pStyle w:val="a9"/>
        <w:rPr>
          <w:rtl/>
        </w:rPr>
      </w:pPr>
    </w:p>
    <w:p w14:paraId="38E5A97F" w14:textId="77777777" w:rsidR="00DB63C3" w:rsidRPr="000A216F" w:rsidRDefault="00DB63C3" w:rsidP="00DB63C3">
      <w:pPr>
        <w:pStyle w:val="a9"/>
        <w:rPr>
          <w:rtl/>
        </w:rPr>
      </w:pPr>
      <w:r w:rsidRPr="000A216F">
        <w:rPr>
          <w:rtl/>
        </w:rPr>
        <w:t>אשר לקביעת העונש בתוך המתחם, ציינה ב"כ המאשימה מחד את עברו הפלילי, אף כי הוא אינו מכביד (הרשעה אחת משנת 2011 בגין קבלת דבר במרמה והונאה בכרטיס חיוב בגינן הוטלו עליו 3 חודשי מאסר מותנה), ומאידך את הודאתו של הנאשם</w:t>
      </w:r>
      <w:r>
        <w:rPr>
          <w:rtl/>
        </w:rPr>
        <w:t xml:space="preserve"> ואת גילו הצעיר. בשים לב לאלה ע</w:t>
      </w:r>
      <w:r>
        <w:rPr>
          <w:rFonts w:hint="cs"/>
          <w:rtl/>
        </w:rPr>
        <w:t>ת</w:t>
      </w:r>
      <w:r w:rsidRPr="000A216F">
        <w:rPr>
          <w:rtl/>
        </w:rPr>
        <w:t>רה ב"כ המאשימה להשית על הנאשם עונש ברף האמצעי של המתחם.</w:t>
      </w:r>
    </w:p>
    <w:p w14:paraId="5DA4489F" w14:textId="77777777" w:rsidR="00DB63C3" w:rsidRPr="000A216F" w:rsidRDefault="00DB63C3" w:rsidP="00DB63C3">
      <w:pPr>
        <w:pStyle w:val="a9"/>
        <w:rPr>
          <w:rtl/>
        </w:rPr>
      </w:pPr>
    </w:p>
    <w:p w14:paraId="0282F3A7" w14:textId="77777777" w:rsidR="00DB63C3" w:rsidRPr="000A216F" w:rsidRDefault="00DB63C3" w:rsidP="00DB63C3">
      <w:pPr>
        <w:pStyle w:val="a9"/>
        <w:rPr>
          <w:rtl/>
        </w:rPr>
      </w:pPr>
      <w:r w:rsidRPr="000A216F">
        <w:rPr>
          <w:rtl/>
        </w:rPr>
        <w:t>ב"כ הנאשם עמד על כך שהנאשם שימש "צינור" בידי האחר להעברת הנשק והתחמושת בתמורה לסך של 2</w:t>
      </w:r>
      <w:r>
        <w:rPr>
          <w:rFonts w:hint="cs"/>
          <w:rtl/>
        </w:rPr>
        <w:t>,</w:t>
      </w:r>
      <w:r w:rsidRPr="000A216F">
        <w:rPr>
          <w:rtl/>
        </w:rPr>
        <w:t xml:space="preserve">000 ₪ בלבד, כי לא היה בכוונתו להמשיך ולהחזיקם ברשותו וכי הוא לא ידע מה כמות הנשק שהסליק יוסף ברכב. כן נטען, כי התחמושת שנמצאה אינה תואמת את כלי הנשק, וכי פרטיו של אותו יוסף היו מצויים בידי האחר ולא היו ידועים לנאשם. </w:t>
      </w:r>
    </w:p>
    <w:p w14:paraId="74C9F2C1" w14:textId="77777777" w:rsidR="00DB63C3" w:rsidRPr="000A216F" w:rsidRDefault="00DB63C3" w:rsidP="00DB63C3">
      <w:pPr>
        <w:pStyle w:val="a9"/>
      </w:pPr>
    </w:p>
    <w:p w14:paraId="0272D2F3" w14:textId="77777777" w:rsidR="00DB63C3" w:rsidRPr="000A216F" w:rsidRDefault="00DB63C3" w:rsidP="00DB63C3">
      <w:pPr>
        <w:pStyle w:val="a9"/>
      </w:pPr>
      <w:r>
        <w:rPr>
          <w:rFonts w:hint="cs"/>
          <w:rtl/>
        </w:rPr>
        <w:t xml:space="preserve">עוד </w:t>
      </w:r>
      <w:r w:rsidRPr="000A216F">
        <w:rPr>
          <w:rtl/>
        </w:rPr>
        <w:t>טען כי הנאשם שיתף פעולה עם גורמי החקירה, וכי אלה מצדם לא עשו די פעולות חקירה על מנת לאתר את המעורבים הנוספים.</w:t>
      </w:r>
    </w:p>
    <w:p w14:paraId="0A137000" w14:textId="77777777" w:rsidR="00DB63C3" w:rsidRPr="000A216F" w:rsidRDefault="00DB63C3" w:rsidP="00DB63C3">
      <w:pPr>
        <w:pStyle w:val="a9"/>
        <w:rPr>
          <w:rtl/>
        </w:rPr>
      </w:pPr>
    </w:p>
    <w:p w14:paraId="26BC5A90" w14:textId="77777777" w:rsidR="00DB63C3" w:rsidRPr="000A216F" w:rsidRDefault="00DB63C3" w:rsidP="00DB63C3">
      <w:pPr>
        <w:pStyle w:val="a9"/>
        <w:rPr>
          <w:rtl/>
        </w:rPr>
      </w:pPr>
      <w:r>
        <w:rPr>
          <w:rtl/>
        </w:rPr>
        <w:t>הנאשם עצמו בן 25</w:t>
      </w:r>
      <w:r>
        <w:rPr>
          <w:rFonts w:hint="cs"/>
          <w:rtl/>
        </w:rPr>
        <w:t xml:space="preserve"> שנים, </w:t>
      </w:r>
      <w:r w:rsidRPr="000A216F">
        <w:rPr>
          <w:rtl/>
        </w:rPr>
        <w:t xml:space="preserve">אב לשני פעוטות, </w:t>
      </w:r>
      <w:r>
        <w:rPr>
          <w:rFonts w:hint="cs"/>
          <w:rtl/>
        </w:rPr>
        <w:t>סיים</w:t>
      </w:r>
      <w:r w:rsidRPr="000A216F">
        <w:rPr>
          <w:rtl/>
        </w:rPr>
        <w:t xml:space="preserve"> 6 שנות לימוד, עבד עד מעצרו בשיפוצים. עברו הפלילי ישן ומתחום אחר. אשתו תושבת השטחים ובעלת אישור כניסה לישראל אולם כניסתה לשב"ס לא הותרה וכתוצאה מ</w:t>
      </w:r>
      <w:r>
        <w:rPr>
          <w:rtl/>
        </w:rPr>
        <w:t xml:space="preserve">כך הנאשם לא ראה אותה ואת ילדיו </w:t>
      </w:r>
      <w:r>
        <w:rPr>
          <w:rFonts w:hint="cs"/>
          <w:rtl/>
        </w:rPr>
        <w:t xml:space="preserve">למן </w:t>
      </w:r>
      <w:r w:rsidRPr="000A216F">
        <w:rPr>
          <w:rtl/>
        </w:rPr>
        <w:t xml:space="preserve">מעצרו. </w:t>
      </w:r>
    </w:p>
    <w:p w14:paraId="22EB1761" w14:textId="77777777" w:rsidR="00DB63C3" w:rsidRPr="000A216F" w:rsidRDefault="00DB63C3" w:rsidP="00DB63C3">
      <w:pPr>
        <w:pStyle w:val="a9"/>
        <w:rPr>
          <w:rtl/>
        </w:rPr>
      </w:pPr>
    </w:p>
    <w:p w14:paraId="2FEC9CFF" w14:textId="77777777" w:rsidR="00DB63C3" w:rsidRPr="000A216F" w:rsidRDefault="00DB63C3" w:rsidP="00DB63C3">
      <w:pPr>
        <w:pStyle w:val="a9"/>
        <w:rPr>
          <w:rtl/>
        </w:rPr>
      </w:pPr>
      <w:r w:rsidRPr="000A216F">
        <w:rPr>
          <w:rtl/>
        </w:rPr>
        <w:t>בנסיבות אלה, עתר ב"כ הנאשם להשית עליו עונש המצוי בתחתית מתחם הענישה, שראוי שיהיה פחות מ-12 חודשי מאסר, וכתימוכין לעתירתו הפנה לפסיקה כדלקמן:</w:t>
      </w:r>
    </w:p>
    <w:p w14:paraId="234FC009" w14:textId="77777777" w:rsidR="00DB63C3" w:rsidRPr="000A216F" w:rsidRDefault="00DB63C3" w:rsidP="00DB63C3">
      <w:pPr>
        <w:pStyle w:val="a9"/>
        <w:rPr>
          <w:rtl/>
        </w:rPr>
      </w:pPr>
    </w:p>
    <w:p w14:paraId="4586EFD9" w14:textId="77777777" w:rsidR="00DB63C3" w:rsidRPr="000A216F" w:rsidRDefault="00FC6921" w:rsidP="00DB63C3">
      <w:pPr>
        <w:pStyle w:val="a9"/>
        <w:rPr>
          <w:rtl/>
        </w:rPr>
      </w:pPr>
      <w:hyperlink r:id="rId18" w:history="1">
        <w:r w:rsidRPr="00FC6921">
          <w:rPr>
            <w:rFonts w:hint="eastAsia"/>
            <w:color w:val="0000FF"/>
            <w:u w:val="single"/>
            <w:rtl/>
          </w:rPr>
          <w:t>ע</w:t>
        </w:r>
        <w:r w:rsidRPr="00FC6921">
          <w:rPr>
            <w:color w:val="0000FF"/>
            <w:u w:val="single"/>
            <w:rtl/>
          </w:rPr>
          <w:t>"</w:t>
        </w:r>
        <w:r w:rsidRPr="00FC6921">
          <w:rPr>
            <w:rFonts w:hint="eastAsia"/>
            <w:color w:val="0000FF"/>
            <w:u w:val="single"/>
            <w:rtl/>
          </w:rPr>
          <w:t>פ</w:t>
        </w:r>
        <w:r w:rsidRPr="00FC6921">
          <w:rPr>
            <w:color w:val="0000FF"/>
            <w:u w:val="single"/>
            <w:rtl/>
          </w:rPr>
          <w:t xml:space="preserve"> 4945/13</w:t>
        </w:r>
      </w:hyperlink>
      <w:r w:rsidR="00DB63C3" w:rsidRPr="000A216F">
        <w:rPr>
          <w:rtl/>
        </w:rPr>
        <w:t xml:space="preserve">  </w:t>
      </w:r>
      <w:r w:rsidR="00DB63C3" w:rsidRPr="002C1DB7">
        <w:rPr>
          <w:b/>
          <w:bCs/>
          <w:rtl/>
        </w:rPr>
        <w:t>מדינת ישראל נ' עבד אלכרים סלימאן</w:t>
      </w:r>
      <w:r w:rsidR="00DB63C3" w:rsidRPr="000A216F">
        <w:rPr>
          <w:rtl/>
        </w:rPr>
        <w:t xml:space="preserve"> – המשיב הורשע לאחר ניהול הוכחות בעבירות של רכישה והחזקת נשק, רכישה והחזקת תחמושת, נשיאה והובלת נשק ונשיאה והובלת תחמושת, הפרעה לשוטר במילוי תפקידו, מעשה פזיזות ורשלנות והסתייעות ברכב לביצוע פשע, לאחר שרכש מאחר נשק מסוג קרל גוסטב ומחסנית עם כדורים, ירה ירייה אחת, הסליק את הנשק ובהמשך נהג ברכב בעודו נושא את הנשק והתחמושת בתא המטען. המשיב טען כי מעשיו בוצעו על רקע איומים שהופנו כלפיו וירי שכוון לחנות של סבו. מדובר בצעיר נורמטיבי אשר שירות המבחן התרשם כי פעל מתחושת פחד, והמליץ על הטלת צו מבחן ועבודות שירות. בית המשפט קמא קבע כי מתחם העונש ההולם נע בין מאסר בפועל בעבודות שירות ל-20 חודשי מאסר בפועל והשית על המשיב 6 חודשי עבודות שירות. בית המשפט העליון מצא שמדובר במתחם מקל ביותר בשים לב לכך שעבירות בנשק טומנות בחובן פוטנציאל סיכון הרסני לפגיעה בשלום הציבור ובטחונו, לפעילות עבריינות ולקיפוח חייהם של אזרחים תמימים, וכי עצם החזקת נשק התקפי בעל פוטנציאל קטילה מבלי שיש עליו ועל בעליו פיקוח טומן בחובו סיכון. בשים לב לכך שמטרת רכישת הנשק היתה חשש לחייו ולא מניע עברייני טהור נקבע מתחם שנע בין 12 ל-36 חודשי מאסר אולם בית המשפט לא התערב בעונש שהוטל על המשיב מטעמי סטייה מהמתחם מטעמי שיקום, בשים לב לנסיבותיו האישיות של המשיב.</w:t>
      </w:r>
    </w:p>
    <w:p w14:paraId="64AC4078" w14:textId="77777777" w:rsidR="00DB63C3" w:rsidRPr="000A216F" w:rsidRDefault="00FC6921" w:rsidP="00DB63C3">
      <w:pPr>
        <w:pStyle w:val="a9"/>
      </w:pPr>
      <w:hyperlink r:id="rId19" w:history="1">
        <w:r w:rsidRPr="00FC6921">
          <w:rPr>
            <w:rFonts w:hint="eastAsia"/>
            <w:color w:val="0000FF"/>
            <w:u w:val="single"/>
            <w:rtl/>
          </w:rPr>
          <w:t>ע</w:t>
        </w:r>
        <w:r w:rsidRPr="00FC6921">
          <w:rPr>
            <w:color w:val="0000FF"/>
            <w:u w:val="single"/>
            <w:rtl/>
          </w:rPr>
          <w:t>"</w:t>
        </w:r>
        <w:r w:rsidRPr="00FC6921">
          <w:rPr>
            <w:rFonts w:hint="eastAsia"/>
            <w:color w:val="0000FF"/>
            <w:u w:val="single"/>
            <w:rtl/>
          </w:rPr>
          <w:t>פ</w:t>
        </w:r>
        <w:r w:rsidRPr="00FC6921">
          <w:rPr>
            <w:color w:val="0000FF"/>
            <w:u w:val="single"/>
            <w:rtl/>
          </w:rPr>
          <w:t xml:space="preserve"> 5681/14</w:t>
        </w:r>
      </w:hyperlink>
      <w:r w:rsidR="00DB63C3" w:rsidRPr="000A216F">
        <w:rPr>
          <w:rtl/>
        </w:rPr>
        <w:t xml:space="preserve"> </w:t>
      </w:r>
      <w:r w:rsidR="00DB63C3" w:rsidRPr="002C1DB7">
        <w:rPr>
          <w:b/>
          <w:bCs/>
          <w:rtl/>
        </w:rPr>
        <w:t>מדינת ישראל נ' מוחמד טאטור</w:t>
      </w:r>
      <w:r w:rsidR="00DB63C3" w:rsidRPr="000A216F">
        <w:rPr>
          <w:rtl/>
        </w:rPr>
        <w:t xml:space="preserve"> – המשיב הורשע ברכישה והחזקה של אקדח </w:t>
      </w:r>
      <w:r w:rsidR="00DB63C3" w:rsidRPr="000A216F">
        <w:t>F/N</w:t>
      </w:r>
      <w:r w:rsidR="00DB63C3" w:rsidRPr="000A216F">
        <w:rPr>
          <w:rtl/>
        </w:rPr>
        <w:t xml:space="preserve"> ועמו 11 כדורי סרק וכדור חי אחד שהיה במצב "הכנס" עת נתפס הנשק בחצר ביתו. במהלך מעצרו התנגד המשיב למעצר וגרם חבלה לאחד השוטרים.  בית המשפט העליון פסק כי ככלל יש להשית עונש מאסר מאחורי סורג ובריח, וכי ההתייחסות לשימוש</w:t>
      </w:r>
      <w:r w:rsidR="00DB63C3">
        <w:rPr>
          <w:rtl/>
        </w:rPr>
        <w:t xml:space="preserve"> בנשק </w:t>
      </w:r>
      <w:r w:rsidR="00DB63C3">
        <w:rPr>
          <w:rFonts w:hint="cs"/>
          <w:rtl/>
        </w:rPr>
        <w:t>ב</w:t>
      </w:r>
      <w:r w:rsidR="00DB63C3" w:rsidRPr="000A216F">
        <w:rPr>
          <w:rtl/>
        </w:rPr>
        <w:t xml:space="preserve">מגזר באירועי שמחה הוא טיעון שיש לשרש. בנסיבות אלה הוחמר העונש מ-6 חודשי ע"ש ל-8 חודשי מאסר בפועל.  </w:t>
      </w:r>
    </w:p>
    <w:p w14:paraId="3F321BA7" w14:textId="77777777" w:rsidR="00DB63C3" w:rsidRPr="000A216F" w:rsidRDefault="00FC6921" w:rsidP="00DB63C3">
      <w:pPr>
        <w:pStyle w:val="a9"/>
      </w:pPr>
      <w:hyperlink r:id="rId20" w:history="1">
        <w:r w:rsidRPr="00FC6921">
          <w:rPr>
            <w:rFonts w:hint="eastAsia"/>
            <w:color w:val="0000FF"/>
            <w:u w:val="single"/>
            <w:rtl/>
          </w:rPr>
          <w:t>ת</w:t>
        </w:r>
        <w:r w:rsidRPr="00FC6921">
          <w:rPr>
            <w:color w:val="0000FF"/>
            <w:u w:val="single"/>
            <w:rtl/>
          </w:rPr>
          <w:t>"</w:t>
        </w:r>
        <w:r w:rsidRPr="00FC6921">
          <w:rPr>
            <w:rFonts w:hint="eastAsia"/>
            <w:color w:val="0000FF"/>
            <w:u w:val="single"/>
            <w:rtl/>
          </w:rPr>
          <w:t>פ</w:t>
        </w:r>
        <w:r w:rsidRPr="00FC6921">
          <w:rPr>
            <w:color w:val="0000FF"/>
            <w:u w:val="single"/>
            <w:rtl/>
          </w:rPr>
          <w:t xml:space="preserve"> (</w:t>
        </w:r>
        <w:r w:rsidRPr="00FC6921">
          <w:rPr>
            <w:rFonts w:hint="eastAsia"/>
            <w:color w:val="0000FF"/>
            <w:u w:val="single"/>
            <w:rtl/>
          </w:rPr>
          <w:t>מרכז</w:t>
        </w:r>
        <w:r w:rsidRPr="00FC6921">
          <w:rPr>
            <w:color w:val="0000FF"/>
            <w:u w:val="single"/>
            <w:rtl/>
          </w:rPr>
          <w:t>) 35897-05-15</w:t>
        </w:r>
      </w:hyperlink>
      <w:r w:rsidR="00DB63C3" w:rsidRPr="000A216F">
        <w:rPr>
          <w:rtl/>
        </w:rPr>
        <w:t xml:space="preserve"> </w:t>
      </w:r>
      <w:r w:rsidR="00DB63C3" w:rsidRPr="002C1DB7">
        <w:rPr>
          <w:b/>
          <w:bCs/>
          <w:rtl/>
        </w:rPr>
        <w:t>מדינת ישראל נ' סארי מנסור</w:t>
      </w:r>
      <w:r w:rsidR="00DB63C3" w:rsidRPr="000A216F">
        <w:rPr>
          <w:rtl/>
        </w:rPr>
        <w:t xml:space="preserve"> – הנאשם הורשע בעבירה של הובלה ונשיאת נשק, לאחר שנשא מתחת למכסה המנוע של רכבו נשק מסוג </w:t>
      </w:r>
      <w:r w:rsidR="00DB63C3" w:rsidRPr="000A216F">
        <w:t>M-16</w:t>
      </w:r>
      <w:r w:rsidR="00DB63C3" w:rsidRPr="000A216F">
        <w:rPr>
          <w:rtl/>
        </w:rPr>
        <w:t xml:space="preserve"> ללא מספר סידורי. בתיק זה הושתו 12 ח' מאסר במסגרת הסדר טיעון אשר אחת מנסיבותיו הי</w:t>
      </w:r>
      <w:r w:rsidR="00DB63C3">
        <w:rPr>
          <w:rFonts w:hint="cs"/>
          <w:rtl/>
        </w:rPr>
        <w:t>ה</w:t>
      </w:r>
      <w:r w:rsidR="00DB63C3" w:rsidRPr="000A216F">
        <w:rPr>
          <w:rtl/>
        </w:rPr>
        <w:t xml:space="preserve"> קושי ראייתי, ועל כן אין מקום ללמוד מרמת ענישה זו לגבי מקרים אחרים. </w:t>
      </w:r>
    </w:p>
    <w:p w14:paraId="005BAA44" w14:textId="77777777" w:rsidR="00DB63C3" w:rsidRPr="000A216F" w:rsidRDefault="00FC6921" w:rsidP="00DB63C3">
      <w:pPr>
        <w:pStyle w:val="a9"/>
      </w:pPr>
      <w:hyperlink r:id="rId21" w:history="1">
        <w:r w:rsidRPr="00FC6921">
          <w:rPr>
            <w:rFonts w:hint="eastAsia"/>
            <w:color w:val="0000FF"/>
            <w:u w:val="single"/>
            <w:rtl/>
          </w:rPr>
          <w:t>ת</w:t>
        </w:r>
        <w:r w:rsidRPr="00FC6921">
          <w:rPr>
            <w:color w:val="0000FF"/>
            <w:u w:val="single"/>
            <w:rtl/>
          </w:rPr>
          <w:t>"</w:t>
        </w:r>
        <w:r w:rsidRPr="00FC6921">
          <w:rPr>
            <w:rFonts w:hint="eastAsia"/>
            <w:color w:val="0000FF"/>
            <w:u w:val="single"/>
            <w:rtl/>
          </w:rPr>
          <w:t>פ</w:t>
        </w:r>
        <w:r w:rsidRPr="00FC6921">
          <w:rPr>
            <w:color w:val="0000FF"/>
            <w:u w:val="single"/>
            <w:rtl/>
          </w:rPr>
          <w:t xml:space="preserve"> (</w:t>
        </w:r>
        <w:r w:rsidRPr="00FC6921">
          <w:rPr>
            <w:rFonts w:hint="eastAsia"/>
            <w:color w:val="0000FF"/>
            <w:u w:val="single"/>
            <w:rtl/>
          </w:rPr>
          <w:t>מרכז</w:t>
        </w:r>
        <w:r w:rsidRPr="00FC6921">
          <w:rPr>
            <w:color w:val="0000FF"/>
            <w:u w:val="single"/>
            <w:rtl/>
          </w:rPr>
          <w:t>) 189-01-16</w:t>
        </w:r>
      </w:hyperlink>
      <w:r w:rsidR="00DB63C3" w:rsidRPr="000A216F">
        <w:rPr>
          <w:rtl/>
        </w:rPr>
        <w:t xml:space="preserve"> </w:t>
      </w:r>
      <w:r w:rsidR="00DB63C3" w:rsidRPr="002C1DB7">
        <w:rPr>
          <w:b/>
          <w:bCs/>
          <w:rtl/>
        </w:rPr>
        <w:t>מדינת ישראל נ' זידאן</w:t>
      </w:r>
      <w:r w:rsidR="00DB63C3" w:rsidRPr="000A216F">
        <w:rPr>
          <w:rtl/>
        </w:rPr>
        <w:t xml:space="preserve"> – הנאשם הורשע בעבירות קשירת קשר לסחר בסם מסוכן, רכישת נשק ונשיאה והובלת נשק לאחר שנסע לטול</w:t>
      </w:r>
      <w:r w:rsidR="00DB63C3">
        <w:rPr>
          <w:rFonts w:hint="cs"/>
          <w:rtl/>
        </w:rPr>
        <w:t xml:space="preserve"> </w:t>
      </w:r>
      <w:r w:rsidR="00DB63C3" w:rsidRPr="000A216F">
        <w:rPr>
          <w:rtl/>
        </w:rPr>
        <w:t xml:space="preserve">כרם ורכש תת מקלע מאולתר, מחסנית וקופסת תחמושת המכילה 50 כדורים. נקבע כי מתחם העונש ההולם נע בין 12 ל-36 חודשי מאסר, ובנסיבותיו של הנאשם ובהן עברו הפלילי הישן, משפחתו הנורמטיבית התומכת והיות המאסר מאסר ראשון, הושתו על הנאשם 26 חודשי מאסר בפועל. </w:t>
      </w:r>
    </w:p>
    <w:p w14:paraId="579FA8F3" w14:textId="77777777" w:rsidR="00DB63C3" w:rsidRPr="000A216F" w:rsidRDefault="00DB63C3" w:rsidP="00DB63C3">
      <w:pPr>
        <w:pStyle w:val="a9"/>
      </w:pPr>
    </w:p>
    <w:p w14:paraId="23215F9A" w14:textId="77777777" w:rsidR="00DB63C3" w:rsidRPr="000A216F" w:rsidRDefault="00DB63C3" w:rsidP="00DB63C3">
      <w:pPr>
        <w:pStyle w:val="a9"/>
      </w:pPr>
      <w:r w:rsidRPr="000A216F">
        <w:rPr>
          <w:rtl/>
        </w:rPr>
        <w:t xml:space="preserve">הנאשם בדברו האחרון הביע צער וחרטה על מעשיו. </w:t>
      </w:r>
    </w:p>
    <w:p w14:paraId="525D5955" w14:textId="77777777" w:rsidR="00DB63C3" w:rsidRDefault="00DB63C3" w:rsidP="00DB63C3">
      <w:pPr>
        <w:pStyle w:val="a9"/>
        <w:rPr>
          <w:b/>
          <w:bCs/>
          <w:u w:val="single"/>
          <w:rtl/>
        </w:rPr>
      </w:pPr>
    </w:p>
    <w:p w14:paraId="6238E92B" w14:textId="77777777" w:rsidR="00DB63C3" w:rsidRPr="000A216F" w:rsidRDefault="00DB63C3" w:rsidP="00DB63C3">
      <w:pPr>
        <w:pStyle w:val="a9"/>
        <w:rPr>
          <w:b/>
          <w:bCs/>
          <w:u w:val="single"/>
          <w:rtl/>
        </w:rPr>
      </w:pPr>
      <w:r w:rsidRPr="000A216F">
        <w:rPr>
          <w:b/>
          <w:bCs/>
          <w:u w:val="single"/>
          <w:rtl/>
        </w:rPr>
        <w:t>דיון והכרעה</w:t>
      </w:r>
    </w:p>
    <w:p w14:paraId="3C5607EA" w14:textId="77777777" w:rsidR="00DB63C3" w:rsidRPr="000A216F" w:rsidRDefault="00DB63C3" w:rsidP="00DB63C3">
      <w:pPr>
        <w:pStyle w:val="a9"/>
        <w:rPr>
          <w:rtl/>
        </w:rPr>
      </w:pPr>
      <w:r w:rsidRPr="000A216F">
        <w:rPr>
          <w:rtl/>
        </w:rPr>
        <w:t>עבירות בנשק, ובכללן עבירות ההובלה של נשק ותחמושת, מגלמות בתוכן סיכון חמור לשלום הציבור ובטחונו. החשש הוא כי נשק חם המוחזק שלא כדין</w:t>
      </w:r>
      <w:r>
        <w:rPr>
          <w:rFonts w:hint="cs"/>
          <w:rtl/>
        </w:rPr>
        <w:t>,</w:t>
      </w:r>
      <w:r w:rsidRPr="000A216F">
        <w:rPr>
          <w:rtl/>
        </w:rPr>
        <w:t xml:space="preserve"> ישמש לפעילות עבריינית העלולה להביא לפגיעה ואף לקיפוח חייהם של אזרחים תמימים, ועל כן נפסק כי עצם החזקת נשק בעל פוטנציאל קטילה</w:t>
      </w:r>
      <w:r>
        <w:rPr>
          <w:rFonts w:hint="cs"/>
          <w:rtl/>
        </w:rPr>
        <w:t>,</w:t>
      </w:r>
      <w:r w:rsidRPr="000A216F">
        <w:rPr>
          <w:rtl/>
        </w:rPr>
        <w:t xml:space="preserve"> מבלי שיש עליו ועל בע</w:t>
      </w:r>
      <w:r>
        <w:rPr>
          <w:rtl/>
        </w:rPr>
        <w:t>ליו פיקוח מוסדר של הרשויו</w:t>
      </w:r>
      <w:r>
        <w:rPr>
          <w:rFonts w:hint="cs"/>
          <w:rtl/>
        </w:rPr>
        <w:t>ת,</w:t>
      </w:r>
      <w:r>
        <w:rPr>
          <w:rtl/>
        </w:rPr>
        <w:t xml:space="preserve"> טומ</w:t>
      </w:r>
      <w:r>
        <w:rPr>
          <w:rFonts w:hint="cs"/>
          <w:rtl/>
        </w:rPr>
        <w:t>ן</w:t>
      </w:r>
      <w:r>
        <w:rPr>
          <w:rtl/>
        </w:rPr>
        <w:t xml:space="preserve"> בחוב</w:t>
      </w:r>
      <w:r>
        <w:rPr>
          <w:rFonts w:hint="cs"/>
          <w:rtl/>
        </w:rPr>
        <w:t>ו</w:t>
      </w:r>
      <w:r w:rsidRPr="000A216F">
        <w:rPr>
          <w:rtl/>
        </w:rPr>
        <w:t xml:space="preserve"> סיכון. </w:t>
      </w:r>
    </w:p>
    <w:p w14:paraId="4B7A680F" w14:textId="77777777" w:rsidR="00DB63C3" w:rsidRPr="000A216F" w:rsidRDefault="00DB63C3" w:rsidP="00DB63C3">
      <w:pPr>
        <w:pStyle w:val="a9"/>
      </w:pPr>
    </w:p>
    <w:p w14:paraId="31F6EF4D" w14:textId="77777777" w:rsidR="00DB63C3" w:rsidRDefault="00DB63C3" w:rsidP="00DB63C3">
      <w:pPr>
        <w:pStyle w:val="a9"/>
        <w:rPr>
          <w:rtl/>
        </w:rPr>
      </w:pPr>
      <w:r w:rsidRPr="000A216F">
        <w:rPr>
          <w:rtl/>
        </w:rPr>
        <w:t xml:space="preserve">בשל כך, ישנה מגמת החמרה בעונשי המאסר הנגזרים על נאשמים בעבירות נשק, אשר באה לידי ביטוי בפסיקת בתי המשפט בשנים האחרונות. </w:t>
      </w:r>
    </w:p>
    <w:p w14:paraId="69472D5E" w14:textId="77777777" w:rsidR="00DB63C3" w:rsidRPr="000A216F" w:rsidRDefault="00DB63C3" w:rsidP="00DB63C3">
      <w:pPr>
        <w:pStyle w:val="a9"/>
        <w:rPr>
          <w:rtl/>
        </w:rPr>
      </w:pPr>
      <w:r w:rsidRPr="000A216F">
        <w:rPr>
          <w:rtl/>
        </w:rPr>
        <w:t>ב</w:t>
      </w:r>
      <w:hyperlink r:id="rId22" w:history="1">
        <w:r w:rsidR="00FC6921" w:rsidRPr="00FC6921">
          <w:rPr>
            <w:rFonts w:hint="eastAsia"/>
            <w:color w:val="0000FF"/>
            <w:u w:val="single"/>
            <w:rtl/>
          </w:rPr>
          <w:t>ע</w:t>
        </w:r>
        <w:r w:rsidR="00FC6921" w:rsidRPr="00FC6921">
          <w:rPr>
            <w:color w:val="0000FF"/>
            <w:u w:val="single"/>
            <w:rtl/>
          </w:rPr>
          <w:t>"</w:t>
        </w:r>
        <w:r w:rsidR="00FC6921" w:rsidRPr="00FC6921">
          <w:rPr>
            <w:rFonts w:hint="eastAsia"/>
            <w:color w:val="0000FF"/>
            <w:u w:val="single"/>
            <w:rtl/>
          </w:rPr>
          <w:t>פ</w:t>
        </w:r>
        <w:r w:rsidR="00FC6921" w:rsidRPr="00FC6921">
          <w:rPr>
            <w:color w:val="0000FF"/>
            <w:u w:val="single"/>
            <w:rtl/>
          </w:rPr>
          <w:t xml:space="preserve"> 1323/13</w:t>
        </w:r>
      </w:hyperlink>
      <w:r w:rsidRPr="000A216F">
        <w:rPr>
          <w:rtl/>
        </w:rPr>
        <w:t xml:space="preserve"> </w:t>
      </w:r>
      <w:r w:rsidRPr="00E5460E">
        <w:rPr>
          <w:b/>
          <w:bCs/>
          <w:rtl/>
        </w:rPr>
        <w:t>חסן נ' מדינת ישראל</w:t>
      </w:r>
      <w:r w:rsidRPr="000A216F">
        <w:rPr>
          <w:rtl/>
        </w:rPr>
        <w:t xml:space="preserve"> נפסק ע"י כבוד השופטת ארבל כי "הסכנה הנשקפת לציבור כתוצאה מעבירות נשק, לצד המימדים שאליהם הם הגיעו, מחייבים לתת ביטוי הולם וכבד משקל להגנה על הערך החברתי שנפגע כתוצאה מפעילות עבריינית זאת, ולהחמיר את עונשי המאסר המוטלים בגין פעילות עבריינית זאת, בהדרגה".</w:t>
      </w:r>
    </w:p>
    <w:p w14:paraId="6AA46B87" w14:textId="77777777" w:rsidR="00DB63C3" w:rsidRPr="000A216F" w:rsidRDefault="00DB63C3" w:rsidP="00DB63C3">
      <w:pPr>
        <w:pStyle w:val="a9"/>
        <w:rPr>
          <w:rtl/>
        </w:rPr>
      </w:pPr>
    </w:p>
    <w:p w14:paraId="40BE07F7" w14:textId="77777777" w:rsidR="00DB63C3" w:rsidRPr="000A216F" w:rsidRDefault="00DB63C3" w:rsidP="00DB63C3">
      <w:pPr>
        <w:pStyle w:val="a9"/>
        <w:rPr>
          <w:rtl/>
        </w:rPr>
      </w:pPr>
      <w:r w:rsidRPr="000A216F">
        <w:rPr>
          <w:rtl/>
        </w:rPr>
        <w:t>ב</w:t>
      </w:r>
      <w:hyperlink r:id="rId23" w:history="1">
        <w:r w:rsidR="00FC6921" w:rsidRPr="00FC6921">
          <w:rPr>
            <w:rFonts w:hint="eastAsia"/>
            <w:color w:val="0000FF"/>
            <w:u w:val="single"/>
            <w:rtl/>
          </w:rPr>
          <w:t>ע</w:t>
        </w:r>
        <w:r w:rsidR="00FC6921" w:rsidRPr="00FC6921">
          <w:rPr>
            <w:color w:val="0000FF"/>
            <w:u w:val="single"/>
            <w:rtl/>
          </w:rPr>
          <w:t>"</w:t>
        </w:r>
        <w:r w:rsidR="00FC6921" w:rsidRPr="00FC6921">
          <w:rPr>
            <w:rFonts w:hint="eastAsia"/>
            <w:color w:val="0000FF"/>
            <w:u w:val="single"/>
            <w:rtl/>
          </w:rPr>
          <w:t>פ</w:t>
        </w:r>
        <w:r w:rsidR="00FC6921" w:rsidRPr="00FC6921">
          <w:rPr>
            <w:color w:val="0000FF"/>
            <w:u w:val="single"/>
            <w:rtl/>
          </w:rPr>
          <w:t xml:space="preserve"> 2918/13</w:t>
        </w:r>
      </w:hyperlink>
      <w:r w:rsidRPr="000A216F">
        <w:rPr>
          <w:rtl/>
        </w:rPr>
        <w:t xml:space="preserve"> </w:t>
      </w:r>
      <w:r w:rsidRPr="00E5460E">
        <w:rPr>
          <w:b/>
          <w:bCs/>
          <w:rtl/>
        </w:rPr>
        <w:t>דבס נ' מדינת ישראל</w:t>
      </w:r>
      <w:r w:rsidRPr="000A216F">
        <w:rPr>
          <w:rtl/>
        </w:rPr>
        <w:t xml:space="preserve"> נפסק כי "המציאות בארץ המתבטאת בזמינותו של נשק חם ורב עוצמה שיש עימו פוטנציאל להסלמת האלימות העבריינית, מחייבת מתן ביטוי עונשי הולם שירתיע באופן ממשי מהחזקת נשק בכלל ומשימוש בו בפרט".</w:t>
      </w:r>
    </w:p>
    <w:p w14:paraId="5544541D" w14:textId="77777777" w:rsidR="00DB63C3" w:rsidRPr="000A216F" w:rsidRDefault="00DB63C3" w:rsidP="00DB63C3">
      <w:pPr>
        <w:pStyle w:val="a9"/>
        <w:rPr>
          <w:rtl/>
        </w:rPr>
      </w:pPr>
    </w:p>
    <w:p w14:paraId="395BBE05" w14:textId="77777777" w:rsidR="00DB63C3" w:rsidRPr="000A216F" w:rsidRDefault="00DB63C3" w:rsidP="00DB63C3">
      <w:pPr>
        <w:pStyle w:val="a9"/>
        <w:rPr>
          <w:rtl/>
        </w:rPr>
      </w:pPr>
      <w:r w:rsidRPr="000A216F">
        <w:rPr>
          <w:rtl/>
        </w:rPr>
        <w:t>ב</w:t>
      </w:r>
      <w:hyperlink r:id="rId24" w:history="1">
        <w:r w:rsidR="00FC6921" w:rsidRPr="00FC6921">
          <w:rPr>
            <w:rFonts w:hint="eastAsia"/>
            <w:color w:val="0000FF"/>
            <w:u w:val="single"/>
            <w:rtl/>
          </w:rPr>
          <w:t>ע</w:t>
        </w:r>
        <w:r w:rsidR="00FC6921" w:rsidRPr="00FC6921">
          <w:rPr>
            <w:color w:val="0000FF"/>
            <w:u w:val="single"/>
            <w:rtl/>
          </w:rPr>
          <w:t>"</w:t>
        </w:r>
        <w:r w:rsidR="00FC6921" w:rsidRPr="00FC6921">
          <w:rPr>
            <w:rFonts w:hint="eastAsia"/>
            <w:color w:val="0000FF"/>
            <w:u w:val="single"/>
            <w:rtl/>
          </w:rPr>
          <w:t>פ</w:t>
        </w:r>
        <w:r w:rsidR="00FC6921" w:rsidRPr="00FC6921">
          <w:rPr>
            <w:color w:val="0000FF"/>
            <w:u w:val="single"/>
            <w:rtl/>
          </w:rPr>
          <w:t xml:space="preserve"> 135/17</w:t>
        </w:r>
      </w:hyperlink>
      <w:r w:rsidRPr="000A216F">
        <w:rPr>
          <w:rtl/>
        </w:rPr>
        <w:t xml:space="preserve"> </w:t>
      </w:r>
      <w:r w:rsidRPr="00E5460E">
        <w:rPr>
          <w:b/>
          <w:bCs/>
          <w:rtl/>
        </w:rPr>
        <w:t>מדינת ישראל נ' סמיר בסל</w:t>
      </w:r>
      <w:r w:rsidRPr="000A216F">
        <w:rPr>
          <w:rtl/>
        </w:rPr>
        <w:t xml:space="preserve"> ציין כבוד השופט סולברג כי "נשק המתגלגל מיד ליד עלול להגיע לידי גורמים עברייניים או לפעילות ביטחונית, פגיעתו הרעה מורגשת ומהווה איום על שלום הציבור כולו; כתוצאה מכך גדל ההכרח להרתיע את היחיד והרבים מפני עיסוק בכך". בנסיבות אלה הושתו על המשיב, צעיר ללא עבר משמעותי אשר קיבל לידיו מבן משפחתו תת מקלע מאולתר ומחסנית</w:t>
      </w:r>
      <w:r>
        <w:rPr>
          <w:rFonts w:hint="cs"/>
          <w:rtl/>
        </w:rPr>
        <w:t>,</w:t>
      </w:r>
      <w:r w:rsidRPr="000A216F">
        <w:rPr>
          <w:rtl/>
        </w:rPr>
        <w:t xml:space="preserve"> הובילו למקום מסתור ומסרו לאחר שבוע לבן משפחה אחר, 18 חודשי מאסר חלף 12 חודשי מאסר שנגזרו עליו בבית המשפט קמא.  </w:t>
      </w:r>
    </w:p>
    <w:p w14:paraId="0F95855C" w14:textId="77777777" w:rsidR="00DB63C3" w:rsidRPr="000A216F" w:rsidRDefault="00DB63C3" w:rsidP="00DB63C3">
      <w:pPr>
        <w:pStyle w:val="a9"/>
        <w:rPr>
          <w:rtl/>
        </w:rPr>
      </w:pPr>
    </w:p>
    <w:p w14:paraId="7629CF18" w14:textId="77777777" w:rsidR="00DB63C3" w:rsidRPr="000A216F" w:rsidRDefault="00DB63C3" w:rsidP="00DB63C3">
      <w:pPr>
        <w:pStyle w:val="a9"/>
      </w:pPr>
      <w:r w:rsidRPr="000A216F">
        <w:rPr>
          <w:rtl/>
        </w:rPr>
        <w:t>בענייננו, תכנן הנאשם וקשר קשר עם אחר לשם הכנסת נשק ותחמושת משטחי הרשות הפלשתינאית ל</w:t>
      </w:r>
      <w:r>
        <w:rPr>
          <w:rFonts w:hint="cs"/>
          <w:rtl/>
        </w:rPr>
        <w:t>ישראל</w:t>
      </w:r>
      <w:r w:rsidRPr="000A216F">
        <w:rPr>
          <w:rtl/>
        </w:rPr>
        <w:t xml:space="preserve">, בתמורה לבצע כסף. </w:t>
      </w:r>
    </w:p>
    <w:p w14:paraId="3CFAC028" w14:textId="77777777" w:rsidR="00DB63C3" w:rsidRPr="000A216F" w:rsidRDefault="00DB63C3" w:rsidP="00DB63C3">
      <w:pPr>
        <w:pStyle w:val="a9"/>
      </w:pPr>
    </w:p>
    <w:p w14:paraId="7AAAA2DB" w14:textId="77777777" w:rsidR="00DB63C3" w:rsidRPr="000A216F" w:rsidRDefault="00DB63C3" w:rsidP="00DB63C3">
      <w:pPr>
        <w:pStyle w:val="a9"/>
        <w:rPr>
          <w:rtl/>
        </w:rPr>
      </w:pPr>
      <w:r w:rsidRPr="000A216F">
        <w:rPr>
          <w:rtl/>
        </w:rPr>
        <w:t>הנאשם קיבל מהאחר את פרטיו של יוסוף, עמד עמו בקשר טלפוני, יצא עם חברו לשכם, המתין שעה שיוסוף הסליק בגחון הרכב רובה סער וכ- 1</w:t>
      </w:r>
      <w:r>
        <w:rPr>
          <w:rFonts w:hint="cs"/>
          <w:rtl/>
        </w:rPr>
        <w:t>,</w:t>
      </w:r>
      <w:r w:rsidRPr="000A216F">
        <w:rPr>
          <w:rtl/>
        </w:rPr>
        <w:t xml:space="preserve">000 כדורי 9 מ"מ, ויצא לכיוון המחסום בצומת תפוח במטרה להכניס את הנשק והתחמושת לגבולות הארץ, שם נעצר. </w:t>
      </w:r>
    </w:p>
    <w:p w14:paraId="7F36B413" w14:textId="77777777" w:rsidR="00DB63C3" w:rsidRPr="000A216F" w:rsidRDefault="00DB63C3" w:rsidP="00DB63C3">
      <w:pPr>
        <w:pStyle w:val="a9"/>
        <w:rPr>
          <w:rtl/>
        </w:rPr>
      </w:pPr>
    </w:p>
    <w:p w14:paraId="70A73B4E" w14:textId="77777777" w:rsidR="00DB63C3" w:rsidRPr="000A216F" w:rsidRDefault="00DB63C3" w:rsidP="00DB63C3">
      <w:pPr>
        <w:pStyle w:val="a9"/>
        <w:rPr>
          <w:rtl/>
        </w:rPr>
      </w:pPr>
      <w:r w:rsidRPr="000A216F">
        <w:rPr>
          <w:rtl/>
        </w:rPr>
        <w:t>מדובר בנשק התקפי בעל פוטנציאל קטילה משמעותי, ובתחמושת בהיקף רב</w:t>
      </w:r>
      <w:r>
        <w:rPr>
          <w:rFonts w:hint="cs"/>
          <w:rtl/>
        </w:rPr>
        <w:t xml:space="preserve"> ביותר</w:t>
      </w:r>
      <w:r w:rsidRPr="000A216F">
        <w:rPr>
          <w:rtl/>
        </w:rPr>
        <w:t>, אותם הוביל הנאשם ברכב</w:t>
      </w:r>
      <w:r>
        <w:rPr>
          <w:rFonts w:hint="cs"/>
          <w:rtl/>
        </w:rPr>
        <w:t>,</w:t>
      </w:r>
      <w:r w:rsidRPr="000A216F">
        <w:rPr>
          <w:rtl/>
        </w:rPr>
        <w:t xml:space="preserve"> מהשטחים ארצה, ואך בשל פעולת אכיפה מוצלחת נתפסו אלה בידי הרשויות בטרם הגיעו לידיים עוינות או עברייניות. </w:t>
      </w:r>
    </w:p>
    <w:p w14:paraId="5A9B09A8" w14:textId="77777777" w:rsidR="00DB63C3" w:rsidRPr="000A216F" w:rsidRDefault="00DB63C3" w:rsidP="00DB63C3">
      <w:pPr>
        <w:pStyle w:val="a9"/>
      </w:pPr>
    </w:p>
    <w:p w14:paraId="08CE68A5" w14:textId="77777777" w:rsidR="00DB63C3" w:rsidRPr="000A216F" w:rsidRDefault="00DB63C3" w:rsidP="00DB63C3">
      <w:pPr>
        <w:pStyle w:val="a9"/>
        <w:rPr>
          <w:rtl/>
        </w:rPr>
      </w:pPr>
      <w:r>
        <w:rPr>
          <w:rFonts w:hint="cs"/>
          <w:rtl/>
        </w:rPr>
        <w:t xml:space="preserve">לא נעלמה מעיני העובדה </w:t>
      </w:r>
      <w:r w:rsidRPr="000A216F">
        <w:rPr>
          <w:rtl/>
        </w:rPr>
        <w:t xml:space="preserve"> שהתחמושת שנמצאה אינה מתאימה לרובה שנתפס אלא לרובה בעל קוטר אחר</w:t>
      </w:r>
      <w:r>
        <w:rPr>
          <w:rFonts w:hint="cs"/>
          <w:rtl/>
        </w:rPr>
        <w:t>, אך סביר להניח כי זו היתה לשם שימוש בנשק אחר</w:t>
      </w:r>
      <w:r w:rsidRPr="000A216F">
        <w:rPr>
          <w:rtl/>
        </w:rPr>
        <w:t xml:space="preserve">.  </w:t>
      </w:r>
    </w:p>
    <w:p w14:paraId="71914A05" w14:textId="77777777" w:rsidR="00DB63C3" w:rsidRPr="000A216F" w:rsidRDefault="00DB63C3" w:rsidP="00DB63C3">
      <w:pPr>
        <w:pStyle w:val="a9"/>
      </w:pPr>
    </w:p>
    <w:p w14:paraId="6DD197FA" w14:textId="77777777" w:rsidR="00DB63C3" w:rsidRPr="000A216F" w:rsidRDefault="00DB63C3" w:rsidP="00DB63C3">
      <w:pPr>
        <w:pStyle w:val="a9"/>
      </w:pPr>
      <w:r w:rsidRPr="000A216F">
        <w:rPr>
          <w:rtl/>
        </w:rPr>
        <w:t>בקביעת מתחם הענישה יש לתת את הדעת לנסיבות הפרטניות של המקרה, כאשר ישנו הבדל בין סוג</w:t>
      </w:r>
      <w:r>
        <w:rPr>
          <w:rFonts w:hint="cs"/>
          <w:rtl/>
        </w:rPr>
        <w:t xml:space="preserve">. או </w:t>
      </w:r>
      <w:r w:rsidRPr="000A216F">
        <w:rPr>
          <w:rtl/>
        </w:rPr>
        <w:t>טיב כלי הנשק בשל פוטנציאל הנזק הגלום בו, היק</w:t>
      </w:r>
      <w:r>
        <w:rPr>
          <w:rtl/>
        </w:rPr>
        <w:t xml:space="preserve">ף התחמושת, נסיבות ההחזקה (בבית </w:t>
      </w:r>
      <w:r>
        <w:rPr>
          <w:rFonts w:hint="cs"/>
          <w:rtl/>
        </w:rPr>
        <w:t>או</w:t>
      </w:r>
      <w:r w:rsidRPr="000A216F">
        <w:rPr>
          <w:rtl/>
        </w:rPr>
        <w:t xml:space="preserve"> הובלה ברכב ונסיבות ההובלה),</w:t>
      </w:r>
      <w:r>
        <w:rPr>
          <w:rtl/>
        </w:rPr>
        <w:t xml:space="preserve"> ההסבר שניתן למעשים (הגנה עצמית</w:t>
      </w:r>
      <w:r>
        <w:rPr>
          <w:rFonts w:hint="cs"/>
          <w:rtl/>
        </w:rPr>
        <w:t xml:space="preserve"> או </w:t>
      </w:r>
      <w:r w:rsidRPr="000A216F">
        <w:rPr>
          <w:rtl/>
        </w:rPr>
        <w:t xml:space="preserve">מניע כלכלי) ועוד. </w:t>
      </w:r>
    </w:p>
    <w:p w14:paraId="1CC03CE5" w14:textId="77777777" w:rsidR="00DB63C3" w:rsidRPr="000A216F" w:rsidRDefault="00DB63C3" w:rsidP="00DB63C3">
      <w:pPr>
        <w:pStyle w:val="a9"/>
      </w:pPr>
    </w:p>
    <w:p w14:paraId="15ECE666" w14:textId="77777777" w:rsidR="00DB63C3" w:rsidRPr="000A216F" w:rsidRDefault="00DB63C3" w:rsidP="00DB63C3">
      <w:pPr>
        <w:pStyle w:val="a9"/>
      </w:pPr>
      <w:r w:rsidRPr="000A216F">
        <w:rPr>
          <w:rtl/>
        </w:rPr>
        <w:t xml:space="preserve">בשים לב לרמת הענישה הנוהגת ולנסיבות המקרה דנן, באתי לכלל מסקנה כי מתחם העונש ההולם נע בין 20 ל-40 חודשי מאסר בפועל. </w:t>
      </w:r>
    </w:p>
    <w:p w14:paraId="3C4F9C4A" w14:textId="77777777" w:rsidR="00DB63C3" w:rsidRPr="000A216F" w:rsidRDefault="00DB63C3" w:rsidP="00DB63C3">
      <w:pPr>
        <w:pStyle w:val="a9"/>
        <w:rPr>
          <w:rtl/>
        </w:rPr>
      </w:pPr>
    </w:p>
    <w:p w14:paraId="552B966D" w14:textId="77777777" w:rsidR="00DB63C3" w:rsidRPr="000A216F" w:rsidRDefault="00DB63C3" w:rsidP="00DB63C3">
      <w:pPr>
        <w:pStyle w:val="a9"/>
        <w:rPr>
          <w:rtl/>
        </w:rPr>
      </w:pPr>
      <w:r w:rsidRPr="000A216F">
        <w:rPr>
          <w:rtl/>
        </w:rPr>
        <w:t>בעת קביעת העונש בתוך המתחם יש לתת את הדעת לנסיבותיו האישיות של הנאשם ובהן עברו הפלילי שאינו מכביד, היותו נשוי ואב לשני פעוטות, היות המאסר מאסר</w:t>
      </w:r>
      <w:r>
        <w:rPr>
          <w:rFonts w:hint="cs"/>
          <w:rtl/>
        </w:rPr>
        <w:t>ו</w:t>
      </w:r>
      <w:r w:rsidRPr="000A216F">
        <w:rPr>
          <w:rtl/>
        </w:rPr>
        <w:t xml:space="preserve"> </w:t>
      </w:r>
      <w:r>
        <w:rPr>
          <w:rtl/>
        </w:rPr>
        <w:t>ראשון, הודאתו המיידית ו</w:t>
      </w:r>
      <w:r w:rsidRPr="000A216F">
        <w:rPr>
          <w:rtl/>
        </w:rPr>
        <w:t xml:space="preserve">שיתוף הפעולה מצדו בחקירתו. נסיבה נוספת לקולא היא העובדה שלא מוצתה החקירה ולא ננקטו הליכים משפטיים כנגד שני המעורבים הנוספים - האחר ויוסוף. </w:t>
      </w:r>
    </w:p>
    <w:p w14:paraId="0436C1BF" w14:textId="77777777" w:rsidR="00DB63C3" w:rsidRPr="000A216F" w:rsidRDefault="00DB63C3" w:rsidP="00DB63C3">
      <w:pPr>
        <w:pStyle w:val="a9"/>
      </w:pPr>
    </w:p>
    <w:p w14:paraId="43B37050" w14:textId="77777777" w:rsidR="00DB63C3" w:rsidRPr="000A216F" w:rsidRDefault="00DB63C3" w:rsidP="00DB63C3">
      <w:pPr>
        <w:pStyle w:val="a9"/>
        <w:rPr>
          <w:rtl/>
        </w:rPr>
      </w:pPr>
      <w:r w:rsidRPr="000A216F">
        <w:rPr>
          <w:rtl/>
        </w:rPr>
        <w:t xml:space="preserve">בנסיבות אלה, אני </w:t>
      </w:r>
      <w:r>
        <w:rPr>
          <w:rFonts w:hint="cs"/>
          <w:rtl/>
        </w:rPr>
        <w:t>גוזרת</w:t>
      </w:r>
      <w:r w:rsidRPr="000A216F">
        <w:rPr>
          <w:rtl/>
        </w:rPr>
        <w:t xml:space="preserve"> על הנאשם את העונשים הבאים:</w:t>
      </w:r>
    </w:p>
    <w:p w14:paraId="55E8822E" w14:textId="77777777" w:rsidR="00DB63C3" w:rsidRPr="000A216F" w:rsidRDefault="00DB63C3" w:rsidP="00DB63C3">
      <w:pPr>
        <w:pStyle w:val="a9"/>
        <w:rPr>
          <w:rtl/>
        </w:rPr>
      </w:pPr>
    </w:p>
    <w:p w14:paraId="53D705BD" w14:textId="77777777" w:rsidR="00DB63C3" w:rsidRPr="000A216F" w:rsidRDefault="00DB63C3" w:rsidP="00DB63C3">
      <w:pPr>
        <w:pStyle w:val="a9"/>
        <w:rPr>
          <w:rtl/>
        </w:rPr>
      </w:pPr>
      <w:r>
        <w:rPr>
          <w:rFonts w:hint="cs"/>
          <w:rtl/>
        </w:rPr>
        <w:t>28</w:t>
      </w:r>
      <w:r w:rsidRPr="000A216F">
        <w:rPr>
          <w:rtl/>
        </w:rPr>
        <w:t xml:space="preserve"> חודשי מאסר</w:t>
      </w:r>
      <w:r>
        <w:rPr>
          <w:rFonts w:hint="cs"/>
          <w:rtl/>
        </w:rPr>
        <w:t xml:space="preserve"> בפועל שמניינם </w:t>
      </w:r>
      <w:r w:rsidRPr="000A216F">
        <w:rPr>
          <w:rtl/>
        </w:rPr>
        <w:t xml:space="preserve"> </w:t>
      </w:r>
      <w:r>
        <w:rPr>
          <w:rFonts w:hint="cs"/>
          <w:rtl/>
        </w:rPr>
        <w:t>מיום מעצרו 21.9.16.</w:t>
      </w:r>
    </w:p>
    <w:p w14:paraId="7B03F421" w14:textId="77777777" w:rsidR="00DB63C3" w:rsidRPr="000A216F" w:rsidRDefault="00DB63C3" w:rsidP="00DB63C3">
      <w:pPr>
        <w:pStyle w:val="a9"/>
      </w:pPr>
      <w:r w:rsidRPr="000A216F">
        <w:rPr>
          <w:rtl/>
        </w:rPr>
        <w:t>12 חודשי מאסר על תנאי והתנאי הוא שהנאשם לא יעבור כל עבירת נשק שהיא פשע תוך 3 שנים מיום שחרורו ממאסר.</w:t>
      </w:r>
    </w:p>
    <w:p w14:paraId="61B99956" w14:textId="77777777" w:rsidR="00DB63C3" w:rsidRPr="000A216F" w:rsidRDefault="00DB63C3" w:rsidP="00DB63C3">
      <w:pPr>
        <w:pStyle w:val="a9"/>
        <w:rPr>
          <w:rtl/>
        </w:rPr>
      </w:pPr>
    </w:p>
    <w:p w14:paraId="283C621E" w14:textId="77777777" w:rsidR="00DB63C3" w:rsidRDefault="00FC6921" w:rsidP="00DB63C3">
      <w:pPr>
        <w:pStyle w:val="a9"/>
        <w:rPr>
          <w:rtl/>
        </w:rPr>
      </w:pPr>
      <w:r>
        <w:rPr>
          <w:rFonts w:ascii="Arial" w:hAnsi="Arial"/>
          <w:rtl/>
        </w:rPr>
        <w:t xml:space="preserve">ניתן היום,  כ' סיוון תשע"ז, 14 יוני 2017, במעמד ב"כ המאשימה עו"ד שמי לוי ב"כ </w:t>
      </w:r>
      <w:r w:rsidR="00DB63C3">
        <w:rPr>
          <w:rFonts w:ascii="Arial" w:hAnsi="Arial" w:hint="cs"/>
          <w:rtl/>
        </w:rPr>
        <w:t>הנאשם עו"ד גיא עין צבי והנאשם שהובא על ידי שב"ס.</w:t>
      </w:r>
    </w:p>
    <w:p w14:paraId="2F8CE5A0" w14:textId="77777777" w:rsidR="00DB63C3" w:rsidRDefault="00DB63C3" w:rsidP="00DB63C3">
      <w:pPr>
        <w:rPr>
          <w:rtl/>
        </w:rPr>
      </w:pPr>
    </w:p>
    <w:p w14:paraId="4B5204F7" w14:textId="77777777" w:rsidR="00DB63C3" w:rsidRDefault="00DB63C3" w:rsidP="00DB63C3">
      <w:pPr>
        <w:rPr>
          <w:rtl/>
        </w:rPr>
      </w:pPr>
    </w:p>
    <w:p w14:paraId="24954968" w14:textId="77777777" w:rsidR="00DB63C3" w:rsidRPr="00FC6921" w:rsidRDefault="00FC6921" w:rsidP="00DB63C3">
      <w:pPr>
        <w:rPr>
          <w:color w:val="FFFFFF"/>
          <w:sz w:val="2"/>
          <w:szCs w:val="2"/>
          <w:rtl/>
        </w:rPr>
      </w:pPr>
      <w:r w:rsidRPr="00FC6921">
        <w:rPr>
          <w:color w:val="FFFFFF"/>
          <w:sz w:val="2"/>
          <w:szCs w:val="2"/>
          <w:rtl/>
        </w:rPr>
        <w:t>5129371</w:t>
      </w:r>
    </w:p>
    <w:p w14:paraId="0E2DCDD0" w14:textId="77777777" w:rsidR="00DB63C3" w:rsidRPr="00FC6921" w:rsidRDefault="00FC6921" w:rsidP="00DB63C3">
      <w:pPr>
        <w:rPr>
          <w:color w:val="FFFFFF"/>
          <w:sz w:val="2"/>
          <w:szCs w:val="2"/>
          <w:rtl/>
        </w:rPr>
      </w:pPr>
      <w:r w:rsidRPr="00FC6921">
        <w:rPr>
          <w:color w:val="FFFFFF"/>
          <w:sz w:val="2"/>
          <w:szCs w:val="2"/>
          <w:rtl/>
        </w:rPr>
        <w:t>54678313</w:t>
      </w:r>
      <w:r w:rsidR="00DB63C3" w:rsidRPr="00FC6921">
        <w:rPr>
          <w:color w:val="FFFFFF"/>
          <w:sz w:val="2"/>
          <w:szCs w:val="2"/>
          <w:rtl/>
        </w:rPr>
        <w:tab/>
      </w:r>
      <w:r w:rsidR="00DB63C3" w:rsidRPr="00FC6921">
        <w:rPr>
          <w:color w:val="FFFFFF"/>
          <w:sz w:val="2"/>
          <w:szCs w:val="2"/>
          <w:rtl/>
        </w:rPr>
        <w:tab/>
      </w:r>
      <w:r w:rsidR="00DB63C3" w:rsidRPr="00FC6921">
        <w:rPr>
          <w:color w:val="FFFFFF"/>
          <w:sz w:val="2"/>
          <w:szCs w:val="2"/>
          <w:rtl/>
        </w:rPr>
        <w:tab/>
      </w:r>
    </w:p>
    <w:p w14:paraId="0E3D4C6D" w14:textId="77777777" w:rsidR="00DB63C3" w:rsidRPr="000A216F" w:rsidRDefault="00DB63C3" w:rsidP="00DB63C3">
      <w:r w:rsidRPr="000A216F">
        <w:rPr>
          <w:rFonts w:hint="cs"/>
          <w:rtl/>
        </w:rPr>
        <w:t xml:space="preserve">   </w:t>
      </w:r>
      <w:r w:rsidRPr="000A216F">
        <w:rPr>
          <w:rFonts w:hint="cs"/>
          <w:rtl/>
        </w:rPr>
        <w:tab/>
      </w:r>
      <w:r w:rsidRPr="000A216F">
        <w:rPr>
          <w:rFonts w:hint="cs"/>
          <w:rtl/>
        </w:rPr>
        <w:tab/>
      </w:r>
      <w:r w:rsidRPr="000A216F">
        <w:rPr>
          <w:rFonts w:hint="cs"/>
          <w:rtl/>
        </w:rPr>
        <w:tab/>
      </w:r>
      <w:r>
        <w:rPr>
          <w:rtl/>
        </w:rPr>
        <w:tab/>
      </w:r>
      <w:r>
        <w:rPr>
          <w:rtl/>
        </w:rPr>
        <w:tab/>
      </w:r>
      <w:r>
        <w:rPr>
          <w:rtl/>
        </w:rPr>
        <w:tab/>
      </w:r>
      <w:r w:rsidRPr="000A216F">
        <w:rPr>
          <w:rFonts w:hint="cs"/>
          <w:rtl/>
        </w:rPr>
        <w:tab/>
      </w:r>
      <w:r w:rsidRPr="000A216F">
        <w:rPr>
          <w:rFonts w:hint="cs"/>
          <w:rtl/>
        </w:rPr>
        <w:tab/>
      </w:r>
      <w:r>
        <w:rPr>
          <w:rtl/>
        </w:rPr>
        <w:t xml:space="preserve">     </w:t>
      </w:r>
    </w:p>
    <w:p w14:paraId="60A9BD59" w14:textId="77777777" w:rsidR="00DB63C3" w:rsidRPr="000A216F" w:rsidRDefault="00DB63C3" w:rsidP="00DB63C3">
      <w:pPr>
        <w:pStyle w:val="a9"/>
        <w:rPr>
          <w:rtl/>
        </w:rPr>
      </w:pPr>
    </w:p>
    <w:p w14:paraId="6AD1F1AC" w14:textId="77777777" w:rsidR="002D7B2F" w:rsidRPr="00FC6921" w:rsidRDefault="002D7B2F" w:rsidP="00FC6921">
      <w:pPr>
        <w:keepNext/>
        <w:rPr>
          <w:rFonts w:ascii="David" w:hAnsi="David"/>
          <w:color w:val="000000"/>
          <w:sz w:val="22"/>
          <w:szCs w:val="22"/>
          <w:rtl/>
        </w:rPr>
      </w:pPr>
    </w:p>
    <w:p w14:paraId="1331345F" w14:textId="77777777" w:rsidR="00FC6921" w:rsidRPr="00FC6921" w:rsidRDefault="00FC6921" w:rsidP="00FC6921">
      <w:pPr>
        <w:keepNext/>
        <w:rPr>
          <w:rFonts w:ascii="David" w:hAnsi="David"/>
          <w:color w:val="000000"/>
          <w:sz w:val="22"/>
          <w:szCs w:val="22"/>
          <w:rtl/>
        </w:rPr>
      </w:pPr>
      <w:r w:rsidRPr="00FC6921">
        <w:rPr>
          <w:rFonts w:ascii="David" w:hAnsi="David"/>
          <w:color w:val="000000"/>
          <w:sz w:val="22"/>
          <w:szCs w:val="22"/>
          <w:rtl/>
        </w:rPr>
        <w:t>מיכל ברנט 54678313</w:t>
      </w:r>
    </w:p>
    <w:p w14:paraId="61B2CEBE" w14:textId="77777777" w:rsidR="00FC6921" w:rsidRDefault="00FC6921" w:rsidP="00FC6921">
      <w:r w:rsidRPr="00FC6921">
        <w:rPr>
          <w:color w:val="000000"/>
          <w:rtl/>
        </w:rPr>
        <w:t>נוסח מסמך זה כפוף לשינויי ניסוח ועריכה</w:t>
      </w:r>
    </w:p>
    <w:p w14:paraId="23B22BA3" w14:textId="77777777" w:rsidR="00FC6921" w:rsidRDefault="00FC6921" w:rsidP="00FC6921">
      <w:pPr>
        <w:rPr>
          <w:rtl/>
        </w:rPr>
      </w:pPr>
    </w:p>
    <w:p w14:paraId="0540D32D" w14:textId="77777777" w:rsidR="00FC6921" w:rsidRDefault="00FC6921" w:rsidP="00FC6921">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22F2195A" w14:textId="77777777" w:rsidR="00FC6921" w:rsidRPr="00FC6921" w:rsidRDefault="00FC6921" w:rsidP="00FC6921">
      <w:pPr>
        <w:jc w:val="center"/>
        <w:rPr>
          <w:color w:val="0000FF"/>
          <w:u w:val="single"/>
        </w:rPr>
      </w:pPr>
    </w:p>
    <w:sectPr w:rsidR="00FC6921" w:rsidRPr="00FC6921" w:rsidSect="00FC6921">
      <w:headerReference w:type="even" r:id="rId26"/>
      <w:headerReference w:type="default" r:id="rId27"/>
      <w:footerReference w:type="even" r:id="rId28"/>
      <w:footerReference w:type="default" r:id="rId2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D325EF" w14:textId="77777777" w:rsidR="00A16909" w:rsidRDefault="00A16909" w:rsidP="00FF6BA1">
      <w:r>
        <w:separator/>
      </w:r>
    </w:p>
  </w:endnote>
  <w:endnote w:type="continuationSeparator" w:id="0">
    <w:p w14:paraId="0623B1B6" w14:textId="77777777" w:rsidR="00A16909" w:rsidRDefault="00A16909" w:rsidP="00FF6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955232" w14:textId="77777777" w:rsidR="00FC6921" w:rsidRDefault="00FC6921" w:rsidP="00FC692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D7F06BA" w14:textId="77777777" w:rsidR="003D25FF" w:rsidRPr="00FC6921" w:rsidRDefault="00FC6921" w:rsidP="00FC692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616C9C" w14:textId="77777777" w:rsidR="00FC6921" w:rsidRDefault="00FC6921" w:rsidP="00FC692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B13A3">
      <w:rPr>
        <w:rFonts w:ascii="FrankRuehl" w:hAnsi="FrankRuehl" w:cs="FrankRuehl"/>
        <w:noProof/>
        <w:rtl/>
      </w:rPr>
      <w:t>1</w:t>
    </w:r>
    <w:r>
      <w:rPr>
        <w:rFonts w:ascii="FrankRuehl" w:hAnsi="FrankRuehl" w:cs="FrankRuehl"/>
        <w:rtl/>
      </w:rPr>
      <w:fldChar w:fldCharType="end"/>
    </w:r>
  </w:p>
  <w:p w14:paraId="2E90638E" w14:textId="77777777" w:rsidR="003D25FF" w:rsidRPr="00FC6921" w:rsidRDefault="00FC6921" w:rsidP="00FC692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B23A0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97B6C7" w14:textId="77777777" w:rsidR="00A16909" w:rsidRDefault="00A16909" w:rsidP="00FF6BA1">
      <w:r>
        <w:separator/>
      </w:r>
    </w:p>
  </w:footnote>
  <w:footnote w:type="continuationSeparator" w:id="0">
    <w:p w14:paraId="0A3D5B8C" w14:textId="77777777" w:rsidR="00A16909" w:rsidRDefault="00A16909" w:rsidP="00FF6B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F316D" w14:textId="77777777" w:rsidR="00FC6921" w:rsidRPr="00FC6921" w:rsidRDefault="00FC6921" w:rsidP="00FC692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5037-10-16</w:t>
    </w:r>
    <w:r>
      <w:rPr>
        <w:rFonts w:ascii="David" w:hAnsi="David"/>
        <w:color w:val="000000"/>
        <w:sz w:val="22"/>
        <w:szCs w:val="22"/>
        <w:rtl/>
      </w:rPr>
      <w:tab/>
      <w:t xml:space="preserve"> מדינת ישראל נ' פאדי מגאהד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125E3B" w14:textId="77777777" w:rsidR="00FC6921" w:rsidRPr="00FC6921" w:rsidRDefault="00FC6921" w:rsidP="00FC692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5037-10-16</w:t>
    </w:r>
    <w:r>
      <w:rPr>
        <w:rFonts w:ascii="David" w:hAnsi="David"/>
        <w:color w:val="000000"/>
        <w:sz w:val="22"/>
        <w:szCs w:val="22"/>
        <w:rtl/>
      </w:rPr>
      <w:tab/>
      <w:t xml:space="preserve"> מדינת ישראל נ' פאדי מגאהד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B63C3"/>
    <w:rsid w:val="002D7B2F"/>
    <w:rsid w:val="003D25FF"/>
    <w:rsid w:val="008D425E"/>
    <w:rsid w:val="00A16909"/>
    <w:rsid w:val="00BA16A0"/>
    <w:rsid w:val="00DA1480"/>
    <w:rsid w:val="00DB63C3"/>
    <w:rsid w:val="00FB13A3"/>
    <w:rsid w:val="00FC6921"/>
    <w:rsid w:val="00FF6B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31BC0F4"/>
  <w15:chartTrackingRefBased/>
  <w15:docId w15:val="{97A7191E-3AD8-488B-B733-257ADD4E4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B63C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B63C3"/>
    <w:pPr>
      <w:tabs>
        <w:tab w:val="center" w:pos="4153"/>
        <w:tab w:val="right" w:pos="8306"/>
      </w:tabs>
    </w:pPr>
  </w:style>
  <w:style w:type="character" w:customStyle="1" w:styleId="a4">
    <w:name w:val="כותרת עליונה תו"/>
    <w:link w:val="a3"/>
    <w:rsid w:val="00DB63C3"/>
    <w:rPr>
      <w:rFonts w:ascii="Times New Roman" w:eastAsia="Times New Roman" w:hAnsi="Times New Roman" w:cs="David"/>
      <w:sz w:val="24"/>
      <w:szCs w:val="24"/>
    </w:rPr>
  </w:style>
  <w:style w:type="paragraph" w:styleId="a5">
    <w:name w:val="footer"/>
    <w:basedOn w:val="a"/>
    <w:link w:val="a6"/>
    <w:rsid w:val="00DB63C3"/>
    <w:pPr>
      <w:tabs>
        <w:tab w:val="center" w:pos="4153"/>
        <w:tab w:val="right" w:pos="8306"/>
      </w:tabs>
    </w:pPr>
  </w:style>
  <w:style w:type="character" w:customStyle="1" w:styleId="a6">
    <w:name w:val="כותרת תחתונה תו"/>
    <w:link w:val="a5"/>
    <w:rsid w:val="00DB63C3"/>
    <w:rPr>
      <w:rFonts w:ascii="Times New Roman" w:eastAsia="Times New Roman" w:hAnsi="Times New Roman" w:cs="David"/>
      <w:sz w:val="24"/>
      <w:szCs w:val="24"/>
    </w:rPr>
  </w:style>
  <w:style w:type="table" w:styleId="a7">
    <w:name w:val="Table Grid"/>
    <w:basedOn w:val="a1"/>
    <w:rsid w:val="00DB63C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B63C3"/>
  </w:style>
  <w:style w:type="paragraph" w:styleId="a9">
    <w:name w:val="Subtitle"/>
    <w:basedOn w:val="a"/>
    <w:next w:val="a"/>
    <w:link w:val="aa"/>
    <w:qFormat/>
    <w:rsid w:val="00DB63C3"/>
    <w:pPr>
      <w:numPr>
        <w:ilvl w:val="1"/>
      </w:numPr>
      <w:spacing w:after="160"/>
    </w:pPr>
    <w:rPr>
      <w:rFonts w:ascii="Calibri" w:hAnsi="Calibri" w:cs="Arial"/>
      <w:color w:val="5A5A5A"/>
      <w:spacing w:val="15"/>
      <w:sz w:val="22"/>
      <w:szCs w:val="22"/>
    </w:rPr>
  </w:style>
  <w:style w:type="character" w:customStyle="1" w:styleId="aa">
    <w:name w:val="כותרת משנה תו"/>
    <w:link w:val="a9"/>
    <w:rsid w:val="00DB63C3"/>
    <w:rPr>
      <w:rFonts w:eastAsia="Times New Roman"/>
      <w:color w:val="5A5A5A"/>
      <w:spacing w:val="15"/>
    </w:rPr>
  </w:style>
  <w:style w:type="character" w:styleId="Hyperlink">
    <w:name w:val="Hyperlink"/>
    <w:rsid w:val="00FC6921"/>
    <w:rPr>
      <w:color w:val="0563C1"/>
      <w:u w:val="single"/>
    </w:rPr>
  </w:style>
  <w:style w:type="character" w:styleId="ab">
    <w:name w:val="Unresolved Mention"/>
    <w:rsid w:val="00FC692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99.a.1" TargetMode="External"/><Relationship Id="rId13" Type="http://schemas.openxmlformats.org/officeDocument/2006/relationships/hyperlink" Target="http://www.nevo.co.il/case/21474168" TargetMode="External"/><Relationship Id="rId18" Type="http://schemas.openxmlformats.org/officeDocument/2006/relationships/hyperlink" Target="http://www.nevo.co.il/case/7791493"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www.nevo.co.il/case/20841908" TargetMode="External"/><Relationship Id="rId7" Type="http://schemas.openxmlformats.org/officeDocument/2006/relationships/hyperlink" Target="http://www.nevo.co.il/law/70301/144.b"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17062417" TargetMode="External"/><Relationship Id="rId25"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case/2800405" TargetMode="External"/><Relationship Id="rId20" Type="http://schemas.openxmlformats.org/officeDocument/2006/relationships/hyperlink" Target="http://www.nevo.co.il/case/20295801"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case/22006503" TargetMode="External"/><Relationship Id="rId5" Type="http://schemas.openxmlformats.org/officeDocument/2006/relationships/endnotes" Target="endnotes.xml"/><Relationship Id="rId15" Type="http://schemas.openxmlformats.org/officeDocument/2006/relationships/hyperlink" Target="http://www.nevo.co.il/case/20745111" TargetMode="External"/><Relationship Id="rId23" Type="http://schemas.openxmlformats.org/officeDocument/2006/relationships/hyperlink" Target="http://www.nevo.co.il/case/6950458" TargetMode="External"/><Relationship Id="rId28" Type="http://schemas.openxmlformats.org/officeDocument/2006/relationships/footer" Target="footer1.xml"/><Relationship Id="rId10" Type="http://schemas.openxmlformats.org/officeDocument/2006/relationships/hyperlink" Target="http://www.nevo.co.il/law/70301/144.b" TargetMode="External"/><Relationship Id="rId19" Type="http://schemas.openxmlformats.org/officeDocument/2006/relationships/hyperlink" Target="http://www.nevo.co.il/case/17954222"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499.a.1" TargetMode="External"/><Relationship Id="rId14" Type="http://schemas.openxmlformats.org/officeDocument/2006/relationships/hyperlink" Target="http://www.nevo.co.il/case/6151556" TargetMode="External"/><Relationship Id="rId22" Type="http://schemas.openxmlformats.org/officeDocument/2006/relationships/hyperlink" Target="http://www.nevo.co.il/case/6473037"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1948</Words>
  <Characters>9740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11665</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3407987</vt:i4>
      </vt:variant>
      <vt:variant>
        <vt:i4>54</vt:i4>
      </vt:variant>
      <vt:variant>
        <vt:i4>0</vt:i4>
      </vt:variant>
      <vt:variant>
        <vt:i4>5</vt:i4>
      </vt:variant>
      <vt:variant>
        <vt:lpwstr>http://www.nevo.co.il/case/22006503</vt:lpwstr>
      </vt:variant>
      <vt:variant>
        <vt:lpwstr/>
      </vt:variant>
      <vt:variant>
        <vt:i4>4128888</vt:i4>
      </vt:variant>
      <vt:variant>
        <vt:i4>51</vt:i4>
      </vt:variant>
      <vt:variant>
        <vt:i4>0</vt:i4>
      </vt:variant>
      <vt:variant>
        <vt:i4>5</vt:i4>
      </vt:variant>
      <vt:variant>
        <vt:lpwstr>http://www.nevo.co.il/case/6950458</vt:lpwstr>
      </vt:variant>
      <vt:variant>
        <vt:lpwstr/>
      </vt:variant>
      <vt:variant>
        <vt:i4>3539056</vt:i4>
      </vt:variant>
      <vt:variant>
        <vt:i4>48</vt:i4>
      </vt:variant>
      <vt:variant>
        <vt:i4>0</vt:i4>
      </vt:variant>
      <vt:variant>
        <vt:i4>5</vt:i4>
      </vt:variant>
      <vt:variant>
        <vt:lpwstr>http://www.nevo.co.il/case/6473037</vt:lpwstr>
      </vt:variant>
      <vt:variant>
        <vt:lpwstr/>
      </vt:variant>
      <vt:variant>
        <vt:i4>3866745</vt:i4>
      </vt:variant>
      <vt:variant>
        <vt:i4>45</vt:i4>
      </vt:variant>
      <vt:variant>
        <vt:i4>0</vt:i4>
      </vt:variant>
      <vt:variant>
        <vt:i4>5</vt:i4>
      </vt:variant>
      <vt:variant>
        <vt:lpwstr>http://www.nevo.co.il/case/20841908</vt:lpwstr>
      </vt:variant>
      <vt:variant>
        <vt:lpwstr/>
      </vt:variant>
      <vt:variant>
        <vt:i4>3473525</vt:i4>
      </vt:variant>
      <vt:variant>
        <vt:i4>42</vt:i4>
      </vt:variant>
      <vt:variant>
        <vt:i4>0</vt:i4>
      </vt:variant>
      <vt:variant>
        <vt:i4>5</vt:i4>
      </vt:variant>
      <vt:variant>
        <vt:lpwstr>http://www.nevo.co.il/case/20295801</vt:lpwstr>
      </vt:variant>
      <vt:variant>
        <vt:lpwstr/>
      </vt:variant>
      <vt:variant>
        <vt:i4>4063348</vt:i4>
      </vt:variant>
      <vt:variant>
        <vt:i4>39</vt:i4>
      </vt:variant>
      <vt:variant>
        <vt:i4>0</vt:i4>
      </vt:variant>
      <vt:variant>
        <vt:i4>5</vt:i4>
      </vt:variant>
      <vt:variant>
        <vt:lpwstr>http://www.nevo.co.il/case/17954222</vt:lpwstr>
      </vt:variant>
      <vt:variant>
        <vt:lpwstr/>
      </vt:variant>
      <vt:variant>
        <vt:i4>3735675</vt:i4>
      </vt:variant>
      <vt:variant>
        <vt:i4>36</vt:i4>
      </vt:variant>
      <vt:variant>
        <vt:i4>0</vt:i4>
      </vt:variant>
      <vt:variant>
        <vt:i4>5</vt:i4>
      </vt:variant>
      <vt:variant>
        <vt:lpwstr>http://www.nevo.co.il/case/7791493</vt:lpwstr>
      </vt:variant>
      <vt:variant>
        <vt:lpwstr/>
      </vt:variant>
      <vt:variant>
        <vt:i4>3276913</vt:i4>
      </vt:variant>
      <vt:variant>
        <vt:i4>33</vt:i4>
      </vt:variant>
      <vt:variant>
        <vt:i4>0</vt:i4>
      </vt:variant>
      <vt:variant>
        <vt:i4>5</vt:i4>
      </vt:variant>
      <vt:variant>
        <vt:lpwstr>http://www.nevo.co.il/case/17062417</vt:lpwstr>
      </vt:variant>
      <vt:variant>
        <vt:lpwstr/>
      </vt:variant>
      <vt:variant>
        <vt:i4>3342460</vt:i4>
      </vt:variant>
      <vt:variant>
        <vt:i4>30</vt:i4>
      </vt:variant>
      <vt:variant>
        <vt:i4>0</vt:i4>
      </vt:variant>
      <vt:variant>
        <vt:i4>5</vt:i4>
      </vt:variant>
      <vt:variant>
        <vt:lpwstr>http://www.nevo.co.il/case/2800405</vt:lpwstr>
      </vt:variant>
      <vt:variant>
        <vt:lpwstr/>
      </vt:variant>
      <vt:variant>
        <vt:i4>3211377</vt:i4>
      </vt:variant>
      <vt:variant>
        <vt:i4>27</vt:i4>
      </vt:variant>
      <vt:variant>
        <vt:i4>0</vt:i4>
      </vt:variant>
      <vt:variant>
        <vt:i4>5</vt:i4>
      </vt:variant>
      <vt:variant>
        <vt:lpwstr>http://www.nevo.co.il/case/20745111</vt:lpwstr>
      </vt:variant>
      <vt:variant>
        <vt:lpwstr/>
      </vt:variant>
      <vt:variant>
        <vt:i4>3145841</vt:i4>
      </vt:variant>
      <vt:variant>
        <vt:i4>24</vt:i4>
      </vt:variant>
      <vt:variant>
        <vt:i4>0</vt:i4>
      </vt:variant>
      <vt:variant>
        <vt:i4>5</vt:i4>
      </vt:variant>
      <vt:variant>
        <vt:lpwstr>http://www.nevo.co.il/case/6151556</vt:lpwstr>
      </vt:variant>
      <vt:variant>
        <vt:lpwstr/>
      </vt:variant>
      <vt:variant>
        <vt:i4>3407987</vt:i4>
      </vt:variant>
      <vt:variant>
        <vt:i4>21</vt:i4>
      </vt:variant>
      <vt:variant>
        <vt:i4>0</vt:i4>
      </vt:variant>
      <vt:variant>
        <vt:i4>5</vt:i4>
      </vt:variant>
      <vt:variant>
        <vt:lpwstr>http://www.nevo.co.il/case/21474168</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7077945</vt:i4>
      </vt:variant>
      <vt:variant>
        <vt:i4>9</vt:i4>
      </vt:variant>
      <vt:variant>
        <vt:i4>0</vt:i4>
      </vt:variant>
      <vt:variant>
        <vt:i4>5</vt:i4>
      </vt:variant>
      <vt:variant>
        <vt:lpwstr>http://www.nevo.co.il/law/70301/499.a.1</vt:lpwstr>
      </vt:variant>
      <vt:variant>
        <vt:lpwstr/>
      </vt:variant>
      <vt:variant>
        <vt:i4>7077945</vt:i4>
      </vt:variant>
      <vt:variant>
        <vt:i4>6</vt:i4>
      </vt:variant>
      <vt:variant>
        <vt:i4>0</vt:i4>
      </vt:variant>
      <vt:variant>
        <vt:i4>5</vt:i4>
      </vt:variant>
      <vt:variant>
        <vt:lpwstr>http://www.nevo.co.il/law/70301/499.a.1</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2025-01-19T16:13:00Z</dcterms:created>
  <dcterms:modified xsi:type="dcterms:W3CDTF">2025-01-19T16:13:00Z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5037</vt:lpwstr>
  </property>
  <property fmtid="{D5CDD505-2E9C-101B-9397-08002B2CF9AE}" pid="6" name="NEWPARTB">
    <vt:lpwstr>10</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פאדי מגאהד</vt:lpwstr>
  </property>
  <property fmtid="{D5CDD505-2E9C-101B-9397-08002B2CF9AE}" pid="10" name="JUDGE">
    <vt:lpwstr>מיכל ברנט</vt:lpwstr>
  </property>
  <property fmtid="{D5CDD505-2E9C-101B-9397-08002B2CF9AE}" pid="11" name="CITY">
    <vt:lpwstr>מרכז</vt:lpwstr>
  </property>
  <property fmtid="{D5CDD505-2E9C-101B-9397-08002B2CF9AE}" pid="12" name="DATE">
    <vt:lpwstr>20170614</vt:lpwstr>
  </property>
  <property fmtid="{D5CDD505-2E9C-101B-9397-08002B2CF9AE}" pid="13" name="TYPE_N_DATE">
    <vt:lpwstr>39020170614</vt:lpwstr>
  </property>
  <property fmtid="{D5CDD505-2E9C-101B-9397-08002B2CF9AE}" pid="14" name="CASESLISTTMP1">
    <vt:lpwstr>21474168;6151556;20745111;2800405;17062417;7791493;17954222;20295801;20841908;6473037;6950458;22006503</vt:lpwstr>
  </property>
  <property fmtid="{D5CDD505-2E9C-101B-9397-08002B2CF9AE}" pid="15" name="WORDNUMPAGES">
    <vt:lpwstr>6</vt:lpwstr>
  </property>
  <property fmtid="{D5CDD505-2E9C-101B-9397-08002B2CF9AE}" pid="16" name="TYPE_ABS_DATE">
    <vt:lpwstr>390020170614</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70301/499.a.1;144.b:2</vt:lpwstr>
  </property>
</Properties>
</file>