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E27EB" w:rsidRPr="008376CC" w14:paraId="7858232E" w14:textId="77777777" w:rsidTr="003212D1">
        <w:trPr>
          <w:trHeight w:hRule="exact" w:val="418"/>
          <w:jc w:val="center"/>
        </w:trPr>
        <w:tc>
          <w:tcPr>
            <w:tcW w:w="8721" w:type="dxa"/>
            <w:gridSpan w:val="2"/>
          </w:tcPr>
          <w:p w14:paraId="0EA8AF42" w14:textId="77777777" w:rsidR="00EE27EB" w:rsidRPr="008376CC" w:rsidRDefault="00EE27EB" w:rsidP="00E97B34">
            <w:pPr>
              <w:pStyle w:val="a3"/>
              <w:jc w:val="center"/>
              <w:rPr>
                <w:rFonts w:ascii="Tahoma" w:hAnsi="Tahoma" w:cs="Tahoma"/>
                <w:color w:val="000080"/>
                <w:rtl/>
              </w:rPr>
            </w:pPr>
            <w:r w:rsidRPr="008376CC">
              <w:rPr>
                <w:rFonts w:ascii="Tahoma" w:hAnsi="Tahoma" w:cs="Tahoma"/>
                <w:b/>
                <w:bCs/>
                <w:color w:val="000080"/>
                <w:rtl/>
              </w:rPr>
              <w:t>בית המשפט המחוזי בבאר שבע</w:t>
            </w:r>
          </w:p>
        </w:tc>
      </w:tr>
      <w:tr w:rsidR="00EE27EB" w:rsidRPr="008376CC" w14:paraId="2D387280" w14:textId="77777777" w:rsidTr="003212D1">
        <w:trPr>
          <w:trHeight w:val="337"/>
          <w:jc w:val="center"/>
        </w:trPr>
        <w:tc>
          <w:tcPr>
            <w:tcW w:w="5057" w:type="dxa"/>
          </w:tcPr>
          <w:p w14:paraId="684AA25B" w14:textId="77777777" w:rsidR="00EE27EB" w:rsidRPr="008376CC" w:rsidRDefault="00EE27EB" w:rsidP="00E97B34">
            <w:pPr>
              <w:rPr>
                <w:rFonts w:cs="FrankRuehl"/>
                <w:sz w:val="28"/>
                <w:szCs w:val="28"/>
                <w:rtl/>
              </w:rPr>
            </w:pPr>
            <w:r w:rsidRPr="008376CC">
              <w:rPr>
                <w:rFonts w:cs="FrankRuehl"/>
                <w:sz w:val="28"/>
                <w:szCs w:val="28"/>
                <w:rtl/>
              </w:rPr>
              <w:t>ת"פ</w:t>
            </w:r>
            <w:r w:rsidRPr="008376CC">
              <w:rPr>
                <w:rFonts w:cs="FrankRuehl" w:hint="cs"/>
                <w:sz w:val="28"/>
                <w:szCs w:val="28"/>
                <w:rtl/>
              </w:rPr>
              <w:t xml:space="preserve"> </w:t>
            </w:r>
            <w:r w:rsidRPr="008376CC">
              <w:rPr>
                <w:rFonts w:cs="FrankRuehl"/>
                <w:sz w:val="28"/>
                <w:szCs w:val="28"/>
                <w:rtl/>
              </w:rPr>
              <w:t>533-10-16</w:t>
            </w:r>
            <w:r w:rsidRPr="008376CC">
              <w:rPr>
                <w:rFonts w:cs="FrankRuehl" w:hint="cs"/>
                <w:sz w:val="28"/>
                <w:szCs w:val="28"/>
                <w:rtl/>
              </w:rPr>
              <w:t xml:space="preserve"> </w:t>
            </w:r>
            <w:r w:rsidRPr="008376CC">
              <w:rPr>
                <w:rFonts w:cs="FrankRuehl"/>
                <w:sz w:val="28"/>
                <w:szCs w:val="28"/>
                <w:rtl/>
              </w:rPr>
              <w:t>מדינת ישראל נ' אבו עדיה(עציר)</w:t>
            </w:r>
          </w:p>
          <w:p w14:paraId="124366A3" w14:textId="77777777" w:rsidR="00EE27EB" w:rsidRPr="008376CC" w:rsidRDefault="00EE27EB" w:rsidP="00E97B34">
            <w:pPr>
              <w:pStyle w:val="a3"/>
              <w:rPr>
                <w:rFonts w:cs="FrankRuehl"/>
                <w:sz w:val="28"/>
                <w:szCs w:val="28"/>
                <w:rtl/>
              </w:rPr>
            </w:pPr>
          </w:p>
        </w:tc>
        <w:tc>
          <w:tcPr>
            <w:tcW w:w="3664" w:type="dxa"/>
          </w:tcPr>
          <w:p w14:paraId="3EC52C12" w14:textId="77777777" w:rsidR="00EE27EB" w:rsidRPr="008376CC" w:rsidRDefault="00EE27EB" w:rsidP="00E97B34">
            <w:pPr>
              <w:pStyle w:val="a3"/>
              <w:jc w:val="right"/>
              <w:rPr>
                <w:rFonts w:cs="FrankRuehl"/>
                <w:sz w:val="28"/>
                <w:szCs w:val="28"/>
                <w:rtl/>
              </w:rPr>
            </w:pPr>
          </w:p>
        </w:tc>
      </w:tr>
    </w:tbl>
    <w:p w14:paraId="698D68AC" w14:textId="77777777" w:rsidR="00EE27EB" w:rsidRPr="008376CC" w:rsidRDefault="00EE27EB" w:rsidP="00EE27EB">
      <w:pPr>
        <w:pStyle w:val="a3"/>
        <w:rPr>
          <w:rtl/>
        </w:rPr>
      </w:pPr>
      <w:r w:rsidRPr="008376CC">
        <w:rPr>
          <w:rFonts w:hint="cs"/>
          <w:rtl/>
        </w:rPr>
        <w:t xml:space="preserve"> </w:t>
      </w:r>
    </w:p>
    <w:p w14:paraId="70F575F5" w14:textId="77777777" w:rsidR="00EE27EB" w:rsidRPr="008376CC" w:rsidRDefault="00EE27EB" w:rsidP="00EE27EB">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E97B34" w:rsidRPr="008376CC" w14:paraId="7D23221F" w14:textId="77777777" w:rsidTr="00EE27EB">
        <w:trPr>
          <w:gridAfter w:val="1"/>
          <w:wAfter w:w="871" w:type="dxa"/>
          <w:trHeight w:val="295"/>
          <w:jc w:val="center"/>
        </w:trPr>
        <w:tc>
          <w:tcPr>
            <w:tcW w:w="7949" w:type="dxa"/>
            <w:gridSpan w:val="3"/>
            <w:tcBorders>
              <w:top w:val="nil"/>
              <w:left w:val="nil"/>
              <w:bottom w:val="nil"/>
              <w:right w:val="nil"/>
            </w:tcBorders>
            <w:shd w:val="clear" w:color="auto" w:fill="auto"/>
          </w:tcPr>
          <w:p w14:paraId="13BB324A" w14:textId="77777777" w:rsidR="00EE27EB" w:rsidRPr="008376CC" w:rsidRDefault="00EE27EB" w:rsidP="00E97B34">
            <w:pPr>
              <w:rPr>
                <w:rFonts w:ascii="Arial" w:hAnsi="Arial"/>
                <w:b/>
                <w:bCs/>
                <w:sz w:val="26"/>
                <w:szCs w:val="26"/>
                <w:rtl/>
              </w:rPr>
            </w:pPr>
            <w:r w:rsidRPr="008376CC">
              <w:rPr>
                <w:rFonts w:ascii="Arial" w:hAnsi="Arial" w:hint="cs"/>
                <w:b/>
                <w:bCs/>
                <w:sz w:val="26"/>
                <w:szCs w:val="26"/>
                <w:rtl/>
              </w:rPr>
              <w:t>בפני כב' סגן הנשיאה, השופט אליהו ביתן</w:t>
            </w:r>
          </w:p>
          <w:p w14:paraId="0F850525" w14:textId="77777777" w:rsidR="00EE27EB" w:rsidRPr="008376CC" w:rsidRDefault="00EE27EB" w:rsidP="00E97B34">
            <w:pPr>
              <w:rPr>
                <w:rFonts w:ascii="Arial" w:hAnsi="Arial"/>
                <w:b/>
                <w:bCs/>
                <w:sz w:val="26"/>
                <w:szCs w:val="26"/>
              </w:rPr>
            </w:pPr>
          </w:p>
        </w:tc>
      </w:tr>
      <w:tr w:rsidR="00E97B34" w:rsidRPr="008376CC" w14:paraId="192EB31D" w14:textId="77777777" w:rsidTr="00EE27EB">
        <w:trPr>
          <w:trHeight w:val="355"/>
          <w:jc w:val="center"/>
        </w:trPr>
        <w:tc>
          <w:tcPr>
            <w:tcW w:w="1332" w:type="dxa"/>
            <w:tcBorders>
              <w:top w:val="nil"/>
              <w:left w:val="nil"/>
              <w:bottom w:val="nil"/>
              <w:right w:val="nil"/>
            </w:tcBorders>
            <w:shd w:val="clear" w:color="auto" w:fill="auto"/>
          </w:tcPr>
          <w:p w14:paraId="47E0FC9E" w14:textId="77777777" w:rsidR="00EE27EB" w:rsidRPr="008376CC" w:rsidRDefault="00EE27EB" w:rsidP="00EE27EB">
            <w:pPr>
              <w:jc w:val="both"/>
              <w:rPr>
                <w:rFonts w:ascii="Arial" w:hAnsi="Arial"/>
                <w:b/>
                <w:bCs/>
                <w:sz w:val="26"/>
                <w:szCs w:val="26"/>
              </w:rPr>
            </w:pPr>
            <w:bookmarkStart w:id="0" w:name="LastJudge"/>
            <w:bookmarkEnd w:id="0"/>
            <w:r w:rsidRPr="008376CC">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1D480EE5" w14:textId="77777777" w:rsidR="00EE27EB" w:rsidRPr="008376CC" w:rsidRDefault="00EE27EB" w:rsidP="00E97B34">
            <w:pPr>
              <w:rPr>
                <w:rFonts w:ascii="Arial" w:hAnsi="Arial"/>
                <w:b/>
                <w:bCs/>
                <w:sz w:val="26"/>
                <w:szCs w:val="26"/>
              </w:rPr>
            </w:pPr>
          </w:p>
        </w:tc>
        <w:tc>
          <w:tcPr>
            <w:tcW w:w="3590" w:type="dxa"/>
            <w:gridSpan w:val="2"/>
            <w:tcBorders>
              <w:top w:val="nil"/>
              <w:left w:val="nil"/>
              <w:bottom w:val="nil"/>
              <w:right w:val="nil"/>
            </w:tcBorders>
            <w:shd w:val="clear" w:color="auto" w:fill="auto"/>
          </w:tcPr>
          <w:p w14:paraId="70702455" w14:textId="77777777" w:rsidR="00EE27EB" w:rsidRPr="008376CC" w:rsidRDefault="00EE27EB" w:rsidP="00EE27EB">
            <w:pPr>
              <w:jc w:val="both"/>
              <w:rPr>
                <w:rFonts w:ascii="Arial" w:hAnsi="Arial"/>
                <w:b/>
                <w:bCs/>
                <w:sz w:val="26"/>
                <w:szCs w:val="26"/>
              </w:rPr>
            </w:pPr>
          </w:p>
        </w:tc>
      </w:tr>
      <w:tr w:rsidR="00E97B34" w:rsidRPr="008376CC" w14:paraId="52C84072" w14:textId="77777777" w:rsidTr="00EE27EB">
        <w:trPr>
          <w:trHeight w:val="355"/>
          <w:jc w:val="center"/>
        </w:trPr>
        <w:tc>
          <w:tcPr>
            <w:tcW w:w="1332" w:type="dxa"/>
            <w:tcBorders>
              <w:top w:val="nil"/>
              <w:left w:val="nil"/>
              <w:bottom w:val="nil"/>
              <w:right w:val="nil"/>
            </w:tcBorders>
            <w:shd w:val="clear" w:color="auto" w:fill="auto"/>
          </w:tcPr>
          <w:p w14:paraId="2F9A181B" w14:textId="77777777" w:rsidR="00EE27EB" w:rsidRPr="008376CC" w:rsidRDefault="00EE27EB" w:rsidP="00EE27EB">
            <w:pPr>
              <w:jc w:val="both"/>
              <w:rPr>
                <w:rFonts w:ascii="Arial" w:hAnsi="Arial"/>
                <w:b/>
                <w:bCs/>
                <w:sz w:val="26"/>
                <w:szCs w:val="26"/>
                <w:rtl/>
              </w:rPr>
            </w:pPr>
            <w:bookmarkStart w:id="1" w:name="FirstAppellant"/>
            <w:r w:rsidRPr="008376CC">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459BA2F8" w14:textId="77777777" w:rsidR="00EE27EB" w:rsidRPr="008376CC" w:rsidRDefault="00EE27EB" w:rsidP="00EE27EB">
            <w:pPr>
              <w:jc w:val="both"/>
              <w:rPr>
                <w:rFonts w:ascii="Arial" w:hAnsi="Arial"/>
                <w:b/>
                <w:bCs/>
                <w:sz w:val="26"/>
                <w:szCs w:val="26"/>
                <w:rtl/>
              </w:rPr>
            </w:pPr>
            <w:r w:rsidRPr="008376CC">
              <w:rPr>
                <w:rFonts w:ascii="Arial" w:hAnsi="Arial"/>
                <w:b/>
                <w:bCs/>
                <w:sz w:val="26"/>
                <w:szCs w:val="26"/>
                <w:rtl/>
              </w:rPr>
              <w:t>מדינת ישראל</w:t>
            </w:r>
          </w:p>
        </w:tc>
        <w:tc>
          <w:tcPr>
            <w:tcW w:w="3590" w:type="dxa"/>
            <w:gridSpan w:val="2"/>
            <w:tcBorders>
              <w:top w:val="nil"/>
              <w:left w:val="nil"/>
              <w:bottom w:val="nil"/>
              <w:right w:val="nil"/>
            </w:tcBorders>
            <w:shd w:val="clear" w:color="auto" w:fill="auto"/>
          </w:tcPr>
          <w:p w14:paraId="7EC7D1CA" w14:textId="77777777" w:rsidR="00EE27EB" w:rsidRPr="008376CC" w:rsidRDefault="00EE27EB" w:rsidP="00EE27EB">
            <w:pPr>
              <w:jc w:val="right"/>
              <w:rPr>
                <w:rFonts w:ascii="Arial" w:hAnsi="Arial"/>
                <w:b/>
                <w:bCs/>
                <w:sz w:val="26"/>
                <w:szCs w:val="26"/>
                <w:rtl/>
              </w:rPr>
            </w:pPr>
          </w:p>
        </w:tc>
      </w:tr>
      <w:bookmarkEnd w:id="1"/>
      <w:tr w:rsidR="00E97B34" w:rsidRPr="008376CC" w14:paraId="77635E0A" w14:textId="77777777" w:rsidTr="00EE27EB">
        <w:trPr>
          <w:trHeight w:val="355"/>
          <w:jc w:val="center"/>
        </w:trPr>
        <w:tc>
          <w:tcPr>
            <w:tcW w:w="1332" w:type="dxa"/>
            <w:tcBorders>
              <w:top w:val="nil"/>
              <w:left w:val="nil"/>
              <w:bottom w:val="nil"/>
              <w:right w:val="nil"/>
            </w:tcBorders>
            <w:shd w:val="clear" w:color="auto" w:fill="auto"/>
          </w:tcPr>
          <w:p w14:paraId="675D3E3D" w14:textId="77777777" w:rsidR="00EE27EB" w:rsidRPr="008376CC" w:rsidRDefault="00EE27EB" w:rsidP="00EE27EB">
            <w:pPr>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7F29886B" w14:textId="77777777" w:rsidR="00EE27EB" w:rsidRPr="008376CC" w:rsidRDefault="00EE27EB" w:rsidP="00EE27EB">
            <w:pPr>
              <w:jc w:val="center"/>
              <w:rPr>
                <w:rFonts w:ascii="Arial" w:hAnsi="Arial"/>
                <w:b/>
                <w:bCs/>
                <w:sz w:val="26"/>
                <w:szCs w:val="26"/>
              </w:rPr>
            </w:pPr>
            <w:r w:rsidRPr="008376CC">
              <w:rPr>
                <w:rFonts w:ascii="Arial" w:hAnsi="Arial"/>
                <w:b/>
                <w:bCs/>
                <w:sz w:val="30"/>
                <w:szCs w:val="30"/>
                <w:rtl/>
              </w:rPr>
              <w:t>נגד</w:t>
            </w:r>
          </w:p>
        </w:tc>
      </w:tr>
      <w:tr w:rsidR="00E97B34" w:rsidRPr="008376CC" w14:paraId="6CDF4E93" w14:textId="77777777" w:rsidTr="00EE27EB">
        <w:trPr>
          <w:trHeight w:val="355"/>
          <w:jc w:val="center"/>
        </w:trPr>
        <w:tc>
          <w:tcPr>
            <w:tcW w:w="1332" w:type="dxa"/>
            <w:tcBorders>
              <w:top w:val="nil"/>
              <w:left w:val="nil"/>
              <w:bottom w:val="nil"/>
              <w:right w:val="nil"/>
            </w:tcBorders>
            <w:shd w:val="clear" w:color="auto" w:fill="auto"/>
          </w:tcPr>
          <w:p w14:paraId="3A1B9880" w14:textId="77777777" w:rsidR="00EE27EB" w:rsidRPr="008376CC" w:rsidRDefault="00EE27EB" w:rsidP="00E97B34">
            <w:pPr>
              <w:rPr>
                <w:rFonts w:ascii="Arial" w:hAnsi="Arial"/>
                <w:b/>
                <w:bCs/>
                <w:sz w:val="26"/>
                <w:szCs w:val="26"/>
                <w:rtl/>
              </w:rPr>
            </w:pPr>
            <w:r w:rsidRPr="008376CC">
              <w:rPr>
                <w:rFonts w:ascii="Arial" w:hAnsi="Arial" w:hint="cs"/>
                <w:b/>
                <w:bCs/>
                <w:sz w:val="26"/>
                <w:szCs w:val="26"/>
                <w:rtl/>
              </w:rPr>
              <w:t>הנאשם:</w:t>
            </w:r>
          </w:p>
        </w:tc>
        <w:tc>
          <w:tcPr>
            <w:tcW w:w="3898" w:type="dxa"/>
            <w:tcBorders>
              <w:top w:val="nil"/>
              <w:left w:val="nil"/>
              <w:bottom w:val="nil"/>
              <w:right w:val="nil"/>
            </w:tcBorders>
            <w:shd w:val="clear" w:color="auto" w:fill="auto"/>
          </w:tcPr>
          <w:p w14:paraId="4FB62B82" w14:textId="77777777" w:rsidR="00EE27EB" w:rsidRPr="008376CC" w:rsidRDefault="00EE27EB" w:rsidP="00E97B34">
            <w:pPr>
              <w:rPr>
                <w:rFonts w:ascii="Arial" w:hAnsi="Arial"/>
                <w:b/>
                <w:bCs/>
                <w:sz w:val="26"/>
                <w:szCs w:val="26"/>
                <w:rtl/>
              </w:rPr>
            </w:pPr>
            <w:r w:rsidRPr="008376CC">
              <w:rPr>
                <w:rFonts w:ascii="Arial" w:hAnsi="Arial"/>
                <w:b/>
                <w:bCs/>
                <w:sz w:val="26"/>
                <w:szCs w:val="26"/>
                <w:rtl/>
              </w:rPr>
              <w:t>חמדי אבו עדיה (עציר)</w:t>
            </w:r>
          </w:p>
        </w:tc>
        <w:tc>
          <w:tcPr>
            <w:tcW w:w="3590" w:type="dxa"/>
            <w:gridSpan w:val="2"/>
            <w:tcBorders>
              <w:top w:val="nil"/>
              <w:left w:val="nil"/>
              <w:bottom w:val="nil"/>
              <w:right w:val="nil"/>
            </w:tcBorders>
            <w:shd w:val="clear" w:color="auto" w:fill="auto"/>
          </w:tcPr>
          <w:p w14:paraId="1AAFFF3C" w14:textId="77777777" w:rsidR="00EE27EB" w:rsidRPr="008376CC" w:rsidRDefault="00EE27EB" w:rsidP="00EE27EB">
            <w:pPr>
              <w:jc w:val="right"/>
              <w:rPr>
                <w:rFonts w:ascii="Arial" w:hAnsi="Arial"/>
                <w:b/>
                <w:bCs/>
                <w:sz w:val="26"/>
                <w:szCs w:val="26"/>
              </w:rPr>
            </w:pPr>
          </w:p>
        </w:tc>
      </w:tr>
    </w:tbl>
    <w:p w14:paraId="4DD65CEE" w14:textId="77777777" w:rsidR="003212D1" w:rsidRDefault="003212D1" w:rsidP="00EE27EB">
      <w:pPr>
        <w:rPr>
          <w:rFonts w:ascii="Arial" w:hAnsi="Arial"/>
          <w:sz w:val="26"/>
          <w:szCs w:val="26"/>
          <w:rtl/>
        </w:rPr>
      </w:pPr>
      <w:bookmarkStart w:id="2" w:name="LawTable"/>
      <w:bookmarkEnd w:id="2"/>
    </w:p>
    <w:p w14:paraId="33B7F64C" w14:textId="77777777" w:rsidR="003212D1" w:rsidRPr="003212D1" w:rsidRDefault="003212D1" w:rsidP="003212D1">
      <w:pPr>
        <w:spacing w:after="120" w:line="240" w:lineRule="exact"/>
        <w:ind w:left="283" w:hanging="283"/>
        <w:jc w:val="both"/>
        <w:rPr>
          <w:rFonts w:ascii="FrankRuehl" w:hAnsi="FrankRuehl" w:cs="FrankRuehl"/>
          <w:rtl/>
        </w:rPr>
      </w:pPr>
      <w:r w:rsidRPr="003212D1">
        <w:rPr>
          <w:rFonts w:ascii="FrankRuehl" w:hAnsi="FrankRuehl" w:cs="FrankRuehl"/>
          <w:rtl/>
        </w:rPr>
        <w:t xml:space="preserve">חקיקה שאוזכרה: </w:t>
      </w:r>
    </w:p>
    <w:p w14:paraId="3370814D" w14:textId="77777777" w:rsidR="003212D1" w:rsidRPr="003212D1" w:rsidRDefault="003212D1" w:rsidP="003212D1">
      <w:pPr>
        <w:spacing w:after="120" w:line="240" w:lineRule="exact"/>
        <w:ind w:left="283" w:hanging="283"/>
        <w:jc w:val="both"/>
        <w:rPr>
          <w:rFonts w:ascii="FrankRuehl" w:hAnsi="FrankRuehl" w:cs="FrankRuehl"/>
          <w:rtl/>
        </w:rPr>
      </w:pPr>
      <w:hyperlink r:id="rId6" w:history="1">
        <w:r w:rsidRPr="003212D1">
          <w:rPr>
            <w:rFonts w:ascii="FrankRuehl" w:hAnsi="FrankRuehl" w:cs="FrankRuehl"/>
            <w:color w:val="0000FF"/>
            <w:u w:val="single"/>
            <w:rtl/>
          </w:rPr>
          <w:t>חוק העונשין, תשל"ז-1977</w:t>
        </w:r>
      </w:hyperlink>
      <w:r w:rsidRPr="003212D1">
        <w:rPr>
          <w:rFonts w:ascii="FrankRuehl" w:hAnsi="FrankRuehl" w:cs="FrankRuehl"/>
          <w:rtl/>
        </w:rPr>
        <w:t xml:space="preserve">: סע'  </w:t>
      </w:r>
      <w:hyperlink r:id="rId7" w:history="1">
        <w:r w:rsidRPr="003212D1">
          <w:rPr>
            <w:rFonts w:ascii="FrankRuehl" w:hAnsi="FrankRuehl" w:cs="FrankRuehl"/>
            <w:color w:val="0000FF"/>
            <w:u w:val="single"/>
            <w:rtl/>
          </w:rPr>
          <w:t>144(א)</w:t>
        </w:r>
      </w:hyperlink>
      <w:r w:rsidRPr="003212D1">
        <w:rPr>
          <w:rFonts w:ascii="FrankRuehl" w:hAnsi="FrankRuehl" w:cs="FrankRuehl"/>
          <w:rtl/>
        </w:rPr>
        <w:t xml:space="preserve">, </w:t>
      </w:r>
      <w:hyperlink r:id="rId8" w:history="1">
        <w:r w:rsidRPr="003212D1">
          <w:rPr>
            <w:rFonts w:ascii="FrankRuehl" w:hAnsi="FrankRuehl" w:cs="FrankRuehl"/>
            <w:color w:val="0000FF"/>
            <w:u w:val="single"/>
            <w:rtl/>
          </w:rPr>
          <w:t>144 (ב)</w:t>
        </w:r>
      </w:hyperlink>
      <w:r w:rsidRPr="003212D1">
        <w:rPr>
          <w:rFonts w:ascii="FrankRuehl" w:hAnsi="FrankRuehl" w:cs="FrankRuehl"/>
          <w:rtl/>
        </w:rPr>
        <w:t xml:space="preserve">, </w:t>
      </w:r>
      <w:hyperlink r:id="rId9" w:history="1">
        <w:r w:rsidRPr="003212D1">
          <w:rPr>
            <w:rFonts w:ascii="FrankRuehl" w:hAnsi="FrankRuehl" w:cs="FrankRuehl"/>
            <w:color w:val="0000FF"/>
            <w:u w:val="single"/>
            <w:rtl/>
          </w:rPr>
          <w:t>144 (ב2)</w:t>
        </w:r>
      </w:hyperlink>
      <w:r w:rsidRPr="003212D1">
        <w:rPr>
          <w:rFonts w:ascii="FrankRuehl" w:hAnsi="FrankRuehl" w:cs="FrankRuehl"/>
          <w:rtl/>
        </w:rPr>
        <w:t xml:space="preserve">, </w:t>
      </w:r>
      <w:hyperlink r:id="rId10" w:history="1">
        <w:r w:rsidRPr="003212D1">
          <w:rPr>
            <w:rFonts w:ascii="FrankRuehl" w:hAnsi="FrankRuehl" w:cs="FrankRuehl"/>
            <w:color w:val="0000FF"/>
            <w:u w:val="single"/>
            <w:rtl/>
          </w:rPr>
          <w:t>340 א'</w:t>
        </w:r>
      </w:hyperlink>
    </w:p>
    <w:p w14:paraId="7E1D2995" w14:textId="77777777" w:rsidR="003212D1" w:rsidRPr="003212D1" w:rsidRDefault="003212D1" w:rsidP="003212D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7B34" w:rsidRPr="004C04B9" w14:paraId="5468E0CE" w14:textId="77777777" w:rsidTr="00EE27EB">
        <w:trPr>
          <w:trHeight w:val="355"/>
          <w:jc w:val="center"/>
        </w:trPr>
        <w:tc>
          <w:tcPr>
            <w:tcW w:w="8820" w:type="dxa"/>
            <w:tcBorders>
              <w:top w:val="nil"/>
              <w:left w:val="nil"/>
              <w:bottom w:val="nil"/>
              <w:right w:val="nil"/>
            </w:tcBorders>
            <w:shd w:val="clear" w:color="auto" w:fill="auto"/>
          </w:tcPr>
          <w:p w14:paraId="3FD12553" w14:textId="77777777" w:rsidR="008376CC" w:rsidRPr="008376CC" w:rsidRDefault="008376CC" w:rsidP="008376CC">
            <w:pPr>
              <w:jc w:val="center"/>
              <w:rPr>
                <w:rFonts w:ascii="Arial" w:hAnsi="Arial"/>
                <w:b/>
                <w:bCs/>
                <w:sz w:val="30"/>
                <w:szCs w:val="30"/>
                <w:u w:val="single"/>
                <w:rtl/>
              </w:rPr>
            </w:pPr>
            <w:bookmarkStart w:id="3" w:name="LawTable_End"/>
            <w:bookmarkStart w:id="4" w:name="PsakDin" w:colFirst="0" w:colLast="0"/>
            <w:bookmarkEnd w:id="3"/>
            <w:r w:rsidRPr="008376CC">
              <w:rPr>
                <w:rFonts w:ascii="Arial" w:hAnsi="Arial"/>
                <w:b/>
                <w:bCs/>
                <w:sz w:val="30"/>
                <w:szCs w:val="30"/>
                <w:u w:val="single"/>
                <w:rtl/>
              </w:rPr>
              <w:t>גזר דין</w:t>
            </w:r>
          </w:p>
          <w:p w14:paraId="5591C614" w14:textId="77777777" w:rsidR="00EE27EB" w:rsidRPr="008376CC" w:rsidRDefault="00EE27EB" w:rsidP="008376CC">
            <w:pPr>
              <w:jc w:val="center"/>
              <w:rPr>
                <w:rFonts w:ascii="Arial" w:hAnsi="Arial"/>
                <w:b/>
                <w:bCs/>
                <w:sz w:val="26"/>
                <w:szCs w:val="26"/>
                <w:u w:val="single"/>
                <w:rtl/>
              </w:rPr>
            </w:pPr>
          </w:p>
        </w:tc>
      </w:tr>
      <w:bookmarkEnd w:id="4"/>
    </w:tbl>
    <w:p w14:paraId="56851C1F" w14:textId="77777777" w:rsidR="00EE27EB" w:rsidRPr="00B05847" w:rsidRDefault="00EE27EB" w:rsidP="00EE27EB">
      <w:pPr>
        <w:rPr>
          <w:rFonts w:ascii="Arial" w:hAnsi="Arial"/>
          <w:rtl/>
        </w:rPr>
      </w:pPr>
    </w:p>
    <w:p w14:paraId="4B94B092" w14:textId="77777777" w:rsidR="00EE27EB" w:rsidRPr="00B05847" w:rsidRDefault="00EE27EB" w:rsidP="00EE27EB">
      <w:pPr>
        <w:rPr>
          <w:rFonts w:ascii="Arial" w:hAnsi="Arial"/>
          <w:rtl/>
        </w:rPr>
      </w:pPr>
    </w:p>
    <w:p w14:paraId="2246ACAE" w14:textId="77777777" w:rsidR="00EE27EB" w:rsidRPr="00B05847" w:rsidRDefault="00EE27EB" w:rsidP="00EE27EB">
      <w:pPr>
        <w:rPr>
          <w:rtl/>
        </w:rPr>
      </w:pPr>
    </w:p>
    <w:p w14:paraId="0C5B484F" w14:textId="77777777" w:rsidR="00EE27EB" w:rsidRDefault="00EE27EB" w:rsidP="00EE27EB">
      <w:pPr>
        <w:spacing w:line="360" w:lineRule="auto"/>
        <w:ind w:left="720" w:hanging="720"/>
        <w:jc w:val="both"/>
      </w:pPr>
      <w:r>
        <w:rPr>
          <w:rFonts w:hint="cs"/>
          <w:rtl/>
        </w:rPr>
        <w:t>1.</w:t>
      </w:r>
      <w:r>
        <w:rPr>
          <w:rFonts w:hint="cs"/>
          <w:rtl/>
        </w:rPr>
        <w:tab/>
      </w:r>
      <w:bookmarkStart w:id="5" w:name="ABSTRACT_START"/>
      <w:bookmarkEnd w:id="5"/>
      <w:r>
        <w:rPr>
          <w:rFonts w:hint="cs"/>
          <w:rtl/>
        </w:rPr>
        <w:t xml:space="preserve">במהלך חודש אוקטובר 2015, פנה הנאשם לאחר, תושב רהט, וביקש ממנו לרכוש רובה </w:t>
      </w:r>
      <w:r>
        <w:t>M-16</w:t>
      </w:r>
      <w:r>
        <w:rPr>
          <w:rFonts w:hint="cs"/>
          <w:rtl/>
        </w:rPr>
        <w:t xml:space="preserve"> (להלן: "הנשק"). האחר הסכים ואמר לנאשם כי מחיר הנשק הוא  60,000 ש"ח.  הנאשם שילם לאחר 20,000 ₪ וסוכם כי את יתרת הסכום ישלם הנאשם בתשלומים חודשיים של 2,000 ₪. הנאשם קיבל מהאחר את הנשק ביחד עם שתי מחסניות וכדורים והחזיק אותם במקום מסתור סמוך לבית מגוריו. בהזדמנות מסוימת במהלך שנת 2016, לקח הנאשם את הנשק למקום בו נערכה חתונה, וביצע באמצעותו ירי בחתונה, בסמוך לאזור מגורים. בתאריך 29.08.16 בשעות הבוקר, נערך חיפוש בביתו ובחצרו של הנאשם ונתפסו הנשק, שתי מחסניות עם כדורי 9 מ"מ, ו- 26 כדורי נשק 9 מ"מ. </w:t>
      </w:r>
    </w:p>
    <w:p w14:paraId="24F1C1E9" w14:textId="77777777" w:rsidR="00EE27EB" w:rsidRDefault="00EE27EB" w:rsidP="00EE27EB">
      <w:pPr>
        <w:spacing w:line="360" w:lineRule="auto"/>
        <w:ind w:left="720" w:hanging="720"/>
        <w:jc w:val="both"/>
        <w:rPr>
          <w:rtl/>
        </w:rPr>
      </w:pPr>
      <w:bookmarkStart w:id="6" w:name="ABSTRACT_END"/>
      <w:bookmarkEnd w:id="6"/>
      <w:r>
        <w:rPr>
          <w:rFonts w:hint="cs"/>
          <w:rtl/>
        </w:rPr>
        <w:tab/>
      </w:r>
    </w:p>
    <w:p w14:paraId="69A8DEDC" w14:textId="77777777" w:rsidR="00EE27EB" w:rsidRDefault="00EE27EB" w:rsidP="00EE27EB">
      <w:pPr>
        <w:spacing w:line="360" w:lineRule="auto"/>
        <w:ind w:left="720" w:hanging="720"/>
        <w:jc w:val="both"/>
        <w:rPr>
          <w:rtl/>
        </w:rPr>
      </w:pPr>
      <w:r>
        <w:rPr>
          <w:rFonts w:hint="cs"/>
          <w:rtl/>
        </w:rPr>
        <w:tab/>
        <w:t xml:space="preserve">במהלך חודש מרץ 2016, אדם בשם מאלק ביקש מהנאשם הלוואה כספית בסך 20,000 ₪. הנאשם נעתר לבקשה וביקש ממאלק שיעביר אליו אקדח, כפיקדון. בהמשך, הנאשם נתן למאלק 20,000 ₪ וקיבל ממנו אקדח 14 מ"מ. לאחר כחודשיים, מאלק החזיר את ההלוואה לנאשם והנאשם השיב לו את האקדח. </w:t>
      </w:r>
    </w:p>
    <w:p w14:paraId="0E7A8840" w14:textId="77777777" w:rsidR="00EE27EB" w:rsidRDefault="00EE27EB" w:rsidP="00EE27EB">
      <w:pPr>
        <w:spacing w:line="360" w:lineRule="auto"/>
        <w:ind w:left="720" w:hanging="720"/>
        <w:jc w:val="both"/>
        <w:rPr>
          <w:rtl/>
        </w:rPr>
      </w:pPr>
    </w:p>
    <w:p w14:paraId="0DC9A910" w14:textId="77777777" w:rsidR="00EE27EB" w:rsidRDefault="00EE27EB" w:rsidP="00EE27EB">
      <w:pPr>
        <w:spacing w:line="360" w:lineRule="auto"/>
        <w:ind w:left="720"/>
        <w:jc w:val="both"/>
        <w:rPr>
          <w:rtl/>
        </w:rPr>
      </w:pPr>
      <w:r>
        <w:rPr>
          <w:rFonts w:hint="cs"/>
          <w:rtl/>
        </w:rPr>
        <w:t>במהלך חודש אפריל 2016, פנה הנאשם לאחר תושב רהט וביקש ממנו כדורים לאקדח 14 מ"מ. האחר הסכים ומכר לנאשם 40 קופסאות כדורים בתמורה לסך של 8,000 ₪. סמוך לאחר מכן הנאשם מכר את הכדורים למאלק תמורת 8,000 ₪.</w:t>
      </w:r>
    </w:p>
    <w:p w14:paraId="0C678BEE" w14:textId="77777777" w:rsidR="00EE27EB" w:rsidRDefault="00EE27EB" w:rsidP="00EE27EB">
      <w:pPr>
        <w:spacing w:line="360" w:lineRule="auto"/>
        <w:ind w:left="720" w:hanging="720"/>
        <w:jc w:val="both"/>
        <w:rPr>
          <w:rtl/>
        </w:rPr>
      </w:pPr>
      <w:r>
        <w:rPr>
          <w:rFonts w:hint="cs"/>
          <w:rtl/>
        </w:rPr>
        <w:tab/>
      </w:r>
    </w:p>
    <w:p w14:paraId="7B6FD704" w14:textId="77777777" w:rsidR="00EE27EB" w:rsidRDefault="00EE27EB" w:rsidP="00EE27EB">
      <w:pPr>
        <w:spacing w:line="360" w:lineRule="auto"/>
        <w:ind w:left="720" w:hanging="720"/>
        <w:jc w:val="both"/>
        <w:rPr>
          <w:rtl/>
        </w:rPr>
      </w:pPr>
      <w:r>
        <w:rPr>
          <w:rFonts w:hint="cs"/>
          <w:rtl/>
        </w:rPr>
        <w:lastRenderedPageBreak/>
        <w:t>2.</w:t>
      </w:r>
      <w:r>
        <w:rPr>
          <w:rFonts w:hint="cs"/>
          <w:rtl/>
        </w:rPr>
        <w:tab/>
        <w:t xml:space="preserve">הנאשם הודה בעובדות הנ"ל והורשע בעבירות של, רכישה והחזקת נשק, לפי </w:t>
      </w:r>
      <w:hyperlink r:id="rId11" w:history="1">
        <w:r w:rsidR="003212D1" w:rsidRPr="003212D1">
          <w:rPr>
            <w:color w:val="0000FF"/>
            <w:u w:val="single"/>
            <w:rtl/>
          </w:rPr>
          <w:t>סעיף 144(א)</w:t>
        </w:r>
      </w:hyperlink>
      <w:r>
        <w:rPr>
          <w:rFonts w:hint="cs"/>
          <w:rtl/>
        </w:rPr>
        <w:t xml:space="preserve"> ל</w:t>
      </w:r>
      <w:hyperlink r:id="rId12" w:history="1">
        <w:r w:rsidR="008376CC" w:rsidRPr="008376CC">
          <w:rPr>
            <w:color w:val="0000FF"/>
            <w:u w:val="single"/>
            <w:rtl/>
          </w:rPr>
          <w:t>חוק העונשין</w:t>
        </w:r>
      </w:hyperlink>
      <w:r>
        <w:rPr>
          <w:rFonts w:hint="cs"/>
          <w:rtl/>
        </w:rPr>
        <w:t xml:space="preserve"> תשל"ז-1977 (להלן: "חוק העונשין"); נשיאה והחזקת נשק, שתי עבירות, לפי סעיף </w:t>
      </w:r>
      <w:hyperlink r:id="rId13" w:history="1">
        <w:r w:rsidR="003212D1" w:rsidRPr="003212D1">
          <w:rPr>
            <w:color w:val="0000FF"/>
            <w:u w:val="single"/>
            <w:rtl/>
          </w:rPr>
          <w:t>144 (ב)</w:t>
        </w:r>
      </w:hyperlink>
      <w:r>
        <w:rPr>
          <w:rFonts w:hint="cs"/>
          <w:rtl/>
        </w:rPr>
        <w:t xml:space="preserve"> לחוק העונשין; ירי באזור מגורים, לפי סעיף </w:t>
      </w:r>
      <w:hyperlink r:id="rId14" w:history="1">
        <w:r w:rsidR="003212D1" w:rsidRPr="003212D1">
          <w:rPr>
            <w:color w:val="0000FF"/>
            <w:u w:val="single"/>
            <w:rtl/>
          </w:rPr>
          <w:t>340 א'</w:t>
        </w:r>
      </w:hyperlink>
      <w:r>
        <w:rPr>
          <w:rFonts w:hint="cs"/>
          <w:rtl/>
        </w:rPr>
        <w:t xml:space="preserve"> לחוק העונשין; וסחר בנשק, לפי סעיף </w:t>
      </w:r>
      <w:hyperlink r:id="rId15" w:history="1">
        <w:r w:rsidR="003212D1" w:rsidRPr="003212D1">
          <w:rPr>
            <w:color w:val="0000FF"/>
            <w:u w:val="single"/>
            <w:rtl/>
          </w:rPr>
          <w:t>144 (ב2)</w:t>
        </w:r>
      </w:hyperlink>
      <w:r>
        <w:rPr>
          <w:rFonts w:hint="cs"/>
          <w:rtl/>
        </w:rPr>
        <w:t xml:space="preserve"> לחוק העונשין.</w:t>
      </w:r>
    </w:p>
    <w:p w14:paraId="0C989F14" w14:textId="77777777" w:rsidR="00EE27EB" w:rsidRDefault="00EE27EB" w:rsidP="00EE27EB">
      <w:pPr>
        <w:spacing w:line="360" w:lineRule="auto"/>
        <w:ind w:left="720" w:hanging="720"/>
        <w:jc w:val="both"/>
        <w:rPr>
          <w:rtl/>
        </w:rPr>
      </w:pPr>
    </w:p>
    <w:p w14:paraId="561B8806" w14:textId="77777777" w:rsidR="00EE27EB" w:rsidRDefault="00EE27EB" w:rsidP="00EE27EB">
      <w:pPr>
        <w:spacing w:line="360" w:lineRule="auto"/>
        <w:ind w:left="720" w:hanging="720"/>
        <w:jc w:val="both"/>
        <w:rPr>
          <w:rtl/>
        </w:rPr>
      </w:pPr>
      <w:r>
        <w:rPr>
          <w:rFonts w:hint="cs"/>
          <w:rtl/>
        </w:rPr>
        <w:t>3.</w:t>
      </w:r>
      <w:r>
        <w:rPr>
          <w:rFonts w:hint="cs"/>
          <w:rtl/>
        </w:rPr>
        <w:tab/>
        <w:t xml:space="preserve">תחילה, ההסדר לא כלל הסכמה עונשית, ובשל גילו של הנאשם בזמן ביצוע העבירות, נתבקש עליו תסקיר שירות מבחן. </w:t>
      </w:r>
    </w:p>
    <w:p w14:paraId="793E2C23" w14:textId="77777777" w:rsidR="00EE27EB" w:rsidRDefault="00EE27EB" w:rsidP="00EE27EB">
      <w:pPr>
        <w:spacing w:line="360" w:lineRule="auto"/>
        <w:ind w:left="720" w:hanging="720"/>
        <w:jc w:val="both"/>
        <w:rPr>
          <w:rtl/>
        </w:rPr>
      </w:pPr>
    </w:p>
    <w:p w14:paraId="61303260" w14:textId="77777777" w:rsidR="00EE27EB" w:rsidRDefault="00EE27EB" w:rsidP="00EE27EB">
      <w:pPr>
        <w:spacing w:line="360" w:lineRule="auto"/>
        <w:ind w:left="720" w:hanging="720"/>
        <w:jc w:val="both"/>
        <w:rPr>
          <w:rtl/>
        </w:rPr>
      </w:pPr>
      <w:r>
        <w:rPr>
          <w:rFonts w:hint="cs"/>
          <w:rtl/>
        </w:rPr>
        <w:tab/>
        <w:t xml:space="preserve">שירות המבחן הכין תסקיר על הנאשם ממנו עולה כי הנאשם בן 22, רווק. נעדר עבר פלילי. הוא הודה בעבירות ולקח אחריות על ביצוען. הסביר כי ביצע את העבירות על מנת להיטיב את מצבה הכלכלי של משפחתו. שירות המבחן שקל את גורמי הסיכוי והסיכון של הנאשם והתרשם כי קיים סיכון להישנות התנהגות עוברת חוק. והמליץ להטיל על הנאשם ענישה מוחשית. </w:t>
      </w:r>
    </w:p>
    <w:p w14:paraId="110969DD" w14:textId="77777777" w:rsidR="00EE27EB" w:rsidRDefault="00EE27EB" w:rsidP="00EE27EB">
      <w:pPr>
        <w:spacing w:line="360" w:lineRule="auto"/>
        <w:jc w:val="both"/>
        <w:rPr>
          <w:rtl/>
        </w:rPr>
      </w:pPr>
    </w:p>
    <w:p w14:paraId="312F06B9" w14:textId="77777777" w:rsidR="00EE27EB" w:rsidRDefault="00EE27EB" w:rsidP="00EE27EB">
      <w:pPr>
        <w:spacing w:line="360" w:lineRule="auto"/>
        <w:ind w:left="720" w:hanging="720"/>
        <w:jc w:val="both"/>
        <w:rPr>
          <w:rtl/>
        </w:rPr>
      </w:pPr>
      <w:r>
        <w:rPr>
          <w:rFonts w:hint="cs"/>
          <w:rtl/>
        </w:rPr>
        <w:t>4.</w:t>
      </w:r>
      <w:r>
        <w:rPr>
          <w:rFonts w:hint="cs"/>
          <w:rtl/>
        </w:rPr>
        <w:tab/>
        <w:t xml:space="preserve">בפתח הדיון היום, הודיעו הצדדים כי הגיעו להסכמה לפיה ימליצו לבית המשפט להטיל  על הנאשם 40 חודשי מאסר בפועל מיום מעצרו, מאסר על תנאי וקנס, וכי כלי הנשק שנתפסו, יחולטו. </w:t>
      </w:r>
    </w:p>
    <w:p w14:paraId="7421ACF6" w14:textId="77777777" w:rsidR="00EE27EB" w:rsidRDefault="00EE27EB" w:rsidP="00EE27EB">
      <w:pPr>
        <w:spacing w:line="360" w:lineRule="auto"/>
        <w:ind w:left="720" w:hanging="720"/>
        <w:jc w:val="both"/>
        <w:rPr>
          <w:rtl/>
        </w:rPr>
      </w:pPr>
    </w:p>
    <w:p w14:paraId="4AF55DB1" w14:textId="77777777" w:rsidR="00EE27EB" w:rsidRDefault="00EE27EB" w:rsidP="00EE27EB">
      <w:pPr>
        <w:spacing w:line="360" w:lineRule="auto"/>
        <w:ind w:left="720" w:hanging="720"/>
        <w:jc w:val="both"/>
        <w:rPr>
          <w:rFonts w:ascii="David" w:hAnsi="David"/>
          <w:rtl/>
        </w:rPr>
      </w:pPr>
      <w:r>
        <w:rPr>
          <w:rFonts w:hint="cs"/>
          <w:rtl/>
        </w:rPr>
        <w:t>5.</w:t>
      </w:r>
      <w:r>
        <w:rPr>
          <w:rFonts w:hint="cs"/>
          <w:rtl/>
        </w:rPr>
        <w:tab/>
        <w:t xml:space="preserve">התביעה טענה, כי הערכים המוגנים בעבירות הנשק הם בעיקר בטחון המדינה ובטחון הציבור, וכי חומרת מעשי הנאשם רבה. עתרה לקבל את הסדר הטיעון וביקשה להטיל על הנאשם קנס גבוה, בהתחשב בכך שחלק מהעבירות בוצעו ממניע כלכלי. </w:t>
      </w:r>
    </w:p>
    <w:p w14:paraId="421820BF" w14:textId="77777777" w:rsidR="00EE27EB" w:rsidRDefault="00EE27EB" w:rsidP="00EE27EB">
      <w:pPr>
        <w:spacing w:line="360" w:lineRule="auto"/>
        <w:jc w:val="both"/>
        <w:rPr>
          <w:rtl/>
        </w:rPr>
      </w:pPr>
    </w:p>
    <w:p w14:paraId="32AD2A3C" w14:textId="77777777" w:rsidR="00EE27EB" w:rsidRDefault="00EE27EB" w:rsidP="00EE27EB">
      <w:pPr>
        <w:spacing w:line="360" w:lineRule="auto"/>
        <w:ind w:left="720" w:hanging="720"/>
        <w:jc w:val="both"/>
        <w:rPr>
          <w:rtl/>
        </w:rPr>
      </w:pPr>
      <w:r>
        <w:rPr>
          <w:rFonts w:hint="cs"/>
          <w:rtl/>
        </w:rPr>
        <w:t>6.</w:t>
      </w:r>
      <w:r>
        <w:rPr>
          <w:rFonts w:hint="cs"/>
          <w:rtl/>
        </w:rPr>
        <w:tab/>
        <w:t xml:space="preserve">ב"כ ביקש לכבד את המלצת הצדדים והוסיף, כי הנאשם בן 22 ללא עבר פלילי. זהו מאסרו הראשון. והוא הודה בהזדמנות הראשונה. אשר לקנס, ציין, כי הנאשם קיבל תמורת הכדורים תשלום של 8,000 ₪ בלבד. הוא בן למשפחה מרובת ילדים ומצבה הכלכלי של משפחתו מורכב. </w:t>
      </w:r>
    </w:p>
    <w:p w14:paraId="383A1A63" w14:textId="77777777" w:rsidR="00EE27EB" w:rsidRDefault="00EE27EB" w:rsidP="00EE27EB">
      <w:pPr>
        <w:spacing w:line="360" w:lineRule="auto"/>
        <w:ind w:left="720" w:hanging="720"/>
        <w:jc w:val="both"/>
        <w:rPr>
          <w:rtl/>
        </w:rPr>
      </w:pPr>
    </w:p>
    <w:p w14:paraId="28131298" w14:textId="77777777" w:rsidR="00EE27EB" w:rsidRDefault="00EE27EB" w:rsidP="00EE27EB">
      <w:pPr>
        <w:spacing w:line="360" w:lineRule="auto"/>
        <w:ind w:left="720" w:hanging="720"/>
        <w:jc w:val="both"/>
        <w:rPr>
          <w:rtl/>
        </w:rPr>
      </w:pPr>
      <w:r>
        <w:rPr>
          <w:rFonts w:hint="cs"/>
          <w:rtl/>
        </w:rPr>
        <w:t>7.</w:t>
      </w:r>
      <w:r>
        <w:rPr>
          <w:rFonts w:hint="cs"/>
          <w:rtl/>
        </w:rPr>
        <w:tab/>
        <w:t xml:space="preserve">הנאשם הביע צער על מעשיו. </w:t>
      </w:r>
    </w:p>
    <w:p w14:paraId="7EBD27C2" w14:textId="77777777" w:rsidR="00EE27EB" w:rsidRDefault="00EE27EB" w:rsidP="00EE27EB">
      <w:pPr>
        <w:spacing w:line="360" w:lineRule="auto"/>
        <w:ind w:left="720" w:hanging="720"/>
        <w:jc w:val="both"/>
        <w:rPr>
          <w:rtl/>
        </w:rPr>
      </w:pPr>
    </w:p>
    <w:p w14:paraId="39AB35D0" w14:textId="77777777" w:rsidR="00EE27EB" w:rsidRDefault="00EE27EB" w:rsidP="00EE27EB">
      <w:pPr>
        <w:spacing w:line="360" w:lineRule="auto"/>
        <w:ind w:left="720" w:hanging="720"/>
        <w:jc w:val="both"/>
        <w:rPr>
          <w:rtl/>
        </w:rPr>
      </w:pPr>
      <w:r>
        <w:rPr>
          <w:rFonts w:hint="cs"/>
          <w:rtl/>
        </w:rPr>
        <w:t>8.</w:t>
      </w:r>
      <w:r>
        <w:rPr>
          <w:rFonts w:hint="cs"/>
          <w:rtl/>
        </w:rPr>
        <w:tab/>
        <w:t xml:space="preserve">נשק הוא כלי מסוכן. החזקתו על ידי מי שאינו מורשה ואינו מוכשר לכך, מסוכנת למחזיק, לסביבתו ולחברה בכללה. הוא עלול לשמש לביצוע עבירות פליליות ועלול לשמש לפעילות חבלנית עוינת. לא לחינם החזקתו מחייבת רישוי, שקודמות לו בדיקות שונות והכשרה מיוחדת. יש לחברה ענין רב בצמצום מספר כלי הנשק המוחזקים שלא כדין ואחת הדרכים להשיג מטרה חשובה זו הינה ענישה משמעותית ומרתיעה.  </w:t>
      </w:r>
    </w:p>
    <w:p w14:paraId="783C3B9C" w14:textId="77777777" w:rsidR="00EE27EB" w:rsidRDefault="00EE27EB" w:rsidP="00EE27EB">
      <w:pPr>
        <w:spacing w:line="360" w:lineRule="auto"/>
        <w:ind w:left="720" w:hanging="720"/>
        <w:jc w:val="both"/>
        <w:rPr>
          <w:rtl/>
        </w:rPr>
      </w:pPr>
    </w:p>
    <w:p w14:paraId="39C7C1B7" w14:textId="77777777" w:rsidR="00EE27EB" w:rsidRDefault="00EE27EB" w:rsidP="00EE27EB">
      <w:pPr>
        <w:spacing w:line="360" w:lineRule="auto"/>
        <w:ind w:left="720" w:hanging="720"/>
        <w:jc w:val="both"/>
        <w:rPr>
          <w:rtl/>
          <w:lang w:eastAsia="he-IL"/>
        </w:rPr>
      </w:pPr>
      <w:r>
        <w:rPr>
          <w:rFonts w:hint="cs"/>
          <w:rtl/>
        </w:rPr>
        <w:lastRenderedPageBreak/>
        <w:t>9.</w:t>
      </w:r>
      <w:r>
        <w:rPr>
          <w:rFonts w:hint="cs"/>
          <w:rtl/>
        </w:rPr>
        <w:tab/>
        <w:t xml:space="preserve">התופעה של ירי באירועי שמחה, הקיימת באזורנו, במגזר הבדואי, חמורה ומסוכנת. כל בר דעת יודע שירי מנשק בסביבה בה נמצאים אנשים, עלול לפגוע בבני אדם, לפצוע ואף להרוג. ירי כביטוי של שמחה הוא דבר מעוות ופסול ויש לגנותו חברתית ומוסרית, להילחם בו בכל הכלים ולהוקיעו. בית המשפט מצווה לתרום את תרומתו בנושא בדרך של הטלת ענישה חמורה, הכוללת מאסר בפועל לתקופה משמעותית. </w:t>
      </w:r>
    </w:p>
    <w:p w14:paraId="3F5F4EA4" w14:textId="77777777" w:rsidR="00EE27EB" w:rsidRDefault="00EE27EB" w:rsidP="00EE27EB">
      <w:pPr>
        <w:spacing w:line="360" w:lineRule="auto"/>
        <w:ind w:left="720" w:hanging="720"/>
        <w:jc w:val="both"/>
        <w:rPr>
          <w:rtl/>
          <w:lang w:eastAsia="he-IL"/>
        </w:rPr>
      </w:pPr>
    </w:p>
    <w:p w14:paraId="4658B628" w14:textId="77777777" w:rsidR="00EE27EB" w:rsidRDefault="00EE27EB" w:rsidP="00EE27EB">
      <w:pPr>
        <w:spacing w:line="360" w:lineRule="auto"/>
        <w:ind w:left="720" w:hanging="720"/>
        <w:jc w:val="both"/>
        <w:rPr>
          <w:rtl/>
        </w:rPr>
      </w:pPr>
      <w:r>
        <w:rPr>
          <w:rFonts w:hint="cs"/>
          <w:rtl/>
        </w:rPr>
        <w:t>10.</w:t>
      </w:r>
      <w:r>
        <w:rPr>
          <w:rFonts w:hint="cs"/>
          <w:rtl/>
        </w:rPr>
        <w:tab/>
        <w:t xml:space="preserve">בגזירת עונשו של הנאשם אני מביא בחשבון את גילו הצעיר, את עברו הנקי, את העובדה שזהו מאסרו הראשון ואת שיתוף הפעולה שלו עם גורמי החקירה והודאתו בבית המשפט בשלב מוקדם. </w:t>
      </w:r>
    </w:p>
    <w:p w14:paraId="5450E86F" w14:textId="77777777" w:rsidR="00EE27EB" w:rsidRDefault="00EE27EB" w:rsidP="00EE27EB">
      <w:pPr>
        <w:spacing w:line="360" w:lineRule="auto"/>
        <w:ind w:left="720" w:hanging="720"/>
        <w:jc w:val="both"/>
        <w:rPr>
          <w:rtl/>
        </w:rPr>
      </w:pPr>
    </w:p>
    <w:p w14:paraId="3EF1C43D" w14:textId="77777777" w:rsidR="00EE27EB" w:rsidRDefault="00EE27EB" w:rsidP="00EE27EB">
      <w:pPr>
        <w:spacing w:line="360" w:lineRule="auto"/>
        <w:ind w:left="720" w:hanging="720"/>
        <w:jc w:val="both"/>
        <w:rPr>
          <w:rtl/>
        </w:rPr>
      </w:pPr>
      <w:r>
        <w:rPr>
          <w:rFonts w:hint="cs"/>
          <w:rtl/>
        </w:rPr>
        <w:t>11.</w:t>
      </w:r>
      <w:r>
        <w:rPr>
          <w:rFonts w:hint="cs"/>
          <w:rtl/>
        </w:rPr>
        <w:tab/>
        <w:t xml:space="preserve">עונש המאסר המומלץ על ידי הצדדים הוא לתקופה משמעותית והוא הולם את הנסיבות הכוללות. </w:t>
      </w:r>
    </w:p>
    <w:p w14:paraId="5C0230CD" w14:textId="77777777" w:rsidR="00EE27EB" w:rsidRDefault="00EE27EB" w:rsidP="00EE27EB">
      <w:pPr>
        <w:spacing w:line="360" w:lineRule="auto"/>
        <w:ind w:left="720" w:hanging="720"/>
        <w:jc w:val="both"/>
        <w:rPr>
          <w:rtl/>
        </w:rPr>
      </w:pPr>
    </w:p>
    <w:p w14:paraId="5B16FDBD" w14:textId="77777777" w:rsidR="00EE27EB" w:rsidRDefault="00EE27EB" w:rsidP="00EE27EB">
      <w:pPr>
        <w:spacing w:line="360" w:lineRule="auto"/>
        <w:ind w:left="720" w:hanging="720"/>
        <w:jc w:val="both"/>
        <w:rPr>
          <w:rtl/>
        </w:rPr>
      </w:pPr>
      <w:r>
        <w:rPr>
          <w:rFonts w:hint="cs"/>
          <w:rtl/>
        </w:rPr>
        <w:t>12.</w:t>
      </w:r>
      <w:r>
        <w:rPr>
          <w:rFonts w:hint="cs"/>
          <w:rtl/>
        </w:rPr>
        <w:tab/>
        <w:t xml:space="preserve">באשר לקנס, צודקת התביעה כי בעבירות המבוצעות לשם השגת רווח כספי ראוי להטיל קנס בהתאם. אולם במקרה זה, כמתואר בכתב האישום המתוקן, מעשי הנאשם לא היו על רקע כלכלי מובהק. באישום הראשון, הנאשם רכש נשק ולא ביצע בו כל עסקה אחרת, ובאישום השני, הנאשם רכש כדורי אקדח במחיר מסוים וכעבור זמן מה הוא מכר אותם לאחר באותו מחיר. </w:t>
      </w:r>
    </w:p>
    <w:p w14:paraId="1C1130A0" w14:textId="77777777" w:rsidR="00EE27EB" w:rsidRDefault="00EE27EB" w:rsidP="00EE27EB">
      <w:pPr>
        <w:spacing w:line="360" w:lineRule="auto"/>
        <w:ind w:left="720" w:hanging="720"/>
        <w:jc w:val="both"/>
        <w:rPr>
          <w:b/>
          <w:rtl/>
          <w:lang w:eastAsia="he-IL"/>
        </w:rPr>
      </w:pPr>
    </w:p>
    <w:p w14:paraId="5A83325B" w14:textId="77777777" w:rsidR="00EE27EB" w:rsidRDefault="00EE27EB" w:rsidP="00EE27EB">
      <w:pPr>
        <w:spacing w:line="360" w:lineRule="auto"/>
        <w:jc w:val="both"/>
        <w:rPr>
          <w:rFonts w:ascii="FrankRuehl" w:hAnsi="FrankRuehl"/>
          <w:color w:val="000000"/>
          <w:rtl/>
          <w:lang w:eastAsia="he-IL"/>
        </w:rPr>
      </w:pPr>
      <w:r>
        <w:rPr>
          <w:rFonts w:ascii="FrankRuehl" w:hAnsi="FrankRuehl" w:hint="cs"/>
          <w:color w:val="000000"/>
          <w:rtl/>
          <w:lang w:eastAsia="he-IL"/>
        </w:rPr>
        <w:t>13.</w:t>
      </w:r>
      <w:r>
        <w:rPr>
          <w:rFonts w:ascii="FrankRuehl" w:hAnsi="FrankRuehl" w:hint="cs"/>
          <w:color w:val="000000"/>
          <w:rtl/>
          <w:lang w:eastAsia="he-IL"/>
        </w:rPr>
        <w:tab/>
        <w:t>נוכח כל האמור, אני מטיל על הנאשם את העונשים הבאים:</w:t>
      </w:r>
    </w:p>
    <w:p w14:paraId="762FAACA" w14:textId="77777777" w:rsidR="00EE27EB" w:rsidRDefault="00EE27EB" w:rsidP="00EE27EB">
      <w:pPr>
        <w:spacing w:line="360" w:lineRule="auto"/>
        <w:jc w:val="both"/>
        <w:rPr>
          <w:rFonts w:ascii="FrankRuehl" w:hAnsi="FrankRuehl"/>
          <w:color w:val="000000"/>
          <w:rtl/>
          <w:lang w:eastAsia="he-IL"/>
        </w:rPr>
      </w:pPr>
    </w:p>
    <w:p w14:paraId="1DB81081" w14:textId="77777777" w:rsidR="00EE27EB" w:rsidRDefault="00EE27EB" w:rsidP="00EE27E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א.</w:t>
      </w:r>
      <w:r>
        <w:rPr>
          <w:rFonts w:ascii="FrankRuehl" w:hAnsi="FrankRuehl" w:hint="cs"/>
          <w:color w:val="000000"/>
          <w:rtl/>
          <w:lang w:eastAsia="he-IL"/>
        </w:rPr>
        <w:tab/>
        <w:t xml:space="preserve">40 חודשי מאסר בפועל, מיום מעצרו. </w:t>
      </w:r>
    </w:p>
    <w:p w14:paraId="395DE7ED" w14:textId="77777777" w:rsidR="00EE27EB" w:rsidRDefault="00EE27EB" w:rsidP="00EE27E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 xml:space="preserve">ב. </w:t>
      </w:r>
      <w:r>
        <w:rPr>
          <w:rFonts w:ascii="FrankRuehl" w:hAnsi="FrankRuehl" w:hint="cs"/>
          <w:color w:val="000000"/>
          <w:rtl/>
          <w:lang w:eastAsia="he-IL"/>
        </w:rPr>
        <w:tab/>
        <w:t xml:space="preserve">12 חודשי מאסר על תנאי למשך 3 שנים מיום שחרורו מהמאסר, שלא יעבור עבירת נשק שהיא פשע. </w:t>
      </w:r>
    </w:p>
    <w:p w14:paraId="62973860" w14:textId="77777777" w:rsidR="00EE27EB" w:rsidRDefault="00EE27EB" w:rsidP="00EE27E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 xml:space="preserve">ג. </w:t>
      </w:r>
      <w:r>
        <w:rPr>
          <w:rFonts w:ascii="FrankRuehl" w:hAnsi="FrankRuehl" w:hint="cs"/>
          <w:color w:val="000000"/>
          <w:rtl/>
          <w:lang w:eastAsia="he-IL"/>
        </w:rPr>
        <w:tab/>
        <w:t xml:space="preserve">קנס בסך 7,500 ₪ או חודש מאסר תחתיו. </w:t>
      </w:r>
    </w:p>
    <w:p w14:paraId="5E5AAD70" w14:textId="77777777" w:rsidR="00EE27EB" w:rsidRDefault="00EE27EB" w:rsidP="00EE27E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ד.</w:t>
      </w:r>
      <w:r>
        <w:rPr>
          <w:rFonts w:ascii="FrankRuehl" w:hAnsi="FrankRuehl" w:hint="cs"/>
          <w:color w:val="000000"/>
          <w:rtl/>
          <w:lang w:eastAsia="he-IL"/>
        </w:rPr>
        <w:tab/>
        <w:t xml:space="preserve">כלי הנשק והתחמושת שנתפסו, יחולטו לטובת המדינה. </w:t>
      </w:r>
    </w:p>
    <w:p w14:paraId="57BC9779" w14:textId="77777777" w:rsidR="00EE27EB" w:rsidRDefault="00EE27EB" w:rsidP="00EE27EB">
      <w:pPr>
        <w:spacing w:line="360" w:lineRule="auto"/>
        <w:ind w:left="1440" w:hanging="720"/>
        <w:jc w:val="both"/>
        <w:rPr>
          <w:rFonts w:ascii="FrankRuehl" w:hAnsi="FrankRuehl"/>
          <w:color w:val="000000"/>
          <w:rtl/>
          <w:lang w:eastAsia="he-IL"/>
        </w:rPr>
      </w:pPr>
    </w:p>
    <w:p w14:paraId="790BEB79" w14:textId="77777777" w:rsidR="00EE27EB" w:rsidRDefault="00EE27EB" w:rsidP="00EE27EB">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זכות ערעור תוך 45 יום.</w:t>
      </w:r>
    </w:p>
    <w:p w14:paraId="59557E16" w14:textId="77777777" w:rsidR="00EE27EB" w:rsidRDefault="00EE27EB" w:rsidP="00EE27EB">
      <w:pPr>
        <w:spacing w:line="360" w:lineRule="auto"/>
        <w:jc w:val="both"/>
        <w:rPr>
          <w:rFonts w:ascii="David" w:eastAsia="David" w:hAnsi="David"/>
          <w:rtl/>
        </w:rPr>
      </w:pPr>
    </w:p>
    <w:p w14:paraId="3FD2F905" w14:textId="77777777" w:rsidR="00EE27EB" w:rsidRPr="00B05847" w:rsidRDefault="00EE27EB" w:rsidP="00EE27EB">
      <w:pPr>
        <w:jc w:val="both"/>
        <w:rPr>
          <w:rtl/>
        </w:rPr>
      </w:pPr>
    </w:p>
    <w:p w14:paraId="1BA8054B" w14:textId="77777777" w:rsidR="00EE27EB" w:rsidRPr="00B05847" w:rsidRDefault="00EE27EB" w:rsidP="00EE27EB">
      <w:pPr>
        <w:rPr>
          <w:rtl/>
        </w:rPr>
      </w:pPr>
    </w:p>
    <w:p w14:paraId="17DFC4DF" w14:textId="77777777" w:rsidR="00EE27EB" w:rsidRPr="00B05847" w:rsidRDefault="00EE27EB" w:rsidP="00EE27EB">
      <w:pPr>
        <w:rPr>
          <w:rtl/>
        </w:rPr>
      </w:pPr>
    </w:p>
    <w:p w14:paraId="7E906272" w14:textId="77777777" w:rsidR="00EE27EB" w:rsidRPr="008376CC" w:rsidRDefault="008376CC" w:rsidP="00EE27EB">
      <w:pPr>
        <w:rPr>
          <w:color w:val="FFFFFF"/>
          <w:sz w:val="2"/>
          <w:szCs w:val="2"/>
          <w:rtl/>
        </w:rPr>
      </w:pPr>
      <w:r w:rsidRPr="008376CC">
        <w:rPr>
          <w:color w:val="FFFFFF"/>
          <w:sz w:val="2"/>
          <w:szCs w:val="2"/>
          <w:rtl/>
        </w:rPr>
        <w:t>5129371</w:t>
      </w:r>
    </w:p>
    <w:p w14:paraId="041D9B8A" w14:textId="77777777" w:rsidR="00EE27EB" w:rsidRDefault="008376CC" w:rsidP="00EE27EB">
      <w:pPr>
        <w:rPr>
          <w:rFonts w:cs="FrankRuehl"/>
          <w:sz w:val="28"/>
          <w:szCs w:val="28"/>
          <w:rtl/>
        </w:rPr>
      </w:pPr>
      <w:r w:rsidRPr="008376CC">
        <w:rPr>
          <w:rFonts w:ascii="Arial" w:hAnsi="Arial"/>
          <w:color w:val="FFFFFF"/>
          <w:sz w:val="2"/>
          <w:szCs w:val="2"/>
          <w:rtl/>
        </w:rPr>
        <w:t>54678313</w:t>
      </w:r>
      <w:r>
        <w:rPr>
          <w:rFonts w:ascii="Arial" w:hAnsi="Arial"/>
          <w:rtl/>
        </w:rPr>
        <w:t xml:space="preserve">ניתן היום,  כ"א אלול תשע"ז, 12 ספטמבר 2017, בהעדר הצדדים. </w:t>
      </w:r>
    </w:p>
    <w:p w14:paraId="7EE4B4CD" w14:textId="77777777" w:rsidR="00EE27EB" w:rsidRDefault="00EE27EB" w:rsidP="00EE27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6F91B1A" w14:textId="77777777" w:rsidR="00EE27EB" w:rsidRDefault="00EE27EB" w:rsidP="00EE27EB">
      <w:pPr>
        <w:jc w:val="center"/>
        <w:rPr>
          <w:rFonts w:ascii="Arial" w:hAnsi="Arial" w:cs="FrankRuehl"/>
          <w:sz w:val="28"/>
          <w:szCs w:val="28"/>
          <w:rtl/>
        </w:rPr>
      </w:pPr>
    </w:p>
    <w:p w14:paraId="3D918D63" w14:textId="77777777" w:rsidR="00EE27EB" w:rsidRDefault="00EE27EB" w:rsidP="00EE27EB">
      <w:pPr>
        <w:rPr>
          <w:rFonts w:cs="FrankRuehl"/>
          <w:sz w:val="28"/>
          <w:szCs w:val="28"/>
          <w:rtl/>
        </w:rPr>
      </w:pPr>
    </w:p>
    <w:p w14:paraId="13E9D9BF" w14:textId="77777777" w:rsidR="00EE27EB" w:rsidRDefault="00EE27EB" w:rsidP="00EE27EB">
      <w:pPr>
        <w:pStyle w:val="a3"/>
        <w:jc w:val="center"/>
        <w:rPr>
          <w:rtl/>
        </w:rPr>
      </w:pPr>
    </w:p>
    <w:p w14:paraId="0D533281" w14:textId="77777777" w:rsidR="002D7B2F" w:rsidRPr="008376CC" w:rsidRDefault="002D7B2F" w:rsidP="008376CC">
      <w:pPr>
        <w:keepNext/>
        <w:rPr>
          <w:rFonts w:ascii="David" w:hAnsi="David"/>
          <w:color w:val="000000"/>
          <w:sz w:val="22"/>
          <w:szCs w:val="22"/>
          <w:rtl/>
        </w:rPr>
      </w:pPr>
    </w:p>
    <w:p w14:paraId="4BC54898" w14:textId="77777777" w:rsidR="008376CC" w:rsidRPr="008376CC" w:rsidRDefault="008376CC" w:rsidP="008376CC">
      <w:pPr>
        <w:keepNext/>
        <w:rPr>
          <w:rFonts w:ascii="David" w:hAnsi="David"/>
          <w:color w:val="000000"/>
          <w:sz w:val="22"/>
          <w:szCs w:val="22"/>
          <w:rtl/>
        </w:rPr>
      </w:pPr>
      <w:r w:rsidRPr="008376CC">
        <w:rPr>
          <w:rFonts w:ascii="David" w:hAnsi="David"/>
          <w:color w:val="000000"/>
          <w:sz w:val="22"/>
          <w:szCs w:val="22"/>
          <w:rtl/>
        </w:rPr>
        <w:t>אליהו ביתן 54678313</w:t>
      </w:r>
    </w:p>
    <w:p w14:paraId="6A7EBEDE" w14:textId="77777777" w:rsidR="008376CC" w:rsidRDefault="008376CC" w:rsidP="008376CC">
      <w:r w:rsidRPr="008376CC">
        <w:rPr>
          <w:color w:val="000000"/>
          <w:rtl/>
        </w:rPr>
        <w:t>נוסח מסמך זה כפוף לשינויי ניסוח ועריכה</w:t>
      </w:r>
    </w:p>
    <w:p w14:paraId="1B6D27B6" w14:textId="77777777" w:rsidR="008376CC" w:rsidRDefault="008376CC" w:rsidP="008376CC">
      <w:pPr>
        <w:rPr>
          <w:rtl/>
        </w:rPr>
      </w:pPr>
    </w:p>
    <w:p w14:paraId="45993B85" w14:textId="77777777" w:rsidR="008376CC" w:rsidRDefault="008376CC" w:rsidP="008376CC">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228D4552" w14:textId="77777777" w:rsidR="008376CC" w:rsidRPr="008376CC" w:rsidRDefault="008376CC" w:rsidP="008376CC">
      <w:pPr>
        <w:jc w:val="center"/>
        <w:rPr>
          <w:color w:val="0000FF"/>
          <w:u w:val="single"/>
        </w:rPr>
      </w:pPr>
    </w:p>
    <w:sectPr w:rsidR="008376CC" w:rsidRPr="008376CC" w:rsidSect="008376CC">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7C858" w14:textId="77777777" w:rsidR="00C561FB" w:rsidRDefault="00C561FB" w:rsidP="00421A2A">
      <w:r>
        <w:separator/>
      </w:r>
    </w:p>
  </w:endnote>
  <w:endnote w:type="continuationSeparator" w:id="0">
    <w:p w14:paraId="50E1DC5F" w14:textId="77777777" w:rsidR="00C561FB" w:rsidRDefault="00C561FB" w:rsidP="0042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BD201" w14:textId="77777777" w:rsidR="00C561FB" w:rsidRDefault="00C561FB" w:rsidP="008376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C42FC0" w14:textId="77777777" w:rsidR="00C561FB" w:rsidRPr="008376CC" w:rsidRDefault="00C561FB" w:rsidP="008376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304C" w14:textId="77777777" w:rsidR="00C561FB" w:rsidRDefault="00C561FB" w:rsidP="008376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489D">
      <w:rPr>
        <w:rFonts w:ascii="FrankRuehl" w:hAnsi="FrankRuehl" w:cs="FrankRuehl"/>
        <w:noProof/>
        <w:rtl/>
      </w:rPr>
      <w:t>1</w:t>
    </w:r>
    <w:r>
      <w:rPr>
        <w:rFonts w:ascii="FrankRuehl" w:hAnsi="FrankRuehl" w:cs="FrankRuehl"/>
        <w:rtl/>
      </w:rPr>
      <w:fldChar w:fldCharType="end"/>
    </w:r>
  </w:p>
  <w:p w14:paraId="1B9CB70B" w14:textId="77777777" w:rsidR="00C561FB" w:rsidRPr="008376CC" w:rsidRDefault="00C561FB" w:rsidP="008376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AF9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1909E" w14:textId="77777777" w:rsidR="00C561FB" w:rsidRDefault="00C561FB" w:rsidP="00421A2A">
      <w:r>
        <w:separator/>
      </w:r>
    </w:p>
  </w:footnote>
  <w:footnote w:type="continuationSeparator" w:id="0">
    <w:p w14:paraId="448E6F18" w14:textId="77777777" w:rsidR="00C561FB" w:rsidRDefault="00C561FB" w:rsidP="00421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9867" w14:textId="77777777" w:rsidR="00C561FB" w:rsidRPr="008376CC" w:rsidRDefault="00C561FB" w:rsidP="008376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533-10-16</w:t>
    </w:r>
    <w:r>
      <w:rPr>
        <w:rFonts w:ascii="David" w:hAnsi="David"/>
        <w:color w:val="000000"/>
        <w:sz w:val="22"/>
        <w:szCs w:val="22"/>
        <w:rtl/>
      </w:rPr>
      <w:tab/>
      <w:t xml:space="preserve"> מדינת ישראל נ' חמדי אבו עדיה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BE36" w14:textId="77777777" w:rsidR="00C561FB" w:rsidRPr="008376CC" w:rsidRDefault="00C561FB" w:rsidP="008376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533-10-16</w:t>
    </w:r>
    <w:r>
      <w:rPr>
        <w:rFonts w:ascii="David" w:hAnsi="David"/>
        <w:color w:val="000000"/>
        <w:sz w:val="22"/>
        <w:szCs w:val="22"/>
        <w:rtl/>
      </w:rPr>
      <w:tab/>
      <w:t xml:space="preserve"> מדינת ישראל נ' חמדי אבו עדיה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27EB"/>
    <w:rsid w:val="00122884"/>
    <w:rsid w:val="002D7B2F"/>
    <w:rsid w:val="003212D1"/>
    <w:rsid w:val="00421A2A"/>
    <w:rsid w:val="0073575D"/>
    <w:rsid w:val="008376CC"/>
    <w:rsid w:val="00BA16A0"/>
    <w:rsid w:val="00C5001B"/>
    <w:rsid w:val="00C561FB"/>
    <w:rsid w:val="00CE1362"/>
    <w:rsid w:val="00DC489D"/>
    <w:rsid w:val="00E97B34"/>
    <w:rsid w:val="00EE27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14707E"/>
  <w15:chartTrackingRefBased/>
  <w15:docId w15:val="{2F17C223-F298-48CE-A373-CF858FA7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7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27EB"/>
    <w:pPr>
      <w:tabs>
        <w:tab w:val="center" w:pos="4153"/>
        <w:tab w:val="right" w:pos="8306"/>
      </w:tabs>
    </w:pPr>
  </w:style>
  <w:style w:type="character" w:customStyle="1" w:styleId="a4">
    <w:name w:val="כותרת עליונה תו"/>
    <w:link w:val="a3"/>
    <w:rsid w:val="00EE27EB"/>
    <w:rPr>
      <w:rFonts w:ascii="Times New Roman" w:eastAsia="Times New Roman" w:hAnsi="Times New Roman" w:cs="David"/>
      <w:sz w:val="24"/>
      <w:szCs w:val="24"/>
    </w:rPr>
  </w:style>
  <w:style w:type="paragraph" w:styleId="a5">
    <w:name w:val="footer"/>
    <w:basedOn w:val="a"/>
    <w:link w:val="a6"/>
    <w:rsid w:val="00EE27EB"/>
    <w:pPr>
      <w:tabs>
        <w:tab w:val="center" w:pos="4153"/>
        <w:tab w:val="right" w:pos="8306"/>
      </w:tabs>
    </w:pPr>
  </w:style>
  <w:style w:type="character" w:customStyle="1" w:styleId="a6">
    <w:name w:val="כותרת תחתונה תו"/>
    <w:link w:val="a5"/>
    <w:rsid w:val="00EE27EB"/>
    <w:rPr>
      <w:rFonts w:ascii="Times New Roman" w:eastAsia="Times New Roman" w:hAnsi="Times New Roman" w:cs="David"/>
      <w:sz w:val="24"/>
      <w:szCs w:val="24"/>
    </w:rPr>
  </w:style>
  <w:style w:type="table" w:styleId="a7">
    <w:name w:val="Table Grid"/>
    <w:basedOn w:val="a1"/>
    <w:rsid w:val="00EE27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27EB"/>
  </w:style>
  <w:style w:type="character" w:styleId="Hyperlink">
    <w:name w:val="Hyperlink"/>
    <w:rsid w:val="008376CC"/>
    <w:rPr>
      <w:color w:val="0563C1"/>
      <w:u w:val="single"/>
    </w:rPr>
  </w:style>
  <w:style w:type="character" w:styleId="a9">
    <w:name w:val="Unresolved Mention"/>
    <w:rsid w:val="008376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144.b"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5" Type="http://schemas.openxmlformats.org/officeDocument/2006/relationships/endnotes" Target="endnotes.xml"/><Relationship Id="rId15" Type="http://schemas.openxmlformats.org/officeDocument/2006/relationships/hyperlink" Target="http://www.nevo.co.il/law/70301/144.b2" TargetMode="External"/><Relationship Id="rId10" Type="http://schemas.openxmlformats.org/officeDocument/2006/relationships/hyperlink" Target="http://www.nevo.co.il/law/70301/340a"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340a"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4256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5097</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86</vt:i4>
      </vt:variant>
      <vt:variant>
        <vt:i4>12</vt:i4>
      </vt:variant>
      <vt:variant>
        <vt:i4>0</vt:i4>
      </vt:variant>
      <vt:variant>
        <vt:i4>5</vt:i4>
      </vt:variant>
      <vt:variant>
        <vt:lpwstr>http://www.nevo.co.il/law/70301/340a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533</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חמדי אבו עדיה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20170912</vt:lpwstr>
  </property>
  <property fmtid="{D5CDD505-2E9C-101B-9397-08002B2CF9AE}" pid="13" name="TYPE_N_DATE">
    <vt:lpwstr>39020170912</vt:lpwstr>
  </property>
  <property fmtid="{D5CDD505-2E9C-101B-9397-08002B2CF9AE}" pid="14" name="WORDNUMPAGES">
    <vt:lpwstr>4</vt:lpwstr>
  </property>
  <property fmtid="{D5CDD505-2E9C-101B-9397-08002B2CF9AE}" pid="15" name="TYPE_ABS_DATE">
    <vt:lpwstr>390020170912</vt:lpwstr>
  </property>
  <property fmtid="{D5CDD505-2E9C-101B-9397-08002B2CF9AE}" pid="16" name="ISABSTRACT">
    <vt:lpwstr>Y</vt:lpwstr>
  </property>
  <property fmtid="{D5CDD505-2E9C-101B-9397-08002B2CF9AE}" pid="17" name="LAWLISTTMP1">
    <vt:lpwstr>70301/144.a;144.b;340a;144.b2</vt:lpwstr>
  </property>
</Properties>
</file>