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90F6B" w:rsidRPr="0041590C" w14:paraId="1421F935" w14:textId="77777777" w:rsidTr="001A0D50">
        <w:trPr>
          <w:trHeight w:hRule="exact" w:val="418"/>
          <w:jc w:val="center"/>
        </w:trPr>
        <w:tc>
          <w:tcPr>
            <w:tcW w:w="8721" w:type="dxa"/>
            <w:gridSpan w:val="2"/>
          </w:tcPr>
          <w:p w14:paraId="5AA2018A" w14:textId="77777777" w:rsidR="00090F6B" w:rsidRPr="0041590C" w:rsidRDefault="00090F6B" w:rsidP="0041590C">
            <w:pPr>
              <w:pStyle w:val="a3"/>
              <w:jc w:val="center"/>
              <w:rPr>
                <w:rFonts w:ascii="Tahoma" w:hAnsi="Tahoma" w:cs="Tahoma"/>
                <w:color w:val="000080"/>
                <w:rtl/>
              </w:rPr>
            </w:pPr>
            <w:bookmarkStart w:id="0" w:name="FirstLawyer"/>
            <w:bookmarkStart w:id="1" w:name="LastJudge"/>
            <w:r w:rsidRPr="0041590C">
              <w:rPr>
                <w:rFonts w:ascii="Tahoma" w:hAnsi="Tahoma" w:cs="Tahoma"/>
                <w:b/>
                <w:bCs/>
                <w:color w:val="000080"/>
                <w:rtl/>
              </w:rPr>
              <w:t>בית המשפט המחוזי בחיפה</w:t>
            </w:r>
          </w:p>
        </w:tc>
      </w:tr>
      <w:tr w:rsidR="00090F6B" w:rsidRPr="0041590C" w14:paraId="2466727C" w14:textId="77777777" w:rsidTr="001A0D50">
        <w:trPr>
          <w:trHeight w:val="337"/>
          <w:jc w:val="center"/>
        </w:trPr>
        <w:tc>
          <w:tcPr>
            <w:tcW w:w="5058" w:type="dxa"/>
          </w:tcPr>
          <w:p w14:paraId="76621335" w14:textId="77777777" w:rsidR="00090F6B" w:rsidRPr="0041590C" w:rsidRDefault="00090F6B" w:rsidP="0041590C">
            <w:pPr>
              <w:rPr>
                <w:rFonts w:cs="FrankRuehl"/>
                <w:sz w:val="28"/>
                <w:szCs w:val="28"/>
                <w:rtl/>
              </w:rPr>
            </w:pPr>
            <w:r w:rsidRPr="0041590C">
              <w:rPr>
                <w:rFonts w:cs="FrankRuehl"/>
                <w:sz w:val="28"/>
                <w:szCs w:val="28"/>
                <w:rtl/>
              </w:rPr>
              <w:t>ת"פ</w:t>
            </w:r>
            <w:r w:rsidRPr="0041590C">
              <w:rPr>
                <w:rFonts w:cs="FrankRuehl" w:hint="cs"/>
                <w:sz w:val="28"/>
                <w:szCs w:val="28"/>
                <w:rtl/>
              </w:rPr>
              <w:t xml:space="preserve"> </w:t>
            </w:r>
            <w:r w:rsidRPr="0041590C">
              <w:rPr>
                <w:rFonts w:cs="FrankRuehl"/>
                <w:sz w:val="28"/>
                <w:szCs w:val="28"/>
                <w:rtl/>
              </w:rPr>
              <w:t>64990-12-16</w:t>
            </w:r>
            <w:r w:rsidRPr="0041590C">
              <w:rPr>
                <w:rFonts w:cs="FrankRuehl" w:hint="cs"/>
                <w:sz w:val="28"/>
                <w:szCs w:val="28"/>
                <w:rtl/>
              </w:rPr>
              <w:t xml:space="preserve"> </w:t>
            </w:r>
            <w:r w:rsidRPr="0041590C">
              <w:rPr>
                <w:rFonts w:cs="FrankRuehl"/>
                <w:sz w:val="28"/>
                <w:szCs w:val="28"/>
                <w:rtl/>
              </w:rPr>
              <w:t>מדינת ישראל נ' שקור(עציר)</w:t>
            </w:r>
          </w:p>
          <w:p w14:paraId="2B87D7DC" w14:textId="77777777" w:rsidR="00090F6B" w:rsidRPr="0041590C" w:rsidRDefault="00090F6B" w:rsidP="0041590C">
            <w:pPr>
              <w:pStyle w:val="a3"/>
              <w:rPr>
                <w:rFonts w:cs="FrankRuehl"/>
                <w:sz w:val="28"/>
                <w:szCs w:val="28"/>
                <w:rtl/>
              </w:rPr>
            </w:pPr>
          </w:p>
        </w:tc>
        <w:tc>
          <w:tcPr>
            <w:tcW w:w="3663" w:type="dxa"/>
          </w:tcPr>
          <w:p w14:paraId="1570D34A" w14:textId="77777777" w:rsidR="00090F6B" w:rsidRPr="0041590C" w:rsidRDefault="00090F6B" w:rsidP="0041590C">
            <w:pPr>
              <w:pStyle w:val="a3"/>
              <w:jc w:val="right"/>
              <w:rPr>
                <w:rFonts w:cs="FrankRuehl"/>
                <w:sz w:val="28"/>
                <w:szCs w:val="28"/>
                <w:rtl/>
              </w:rPr>
            </w:pPr>
          </w:p>
        </w:tc>
      </w:tr>
    </w:tbl>
    <w:p w14:paraId="0942C628" w14:textId="77777777" w:rsidR="00090F6B" w:rsidRPr="0041590C" w:rsidRDefault="00090F6B" w:rsidP="00090F6B">
      <w:pPr>
        <w:pStyle w:val="a3"/>
        <w:rPr>
          <w:rtl/>
        </w:rPr>
      </w:pPr>
      <w:r w:rsidRPr="0041590C">
        <w:rPr>
          <w:rFonts w:hint="cs"/>
          <w:rtl/>
        </w:rPr>
        <w:t xml:space="preserve"> </w:t>
      </w:r>
    </w:p>
    <w:p w14:paraId="61B8AE77" w14:textId="77777777" w:rsidR="00090F6B" w:rsidRPr="0041590C" w:rsidRDefault="00090F6B" w:rsidP="00090F6B">
      <w:pPr>
        <w:rPr>
          <w:b/>
          <w:bCs/>
          <w:rtl/>
        </w:rPr>
      </w:pPr>
    </w:p>
    <w:tbl>
      <w:tblPr>
        <w:bidiVisual/>
        <w:tblW w:w="8820" w:type="dxa"/>
        <w:jc w:val="center"/>
        <w:tblLook w:val="01E0" w:firstRow="1" w:lastRow="1" w:firstColumn="1" w:lastColumn="1" w:noHBand="0" w:noVBand="0"/>
      </w:tblPr>
      <w:tblGrid>
        <w:gridCol w:w="1020"/>
        <w:gridCol w:w="2404"/>
        <w:gridCol w:w="5396"/>
      </w:tblGrid>
      <w:tr w:rsidR="00090F6B" w:rsidRPr="0041590C" w14:paraId="71F862C5" w14:textId="77777777" w:rsidTr="001A0D50">
        <w:trPr>
          <w:jc w:val="center"/>
        </w:trPr>
        <w:tc>
          <w:tcPr>
            <w:tcW w:w="1020" w:type="dxa"/>
            <w:shd w:val="clear" w:color="auto" w:fill="auto"/>
          </w:tcPr>
          <w:p w14:paraId="050A0571" w14:textId="77777777" w:rsidR="00090F6B" w:rsidRPr="0041590C" w:rsidRDefault="00090F6B" w:rsidP="00090F6B">
            <w:pPr>
              <w:jc w:val="both"/>
              <w:rPr>
                <w:rFonts w:ascii="Arial" w:hAnsi="Arial"/>
                <w:b/>
                <w:bCs/>
              </w:rPr>
            </w:pPr>
            <w:r w:rsidRPr="0041590C">
              <w:rPr>
                <w:rFonts w:hint="cs"/>
                <w:b/>
                <w:bCs/>
                <w:rtl/>
              </w:rPr>
              <w:t>עופר</w:t>
            </w:r>
            <w:r w:rsidRPr="0041590C">
              <w:rPr>
                <w:rFonts w:ascii="Arial" w:hAnsi="Arial" w:hint="cs"/>
                <w:b/>
                <w:bCs/>
                <w:rtl/>
              </w:rPr>
              <w:t xml:space="preserve">בפני </w:t>
            </w:r>
          </w:p>
        </w:tc>
        <w:tc>
          <w:tcPr>
            <w:tcW w:w="7800" w:type="dxa"/>
            <w:gridSpan w:val="2"/>
            <w:shd w:val="clear" w:color="auto" w:fill="auto"/>
          </w:tcPr>
          <w:p w14:paraId="6C7F7D57" w14:textId="77777777" w:rsidR="00090F6B" w:rsidRPr="0041590C" w:rsidRDefault="00090F6B" w:rsidP="0041590C">
            <w:pPr>
              <w:rPr>
                <w:rFonts w:ascii="Arial" w:hAnsi="Arial"/>
                <w:b/>
                <w:bCs/>
                <w:rtl/>
              </w:rPr>
            </w:pPr>
            <w:r w:rsidRPr="0041590C">
              <w:rPr>
                <w:rFonts w:ascii="Arial" w:hAnsi="Arial" w:hint="cs"/>
                <w:b/>
                <w:bCs/>
                <w:rtl/>
              </w:rPr>
              <w:t>כבוד השופט  דניאל פיש</w:t>
            </w:r>
          </w:p>
        </w:tc>
      </w:tr>
      <w:tr w:rsidR="00090F6B" w:rsidRPr="0041590C" w14:paraId="70D17C3B" w14:textId="77777777" w:rsidTr="001A0D50">
        <w:trPr>
          <w:jc w:val="center"/>
        </w:trPr>
        <w:tc>
          <w:tcPr>
            <w:tcW w:w="3424" w:type="dxa"/>
            <w:gridSpan w:val="2"/>
            <w:shd w:val="clear" w:color="auto" w:fill="auto"/>
          </w:tcPr>
          <w:p w14:paraId="60F21C9F" w14:textId="77777777" w:rsidR="00090F6B" w:rsidRPr="0041590C" w:rsidRDefault="00090F6B" w:rsidP="0041590C">
            <w:pPr>
              <w:rPr>
                <w:rFonts w:ascii="Arial" w:hAnsi="Arial"/>
                <w:b/>
                <w:bCs/>
              </w:rPr>
            </w:pPr>
            <w:bookmarkStart w:id="2" w:name="FirstAppellant"/>
          </w:p>
          <w:p w14:paraId="4340DFBF" w14:textId="77777777" w:rsidR="00090F6B" w:rsidRPr="0041590C" w:rsidRDefault="00090F6B" w:rsidP="0041590C">
            <w:pPr>
              <w:rPr>
                <w:rFonts w:ascii="Arial" w:hAnsi="Arial"/>
                <w:b/>
                <w:bCs/>
              </w:rPr>
            </w:pPr>
            <w:r w:rsidRPr="0041590C">
              <w:rPr>
                <w:rFonts w:ascii="Arial" w:hAnsi="Arial" w:hint="cs"/>
                <w:b/>
                <w:bCs/>
                <w:rtl/>
              </w:rPr>
              <w:t>מאשימה</w:t>
            </w:r>
          </w:p>
        </w:tc>
        <w:tc>
          <w:tcPr>
            <w:tcW w:w="5396" w:type="dxa"/>
            <w:shd w:val="clear" w:color="auto" w:fill="auto"/>
          </w:tcPr>
          <w:p w14:paraId="2AD47004" w14:textId="77777777" w:rsidR="00090F6B" w:rsidRPr="0041590C" w:rsidRDefault="00090F6B" w:rsidP="0041590C">
            <w:pPr>
              <w:rPr>
                <w:rFonts w:ascii="Arial" w:hAnsi="Arial"/>
                <w:b/>
                <w:bCs/>
                <w:rtl/>
              </w:rPr>
            </w:pPr>
          </w:p>
          <w:p w14:paraId="32DA03D3" w14:textId="77777777" w:rsidR="00090F6B" w:rsidRPr="0041590C" w:rsidRDefault="00090F6B" w:rsidP="0041590C">
            <w:pPr>
              <w:rPr>
                <w:b/>
                <w:bCs/>
                <w:rtl/>
              </w:rPr>
            </w:pPr>
            <w:r w:rsidRPr="0041590C">
              <w:rPr>
                <w:rFonts w:ascii="Arial" w:hAnsi="Arial" w:hint="cs"/>
                <w:b/>
                <w:bCs/>
                <w:rtl/>
              </w:rPr>
              <w:t>מדינת ישראל</w:t>
            </w:r>
            <w:r w:rsidRPr="0041590C">
              <w:rPr>
                <w:rFonts w:ascii="Arial" w:hAnsi="Arial" w:hint="cs"/>
                <w:b/>
                <w:bCs/>
                <w:rtl/>
              </w:rPr>
              <w:br/>
            </w:r>
            <w:r w:rsidRPr="0041590C">
              <w:rPr>
                <w:rFonts w:hint="cs"/>
                <w:b/>
                <w:bCs/>
                <w:rtl/>
              </w:rPr>
              <w:t xml:space="preserve">ע"י ב"כ עו"ד מפרקליטות מחוז חיפה – פלילי </w:t>
            </w:r>
          </w:p>
        </w:tc>
      </w:tr>
      <w:bookmarkEnd w:id="2"/>
      <w:tr w:rsidR="00090F6B" w:rsidRPr="0041590C" w14:paraId="51B45A9F" w14:textId="77777777" w:rsidTr="00090F6B">
        <w:trPr>
          <w:jc w:val="center"/>
        </w:trPr>
        <w:tc>
          <w:tcPr>
            <w:tcW w:w="8820" w:type="dxa"/>
            <w:gridSpan w:val="3"/>
            <w:shd w:val="clear" w:color="auto" w:fill="auto"/>
          </w:tcPr>
          <w:p w14:paraId="2F97E7AF" w14:textId="77777777" w:rsidR="00090F6B" w:rsidRPr="0041590C" w:rsidRDefault="00090F6B" w:rsidP="0041590C">
            <w:pPr>
              <w:rPr>
                <w:rFonts w:ascii="Arial" w:hAnsi="Arial"/>
                <w:b/>
                <w:bCs/>
              </w:rPr>
            </w:pPr>
          </w:p>
          <w:p w14:paraId="719FEEFA" w14:textId="77777777" w:rsidR="00090F6B" w:rsidRPr="0041590C" w:rsidRDefault="00090F6B" w:rsidP="00090F6B">
            <w:pPr>
              <w:jc w:val="center"/>
              <w:rPr>
                <w:rFonts w:ascii="Arial" w:hAnsi="Arial"/>
                <w:b/>
                <w:bCs/>
                <w:rtl/>
              </w:rPr>
            </w:pPr>
            <w:r w:rsidRPr="0041590C">
              <w:rPr>
                <w:rFonts w:ascii="Arial" w:hAnsi="Arial" w:hint="cs"/>
                <w:b/>
                <w:bCs/>
                <w:rtl/>
              </w:rPr>
              <w:t>נגד</w:t>
            </w:r>
          </w:p>
          <w:p w14:paraId="1F9FD4D3" w14:textId="77777777" w:rsidR="00090F6B" w:rsidRPr="0041590C" w:rsidRDefault="00090F6B" w:rsidP="0041590C">
            <w:pPr>
              <w:rPr>
                <w:rFonts w:ascii="Arial" w:hAnsi="Arial"/>
                <w:b/>
                <w:bCs/>
                <w:rtl/>
              </w:rPr>
            </w:pPr>
          </w:p>
        </w:tc>
      </w:tr>
      <w:tr w:rsidR="00090F6B" w:rsidRPr="0041590C" w14:paraId="53F59BF1" w14:textId="77777777" w:rsidTr="001A0D50">
        <w:trPr>
          <w:jc w:val="center"/>
        </w:trPr>
        <w:tc>
          <w:tcPr>
            <w:tcW w:w="3424" w:type="dxa"/>
            <w:gridSpan w:val="2"/>
            <w:shd w:val="clear" w:color="auto" w:fill="auto"/>
          </w:tcPr>
          <w:p w14:paraId="0F0579E7" w14:textId="77777777" w:rsidR="00090F6B" w:rsidRPr="0041590C" w:rsidRDefault="00090F6B" w:rsidP="0041590C">
            <w:pPr>
              <w:rPr>
                <w:rFonts w:ascii="Arial" w:hAnsi="Arial"/>
                <w:b/>
                <w:bCs/>
              </w:rPr>
            </w:pPr>
          </w:p>
          <w:p w14:paraId="60225B39" w14:textId="77777777" w:rsidR="00090F6B" w:rsidRPr="0041590C" w:rsidRDefault="00090F6B" w:rsidP="0041590C">
            <w:pPr>
              <w:rPr>
                <w:rFonts w:ascii="Arial" w:hAnsi="Arial"/>
                <w:b/>
                <w:bCs/>
                <w:rtl/>
              </w:rPr>
            </w:pPr>
            <w:r w:rsidRPr="0041590C">
              <w:rPr>
                <w:rFonts w:ascii="Arial" w:hAnsi="Arial" w:hint="cs"/>
                <w:b/>
                <w:bCs/>
                <w:rtl/>
              </w:rPr>
              <w:t>נאשם</w:t>
            </w:r>
          </w:p>
        </w:tc>
        <w:tc>
          <w:tcPr>
            <w:tcW w:w="5396" w:type="dxa"/>
            <w:shd w:val="clear" w:color="auto" w:fill="auto"/>
          </w:tcPr>
          <w:p w14:paraId="21127E6A" w14:textId="77777777" w:rsidR="00090F6B" w:rsidRPr="0041590C" w:rsidRDefault="00090F6B" w:rsidP="0041590C">
            <w:pPr>
              <w:rPr>
                <w:rFonts w:ascii="Arial" w:hAnsi="Arial"/>
                <w:b/>
                <w:bCs/>
              </w:rPr>
            </w:pPr>
          </w:p>
          <w:p w14:paraId="5D8860C7" w14:textId="77777777" w:rsidR="00090F6B" w:rsidRPr="0041590C" w:rsidRDefault="00090F6B" w:rsidP="0041590C">
            <w:pPr>
              <w:rPr>
                <w:b/>
                <w:bCs/>
                <w:rtl/>
              </w:rPr>
            </w:pPr>
            <w:r w:rsidRPr="0041590C">
              <w:rPr>
                <w:rFonts w:ascii="Arial" w:hAnsi="Arial"/>
                <w:b/>
                <w:bCs/>
                <w:rtl/>
              </w:rPr>
              <w:t xml:space="preserve">מורן שקור </w:t>
            </w:r>
            <w:r w:rsidRPr="0041590C">
              <w:rPr>
                <w:b/>
                <w:bCs/>
                <w:rtl/>
              </w:rPr>
              <w:t xml:space="preserve">ת.ז. </w:t>
            </w:r>
            <w:r w:rsidR="0041590C">
              <w:rPr>
                <w:b/>
                <w:bCs/>
              </w:rPr>
              <w:t>xxxxxxxxx</w:t>
            </w:r>
            <w:r w:rsidRPr="0041590C">
              <w:rPr>
                <w:b/>
                <w:bCs/>
                <w:rtl/>
              </w:rPr>
              <w:br/>
              <w:t xml:space="preserve">ע"י ב"כ עו"ד יניב אביטן – סניגוריה </w:t>
            </w:r>
            <w:r w:rsidRPr="0041590C">
              <w:rPr>
                <w:rFonts w:hint="cs"/>
                <w:b/>
                <w:bCs/>
                <w:rtl/>
              </w:rPr>
              <w:t xml:space="preserve">ציבורית </w:t>
            </w:r>
          </w:p>
        </w:tc>
      </w:tr>
    </w:tbl>
    <w:p w14:paraId="106C4ABD" w14:textId="77777777" w:rsidR="001A0D50" w:rsidRDefault="001A0D50" w:rsidP="00090F6B">
      <w:pPr>
        <w:rPr>
          <w:rFonts w:hint="cs"/>
          <w:b/>
          <w:bCs/>
          <w:rtl/>
        </w:rPr>
      </w:pPr>
    </w:p>
    <w:p w14:paraId="257BF480" w14:textId="77777777" w:rsidR="00090F6B" w:rsidRPr="0041590C" w:rsidRDefault="00090F6B" w:rsidP="00090F6B">
      <w:pPr>
        <w:rPr>
          <w:rtl/>
        </w:rPr>
      </w:pPr>
      <w:r w:rsidRPr="0041590C">
        <w:rPr>
          <w:rFonts w:hint="cs"/>
          <w:b/>
          <w:bCs/>
          <w:rtl/>
        </w:rPr>
        <w:t>נוכחים:</w:t>
      </w:r>
    </w:p>
    <w:p w14:paraId="1F5FA30D" w14:textId="77777777" w:rsidR="00090F6B" w:rsidRPr="0041590C" w:rsidRDefault="00090F6B" w:rsidP="00090F6B">
      <w:pPr>
        <w:rPr>
          <w:rtl/>
        </w:rPr>
      </w:pPr>
      <w:r w:rsidRPr="0041590C">
        <w:rPr>
          <w:rFonts w:hint="cs"/>
          <w:rtl/>
        </w:rPr>
        <w:t xml:space="preserve">ב"כ המאשימה </w:t>
      </w:r>
      <w:r w:rsidRPr="0041590C">
        <w:rPr>
          <w:rtl/>
        </w:rPr>
        <w:t>–</w:t>
      </w:r>
      <w:r w:rsidRPr="0041590C">
        <w:rPr>
          <w:rFonts w:hint="cs"/>
          <w:rtl/>
        </w:rPr>
        <w:t xml:space="preserve"> עו"ד טל עופר</w:t>
      </w:r>
    </w:p>
    <w:p w14:paraId="32FEE751" w14:textId="77777777" w:rsidR="00090F6B" w:rsidRPr="0041590C" w:rsidRDefault="00090F6B" w:rsidP="00090F6B">
      <w:pPr>
        <w:rPr>
          <w:rtl/>
        </w:rPr>
      </w:pPr>
      <w:r w:rsidRPr="0041590C">
        <w:rPr>
          <w:rFonts w:hint="cs"/>
          <w:rtl/>
        </w:rPr>
        <w:t xml:space="preserve">ב"כ הנאשם </w:t>
      </w:r>
      <w:r w:rsidRPr="0041590C">
        <w:rPr>
          <w:rtl/>
        </w:rPr>
        <w:t>–</w:t>
      </w:r>
      <w:r w:rsidRPr="0041590C">
        <w:rPr>
          <w:rFonts w:hint="cs"/>
          <w:rtl/>
        </w:rPr>
        <w:t xml:space="preserve"> עו"ד יניב אביטן</w:t>
      </w:r>
    </w:p>
    <w:p w14:paraId="77FCCDBD" w14:textId="77777777" w:rsidR="00324BCC" w:rsidRDefault="00090F6B" w:rsidP="001A0D50">
      <w:pPr>
        <w:spacing w:after="120" w:line="240" w:lineRule="exact"/>
        <w:ind w:left="283" w:hanging="283"/>
        <w:jc w:val="both"/>
        <w:rPr>
          <w:rtl/>
        </w:rPr>
      </w:pPr>
      <w:r w:rsidRPr="0041590C">
        <w:rPr>
          <w:rFonts w:hint="cs"/>
          <w:rtl/>
        </w:rPr>
        <w:t>הנאשם הובא באמצעות שב"ס</w:t>
      </w:r>
      <w:bookmarkStart w:id="3" w:name="LawTable"/>
      <w:bookmarkEnd w:id="3"/>
    </w:p>
    <w:p w14:paraId="386DB828" w14:textId="77777777" w:rsidR="00324BCC" w:rsidRPr="00324BCC" w:rsidRDefault="00324BCC" w:rsidP="00324BCC">
      <w:pPr>
        <w:spacing w:after="120" w:line="240" w:lineRule="exact"/>
        <w:ind w:left="283" w:hanging="283"/>
        <w:jc w:val="both"/>
        <w:rPr>
          <w:rFonts w:ascii="FrankRuehl" w:hAnsi="FrankRuehl" w:cs="FrankRuehl"/>
          <w:rtl/>
        </w:rPr>
      </w:pPr>
    </w:p>
    <w:p w14:paraId="643EB0F8" w14:textId="77777777" w:rsidR="00324BCC" w:rsidRPr="00324BCC" w:rsidRDefault="00324BCC" w:rsidP="00324BCC">
      <w:pPr>
        <w:spacing w:after="120" w:line="240" w:lineRule="exact"/>
        <w:ind w:left="283" w:hanging="283"/>
        <w:jc w:val="both"/>
        <w:rPr>
          <w:rFonts w:ascii="FrankRuehl" w:hAnsi="FrankRuehl" w:cs="FrankRuehl"/>
          <w:rtl/>
        </w:rPr>
      </w:pPr>
      <w:r w:rsidRPr="00324BCC">
        <w:rPr>
          <w:rFonts w:ascii="FrankRuehl" w:hAnsi="FrankRuehl" w:cs="FrankRuehl"/>
          <w:rtl/>
        </w:rPr>
        <w:t xml:space="preserve">חקיקה שאוזכרה: </w:t>
      </w:r>
    </w:p>
    <w:p w14:paraId="5417FD26" w14:textId="77777777" w:rsidR="00324BCC" w:rsidRPr="00324BCC" w:rsidRDefault="00324BCC" w:rsidP="00324BCC">
      <w:pPr>
        <w:spacing w:after="120" w:line="240" w:lineRule="exact"/>
        <w:ind w:left="283" w:hanging="283"/>
        <w:jc w:val="both"/>
        <w:rPr>
          <w:rFonts w:ascii="FrankRuehl" w:hAnsi="FrankRuehl" w:cs="FrankRuehl"/>
          <w:rtl/>
        </w:rPr>
      </w:pPr>
      <w:hyperlink r:id="rId7" w:history="1">
        <w:r w:rsidRPr="00324BCC">
          <w:rPr>
            <w:rFonts w:ascii="FrankRuehl" w:hAnsi="FrankRuehl" w:cs="FrankRuehl"/>
            <w:color w:val="0000FF"/>
            <w:u w:val="single"/>
            <w:rtl/>
          </w:rPr>
          <w:t>חוק העונשין, תשל"ז-1977</w:t>
        </w:r>
      </w:hyperlink>
      <w:r w:rsidRPr="00324BCC">
        <w:rPr>
          <w:rFonts w:ascii="FrankRuehl" w:hAnsi="FrankRuehl" w:cs="FrankRuehl"/>
          <w:rtl/>
        </w:rPr>
        <w:t xml:space="preserve">: סע'  </w:t>
      </w:r>
      <w:hyperlink r:id="rId8" w:history="1">
        <w:r w:rsidRPr="00324BCC">
          <w:rPr>
            <w:rFonts w:ascii="FrankRuehl" w:hAnsi="FrankRuehl" w:cs="FrankRuehl"/>
            <w:color w:val="0000FF"/>
            <w:u w:val="single"/>
            <w:rtl/>
          </w:rPr>
          <w:t>144(ב)</w:t>
        </w:r>
      </w:hyperlink>
      <w:r w:rsidRPr="00324BCC">
        <w:rPr>
          <w:rFonts w:ascii="FrankRuehl" w:hAnsi="FrankRuehl" w:cs="FrankRuehl"/>
          <w:rtl/>
        </w:rPr>
        <w:t xml:space="preserve">, </w:t>
      </w:r>
      <w:hyperlink r:id="rId9" w:history="1">
        <w:r w:rsidRPr="00324BCC">
          <w:rPr>
            <w:rFonts w:ascii="FrankRuehl" w:hAnsi="FrankRuehl" w:cs="FrankRuehl"/>
            <w:color w:val="0000FF"/>
            <w:u w:val="single"/>
            <w:rtl/>
          </w:rPr>
          <w:t>450</w:t>
        </w:r>
      </w:hyperlink>
      <w:r w:rsidRPr="00324BCC">
        <w:rPr>
          <w:rFonts w:ascii="FrankRuehl" w:hAnsi="FrankRuehl" w:cs="FrankRuehl"/>
          <w:rtl/>
        </w:rPr>
        <w:t xml:space="preserve">, </w:t>
      </w:r>
      <w:hyperlink r:id="rId10" w:history="1">
        <w:r w:rsidRPr="00324BCC">
          <w:rPr>
            <w:rFonts w:ascii="FrankRuehl" w:hAnsi="FrankRuehl" w:cs="FrankRuehl"/>
            <w:color w:val="0000FF"/>
            <w:u w:val="single"/>
            <w:rtl/>
          </w:rPr>
          <w:t>452</w:t>
        </w:r>
      </w:hyperlink>
    </w:p>
    <w:p w14:paraId="37577997" w14:textId="77777777" w:rsidR="00324BCC" w:rsidRPr="00324BCC" w:rsidRDefault="00324BCC" w:rsidP="00324BCC">
      <w:pPr>
        <w:spacing w:after="120" w:line="240" w:lineRule="exact"/>
        <w:ind w:left="283" w:hanging="283"/>
        <w:jc w:val="both"/>
        <w:rPr>
          <w:rFonts w:ascii="FrankRuehl" w:hAnsi="FrankRuehl" w:cs="FrankRuehl"/>
          <w:rtl/>
        </w:rPr>
      </w:pPr>
    </w:p>
    <w:p w14:paraId="31E06714" w14:textId="77777777" w:rsidR="00324BCC" w:rsidRPr="00324BCC" w:rsidRDefault="00324BCC" w:rsidP="001A0D50">
      <w:pPr>
        <w:spacing w:after="120" w:line="240" w:lineRule="exact"/>
        <w:ind w:left="283" w:hanging="283"/>
        <w:jc w:val="both"/>
        <w:rPr>
          <w:rtl/>
        </w:rPr>
      </w:pPr>
      <w:bookmarkStart w:id="4" w:name="LawTable_End"/>
      <w:bookmarkEnd w:id="4"/>
    </w:p>
    <w:p w14:paraId="08DF4036" w14:textId="77777777" w:rsidR="00324BCC" w:rsidRPr="00324BCC" w:rsidRDefault="00324BCC" w:rsidP="001A0D50">
      <w:pPr>
        <w:spacing w:after="120" w:line="240" w:lineRule="exact"/>
        <w:ind w:left="283" w:hanging="283"/>
        <w:jc w:val="both"/>
        <w:rPr>
          <w:rtl/>
        </w:rPr>
      </w:pPr>
    </w:p>
    <w:p w14:paraId="77AF1834" w14:textId="77777777" w:rsidR="001A0D50" w:rsidRPr="001A0D50" w:rsidRDefault="00090F6B" w:rsidP="001A0D50">
      <w:pPr>
        <w:spacing w:after="120" w:line="240" w:lineRule="exact"/>
        <w:ind w:left="283" w:hanging="283"/>
        <w:jc w:val="both"/>
        <w:rPr>
          <w:rFonts w:ascii="FrankRuehl" w:hAnsi="FrankRuehl" w:cs="FrankRuehl"/>
          <w:rtl/>
        </w:rPr>
      </w:pPr>
      <w:r w:rsidRPr="00324BC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0F6B" w14:paraId="7338E66C" w14:textId="77777777" w:rsidTr="00090F6B">
        <w:trPr>
          <w:trHeight w:val="355"/>
          <w:jc w:val="center"/>
        </w:trPr>
        <w:tc>
          <w:tcPr>
            <w:tcW w:w="8820" w:type="dxa"/>
            <w:tcBorders>
              <w:top w:val="nil"/>
              <w:left w:val="nil"/>
              <w:bottom w:val="nil"/>
              <w:right w:val="nil"/>
            </w:tcBorders>
            <w:shd w:val="clear" w:color="auto" w:fill="auto"/>
          </w:tcPr>
          <w:p w14:paraId="134072C3" w14:textId="77777777" w:rsidR="0041590C" w:rsidRPr="0041590C" w:rsidRDefault="0041590C" w:rsidP="0041590C">
            <w:pPr>
              <w:jc w:val="center"/>
              <w:rPr>
                <w:rFonts w:ascii="Arial" w:hAnsi="Arial" w:cs="FrankRuehl"/>
                <w:b/>
                <w:bCs/>
                <w:sz w:val="32"/>
                <w:szCs w:val="32"/>
                <w:u w:val="single"/>
                <w:rtl/>
              </w:rPr>
            </w:pPr>
            <w:bookmarkStart w:id="5" w:name="PsakDin" w:colFirst="0" w:colLast="0"/>
            <w:bookmarkEnd w:id="0"/>
            <w:bookmarkEnd w:id="1"/>
            <w:r w:rsidRPr="0041590C">
              <w:rPr>
                <w:rFonts w:ascii="Arial" w:hAnsi="Arial" w:cs="FrankRuehl"/>
                <w:b/>
                <w:bCs/>
                <w:sz w:val="32"/>
                <w:szCs w:val="32"/>
                <w:u w:val="single"/>
                <w:rtl/>
              </w:rPr>
              <w:t>גזר דין</w:t>
            </w:r>
          </w:p>
          <w:p w14:paraId="2A7F5DA9" w14:textId="77777777" w:rsidR="00090F6B" w:rsidRPr="0041590C" w:rsidRDefault="00090F6B" w:rsidP="0041590C">
            <w:pPr>
              <w:jc w:val="center"/>
              <w:rPr>
                <w:rFonts w:ascii="Arial" w:hAnsi="Arial" w:cs="FrankRuehl"/>
                <w:bCs/>
                <w:sz w:val="32"/>
                <w:szCs w:val="32"/>
                <w:u w:val="single"/>
                <w:rtl/>
              </w:rPr>
            </w:pPr>
          </w:p>
        </w:tc>
      </w:tr>
      <w:bookmarkEnd w:id="5"/>
    </w:tbl>
    <w:p w14:paraId="68ECA8C1" w14:textId="77777777" w:rsidR="00090F6B" w:rsidRPr="00B05847" w:rsidRDefault="00090F6B" w:rsidP="00090F6B">
      <w:pPr>
        <w:rPr>
          <w:rFonts w:ascii="Arial" w:hAnsi="Arial"/>
          <w:rtl/>
        </w:rPr>
      </w:pPr>
    </w:p>
    <w:p w14:paraId="5A12E720" w14:textId="77777777" w:rsidR="00090F6B" w:rsidRPr="00B05847" w:rsidRDefault="00090F6B" w:rsidP="00090F6B">
      <w:pPr>
        <w:rPr>
          <w:rFonts w:ascii="Arial" w:hAnsi="Arial"/>
          <w:rtl/>
        </w:rPr>
      </w:pPr>
    </w:p>
    <w:p w14:paraId="2239AFDC" w14:textId="77777777" w:rsidR="00090F6B" w:rsidRDefault="00090F6B" w:rsidP="00090F6B">
      <w:pPr>
        <w:numPr>
          <w:ilvl w:val="0"/>
          <w:numId w:val="1"/>
        </w:numPr>
        <w:spacing w:line="360" w:lineRule="auto"/>
        <w:jc w:val="both"/>
      </w:pPr>
      <w:bookmarkStart w:id="6" w:name="ABSTRACT_START"/>
      <w:bookmarkEnd w:id="6"/>
      <w:r>
        <w:rPr>
          <w:rtl/>
        </w:rPr>
        <w:t xml:space="preserve">הנאשם הודה בכתב אישום מתוקן בעבירות של נשיאה והובלת נשק לפי </w:t>
      </w:r>
      <w:hyperlink r:id="rId11" w:history="1">
        <w:r w:rsidR="001A0D50" w:rsidRPr="001A0D50">
          <w:rPr>
            <w:color w:val="0000FF"/>
            <w:u w:val="single"/>
            <w:rtl/>
          </w:rPr>
          <w:t>סעיף 144(ב)</w:t>
        </w:r>
      </w:hyperlink>
      <w:r>
        <w:rPr>
          <w:rtl/>
        </w:rPr>
        <w:t xml:space="preserve"> רישא ל</w:t>
      </w:r>
      <w:hyperlink r:id="rId12" w:history="1">
        <w:r w:rsidR="0041590C" w:rsidRPr="0041590C">
          <w:rPr>
            <w:rStyle w:val="Hyperlink"/>
            <w:rtl/>
          </w:rPr>
          <w:t>חוק העונשין</w:t>
        </w:r>
      </w:hyperlink>
      <w:r>
        <w:rPr>
          <w:rtl/>
        </w:rPr>
        <w:t xml:space="preserve">, התשל"ז-1977 והיזק בחומר נפץ לפי </w:t>
      </w:r>
      <w:hyperlink r:id="rId13" w:history="1">
        <w:r w:rsidR="001A0D50" w:rsidRPr="001A0D50">
          <w:rPr>
            <w:color w:val="0000FF"/>
            <w:u w:val="single"/>
            <w:rtl/>
          </w:rPr>
          <w:t>סעיפים 450</w:t>
        </w:r>
      </w:hyperlink>
      <w:r>
        <w:rPr>
          <w:rtl/>
        </w:rPr>
        <w:t xml:space="preserve"> + </w:t>
      </w:r>
      <w:hyperlink r:id="rId14" w:history="1">
        <w:r w:rsidR="001A0D50" w:rsidRPr="001A0D50">
          <w:rPr>
            <w:color w:val="0000FF"/>
            <w:u w:val="single"/>
            <w:rtl/>
          </w:rPr>
          <w:t>452</w:t>
        </w:r>
      </w:hyperlink>
      <w:r>
        <w:rPr>
          <w:rtl/>
        </w:rPr>
        <w:t xml:space="preserve"> לחוק. </w:t>
      </w:r>
      <w:bookmarkStart w:id="7" w:name="ABSTRACT_END"/>
      <w:bookmarkEnd w:id="7"/>
    </w:p>
    <w:p w14:paraId="1A1C60B8" w14:textId="77777777" w:rsidR="00090F6B" w:rsidRDefault="00090F6B" w:rsidP="00090F6B">
      <w:pPr>
        <w:spacing w:line="360" w:lineRule="auto"/>
        <w:ind w:left="720"/>
        <w:jc w:val="both"/>
      </w:pPr>
    </w:p>
    <w:p w14:paraId="4DB7257F" w14:textId="77777777" w:rsidR="00090F6B" w:rsidRDefault="00090F6B" w:rsidP="00090F6B">
      <w:pPr>
        <w:numPr>
          <w:ilvl w:val="0"/>
          <w:numId w:val="1"/>
        </w:numPr>
        <w:spacing w:line="360" w:lineRule="auto"/>
        <w:jc w:val="both"/>
      </w:pPr>
      <w:r>
        <w:rPr>
          <w:rtl/>
        </w:rPr>
        <w:t xml:space="preserve">כאמור בכתב האישום המתוקן, ברקע הדברים רציחת קטינה תושבת כפר כיסרא ביום 20.12.16 שהיתה קרובת משפחתו של הנאשם. בעקבות הרצח הוצב צוות משטרה בסמוך לביתו של וואליד טרודי בכפר סמיא (להלן – הבית) על מנת למנוע מעשי אלימות נוספים. </w:t>
      </w:r>
    </w:p>
    <w:p w14:paraId="06264AE3" w14:textId="77777777" w:rsidR="00090F6B" w:rsidRDefault="00090F6B" w:rsidP="00090F6B">
      <w:pPr>
        <w:spacing w:line="360" w:lineRule="auto"/>
        <w:ind w:left="720"/>
        <w:jc w:val="both"/>
      </w:pPr>
    </w:p>
    <w:p w14:paraId="0613A077" w14:textId="77777777" w:rsidR="00090F6B" w:rsidRDefault="00090F6B" w:rsidP="00090F6B">
      <w:pPr>
        <w:numPr>
          <w:ilvl w:val="0"/>
          <w:numId w:val="1"/>
        </w:numPr>
        <w:spacing w:line="360" w:lineRule="auto"/>
        <w:jc w:val="both"/>
        <w:rPr>
          <w:rtl/>
        </w:rPr>
      </w:pPr>
      <w:r>
        <w:rPr>
          <w:rtl/>
        </w:rPr>
        <w:t xml:space="preserve">ביום 21.12.16 סמוך לשעה 22:30 הגיע הנאשם בסמוך לבית כשהוא נושא רימון נפץ 26 כאשר באותה שעה שהו בבית סלים וסלמן טרודי ואנשים רבים נוספים. הנאשם יידה את הרימון לכיוון הבית בניסיון שלא כדין לפגוע בשוהי הבית וכדי לנקום את מותה של </w:t>
      </w:r>
      <w:r>
        <w:rPr>
          <w:rtl/>
        </w:rPr>
        <w:lastRenderedPageBreak/>
        <w:t xml:space="preserve">הקטינה. הרימון נחת והתפוצץ בחצר הבית צמוד לקיר החיצוני בסמוך לחלון ולמדרגות החיצוניות המובילות לקומה השניה. כתוצאה מהפיצוץ התנפצה זכוכית החלון ושבריה גרמו לשריטות בכף היד לסלים וסלמאן שישבו בתוך הבית בסמוך לחלון. כמו כן נגרם נזק למדרגות הבית, המזגן והריצוף. הנאשם נמלט מהמקום כשהשוטרים הבחינו בו ורדפו אחריו תוך שהם צועקים "עצור! משטרה!", אך הנאשם המשיך במנוסתו. לאחר מרדף קצר הוא נתפס במטע זיתים בקרבת מקום. </w:t>
      </w:r>
    </w:p>
    <w:p w14:paraId="39FF98F9" w14:textId="77777777" w:rsidR="00090F6B" w:rsidRDefault="00090F6B" w:rsidP="00090F6B">
      <w:pPr>
        <w:spacing w:line="360" w:lineRule="auto"/>
        <w:jc w:val="both"/>
        <w:rPr>
          <w:b/>
          <w:bCs/>
          <w:u w:val="single"/>
          <w:rtl/>
        </w:rPr>
      </w:pPr>
    </w:p>
    <w:p w14:paraId="1D9C5496" w14:textId="77777777" w:rsidR="00090F6B" w:rsidRDefault="00090F6B" w:rsidP="00090F6B">
      <w:pPr>
        <w:spacing w:line="360" w:lineRule="auto"/>
        <w:ind w:left="360"/>
        <w:jc w:val="both"/>
        <w:rPr>
          <w:b/>
          <w:bCs/>
          <w:u w:val="single"/>
          <w:rtl/>
        </w:rPr>
      </w:pPr>
      <w:r>
        <w:rPr>
          <w:b/>
          <w:bCs/>
          <w:u w:val="single"/>
          <w:rtl/>
        </w:rPr>
        <w:t>הראיות לעניין העונש</w:t>
      </w:r>
    </w:p>
    <w:p w14:paraId="1165C6F3" w14:textId="77777777" w:rsidR="00090F6B" w:rsidRDefault="00090F6B" w:rsidP="00090F6B">
      <w:pPr>
        <w:spacing w:line="360" w:lineRule="auto"/>
        <w:ind w:left="360"/>
        <w:jc w:val="both"/>
        <w:rPr>
          <w:rtl/>
        </w:rPr>
      </w:pPr>
    </w:p>
    <w:p w14:paraId="088E248F" w14:textId="77777777" w:rsidR="00090F6B" w:rsidRDefault="00090F6B" w:rsidP="00090F6B">
      <w:pPr>
        <w:numPr>
          <w:ilvl w:val="0"/>
          <w:numId w:val="1"/>
        </w:numPr>
        <w:spacing w:line="360" w:lineRule="auto"/>
        <w:jc w:val="both"/>
        <w:rPr>
          <w:rtl/>
        </w:rPr>
      </w:pPr>
      <w:r>
        <w:rPr>
          <w:rtl/>
        </w:rPr>
        <w:t xml:space="preserve">אמו של הנאשם העידה עדות אופי לטובת הנאשם, ובין היתר סיפרה על נסיבות המשפחה. </w:t>
      </w:r>
    </w:p>
    <w:p w14:paraId="501D31FA" w14:textId="77777777" w:rsidR="00090F6B" w:rsidRDefault="00090F6B" w:rsidP="00090F6B">
      <w:pPr>
        <w:spacing w:line="360" w:lineRule="auto"/>
        <w:jc w:val="both"/>
        <w:rPr>
          <w:rtl/>
        </w:rPr>
      </w:pPr>
    </w:p>
    <w:p w14:paraId="0B132E39" w14:textId="77777777" w:rsidR="00090F6B" w:rsidRDefault="00090F6B" w:rsidP="00090F6B">
      <w:pPr>
        <w:numPr>
          <w:ilvl w:val="0"/>
          <w:numId w:val="1"/>
        </w:numPr>
        <w:spacing w:line="360" w:lineRule="auto"/>
        <w:jc w:val="both"/>
        <w:rPr>
          <w:rtl/>
        </w:rPr>
      </w:pPr>
      <w:r>
        <w:rPr>
          <w:rtl/>
        </w:rPr>
        <w:t xml:space="preserve">תסקיר שהוגש על ידי שירות המבחן ציין כי הנאשם בן 30, בן לעדה הדרוזית שטרם מעצרו גר בבית אמו ועבד במפעל מתכת כבקר איכות. בעבר, לאחר שירות צבאי חלקי הוא החל לעבוד בעבודות שונות וכיום במקביל הוא לומד לימודים מקצועיים. המשפחה חיה במצוקה כלכלית מסויימת בעקבות גירושי ההורים. בפני שירות המבחן הנאשם תיאר את הרקע לביצוע העבירות על ידו, בעיקר חוסר יכולתו לשלוט בכעסיו. תואר שחווית המעצר היתה קשה עבורו ובמהלכה הוא נמצא במצוקה נפשית. צויינו מהלכי סולחה סביב עניין הרצח והסכסוך בין המשפחות. באשר להערכת הסיכון צויין העדר דפוסים אלימים מושרשים והעובדה שהאירוע חריג לעומת עברו הנקי. על כן, בסופו של דבר הוערך כי קיים סיכון ממוקד לאלימות על רקע אירועי דחק משפחתיים; דהיינו, סיכון במצבים מסויימים ומוגבלים בלבד. הוערך שתקופת המעצר היוותה עונש קונקרטי מכביד, מציב גבולות וכי הוא מהווה גורם נוסף להפחתת הסיכון. הומלץ בסופו של עניין להעמיד את הנאשם בצו מבחן משך שנה. </w:t>
      </w:r>
    </w:p>
    <w:p w14:paraId="79E0F17B" w14:textId="77777777" w:rsidR="00090F6B" w:rsidRPr="008B6B47" w:rsidRDefault="00090F6B" w:rsidP="00090F6B">
      <w:pPr>
        <w:spacing w:line="360" w:lineRule="auto"/>
        <w:jc w:val="both"/>
        <w:rPr>
          <w:rtl/>
        </w:rPr>
      </w:pPr>
    </w:p>
    <w:p w14:paraId="459D0567" w14:textId="77777777" w:rsidR="00090F6B" w:rsidRDefault="00090F6B" w:rsidP="00090F6B">
      <w:pPr>
        <w:spacing w:line="360" w:lineRule="auto"/>
        <w:jc w:val="both"/>
        <w:rPr>
          <w:rtl/>
        </w:rPr>
      </w:pPr>
      <w:r>
        <w:rPr>
          <w:b/>
          <w:bCs/>
          <w:u w:val="single"/>
          <w:rtl/>
        </w:rPr>
        <w:t>טיעוני המדינה לעניין העונש</w:t>
      </w:r>
    </w:p>
    <w:p w14:paraId="33E514DD" w14:textId="77777777" w:rsidR="00090F6B" w:rsidRDefault="00090F6B" w:rsidP="00090F6B">
      <w:pPr>
        <w:spacing w:line="360" w:lineRule="auto"/>
        <w:jc w:val="both"/>
        <w:rPr>
          <w:rtl/>
        </w:rPr>
      </w:pPr>
    </w:p>
    <w:p w14:paraId="765E30F5" w14:textId="77777777" w:rsidR="00090F6B" w:rsidRDefault="00090F6B" w:rsidP="00090F6B">
      <w:pPr>
        <w:numPr>
          <w:ilvl w:val="0"/>
          <w:numId w:val="1"/>
        </w:numPr>
        <w:spacing w:line="360" w:lineRule="auto"/>
        <w:jc w:val="both"/>
        <w:rPr>
          <w:rtl/>
        </w:rPr>
      </w:pPr>
      <w:r>
        <w:rPr>
          <w:rtl/>
        </w:rPr>
        <w:t>המדינה ציינה שהעונש המירבי שקבע המחוקק בצד עבירת היזק בחומר נפץ עומד על 15 שנות מאסר בפועל והעונש המקסימאלי בגין עבירת נשיאה והובלת נשק עומד על 10 שנות מאסר. כך תקר</w:t>
      </w:r>
      <w:r>
        <w:rPr>
          <w:rFonts w:hint="cs"/>
          <w:rtl/>
        </w:rPr>
        <w:t>ת</w:t>
      </w:r>
      <w:r>
        <w:rPr>
          <w:rtl/>
        </w:rPr>
        <w:t xml:space="preserve"> העונש לכלל העבירות מגיעה ל- 25 שנות מאסר. נטען שטווח זה מהווה נקודת המוצא ממנה יש לחשב ולקבוע את העונש. נטען שסוג זה של העבירות נותן ביטוי לדרך חיים עבריינית ונטען שחובה שהנוקטים בה ישלמו על כך באכיפה בלתי סלחנית. נטען שהשאיפה לנקמה הכתיבה את מעשי הנאשם וכי התנהגותו היתה ברוטאלית ואכזרית. </w:t>
      </w:r>
    </w:p>
    <w:p w14:paraId="16891C92" w14:textId="77777777" w:rsidR="00090F6B" w:rsidRDefault="00090F6B" w:rsidP="00090F6B">
      <w:pPr>
        <w:spacing w:line="360" w:lineRule="auto"/>
        <w:jc w:val="both"/>
        <w:rPr>
          <w:rtl/>
        </w:rPr>
      </w:pPr>
    </w:p>
    <w:p w14:paraId="2519C05E" w14:textId="77777777" w:rsidR="00090F6B" w:rsidRDefault="00090F6B" w:rsidP="00090F6B">
      <w:pPr>
        <w:numPr>
          <w:ilvl w:val="0"/>
          <w:numId w:val="1"/>
        </w:numPr>
        <w:spacing w:line="360" w:lineRule="auto"/>
        <w:jc w:val="both"/>
      </w:pPr>
      <w:r>
        <w:rPr>
          <w:rtl/>
        </w:rPr>
        <w:t xml:space="preserve">נטען שבמקרה זה מדובר באירוע אחד המצדיק קביעת מתחם ענישה אחד. נטען שהערכים החברתיים שנפגעו הינם שלום הציבור ובטחונו, הגנה על חיי אדם, זכות הקניין ושלמות </w:t>
      </w:r>
      <w:r>
        <w:rPr>
          <w:rtl/>
        </w:rPr>
        <w:lastRenderedPageBreak/>
        <w:t>הרכוש. נטען שבית המשפט העליון הביע זה מכבר את דעתו ביחס לסיכון הגלום בעבירות הנשק</w:t>
      </w:r>
      <w:r>
        <w:rPr>
          <w:rFonts w:hint="cs"/>
          <w:rtl/>
        </w:rPr>
        <w:t>,</w:t>
      </w:r>
      <w:r>
        <w:rPr>
          <w:rtl/>
        </w:rPr>
        <w:t xml:space="preserve"> החשיבות בהטלת עונשים מרתיעים והעדפת האינטרס הציבורי על פני נסיבות אישיות. נטען שהעובדה שמטרת מבצע העבירה לא הושלמה, אינה מהווה נסיבה לקולא לגבי עבירות הנשק. </w:t>
      </w:r>
    </w:p>
    <w:p w14:paraId="67F599E2" w14:textId="77777777" w:rsidR="00090F6B" w:rsidRDefault="00090F6B" w:rsidP="00090F6B">
      <w:pPr>
        <w:spacing w:line="360" w:lineRule="auto"/>
        <w:ind w:left="720"/>
        <w:jc w:val="both"/>
        <w:rPr>
          <w:rtl/>
        </w:rPr>
      </w:pPr>
    </w:p>
    <w:p w14:paraId="541D54BB" w14:textId="77777777" w:rsidR="00090F6B" w:rsidRDefault="00090F6B" w:rsidP="00090F6B">
      <w:pPr>
        <w:numPr>
          <w:ilvl w:val="0"/>
          <w:numId w:val="1"/>
        </w:numPr>
        <w:spacing w:line="360" w:lineRule="auto"/>
        <w:jc w:val="both"/>
        <w:rPr>
          <w:rtl/>
        </w:rPr>
      </w:pPr>
      <w:r>
        <w:rPr>
          <w:rtl/>
        </w:rPr>
        <w:t xml:space="preserve">אשר לנסיבות הקשורות לביצוע העבירה, נטען שהתקיים תכנון מוקדם, שחלקו היחסי של הנאשם היה מוחלט, שנגרם נזק כאשר שהו בבית אנשים בעת שנזרק כלי נפץ שיכול להמית אדם ושבפועל נגרם נזק רב לרכוש כאשר רק במזל לא נקטלו חיים. נטען שהסיבות שהביאו את הנאשם לבצע את העבירה - במקרה זה, לקיחת החוק לידיים - מהוות נסיבות לחומרה. נטען שהנאשם יכל להמנע מביצוע העבירה והבין בהיותו בוגר את משמעות מעשיו. </w:t>
      </w:r>
    </w:p>
    <w:p w14:paraId="04487DC7" w14:textId="77777777" w:rsidR="00090F6B" w:rsidRDefault="00090F6B" w:rsidP="00090F6B">
      <w:pPr>
        <w:spacing w:line="360" w:lineRule="auto"/>
        <w:jc w:val="both"/>
        <w:rPr>
          <w:rtl/>
        </w:rPr>
      </w:pPr>
    </w:p>
    <w:p w14:paraId="6C0DE7B9" w14:textId="77777777" w:rsidR="00090F6B" w:rsidRDefault="00090F6B" w:rsidP="00090F6B">
      <w:pPr>
        <w:numPr>
          <w:ilvl w:val="0"/>
          <w:numId w:val="1"/>
        </w:numPr>
        <w:spacing w:line="360" w:lineRule="auto"/>
        <w:jc w:val="both"/>
        <w:rPr>
          <w:rtl/>
        </w:rPr>
      </w:pPr>
      <w:r>
        <w:rPr>
          <w:rtl/>
        </w:rPr>
        <w:t>באשר למדיניות הענישה הנוהגת נטען שבמקרים דומים ואף קלים יותר נגזרו עונשי מאסר משמעותיים ונטען שעונשו של הנאשם צריך להיות גבוה יותר מהפסיקה שאוזכרה כאמור להלן: ב</w:t>
      </w:r>
      <w:hyperlink r:id="rId15" w:history="1">
        <w:r w:rsidR="0041590C" w:rsidRPr="0041590C">
          <w:rPr>
            <w:rStyle w:val="Hyperlink"/>
            <w:rtl/>
          </w:rPr>
          <w:t>ת"פ 32508-02-11</w:t>
        </w:r>
      </w:hyperlink>
      <w:r>
        <w:rPr>
          <w:rtl/>
        </w:rPr>
        <w:t xml:space="preserve"> </w:t>
      </w:r>
      <w:r w:rsidRPr="007D6E25">
        <w:rPr>
          <w:u w:val="single"/>
          <w:rtl/>
        </w:rPr>
        <w:t>מדינת ישראל נ' ראיד בדראן</w:t>
      </w:r>
      <w:r>
        <w:rPr>
          <w:rtl/>
        </w:rPr>
        <w:t xml:space="preserve"> (11.7.2011) - נאשם, ללא עבר פלילי,  שהורשע על פי הודאתו בעבירות של החזקה, נשיאה והובלת נשק והיזק בחומר נפץ נדון ל- 4 שנות מאסר בפועל. באותו מקרה הונח ופוצץ מטען חבלה בחזית בית מגורים בו שהו בני המשפחה על רקע סכסוך. לא היו פגיעות בגוף או נפש. בית המשפט העליון הפחית בעונש לאור העדר נזק לאיש ל- 3 שעות מאסר במקום 4. </w:t>
      </w:r>
    </w:p>
    <w:p w14:paraId="6C7F9964" w14:textId="77777777" w:rsidR="00090F6B" w:rsidRDefault="00090F6B" w:rsidP="00090F6B">
      <w:pPr>
        <w:spacing w:line="360" w:lineRule="auto"/>
        <w:jc w:val="both"/>
        <w:rPr>
          <w:rtl/>
        </w:rPr>
      </w:pPr>
    </w:p>
    <w:p w14:paraId="762C94D3" w14:textId="77777777" w:rsidR="00090F6B" w:rsidRDefault="00090F6B" w:rsidP="00090F6B">
      <w:pPr>
        <w:spacing w:line="360" w:lineRule="auto"/>
        <w:ind w:left="720"/>
        <w:jc w:val="both"/>
      </w:pPr>
      <w:r>
        <w:rPr>
          <w:rtl/>
        </w:rPr>
        <w:t>ב</w:t>
      </w:r>
      <w:hyperlink r:id="rId16" w:history="1">
        <w:r w:rsidR="0041590C" w:rsidRPr="0041590C">
          <w:rPr>
            <w:rStyle w:val="Hyperlink"/>
            <w:rtl/>
          </w:rPr>
          <w:t>ת"פ 48488-03-14</w:t>
        </w:r>
      </w:hyperlink>
      <w:r>
        <w:rPr>
          <w:rtl/>
        </w:rPr>
        <w:t xml:space="preserve"> </w:t>
      </w:r>
      <w:r w:rsidRPr="003E36E7">
        <w:rPr>
          <w:u w:val="single"/>
          <w:rtl/>
        </w:rPr>
        <w:t>מדינת ישראל נ' אברהם אסרסה</w:t>
      </w:r>
      <w:r>
        <w:rPr>
          <w:rtl/>
        </w:rPr>
        <w:t xml:space="preserve"> (2.20.2014) נאשם שהורשע על פי הודאתו בעבירות החזקה, נשיאה והובלת נשק והיזק בחומר נפץ בגין כך שהניח מטען חבלה ברכב והפעיל אותו באמצעות פתיל כאשר הרכב היה ריק ולא היה אדם בקרבת מקום, הוענש ב- 3.5 שנות מאסר בפועל. </w:t>
      </w:r>
    </w:p>
    <w:p w14:paraId="27565A77" w14:textId="77777777" w:rsidR="00090F6B" w:rsidRPr="00A848E0" w:rsidRDefault="00090F6B" w:rsidP="00090F6B">
      <w:pPr>
        <w:spacing w:line="360" w:lineRule="auto"/>
        <w:ind w:left="720"/>
        <w:jc w:val="both"/>
        <w:rPr>
          <w:rtl/>
        </w:rPr>
      </w:pPr>
    </w:p>
    <w:p w14:paraId="36D94BCA" w14:textId="77777777" w:rsidR="00090F6B" w:rsidRDefault="00090F6B" w:rsidP="00090F6B">
      <w:pPr>
        <w:spacing w:line="360" w:lineRule="auto"/>
        <w:ind w:left="720"/>
        <w:jc w:val="both"/>
      </w:pPr>
      <w:r>
        <w:rPr>
          <w:rtl/>
        </w:rPr>
        <w:t>ב</w:t>
      </w:r>
      <w:hyperlink r:id="rId17" w:history="1">
        <w:r w:rsidR="0041590C" w:rsidRPr="0041590C">
          <w:rPr>
            <w:rStyle w:val="Hyperlink"/>
            <w:rtl/>
          </w:rPr>
          <w:t>תפ"ח 1121/09</w:t>
        </w:r>
      </w:hyperlink>
      <w:r>
        <w:rPr>
          <w:rtl/>
        </w:rPr>
        <w:t xml:space="preserve"> </w:t>
      </w:r>
      <w:r w:rsidRPr="003E36E7">
        <w:rPr>
          <w:u w:val="single"/>
          <w:rtl/>
        </w:rPr>
        <w:t>מדינת ישראל נ' מרדכי לוי</w:t>
      </w:r>
      <w:r>
        <w:rPr>
          <w:rtl/>
        </w:rPr>
        <w:t xml:space="preserve"> (15.7.2010) נאשם הורשע על סמך הודאתו בביצוע עבירות של נשיאה והובלת נשק, והיזק בחומר נפץ וחבלה בכוונה מחמירה בגין כך שהשליך רימון לעבר חדר מדרגות בבית מגורים בשעה שידע ששוהים חלק מדיירי הבית בדירותיהם. נגרמו נזקים לבניין אך לא נפגע איש. הוטלו 3 שנים ו- 4 חודשים מאסר בפועל. ערעורו של הנאשם לבית המשפט העליון נדחה.</w:t>
      </w:r>
    </w:p>
    <w:p w14:paraId="493D65F0" w14:textId="77777777" w:rsidR="00090F6B" w:rsidRDefault="00090F6B" w:rsidP="00090F6B">
      <w:pPr>
        <w:spacing w:line="360" w:lineRule="auto"/>
        <w:ind w:left="720"/>
        <w:jc w:val="both"/>
        <w:rPr>
          <w:rtl/>
        </w:rPr>
      </w:pPr>
    </w:p>
    <w:p w14:paraId="537C950F" w14:textId="77777777" w:rsidR="00090F6B" w:rsidRDefault="00090F6B" w:rsidP="00090F6B">
      <w:pPr>
        <w:spacing w:line="360" w:lineRule="auto"/>
        <w:ind w:left="720"/>
        <w:jc w:val="both"/>
        <w:rPr>
          <w:rtl/>
        </w:rPr>
      </w:pPr>
      <w:r>
        <w:rPr>
          <w:rtl/>
        </w:rPr>
        <w:t>ב</w:t>
      </w:r>
      <w:hyperlink r:id="rId18" w:history="1">
        <w:r w:rsidR="0041590C" w:rsidRPr="0041590C">
          <w:rPr>
            <w:rStyle w:val="Hyperlink"/>
            <w:rtl/>
          </w:rPr>
          <w:t>ת"פ 61852-10-13</w:t>
        </w:r>
      </w:hyperlink>
      <w:r>
        <w:rPr>
          <w:rtl/>
        </w:rPr>
        <w:t xml:space="preserve"> </w:t>
      </w:r>
      <w:r w:rsidRPr="003E36E7">
        <w:rPr>
          <w:u w:val="single"/>
          <w:rtl/>
        </w:rPr>
        <w:t>מדינת ישראל נ' משה לוגסי</w:t>
      </w:r>
      <w:r>
        <w:rPr>
          <w:rtl/>
        </w:rPr>
        <w:t xml:space="preserve">, (18.12.2014), הורשע נאשם בנשיאה והובלת נשק, חבלה בכוונה מחמירה והיזק בחומר נפץ. הנאשם השליך רימון רסס לעבר  בית מגורים, שעה ששהו בו בני הבית. נגרם נזק לרכוש ולמבנה אך לא נפגע איש. נקבע מתחם בין 5 - 8 שנות מאסר והוטלו 6 שנות מאסר בפועל. הערעור תלוי ועומד. </w:t>
      </w:r>
    </w:p>
    <w:p w14:paraId="6D6F375D" w14:textId="77777777" w:rsidR="00090F6B" w:rsidRDefault="00090F6B" w:rsidP="00090F6B">
      <w:pPr>
        <w:spacing w:line="360" w:lineRule="auto"/>
        <w:jc w:val="both"/>
        <w:rPr>
          <w:rtl/>
        </w:rPr>
      </w:pPr>
    </w:p>
    <w:p w14:paraId="5EABDF99" w14:textId="77777777" w:rsidR="00090F6B" w:rsidRDefault="00090F6B" w:rsidP="00090F6B">
      <w:pPr>
        <w:numPr>
          <w:ilvl w:val="0"/>
          <w:numId w:val="1"/>
        </w:numPr>
        <w:spacing w:line="360" w:lineRule="auto"/>
        <w:jc w:val="both"/>
        <w:rPr>
          <w:rtl/>
        </w:rPr>
      </w:pPr>
      <w:r>
        <w:rPr>
          <w:rtl/>
        </w:rPr>
        <w:t xml:space="preserve">על סמך האמור לעיל טוענת המדינה למתחם ענישה הולם בין 5 - 8.5 שנות מאסר בפועל בצירוף עונשים נלווים ונטען שעונשו של הנאשם במקרה דנן צריך להיות ברף עליון של המתחם. </w:t>
      </w:r>
    </w:p>
    <w:p w14:paraId="02ADD152" w14:textId="77777777" w:rsidR="00090F6B" w:rsidRDefault="00090F6B" w:rsidP="00090F6B">
      <w:pPr>
        <w:spacing w:line="360" w:lineRule="auto"/>
        <w:jc w:val="both"/>
        <w:rPr>
          <w:rtl/>
        </w:rPr>
      </w:pPr>
    </w:p>
    <w:p w14:paraId="6143D702" w14:textId="77777777" w:rsidR="00090F6B" w:rsidRDefault="00090F6B" w:rsidP="00090F6B">
      <w:pPr>
        <w:numPr>
          <w:ilvl w:val="0"/>
          <w:numId w:val="1"/>
        </w:numPr>
        <w:spacing w:line="360" w:lineRule="auto"/>
        <w:jc w:val="both"/>
        <w:rPr>
          <w:rtl/>
        </w:rPr>
      </w:pPr>
      <w:r>
        <w:rPr>
          <w:rtl/>
        </w:rPr>
        <w:t xml:space="preserve">באשר לנסיבות אישיות וסיכויי שיקום, נטען שהתסקיר אינו חיובי בממצאיו העובדתיים. נטען שאין מקום לקבל ההמלצה הסופית של התסקיר. נטען שהפסיקה קבעה שהסיכוי השיקומי אינו אלא שיקול אחד בתוך רבים. </w:t>
      </w:r>
    </w:p>
    <w:p w14:paraId="029C459E" w14:textId="77777777" w:rsidR="00090F6B" w:rsidRDefault="00090F6B" w:rsidP="00090F6B">
      <w:pPr>
        <w:spacing w:line="360" w:lineRule="auto"/>
        <w:jc w:val="both"/>
        <w:rPr>
          <w:rtl/>
        </w:rPr>
      </w:pPr>
    </w:p>
    <w:p w14:paraId="4027795E" w14:textId="77777777" w:rsidR="00090F6B" w:rsidRDefault="00090F6B" w:rsidP="00090F6B">
      <w:pPr>
        <w:spacing w:line="360" w:lineRule="auto"/>
        <w:ind w:left="360"/>
        <w:jc w:val="both"/>
        <w:rPr>
          <w:b/>
          <w:bCs/>
          <w:u w:val="single"/>
          <w:rtl/>
        </w:rPr>
      </w:pPr>
      <w:r>
        <w:rPr>
          <w:b/>
          <w:bCs/>
          <w:u w:val="single"/>
          <w:rtl/>
        </w:rPr>
        <w:t>טיעוני הסניגור לעניין העונש</w:t>
      </w:r>
    </w:p>
    <w:p w14:paraId="4567E31E" w14:textId="77777777" w:rsidR="00090F6B" w:rsidRDefault="00090F6B" w:rsidP="00090F6B">
      <w:pPr>
        <w:spacing w:line="360" w:lineRule="auto"/>
        <w:jc w:val="both"/>
        <w:rPr>
          <w:rtl/>
        </w:rPr>
      </w:pPr>
    </w:p>
    <w:p w14:paraId="3D80C9D2" w14:textId="77777777" w:rsidR="00090F6B" w:rsidRDefault="00090F6B" w:rsidP="00090F6B">
      <w:pPr>
        <w:numPr>
          <w:ilvl w:val="0"/>
          <w:numId w:val="1"/>
        </w:numPr>
        <w:spacing w:line="360" w:lineRule="auto"/>
        <w:jc w:val="both"/>
        <w:rPr>
          <w:rtl/>
        </w:rPr>
      </w:pPr>
      <w:r>
        <w:rPr>
          <w:rtl/>
        </w:rPr>
        <w:t xml:space="preserve">הסניגור טען שהנאשם נעדר הרשעות בעברו וזו הסתבכותו הראשונה עם רשויות החוק וגם כי זו הפעם הראשונה שהנאשם חווה את חווית המעצר. נטען שהנאשם הודה בהזדמנות הראשונה לאחר תיקון כתב האישום. נטען שהנאשם הביע חרטה על מעשיו ולקח אחריות מלאה עליהם. הסניגור לא חלק על הערכים המוגנים והפגיעה בהם והסכים שמדובר במעשה פסול ומסוכן. יחד עם זאת נטען שלא ניתן שלא להתייחס לנסיבות המיוחדות והמורכבות שקדמו למעשים והשפיעו על התנהגות הנאשם. נטען שהנאשם פעל מתוך רגשות עזים, כעס רב וצער עמוק. נטען שמתחם הענישה בעבירות מעין אלה רחב מאוד ונטען שבכל מקרה העונש ההולם אינו מגיע לרף שמציעה המאשימה. נטען שהמקרה הראשון שאוזכר על ידי המדינה הוא הדומה ביותר לנסיבות העניין דנן ושם הושתו לבסוף רק 3 שנות מאסר. נטען שבמקרה השני הנאשם היה בעל עבר פלילי ונטען שהמקרים האחרים היו שונים מאשר המקרה דנן. נטען שבעניין לוגסי הורשע הנאשם בחבלה בכוונה מחמירה. </w:t>
      </w:r>
    </w:p>
    <w:p w14:paraId="10CB418D" w14:textId="77777777" w:rsidR="00090F6B" w:rsidRDefault="00090F6B" w:rsidP="00090F6B">
      <w:pPr>
        <w:spacing w:line="360" w:lineRule="auto"/>
        <w:jc w:val="both"/>
        <w:rPr>
          <w:rtl/>
        </w:rPr>
      </w:pPr>
    </w:p>
    <w:p w14:paraId="609E83E8" w14:textId="77777777" w:rsidR="00090F6B" w:rsidRDefault="00090F6B" w:rsidP="00090F6B">
      <w:pPr>
        <w:numPr>
          <w:ilvl w:val="0"/>
          <w:numId w:val="1"/>
        </w:numPr>
        <w:spacing w:line="360" w:lineRule="auto"/>
        <w:jc w:val="both"/>
        <w:rPr>
          <w:rtl/>
        </w:rPr>
      </w:pPr>
      <w:r>
        <w:rPr>
          <w:rtl/>
        </w:rPr>
        <w:t xml:space="preserve">הסניגור איזכר מספר מקרים ובין היתר </w:t>
      </w:r>
      <w:hyperlink r:id="rId19" w:history="1">
        <w:r w:rsidR="0041590C" w:rsidRPr="0041590C">
          <w:rPr>
            <w:rStyle w:val="Hyperlink"/>
            <w:rtl/>
          </w:rPr>
          <w:t>תפ"ח (חי') 4069/07</w:t>
        </w:r>
      </w:hyperlink>
      <w:r>
        <w:rPr>
          <w:rtl/>
        </w:rPr>
        <w:t xml:space="preserve"> </w:t>
      </w:r>
      <w:r w:rsidRPr="003E36E7">
        <w:rPr>
          <w:u w:val="single"/>
          <w:rtl/>
        </w:rPr>
        <w:t>מדינת ישראל נ' פלוני</w:t>
      </w:r>
      <w:r>
        <w:rPr>
          <w:rtl/>
        </w:rPr>
        <w:t xml:space="preserve"> (25.5.2008) שם הודה הנאשם בהיזק בחומר נפץ ועבירות נשק, מרמה והפרת אמונים. באותו מקרה היה מדובר בשוטר שיחד עם שוטרים אחרים הגיב על השלכת רימון רסס לעברם על ידי גורמים עברייניים בהכנה והרכבת מטעני חבלה והנחתם ואלה התפוצצו לאחר הפעלת מנגנוני השהייה ופגעו ברכוש. באותו מקרה הצדדים הגיעו להסדר טיעון. יצויין שבאותה פרשה הנאשם שימש  כעד מדינה והוטלו עליו 6 חודשי מאסר לריצוי בעבודות שירות. נאשמים-שוטרים אחרים באותה פרשה הורשעו בעבירות דומות בתוספת עבירה של מרמה והפרת אמונים ולאחר שמיעת ראיות, נדונו ל- 12 חודשי מאסר בפועל. יוער כי מדובר במקרה סבוך ביותר של עבירות שבוצעו על ידי שוטרים על רקע נסיבות מורכבות. </w:t>
      </w:r>
    </w:p>
    <w:p w14:paraId="3C373246" w14:textId="77777777" w:rsidR="00090F6B" w:rsidRDefault="00090F6B" w:rsidP="00090F6B">
      <w:pPr>
        <w:spacing w:line="360" w:lineRule="auto"/>
        <w:jc w:val="both"/>
        <w:rPr>
          <w:rtl/>
        </w:rPr>
      </w:pPr>
    </w:p>
    <w:p w14:paraId="2C907CD9" w14:textId="77777777" w:rsidR="00090F6B" w:rsidRDefault="00090F6B" w:rsidP="00090F6B">
      <w:pPr>
        <w:spacing w:line="360" w:lineRule="auto"/>
        <w:ind w:left="720"/>
        <w:jc w:val="both"/>
        <w:rPr>
          <w:rtl/>
        </w:rPr>
      </w:pPr>
      <w:r>
        <w:rPr>
          <w:rtl/>
        </w:rPr>
        <w:t>ב</w:t>
      </w:r>
      <w:hyperlink r:id="rId20" w:history="1">
        <w:r w:rsidR="0041590C" w:rsidRPr="0041590C">
          <w:rPr>
            <w:rStyle w:val="Hyperlink"/>
            <w:rtl/>
          </w:rPr>
          <w:t>ת"פ (ב"ש) 8097/01</w:t>
        </w:r>
      </w:hyperlink>
      <w:r>
        <w:rPr>
          <w:rtl/>
        </w:rPr>
        <w:t xml:space="preserve"> </w:t>
      </w:r>
      <w:r w:rsidRPr="003E36E7">
        <w:rPr>
          <w:u w:val="single"/>
          <w:rtl/>
        </w:rPr>
        <w:t>מדינת ישראל נ' ויטנברג יהודה</w:t>
      </w:r>
      <w:r>
        <w:rPr>
          <w:rtl/>
        </w:rPr>
        <w:t xml:space="preserve"> (17.2.2002) הורשע נאשם על פי הודאתו בהשלכת רימון רסס ברחבת חניה בהיותו שיכור. הרימון התפוצץ אך לא נגרם נזק לאדם או רכוש. הוטל מאסר על תנאי ל- 8 חודשים. </w:t>
      </w:r>
    </w:p>
    <w:p w14:paraId="3E126D5E" w14:textId="77777777" w:rsidR="00090F6B" w:rsidRDefault="00090F6B" w:rsidP="00090F6B">
      <w:pPr>
        <w:spacing w:line="360" w:lineRule="auto"/>
        <w:ind w:left="720"/>
        <w:jc w:val="both"/>
        <w:rPr>
          <w:rtl/>
        </w:rPr>
      </w:pPr>
      <w:bookmarkStart w:id="8" w:name="_Hlk512173886"/>
      <w:r>
        <w:rPr>
          <w:rtl/>
        </w:rPr>
        <w:t xml:space="preserve">בתפ"ח (ב"ש) 115/06 </w:t>
      </w:r>
      <w:r w:rsidRPr="003E36E7">
        <w:rPr>
          <w:u w:val="single"/>
          <w:rtl/>
        </w:rPr>
        <w:t xml:space="preserve">מדינת ישראל </w:t>
      </w:r>
      <w:r w:rsidRPr="00324BCC">
        <w:rPr>
          <w:highlight w:val="yellow"/>
          <w:u w:val="single"/>
          <w:rtl/>
        </w:rPr>
        <w:t>קסקוב פבל</w:t>
      </w:r>
      <w:r>
        <w:rPr>
          <w:rtl/>
        </w:rPr>
        <w:t xml:space="preserve"> (29.11.2007) </w:t>
      </w:r>
      <w:bookmarkEnd w:id="8"/>
      <w:r>
        <w:rPr>
          <w:rtl/>
        </w:rPr>
        <w:t xml:space="preserve">במסגרת הסדר טיעון הודה הנאשם בהשלכת רימון לעבר חנות שגרם נזק למבנים. הוטל עליו מאסר בפועל למשך 12 חודשים. </w:t>
      </w:r>
    </w:p>
    <w:p w14:paraId="63FA9580" w14:textId="77777777" w:rsidR="00090F6B" w:rsidRDefault="00090F6B" w:rsidP="00090F6B">
      <w:pPr>
        <w:spacing w:line="360" w:lineRule="auto"/>
        <w:ind w:left="720"/>
        <w:jc w:val="both"/>
        <w:rPr>
          <w:rtl/>
        </w:rPr>
      </w:pPr>
      <w:r>
        <w:rPr>
          <w:rtl/>
        </w:rPr>
        <w:t>ב</w:t>
      </w:r>
      <w:hyperlink r:id="rId21" w:history="1">
        <w:r w:rsidR="0041590C" w:rsidRPr="0041590C">
          <w:rPr>
            <w:rStyle w:val="Hyperlink"/>
            <w:rtl/>
          </w:rPr>
          <w:t>ת"פ (ב"ש ) 8192/04</w:t>
        </w:r>
      </w:hyperlink>
      <w:r>
        <w:rPr>
          <w:rtl/>
        </w:rPr>
        <w:t xml:space="preserve"> </w:t>
      </w:r>
      <w:r w:rsidRPr="003E36E7">
        <w:rPr>
          <w:u w:val="single"/>
          <w:rtl/>
        </w:rPr>
        <w:t>מדינת ישראל נ' בוחבוט יוסי</w:t>
      </w:r>
      <w:r>
        <w:rPr>
          <w:rtl/>
        </w:rPr>
        <w:t xml:space="preserve"> (26.12.2007) הנאשם התכונן לזרוק רימון הלם אך לכשנצפה על ידי שומרים נפטר ממנו ונעצר לאחר מרדף. הוטל עליו מאסר בן 6 חודשים לריצוי בעבודות שירות. </w:t>
      </w:r>
    </w:p>
    <w:p w14:paraId="1F462DFD" w14:textId="77777777" w:rsidR="00090F6B" w:rsidRDefault="00090F6B" w:rsidP="00090F6B">
      <w:pPr>
        <w:spacing w:line="360" w:lineRule="auto"/>
        <w:jc w:val="both"/>
        <w:rPr>
          <w:rtl/>
        </w:rPr>
      </w:pPr>
    </w:p>
    <w:p w14:paraId="625EF842" w14:textId="77777777" w:rsidR="00090F6B" w:rsidRDefault="00090F6B" w:rsidP="00090F6B">
      <w:pPr>
        <w:numPr>
          <w:ilvl w:val="0"/>
          <w:numId w:val="1"/>
        </w:numPr>
        <w:spacing w:line="360" w:lineRule="auto"/>
        <w:jc w:val="both"/>
      </w:pPr>
      <w:r>
        <w:rPr>
          <w:rtl/>
        </w:rPr>
        <w:t xml:space="preserve">הסניגור המשיך וטען למשמעות הסולחה אך הודה שעדיין לא קיימת סולחה מוגמרת. נטען שחווית המעצר עבור הנאשם מהווה גורם מרתיע משמעותי כלפיו. נטען שהנאשם ידע שאין אנשים בחצר הבית. נטען שהמתחם צריך לנוע בין מאסר על תנאי ל- 3 שנות מאסר. </w:t>
      </w:r>
    </w:p>
    <w:p w14:paraId="7066E267" w14:textId="77777777" w:rsidR="00090F6B" w:rsidRDefault="00090F6B" w:rsidP="00090F6B">
      <w:pPr>
        <w:spacing w:line="360" w:lineRule="auto"/>
        <w:ind w:left="720"/>
        <w:jc w:val="both"/>
        <w:rPr>
          <w:rtl/>
        </w:rPr>
      </w:pPr>
    </w:p>
    <w:p w14:paraId="36086EDF" w14:textId="77777777" w:rsidR="00090F6B" w:rsidRDefault="00090F6B" w:rsidP="00090F6B">
      <w:pPr>
        <w:numPr>
          <w:ilvl w:val="0"/>
          <w:numId w:val="1"/>
        </w:numPr>
        <w:spacing w:line="360" w:lineRule="auto"/>
        <w:jc w:val="both"/>
      </w:pPr>
      <w:r>
        <w:rPr>
          <w:rtl/>
        </w:rPr>
        <w:t xml:space="preserve">הסניגור ביקש להסתמך על המלצות שירות המבחן והפנה עוד לגישת ועדת דורנר באשר לענישה. </w:t>
      </w:r>
    </w:p>
    <w:p w14:paraId="7C9238C0" w14:textId="77777777" w:rsidR="00090F6B" w:rsidRDefault="00090F6B" w:rsidP="00090F6B">
      <w:pPr>
        <w:spacing w:line="360" w:lineRule="auto"/>
        <w:ind w:left="720"/>
        <w:jc w:val="both"/>
        <w:rPr>
          <w:rtl/>
        </w:rPr>
      </w:pPr>
    </w:p>
    <w:p w14:paraId="1098127E" w14:textId="77777777" w:rsidR="00090F6B" w:rsidRDefault="00090F6B" w:rsidP="00090F6B">
      <w:pPr>
        <w:numPr>
          <w:ilvl w:val="0"/>
          <w:numId w:val="1"/>
        </w:numPr>
        <w:spacing w:line="360" w:lineRule="auto"/>
        <w:jc w:val="both"/>
        <w:rPr>
          <w:rtl/>
        </w:rPr>
      </w:pPr>
      <w:r>
        <w:rPr>
          <w:rtl/>
        </w:rPr>
        <w:t xml:space="preserve">הנאשם עצמו הביע חרטה וטען שהוא עושה ככל שביכולתו להשתקם וללמוד שליטה על כעסים. הוא טען שחווית הכלא קשה לו וזרה לו. </w:t>
      </w:r>
    </w:p>
    <w:p w14:paraId="350A1F40" w14:textId="77777777" w:rsidR="00090F6B" w:rsidRPr="00493A52" w:rsidRDefault="00090F6B" w:rsidP="00090F6B">
      <w:pPr>
        <w:spacing w:line="360" w:lineRule="auto"/>
        <w:jc w:val="both"/>
        <w:rPr>
          <w:rtl/>
        </w:rPr>
      </w:pPr>
    </w:p>
    <w:p w14:paraId="605DABEC" w14:textId="77777777" w:rsidR="00090F6B" w:rsidRDefault="00090F6B" w:rsidP="00090F6B">
      <w:pPr>
        <w:spacing w:line="360" w:lineRule="auto"/>
        <w:ind w:left="360"/>
        <w:jc w:val="both"/>
        <w:rPr>
          <w:rtl/>
        </w:rPr>
      </w:pPr>
      <w:r w:rsidRPr="00E970D2">
        <w:rPr>
          <w:b/>
          <w:bCs/>
          <w:u w:val="single"/>
          <w:rtl/>
        </w:rPr>
        <w:t>דיון</w:t>
      </w:r>
    </w:p>
    <w:p w14:paraId="04995621" w14:textId="77777777" w:rsidR="00090F6B" w:rsidRDefault="00090F6B" w:rsidP="00090F6B">
      <w:pPr>
        <w:spacing w:line="360" w:lineRule="auto"/>
        <w:jc w:val="both"/>
        <w:rPr>
          <w:rtl/>
        </w:rPr>
      </w:pPr>
    </w:p>
    <w:p w14:paraId="0989D7DB" w14:textId="77777777" w:rsidR="00090F6B" w:rsidRDefault="00090F6B" w:rsidP="00090F6B">
      <w:pPr>
        <w:numPr>
          <w:ilvl w:val="0"/>
          <w:numId w:val="1"/>
        </w:numPr>
        <w:spacing w:line="360" w:lineRule="auto"/>
        <w:jc w:val="both"/>
        <w:rPr>
          <w:rtl/>
        </w:rPr>
      </w:pPr>
      <w:r>
        <w:rPr>
          <w:rtl/>
        </w:rPr>
        <w:t xml:space="preserve">מדובר במספר עבירות המהוות אירוע אחד. </w:t>
      </w:r>
    </w:p>
    <w:p w14:paraId="082A91F4" w14:textId="77777777" w:rsidR="00090F6B" w:rsidRDefault="00090F6B" w:rsidP="00090F6B">
      <w:pPr>
        <w:spacing w:line="360" w:lineRule="auto"/>
        <w:jc w:val="both"/>
        <w:rPr>
          <w:rtl/>
        </w:rPr>
      </w:pPr>
    </w:p>
    <w:p w14:paraId="642DE341" w14:textId="77777777" w:rsidR="00090F6B" w:rsidRDefault="00090F6B" w:rsidP="00090F6B">
      <w:pPr>
        <w:numPr>
          <w:ilvl w:val="0"/>
          <w:numId w:val="1"/>
        </w:numPr>
        <w:spacing w:line="360" w:lineRule="auto"/>
        <w:jc w:val="both"/>
        <w:rPr>
          <w:rtl/>
        </w:rPr>
      </w:pPr>
      <w:r>
        <w:rPr>
          <w:rtl/>
        </w:rPr>
        <w:t>במקרה זה נפגעו הערכים המוגנים של השמירה על הרכוש, שלמות הגוף, ושלטון החוק. האספקט של עשיית דין עצמי מהווה נסיבה לחומרה כאשר חברה מסודרת מונעת מיחידים ליטול את החוק לידיים. השגת הרימון וההגעה לבית מצביעים על תכנון מוקדם ברמה מסויימת; חלקו היחסי של הנאשם היה מוחלט;  היה צפוי להיגרם נזק משמעות</w:t>
      </w:r>
      <w:r>
        <w:rPr>
          <w:rFonts w:hint="cs"/>
          <w:rtl/>
        </w:rPr>
        <w:t>י</w:t>
      </w:r>
      <w:r>
        <w:rPr>
          <w:rtl/>
        </w:rPr>
        <w:t xml:space="preserve"> מביצוע העבירה לאור השימוש בחומר נפץ תקני-צבאי; הסיבות שהביאו את הנאשם לבצע את העביר</w:t>
      </w:r>
      <w:r>
        <w:rPr>
          <w:rFonts w:hint="cs"/>
          <w:rtl/>
        </w:rPr>
        <w:t>ות</w:t>
      </w:r>
      <w:r>
        <w:rPr>
          <w:rtl/>
        </w:rPr>
        <w:t xml:space="preserve"> לא היו מוצדקות</w:t>
      </w:r>
      <w:r>
        <w:rPr>
          <w:rFonts w:hint="cs"/>
          <w:rtl/>
        </w:rPr>
        <w:t>,</w:t>
      </w:r>
      <w:r>
        <w:rPr>
          <w:rtl/>
        </w:rPr>
        <w:t xml:space="preserve"> כאמור לעיל ביחס לעשיית דין עצמי; הנאשם יכל להבין את הפסול במעשיו ולהמנע מביצוע המעשה. </w:t>
      </w:r>
    </w:p>
    <w:p w14:paraId="4F74157F" w14:textId="77777777" w:rsidR="00090F6B" w:rsidRDefault="00090F6B" w:rsidP="00090F6B">
      <w:pPr>
        <w:spacing w:line="360" w:lineRule="auto"/>
        <w:jc w:val="both"/>
        <w:rPr>
          <w:rtl/>
        </w:rPr>
      </w:pPr>
    </w:p>
    <w:p w14:paraId="33697DA8" w14:textId="77777777" w:rsidR="00090F6B" w:rsidRDefault="00090F6B" w:rsidP="00090F6B">
      <w:pPr>
        <w:numPr>
          <w:ilvl w:val="0"/>
          <w:numId w:val="1"/>
        </w:numPr>
        <w:spacing w:line="360" w:lineRule="auto"/>
        <w:jc w:val="both"/>
        <w:rPr>
          <w:rtl/>
        </w:rPr>
      </w:pPr>
      <w:r>
        <w:rPr>
          <w:rtl/>
        </w:rPr>
        <w:t>כל אלה</w:t>
      </w:r>
      <w:r>
        <w:rPr>
          <w:rFonts w:hint="cs"/>
          <w:rtl/>
        </w:rPr>
        <w:t>,</w:t>
      </w:r>
      <w:r>
        <w:rPr>
          <w:rtl/>
        </w:rPr>
        <w:t xml:space="preserve"> יחד עם הפסיקה שאוזכרה על ידי הצדדים מביאים אותי לקבוע שמתחם הענישה ההולם נמצא בין 2 - 5 שנות מאסר בפועל. </w:t>
      </w:r>
    </w:p>
    <w:p w14:paraId="71066BAC" w14:textId="77777777" w:rsidR="00090F6B" w:rsidRDefault="00090F6B" w:rsidP="00090F6B">
      <w:pPr>
        <w:spacing w:line="360" w:lineRule="auto"/>
        <w:jc w:val="both"/>
        <w:rPr>
          <w:rtl/>
        </w:rPr>
      </w:pPr>
    </w:p>
    <w:p w14:paraId="1E5D96EE" w14:textId="77777777" w:rsidR="00090F6B" w:rsidRDefault="00090F6B" w:rsidP="00090F6B">
      <w:pPr>
        <w:numPr>
          <w:ilvl w:val="0"/>
          <w:numId w:val="1"/>
        </w:numPr>
        <w:spacing w:line="360" w:lineRule="auto"/>
        <w:jc w:val="both"/>
        <w:rPr>
          <w:rtl/>
        </w:rPr>
      </w:pPr>
      <w:r>
        <w:rPr>
          <w:rtl/>
        </w:rPr>
        <w:t xml:space="preserve">התסקיר אמנם חיובי ומזכיר בין היתר את עברו הנקי של הנאשם והעובדה שעד לביצוע העבירה ניהל </w:t>
      </w:r>
      <w:r>
        <w:rPr>
          <w:rFonts w:hint="cs"/>
          <w:rtl/>
        </w:rPr>
        <w:t xml:space="preserve">אורח </w:t>
      </w:r>
      <w:r>
        <w:rPr>
          <w:rtl/>
        </w:rPr>
        <w:t xml:space="preserve">חיים נורמטיבי. כמו כן אין להתעלם מההמלצה או מההרתעה שהיתה כרוכה </w:t>
      </w:r>
      <w:r>
        <w:rPr>
          <w:rFonts w:hint="cs"/>
          <w:rtl/>
        </w:rPr>
        <w:t>בחוויי</w:t>
      </w:r>
      <w:r>
        <w:rPr>
          <w:rFonts w:hint="eastAsia"/>
          <w:rtl/>
        </w:rPr>
        <w:t>ת</w:t>
      </w:r>
      <w:r>
        <w:rPr>
          <w:rtl/>
        </w:rPr>
        <w:t xml:space="preserve"> המעצר עבור הנאשם ואולם, כידוע, המלצות של תסקיר מהוות אך שיקול אחד מני מספר שיקולים בעת גזירת העונש. </w:t>
      </w:r>
    </w:p>
    <w:p w14:paraId="0773DC3D" w14:textId="77777777" w:rsidR="00090F6B" w:rsidRDefault="00090F6B" w:rsidP="00090F6B">
      <w:pPr>
        <w:spacing w:line="360" w:lineRule="auto"/>
        <w:jc w:val="both"/>
        <w:rPr>
          <w:rtl/>
        </w:rPr>
      </w:pPr>
    </w:p>
    <w:p w14:paraId="02D4D759" w14:textId="77777777" w:rsidR="00090F6B" w:rsidRDefault="00090F6B" w:rsidP="00090F6B">
      <w:pPr>
        <w:numPr>
          <w:ilvl w:val="0"/>
          <w:numId w:val="1"/>
        </w:numPr>
        <w:spacing w:line="360" w:lineRule="auto"/>
        <w:jc w:val="both"/>
        <w:rPr>
          <w:rtl/>
        </w:rPr>
      </w:pPr>
      <w:r>
        <w:rPr>
          <w:rtl/>
        </w:rPr>
        <w:t>באשר לנסיבות שאינן קשורות לביצוע העבירה, אין ספק שעונש של מאסר יפגע בנאשם ובמשפחתו ואקח בחשבון לקולא את העובדה שהנאשם הודה לבסוף בביצוע העביר</w:t>
      </w:r>
      <w:r>
        <w:rPr>
          <w:rFonts w:hint="cs"/>
          <w:rtl/>
        </w:rPr>
        <w:t>ות</w:t>
      </w:r>
      <w:r>
        <w:rPr>
          <w:rtl/>
        </w:rPr>
        <w:t xml:space="preserve"> וקיבל אחריות בגינ</w:t>
      </w:r>
      <w:r>
        <w:rPr>
          <w:rFonts w:hint="cs"/>
          <w:rtl/>
        </w:rPr>
        <w:t>ן</w:t>
      </w:r>
      <w:r>
        <w:rPr>
          <w:rtl/>
        </w:rPr>
        <w:t xml:space="preserve"> וניהל </w:t>
      </w:r>
      <w:r>
        <w:rPr>
          <w:rFonts w:hint="cs"/>
          <w:rtl/>
        </w:rPr>
        <w:t>קודם לכן</w:t>
      </w:r>
      <w:r>
        <w:rPr>
          <w:rtl/>
        </w:rPr>
        <w:t xml:space="preserve"> חיים נורמטיביים. </w:t>
      </w:r>
    </w:p>
    <w:p w14:paraId="3A5613E0" w14:textId="77777777" w:rsidR="00090F6B" w:rsidRDefault="00090F6B" w:rsidP="00090F6B">
      <w:pPr>
        <w:spacing w:line="360" w:lineRule="auto"/>
        <w:jc w:val="both"/>
        <w:rPr>
          <w:rtl/>
        </w:rPr>
      </w:pPr>
    </w:p>
    <w:p w14:paraId="1345481B" w14:textId="77777777" w:rsidR="00090F6B" w:rsidRDefault="00090F6B" w:rsidP="00090F6B">
      <w:pPr>
        <w:numPr>
          <w:ilvl w:val="0"/>
          <w:numId w:val="1"/>
        </w:numPr>
        <w:spacing w:line="360" w:lineRule="auto"/>
        <w:jc w:val="both"/>
        <w:rPr>
          <w:rtl/>
        </w:rPr>
      </w:pPr>
      <w:r>
        <w:rPr>
          <w:rtl/>
        </w:rPr>
        <w:t xml:space="preserve">מכל האמור, הגעתי למסקנה שיש להטיל עונש כדלקמן: </w:t>
      </w:r>
    </w:p>
    <w:p w14:paraId="63EBE21D" w14:textId="77777777" w:rsidR="00090F6B" w:rsidRDefault="00090F6B" w:rsidP="00090F6B">
      <w:pPr>
        <w:numPr>
          <w:ilvl w:val="0"/>
          <w:numId w:val="2"/>
        </w:numPr>
        <w:spacing w:line="360" w:lineRule="auto"/>
        <w:jc w:val="both"/>
        <w:rPr>
          <w:rtl/>
        </w:rPr>
      </w:pPr>
      <w:r>
        <w:rPr>
          <w:rtl/>
        </w:rPr>
        <w:t xml:space="preserve">24 חודשי מאסר בפועל מהם תנוכה תקופת המעצר שבין </w:t>
      </w:r>
      <w:r>
        <w:rPr>
          <w:rFonts w:hint="cs"/>
          <w:rtl/>
        </w:rPr>
        <w:t>21.12.16</w:t>
      </w:r>
      <w:r>
        <w:rPr>
          <w:rtl/>
        </w:rPr>
        <w:t xml:space="preserve"> </w:t>
      </w:r>
      <w:r>
        <w:rPr>
          <w:rFonts w:hint="cs"/>
          <w:rtl/>
        </w:rPr>
        <w:t xml:space="preserve">עד היום. </w:t>
      </w:r>
    </w:p>
    <w:p w14:paraId="6B4E561D" w14:textId="77777777" w:rsidR="00090F6B" w:rsidRDefault="00090F6B" w:rsidP="00090F6B">
      <w:pPr>
        <w:numPr>
          <w:ilvl w:val="0"/>
          <w:numId w:val="2"/>
        </w:numPr>
        <w:spacing w:line="360" w:lineRule="auto"/>
        <w:jc w:val="both"/>
        <w:rPr>
          <w:rtl/>
        </w:rPr>
      </w:pPr>
      <w:r>
        <w:rPr>
          <w:rtl/>
        </w:rPr>
        <w:t xml:space="preserve">9 חודשי מאסר על תנאי למשך 3 שנים שיופעלו במידה והנאשם יבצע עבירות נשק או עבירות אלימות, מסוג פשע. </w:t>
      </w:r>
    </w:p>
    <w:p w14:paraId="374A7FBC" w14:textId="77777777" w:rsidR="00090F6B" w:rsidRDefault="00090F6B" w:rsidP="00090F6B">
      <w:pPr>
        <w:numPr>
          <w:ilvl w:val="0"/>
          <w:numId w:val="2"/>
        </w:numPr>
        <w:spacing w:line="360" w:lineRule="auto"/>
        <w:jc w:val="both"/>
        <w:rPr>
          <w:rtl/>
        </w:rPr>
      </w:pPr>
      <w:r>
        <w:rPr>
          <w:rtl/>
        </w:rPr>
        <w:t xml:space="preserve">בנסיבות, איני רואה מקום להטיל קנס או פיצוי. </w:t>
      </w:r>
    </w:p>
    <w:p w14:paraId="40132A09" w14:textId="77777777" w:rsidR="00090F6B" w:rsidRDefault="00090F6B" w:rsidP="00090F6B">
      <w:pPr>
        <w:spacing w:line="360" w:lineRule="auto"/>
        <w:jc w:val="both"/>
        <w:rPr>
          <w:rtl/>
        </w:rPr>
      </w:pPr>
    </w:p>
    <w:p w14:paraId="3A4073D6" w14:textId="77777777" w:rsidR="00090F6B" w:rsidRDefault="00090F6B" w:rsidP="00090F6B">
      <w:pPr>
        <w:spacing w:line="360" w:lineRule="auto"/>
        <w:jc w:val="both"/>
        <w:rPr>
          <w:b/>
          <w:bCs/>
          <w:u w:val="single"/>
          <w:rtl/>
        </w:rPr>
      </w:pPr>
      <w:r>
        <w:rPr>
          <w:b/>
          <w:bCs/>
          <w:u w:val="single"/>
          <w:rtl/>
        </w:rPr>
        <w:t xml:space="preserve">זכות ערעור תוך 45 ימים. </w:t>
      </w:r>
    </w:p>
    <w:p w14:paraId="55A8A70B" w14:textId="77777777" w:rsidR="00090F6B" w:rsidRDefault="00090F6B" w:rsidP="00090F6B">
      <w:pPr>
        <w:spacing w:line="360" w:lineRule="auto"/>
        <w:jc w:val="both"/>
        <w:rPr>
          <w:b/>
          <w:bCs/>
          <w:u w:val="single"/>
          <w:rtl/>
        </w:rPr>
      </w:pPr>
    </w:p>
    <w:p w14:paraId="421D23B8" w14:textId="77777777" w:rsidR="00090F6B" w:rsidRPr="00B05847" w:rsidRDefault="00090F6B" w:rsidP="00090F6B">
      <w:pPr>
        <w:rPr>
          <w:rtl/>
        </w:rPr>
      </w:pPr>
    </w:p>
    <w:p w14:paraId="72F011B2" w14:textId="77777777" w:rsidR="00090F6B" w:rsidRDefault="0041590C" w:rsidP="00090F6B">
      <w:pPr>
        <w:jc w:val="center"/>
      </w:pPr>
      <w:r w:rsidRPr="0041590C">
        <w:rPr>
          <w:rFonts w:ascii="Arial" w:hAnsi="Arial"/>
          <w:color w:val="FFFFFF"/>
          <w:sz w:val="2"/>
          <w:szCs w:val="2"/>
          <w:rtl/>
        </w:rPr>
        <w:t>5129371</w:t>
      </w:r>
      <w:r>
        <w:rPr>
          <w:rFonts w:ascii="Arial" w:hAnsi="Arial"/>
          <w:rtl/>
        </w:rPr>
        <w:t xml:space="preserve">ניתן היום,  ה' תמוז תשע"ז, 29 יוני 2017,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90F6B" w14:paraId="3676352C" w14:textId="77777777" w:rsidTr="00090F6B">
        <w:trPr>
          <w:trHeight w:val="316"/>
          <w:jc w:val="right"/>
        </w:trPr>
        <w:tc>
          <w:tcPr>
            <w:tcW w:w="3936" w:type="dxa"/>
            <w:tcBorders>
              <w:top w:val="nil"/>
              <w:left w:val="nil"/>
              <w:bottom w:val="single" w:sz="4" w:space="0" w:color="auto"/>
              <w:right w:val="nil"/>
            </w:tcBorders>
            <w:shd w:val="clear" w:color="auto" w:fill="auto"/>
          </w:tcPr>
          <w:p w14:paraId="7EE3E148" w14:textId="77777777" w:rsidR="00090F6B" w:rsidRPr="0041590C" w:rsidRDefault="0041590C" w:rsidP="00090F6B">
            <w:pPr>
              <w:jc w:val="center"/>
              <w:rPr>
                <w:color w:val="FFFFFF"/>
                <w:sz w:val="2"/>
                <w:szCs w:val="2"/>
                <w:rtl/>
              </w:rPr>
            </w:pPr>
            <w:r w:rsidRPr="0041590C">
              <w:rPr>
                <w:rFonts w:cs="Times New Roman"/>
                <w:color w:val="FFFFFF"/>
                <w:sz w:val="2"/>
                <w:szCs w:val="2"/>
                <w:rtl/>
              </w:rPr>
              <w:t>54678313</w:t>
            </w:r>
            <w:r w:rsidR="00090F6B" w:rsidRPr="0041590C">
              <w:rPr>
                <w:rFonts w:cs="Times New Roman"/>
                <w:color w:val="FFFFFF"/>
                <w:sz w:val="2"/>
                <w:szCs w:val="2"/>
                <w:rtl/>
              </w:rPr>
              <w:t xml:space="preserve">     </w:t>
            </w:r>
          </w:p>
          <w:p w14:paraId="07467EAC" w14:textId="77777777" w:rsidR="00090F6B" w:rsidRDefault="00090F6B" w:rsidP="00090F6B">
            <w:pPr>
              <w:jc w:val="center"/>
            </w:pPr>
          </w:p>
        </w:tc>
      </w:tr>
      <w:tr w:rsidR="00090F6B" w14:paraId="64D3D2C4" w14:textId="77777777" w:rsidTr="00090F6B">
        <w:trPr>
          <w:trHeight w:val="361"/>
          <w:jc w:val="right"/>
        </w:trPr>
        <w:tc>
          <w:tcPr>
            <w:tcW w:w="3936" w:type="dxa"/>
            <w:tcBorders>
              <w:top w:val="single" w:sz="4" w:space="0" w:color="auto"/>
              <w:left w:val="nil"/>
              <w:bottom w:val="nil"/>
              <w:right w:val="nil"/>
            </w:tcBorders>
            <w:shd w:val="clear" w:color="auto" w:fill="auto"/>
          </w:tcPr>
          <w:p w14:paraId="6FE2A4A9" w14:textId="77777777" w:rsidR="00090F6B" w:rsidRPr="00090F6B" w:rsidRDefault="00090F6B" w:rsidP="00090F6B">
            <w:pPr>
              <w:jc w:val="center"/>
              <w:rPr>
                <w:b/>
                <w:bCs/>
                <w:rtl/>
              </w:rPr>
            </w:pPr>
            <w:r w:rsidRPr="00090F6B">
              <w:rPr>
                <w:rFonts w:hint="cs"/>
                <w:b/>
                <w:bCs/>
                <w:rtl/>
              </w:rPr>
              <w:t xml:space="preserve">דניאל פיש , שופט </w:t>
            </w:r>
          </w:p>
        </w:tc>
      </w:tr>
    </w:tbl>
    <w:p w14:paraId="2D498E48" w14:textId="77777777" w:rsidR="00090F6B" w:rsidRPr="001A0D50" w:rsidRDefault="001A0D50" w:rsidP="00090F6B">
      <w:pPr>
        <w:jc w:val="right"/>
        <w:rPr>
          <w:rFonts w:ascii="David" w:hAnsi="David"/>
          <w:color w:val="FFFFFF"/>
          <w:sz w:val="2"/>
          <w:szCs w:val="2"/>
          <w:rtl/>
        </w:rPr>
      </w:pPr>
      <w:r w:rsidRPr="001A0D50">
        <w:rPr>
          <w:rFonts w:ascii="David" w:hAnsi="David"/>
          <w:color w:val="FFFFFF"/>
          <w:sz w:val="2"/>
          <w:szCs w:val="2"/>
          <w:rtl/>
        </w:rPr>
        <w:t>5129371</w:t>
      </w:r>
    </w:p>
    <w:p w14:paraId="79E43B44" w14:textId="77777777" w:rsidR="0041590C" w:rsidRPr="001A0D50" w:rsidRDefault="001A0D50" w:rsidP="0041590C">
      <w:pPr>
        <w:keepNext/>
        <w:rPr>
          <w:rFonts w:ascii="David" w:hAnsi="David"/>
          <w:color w:val="FFFFFF"/>
          <w:sz w:val="2"/>
          <w:szCs w:val="2"/>
          <w:rtl/>
        </w:rPr>
      </w:pPr>
      <w:r w:rsidRPr="001A0D50">
        <w:rPr>
          <w:rFonts w:ascii="David" w:hAnsi="David"/>
          <w:color w:val="FFFFFF"/>
          <w:sz w:val="2"/>
          <w:szCs w:val="2"/>
          <w:rtl/>
        </w:rPr>
        <w:t>54678313</w:t>
      </w:r>
    </w:p>
    <w:p w14:paraId="43C29B1C" w14:textId="77777777" w:rsidR="0041590C" w:rsidRPr="0041590C" w:rsidRDefault="0041590C" w:rsidP="0041590C">
      <w:pPr>
        <w:keepNext/>
        <w:rPr>
          <w:rFonts w:ascii="David" w:hAnsi="David"/>
          <w:color w:val="000000"/>
          <w:sz w:val="22"/>
          <w:szCs w:val="22"/>
          <w:rtl/>
        </w:rPr>
      </w:pPr>
      <w:r w:rsidRPr="0041590C">
        <w:rPr>
          <w:rFonts w:ascii="David" w:hAnsi="David"/>
          <w:color w:val="000000"/>
          <w:sz w:val="22"/>
          <w:szCs w:val="22"/>
          <w:rtl/>
        </w:rPr>
        <w:t>דניאל פיש 54678313</w:t>
      </w:r>
    </w:p>
    <w:p w14:paraId="1BC5614F" w14:textId="77777777" w:rsidR="0041590C" w:rsidRDefault="0041590C" w:rsidP="0041590C">
      <w:pPr>
        <w:rPr>
          <w:color w:val="000000"/>
          <w:rtl/>
        </w:rPr>
      </w:pPr>
      <w:r w:rsidRPr="0041590C">
        <w:rPr>
          <w:color w:val="000000"/>
          <w:rtl/>
        </w:rPr>
        <w:t>נוסח מסמך זה כפוף לשינויי ניסוח ועריכה</w:t>
      </w:r>
    </w:p>
    <w:p w14:paraId="7E32C8E5" w14:textId="77777777" w:rsidR="0041590C" w:rsidRDefault="0041590C" w:rsidP="0041590C">
      <w:pPr>
        <w:rPr>
          <w:rtl/>
        </w:rPr>
      </w:pPr>
    </w:p>
    <w:p w14:paraId="7D51F80B" w14:textId="77777777" w:rsidR="0041590C" w:rsidRDefault="0041590C" w:rsidP="0041590C">
      <w:pPr>
        <w:jc w:val="center"/>
        <w:rPr>
          <w:color w:val="0000FF"/>
          <w:u w:val="single"/>
          <w:rtl/>
        </w:rPr>
      </w:pPr>
      <w:hyperlink r:id="rId22" w:history="1">
        <w:r>
          <w:rPr>
            <w:rStyle w:val="Hyperlink"/>
            <w:rtl/>
          </w:rPr>
          <w:t>בעניין עריכה ושינויים במסמכי פסיקה, חקיקה ועוד באתר נבו – הקש כאן</w:t>
        </w:r>
      </w:hyperlink>
    </w:p>
    <w:p w14:paraId="4CA5ABC4" w14:textId="77777777" w:rsidR="001A0D50" w:rsidRPr="001A0D50" w:rsidRDefault="001A0D50" w:rsidP="001A0D50">
      <w:pPr>
        <w:keepNext/>
        <w:rPr>
          <w:rFonts w:ascii="David" w:hAnsi="David"/>
          <w:color w:val="000000"/>
          <w:sz w:val="22"/>
          <w:szCs w:val="22"/>
          <w:rtl/>
        </w:rPr>
      </w:pPr>
    </w:p>
    <w:sectPr w:rsidR="001A0D50" w:rsidRPr="001A0D50" w:rsidSect="001A0D50">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0A823" w14:textId="77777777" w:rsidR="00842016" w:rsidRDefault="00842016">
      <w:r>
        <w:separator/>
      </w:r>
    </w:p>
  </w:endnote>
  <w:endnote w:type="continuationSeparator" w:id="0">
    <w:p w14:paraId="29484528" w14:textId="77777777" w:rsidR="00842016" w:rsidRDefault="00842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DFE68" w14:textId="77777777" w:rsidR="001B6FFB" w:rsidRDefault="001B6FFB" w:rsidP="001A0D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25AFC7" w14:textId="77777777" w:rsidR="001B6FFB" w:rsidRPr="001A0D50" w:rsidRDefault="001B6FFB" w:rsidP="001A0D50">
    <w:pPr>
      <w:pStyle w:val="a5"/>
      <w:pBdr>
        <w:top w:val="single" w:sz="4" w:space="1" w:color="auto"/>
        <w:between w:val="single" w:sz="4" w:space="0" w:color="auto"/>
      </w:pBdr>
      <w:spacing w:after="60"/>
      <w:jc w:val="center"/>
      <w:rPr>
        <w:rFonts w:ascii="FrankRuehl" w:hAnsi="FrankRuehl" w:cs="FrankRuehl"/>
        <w:color w:val="000000"/>
      </w:rPr>
    </w:pPr>
    <w:r w:rsidRPr="001A0D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3463E" w14:textId="77777777" w:rsidR="001B6FFB" w:rsidRDefault="001B6FFB" w:rsidP="001A0D5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42B9">
      <w:rPr>
        <w:rFonts w:ascii="FrankRuehl" w:hAnsi="FrankRuehl" w:cs="FrankRuehl"/>
        <w:noProof/>
        <w:rtl/>
      </w:rPr>
      <w:t>1</w:t>
    </w:r>
    <w:r>
      <w:rPr>
        <w:rFonts w:ascii="FrankRuehl" w:hAnsi="FrankRuehl" w:cs="FrankRuehl"/>
        <w:rtl/>
      </w:rPr>
      <w:fldChar w:fldCharType="end"/>
    </w:r>
  </w:p>
  <w:p w14:paraId="099A8FE5" w14:textId="77777777" w:rsidR="001B6FFB" w:rsidRPr="001A0D50" w:rsidRDefault="001B6FFB" w:rsidP="001A0D50">
    <w:pPr>
      <w:pStyle w:val="a5"/>
      <w:pBdr>
        <w:top w:val="single" w:sz="4" w:space="1" w:color="auto"/>
        <w:between w:val="single" w:sz="4" w:space="0" w:color="auto"/>
      </w:pBdr>
      <w:spacing w:after="60"/>
      <w:jc w:val="center"/>
      <w:rPr>
        <w:rFonts w:ascii="FrankRuehl" w:hAnsi="FrankRuehl" w:cs="FrankRuehl"/>
        <w:color w:val="000000"/>
      </w:rPr>
    </w:pPr>
    <w:r w:rsidRPr="001A0D50">
      <w:rPr>
        <w:rFonts w:ascii="FrankRuehl" w:hAnsi="FrankRuehl" w:cs="FrankRuehl"/>
        <w:color w:val="000000"/>
      </w:rPr>
      <w:pict w14:anchorId="5A5B68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8A8AF" w14:textId="77777777" w:rsidR="00842016" w:rsidRDefault="00842016">
      <w:r>
        <w:separator/>
      </w:r>
    </w:p>
  </w:footnote>
  <w:footnote w:type="continuationSeparator" w:id="0">
    <w:p w14:paraId="2FC876C4" w14:textId="77777777" w:rsidR="00842016" w:rsidRDefault="00842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4FBB7" w14:textId="77777777" w:rsidR="001B6FFB" w:rsidRPr="001A0D50" w:rsidRDefault="001B6FFB" w:rsidP="001A0D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64990-12-16</w:t>
    </w:r>
    <w:r>
      <w:rPr>
        <w:rFonts w:ascii="David" w:hAnsi="David"/>
        <w:color w:val="000000"/>
        <w:sz w:val="22"/>
        <w:szCs w:val="22"/>
        <w:rtl/>
      </w:rPr>
      <w:tab/>
      <w:t xml:space="preserve"> מדינת ישראל נ' מורן שקור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95525" w14:textId="77777777" w:rsidR="001B6FFB" w:rsidRPr="001A0D50" w:rsidRDefault="001B6FFB" w:rsidP="001A0D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64990-12-16</w:t>
    </w:r>
    <w:r>
      <w:rPr>
        <w:rFonts w:ascii="David" w:hAnsi="David"/>
        <w:color w:val="000000"/>
        <w:sz w:val="22"/>
        <w:szCs w:val="22"/>
        <w:rtl/>
      </w:rPr>
      <w:tab/>
      <w:t xml:space="preserve"> מדינת ישראל נ' מורן שקור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BEE"/>
    <w:multiLevelType w:val="hybridMultilevel"/>
    <w:tmpl w:val="9306C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67EA5C31"/>
    <w:multiLevelType w:val="hybridMultilevel"/>
    <w:tmpl w:val="2970325C"/>
    <w:lvl w:ilvl="0" w:tplc="04090013">
      <w:start w:val="1"/>
      <w:numFmt w:val="hebrew1"/>
      <w:lvlText w:val="%1."/>
      <w:lvlJc w:val="center"/>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77158175">
    <w:abstractNumId w:val="0"/>
  </w:num>
  <w:num w:numId="2" w16cid:durableId="86560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F6B"/>
    <w:rsid w:val="00090F6B"/>
    <w:rsid w:val="001610CF"/>
    <w:rsid w:val="001A0D50"/>
    <w:rsid w:val="001B6FFB"/>
    <w:rsid w:val="002242B9"/>
    <w:rsid w:val="002D7B2F"/>
    <w:rsid w:val="00324BCC"/>
    <w:rsid w:val="003937DD"/>
    <w:rsid w:val="0041590C"/>
    <w:rsid w:val="0043273F"/>
    <w:rsid w:val="006429EC"/>
    <w:rsid w:val="00842016"/>
    <w:rsid w:val="00B646A0"/>
    <w:rsid w:val="00BA16A0"/>
    <w:rsid w:val="00DF69A1"/>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7F92132"/>
  <w15:chartTrackingRefBased/>
  <w15:docId w15:val="{B5868E07-E47A-44E1-A892-AB984B0A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F6B"/>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90F6B"/>
    <w:pPr>
      <w:tabs>
        <w:tab w:val="center" w:pos="4153"/>
        <w:tab w:val="right" w:pos="8306"/>
      </w:tabs>
    </w:pPr>
  </w:style>
  <w:style w:type="character" w:customStyle="1" w:styleId="a4">
    <w:name w:val="כותרת עליונה תו"/>
    <w:link w:val="a3"/>
    <w:rsid w:val="00090F6B"/>
    <w:rPr>
      <w:rFonts w:ascii="Times New Roman" w:eastAsia="Times New Roman" w:hAnsi="Times New Roman" w:cs="David"/>
      <w:sz w:val="24"/>
      <w:szCs w:val="24"/>
    </w:rPr>
  </w:style>
  <w:style w:type="paragraph" w:styleId="a5">
    <w:name w:val="footer"/>
    <w:basedOn w:val="a"/>
    <w:link w:val="a6"/>
    <w:rsid w:val="00090F6B"/>
    <w:pPr>
      <w:tabs>
        <w:tab w:val="center" w:pos="4153"/>
        <w:tab w:val="right" w:pos="8306"/>
      </w:tabs>
    </w:pPr>
  </w:style>
  <w:style w:type="character" w:customStyle="1" w:styleId="a6">
    <w:name w:val="כותרת תחתונה תו"/>
    <w:link w:val="a5"/>
    <w:rsid w:val="00090F6B"/>
    <w:rPr>
      <w:rFonts w:ascii="Times New Roman" w:eastAsia="Times New Roman" w:hAnsi="Times New Roman" w:cs="David"/>
      <w:sz w:val="24"/>
      <w:szCs w:val="24"/>
    </w:rPr>
  </w:style>
  <w:style w:type="table" w:styleId="a7">
    <w:name w:val="Table Grid"/>
    <w:basedOn w:val="a1"/>
    <w:rsid w:val="00090F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0F6B"/>
  </w:style>
  <w:style w:type="character" w:styleId="Hyperlink">
    <w:name w:val="Hyperlink"/>
    <w:rsid w:val="0041590C"/>
    <w:rPr>
      <w:color w:val="0000FF"/>
      <w:u w:val="single"/>
    </w:rPr>
  </w:style>
  <w:style w:type="character" w:styleId="a9">
    <w:name w:val="Unresolved Mention"/>
    <w:uiPriority w:val="99"/>
    <w:semiHidden/>
    <w:unhideWhenUsed/>
    <w:rsid w:val="00324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450" TargetMode="External"/><Relationship Id="rId18" Type="http://schemas.openxmlformats.org/officeDocument/2006/relationships/hyperlink" Target="http://www.nevo.co.il/case/8476828"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380233"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361923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3077618" TargetMode="External"/><Relationship Id="rId20" Type="http://schemas.openxmlformats.org/officeDocument/2006/relationships/hyperlink" Target="http://www.nevo.co.il/case/2196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59021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52" TargetMode="External"/><Relationship Id="rId19" Type="http://schemas.openxmlformats.org/officeDocument/2006/relationships/hyperlink" Target="http://www.nevo.co.il/case/2286124" TargetMode="External"/><Relationship Id="rId4" Type="http://schemas.openxmlformats.org/officeDocument/2006/relationships/webSettings" Target="webSettings.xml"/><Relationship Id="rId9" Type="http://schemas.openxmlformats.org/officeDocument/2006/relationships/hyperlink" Target="http://www.nevo.co.il/law/70301/450" TargetMode="External"/><Relationship Id="rId14" Type="http://schemas.openxmlformats.org/officeDocument/2006/relationships/hyperlink" Target="http://www.nevo.co.il/law/70301/452"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1736</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10399</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vt:i4>
      </vt:variant>
      <vt:variant>
        <vt:i4>42</vt:i4>
      </vt:variant>
      <vt:variant>
        <vt:i4>0</vt:i4>
      </vt:variant>
      <vt:variant>
        <vt:i4>5</vt:i4>
      </vt:variant>
      <vt:variant>
        <vt:lpwstr>http://www.nevo.co.il/case/380233</vt:lpwstr>
      </vt:variant>
      <vt:variant>
        <vt:lpwstr/>
      </vt:variant>
      <vt:variant>
        <vt:i4>786499</vt:i4>
      </vt:variant>
      <vt:variant>
        <vt:i4>39</vt:i4>
      </vt:variant>
      <vt:variant>
        <vt:i4>0</vt:i4>
      </vt:variant>
      <vt:variant>
        <vt:i4>5</vt:i4>
      </vt:variant>
      <vt:variant>
        <vt:lpwstr>http://www.nevo.co.il/case/219673</vt:lpwstr>
      </vt:variant>
      <vt:variant>
        <vt:lpwstr/>
      </vt:variant>
      <vt:variant>
        <vt:i4>4128882</vt:i4>
      </vt:variant>
      <vt:variant>
        <vt:i4>36</vt:i4>
      </vt:variant>
      <vt:variant>
        <vt:i4>0</vt:i4>
      </vt:variant>
      <vt:variant>
        <vt:i4>5</vt:i4>
      </vt:variant>
      <vt:variant>
        <vt:lpwstr>http://www.nevo.co.il/case/2286124</vt:lpwstr>
      </vt:variant>
      <vt:variant>
        <vt:lpwstr/>
      </vt:variant>
      <vt:variant>
        <vt:i4>4128884</vt:i4>
      </vt:variant>
      <vt:variant>
        <vt:i4>33</vt:i4>
      </vt:variant>
      <vt:variant>
        <vt:i4>0</vt:i4>
      </vt:variant>
      <vt:variant>
        <vt:i4>5</vt:i4>
      </vt:variant>
      <vt:variant>
        <vt:lpwstr>http://www.nevo.co.il/case/8476828</vt:lpwstr>
      </vt:variant>
      <vt:variant>
        <vt:lpwstr/>
      </vt:variant>
      <vt:variant>
        <vt:i4>3145848</vt:i4>
      </vt:variant>
      <vt:variant>
        <vt:i4>30</vt:i4>
      </vt:variant>
      <vt:variant>
        <vt:i4>0</vt:i4>
      </vt:variant>
      <vt:variant>
        <vt:i4>5</vt:i4>
      </vt:variant>
      <vt:variant>
        <vt:lpwstr>http://www.nevo.co.il/case/3619230</vt:lpwstr>
      </vt:variant>
      <vt:variant>
        <vt:lpwstr/>
      </vt:variant>
      <vt:variant>
        <vt:i4>3604598</vt:i4>
      </vt:variant>
      <vt:variant>
        <vt:i4>27</vt:i4>
      </vt:variant>
      <vt:variant>
        <vt:i4>0</vt:i4>
      </vt:variant>
      <vt:variant>
        <vt:i4>5</vt:i4>
      </vt:variant>
      <vt:variant>
        <vt:lpwstr>http://www.nevo.co.il/case/13077618</vt:lpwstr>
      </vt:variant>
      <vt:variant>
        <vt:lpwstr/>
      </vt:variant>
      <vt:variant>
        <vt:i4>3211376</vt:i4>
      </vt:variant>
      <vt:variant>
        <vt:i4>24</vt:i4>
      </vt:variant>
      <vt:variant>
        <vt:i4>0</vt:i4>
      </vt:variant>
      <vt:variant>
        <vt:i4>5</vt:i4>
      </vt:variant>
      <vt:variant>
        <vt:lpwstr>http://www.nevo.co.il/case/2590218</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6291553</vt:i4>
      </vt:variant>
      <vt:variant>
        <vt:i4>18</vt:i4>
      </vt:variant>
      <vt:variant>
        <vt:i4>0</vt:i4>
      </vt:variant>
      <vt:variant>
        <vt:i4>5</vt:i4>
      </vt:variant>
      <vt:variant>
        <vt:lpwstr>http://www.nevo.co.il/law/70301/450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6291553</vt:i4>
      </vt:variant>
      <vt:variant>
        <vt:i4>6</vt:i4>
      </vt:variant>
      <vt:variant>
        <vt:i4>0</vt:i4>
      </vt:variant>
      <vt:variant>
        <vt:i4>5</vt:i4>
      </vt:variant>
      <vt:variant>
        <vt:lpwstr>http://www.nevo.co.il/law/70301/450</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2025-01-19T16:13:00Z</dcterms:created>
  <dcterms:modified xsi:type="dcterms:W3CDTF">2025-01-19T16:13:00Z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64990</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מורן שקור</vt:lpwstr>
  </property>
  <property fmtid="{D5CDD505-2E9C-101B-9397-08002B2CF9AE}" pid="10" name="LAWYER">
    <vt:lpwstr>יניב אביטן ;טל עופר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20170629</vt:lpwstr>
  </property>
  <property fmtid="{D5CDD505-2E9C-101B-9397-08002B2CF9AE}" pid="14" name="TYPE_N_DATE">
    <vt:lpwstr>39020170629</vt:lpwstr>
  </property>
  <property fmtid="{D5CDD505-2E9C-101B-9397-08002B2CF9AE}" pid="15" name="WORDNUMPAGES">
    <vt:lpwstr>6</vt:lpwstr>
  </property>
  <property fmtid="{D5CDD505-2E9C-101B-9397-08002B2CF9AE}" pid="16" name="TYPE_ABS_DATE">
    <vt:lpwstr>390020170629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2590218;13077618;3619230;8476828;2286124;219673;380233</vt:lpwstr>
  </property>
  <property fmtid="{D5CDD505-2E9C-101B-9397-08002B2CF9AE}" pid="36" name="LAWLISTTMP1">
    <vt:lpwstr>70301/144.b;450;452</vt:lpwstr>
  </property>
</Properties>
</file>