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01E09" w:rsidRPr="006144FA" w14:paraId="13EEB57A" w14:textId="77777777" w:rsidTr="00E62FE9">
        <w:trPr>
          <w:trHeight w:hRule="exact" w:val="418"/>
          <w:jc w:val="center"/>
        </w:trPr>
        <w:tc>
          <w:tcPr>
            <w:tcW w:w="8721" w:type="dxa"/>
            <w:gridSpan w:val="2"/>
          </w:tcPr>
          <w:p w14:paraId="65B60BC7" w14:textId="77777777" w:rsidR="00401E09" w:rsidRPr="006144FA" w:rsidRDefault="00401E09" w:rsidP="006144FA">
            <w:pPr>
              <w:pStyle w:val="a3"/>
              <w:jc w:val="center"/>
              <w:rPr>
                <w:rFonts w:ascii="Tahoma" w:hAnsi="Tahoma" w:cs="Tahoma"/>
                <w:color w:val="000080"/>
                <w:rtl/>
              </w:rPr>
            </w:pPr>
            <w:r w:rsidRPr="006144FA">
              <w:rPr>
                <w:rFonts w:ascii="Tahoma" w:hAnsi="Tahoma" w:cs="Tahoma"/>
                <w:b/>
                <w:bCs/>
                <w:color w:val="000080"/>
                <w:rtl/>
              </w:rPr>
              <w:t>בית המשפט המחוזי בבאר שבע</w:t>
            </w:r>
          </w:p>
        </w:tc>
      </w:tr>
      <w:tr w:rsidR="00401E09" w:rsidRPr="006144FA" w14:paraId="24FCCC87" w14:textId="77777777" w:rsidTr="00E62FE9">
        <w:trPr>
          <w:trHeight w:val="337"/>
          <w:jc w:val="center"/>
        </w:trPr>
        <w:tc>
          <w:tcPr>
            <w:tcW w:w="5055" w:type="dxa"/>
          </w:tcPr>
          <w:p w14:paraId="47B4B72D" w14:textId="77777777" w:rsidR="00401E09" w:rsidRPr="006144FA" w:rsidRDefault="00401E09" w:rsidP="006144FA">
            <w:pPr>
              <w:rPr>
                <w:rFonts w:cs="FrankRuehl"/>
                <w:sz w:val="28"/>
                <w:szCs w:val="28"/>
                <w:rtl/>
              </w:rPr>
            </w:pPr>
            <w:r w:rsidRPr="006144FA">
              <w:rPr>
                <w:rFonts w:cs="FrankRuehl"/>
                <w:sz w:val="28"/>
                <w:szCs w:val="28"/>
                <w:rtl/>
              </w:rPr>
              <w:t>ת"פ</w:t>
            </w:r>
            <w:r w:rsidRPr="006144FA">
              <w:rPr>
                <w:rFonts w:cs="FrankRuehl" w:hint="cs"/>
                <w:sz w:val="28"/>
                <w:szCs w:val="28"/>
                <w:rtl/>
              </w:rPr>
              <w:t xml:space="preserve"> </w:t>
            </w:r>
            <w:r w:rsidRPr="006144FA">
              <w:rPr>
                <w:rFonts w:cs="FrankRuehl"/>
                <w:sz w:val="28"/>
                <w:szCs w:val="28"/>
                <w:rtl/>
              </w:rPr>
              <w:t>10627-01-17</w:t>
            </w:r>
            <w:r w:rsidRPr="006144FA">
              <w:rPr>
                <w:rFonts w:cs="FrankRuehl" w:hint="cs"/>
                <w:sz w:val="28"/>
                <w:szCs w:val="28"/>
                <w:rtl/>
              </w:rPr>
              <w:t xml:space="preserve"> </w:t>
            </w:r>
            <w:r w:rsidRPr="006144FA">
              <w:rPr>
                <w:rFonts w:cs="FrankRuehl"/>
                <w:sz w:val="28"/>
                <w:szCs w:val="28"/>
                <w:rtl/>
              </w:rPr>
              <w:t>מדינת ישראל נ' אבו כף(עציר)</w:t>
            </w:r>
          </w:p>
          <w:p w14:paraId="7AE4197A" w14:textId="77777777" w:rsidR="00401E09" w:rsidRPr="006144FA" w:rsidRDefault="00401E09" w:rsidP="006144FA">
            <w:pPr>
              <w:pStyle w:val="a3"/>
              <w:rPr>
                <w:rFonts w:cs="FrankRuehl"/>
                <w:sz w:val="28"/>
                <w:szCs w:val="28"/>
                <w:rtl/>
              </w:rPr>
            </w:pPr>
          </w:p>
        </w:tc>
        <w:tc>
          <w:tcPr>
            <w:tcW w:w="3666" w:type="dxa"/>
          </w:tcPr>
          <w:p w14:paraId="1BB25F40" w14:textId="77777777" w:rsidR="00401E09" w:rsidRPr="006144FA" w:rsidRDefault="00401E09" w:rsidP="006144FA">
            <w:pPr>
              <w:pStyle w:val="a3"/>
              <w:jc w:val="right"/>
              <w:rPr>
                <w:rFonts w:cs="FrankRuehl"/>
                <w:sz w:val="28"/>
                <w:szCs w:val="28"/>
                <w:rtl/>
              </w:rPr>
            </w:pPr>
          </w:p>
        </w:tc>
      </w:tr>
    </w:tbl>
    <w:p w14:paraId="113F2C51" w14:textId="77777777" w:rsidR="00401E09" w:rsidRPr="006144FA" w:rsidRDefault="00401E09" w:rsidP="00401E09">
      <w:pPr>
        <w:pStyle w:val="a3"/>
        <w:rPr>
          <w:rtl/>
        </w:rPr>
      </w:pPr>
      <w:r w:rsidRPr="006144FA">
        <w:rPr>
          <w:rFonts w:hint="cs"/>
          <w:rtl/>
        </w:rPr>
        <w:t xml:space="preserve"> </w:t>
      </w:r>
    </w:p>
    <w:p w14:paraId="3F93C7AA" w14:textId="77777777" w:rsidR="00401E09" w:rsidRPr="006144FA" w:rsidRDefault="00401E09" w:rsidP="00401E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848"/>
        <w:gridCol w:w="923"/>
      </w:tblGrid>
      <w:tr w:rsidR="006144FA" w:rsidRPr="006144FA" w14:paraId="4A82D3B2" w14:textId="77777777" w:rsidTr="00401E09">
        <w:trPr>
          <w:gridAfter w:val="1"/>
          <w:wAfter w:w="923" w:type="dxa"/>
          <w:trHeight w:val="295"/>
          <w:jc w:val="center"/>
        </w:trPr>
        <w:tc>
          <w:tcPr>
            <w:tcW w:w="7897" w:type="dxa"/>
            <w:gridSpan w:val="3"/>
            <w:tcBorders>
              <w:top w:val="nil"/>
              <w:left w:val="nil"/>
              <w:bottom w:val="nil"/>
              <w:right w:val="nil"/>
            </w:tcBorders>
            <w:shd w:val="clear" w:color="auto" w:fill="auto"/>
          </w:tcPr>
          <w:p w14:paraId="235F8CFE" w14:textId="77777777" w:rsidR="00401E09" w:rsidRPr="006144FA" w:rsidRDefault="00401E09" w:rsidP="006144FA">
            <w:pPr>
              <w:rPr>
                <w:rFonts w:ascii="Arial" w:hAnsi="Arial"/>
                <w:b/>
                <w:bCs/>
                <w:sz w:val="26"/>
                <w:szCs w:val="26"/>
                <w:rtl/>
              </w:rPr>
            </w:pPr>
            <w:r w:rsidRPr="006144FA">
              <w:rPr>
                <w:rFonts w:ascii="Arial" w:hAnsi="Arial" w:hint="cs"/>
                <w:b/>
                <w:bCs/>
                <w:sz w:val="26"/>
                <w:szCs w:val="26"/>
                <w:rtl/>
              </w:rPr>
              <w:t>בפני כב' סגן הנשיאה, השופט אליהו ביתן</w:t>
            </w:r>
          </w:p>
          <w:p w14:paraId="23B0A3A6" w14:textId="77777777" w:rsidR="00401E09" w:rsidRPr="006144FA" w:rsidRDefault="00401E09" w:rsidP="006144FA">
            <w:pPr>
              <w:rPr>
                <w:rFonts w:ascii="Arial" w:hAnsi="Arial"/>
                <w:b/>
                <w:bCs/>
                <w:sz w:val="26"/>
                <w:szCs w:val="26"/>
              </w:rPr>
            </w:pPr>
          </w:p>
        </w:tc>
      </w:tr>
      <w:tr w:rsidR="006144FA" w:rsidRPr="006144FA" w14:paraId="267670E4" w14:textId="77777777" w:rsidTr="00401E09">
        <w:trPr>
          <w:trHeight w:val="355"/>
          <w:jc w:val="center"/>
        </w:trPr>
        <w:tc>
          <w:tcPr>
            <w:tcW w:w="923" w:type="dxa"/>
            <w:tcBorders>
              <w:top w:val="nil"/>
              <w:left w:val="nil"/>
              <w:bottom w:val="nil"/>
              <w:right w:val="nil"/>
            </w:tcBorders>
            <w:shd w:val="clear" w:color="auto" w:fill="auto"/>
          </w:tcPr>
          <w:p w14:paraId="18003CF1" w14:textId="77777777" w:rsidR="00401E09" w:rsidRPr="006144FA" w:rsidRDefault="00401E09" w:rsidP="00401E09">
            <w:pPr>
              <w:jc w:val="both"/>
              <w:rPr>
                <w:rFonts w:ascii="Arial" w:hAnsi="Arial"/>
                <w:b/>
                <w:bCs/>
                <w:sz w:val="26"/>
                <w:szCs w:val="26"/>
              </w:rPr>
            </w:pPr>
            <w:bookmarkStart w:id="0" w:name="FirstAppellant"/>
            <w:bookmarkStart w:id="1" w:name="LastJudge"/>
            <w:bookmarkEnd w:id="1"/>
            <w:r w:rsidRPr="006144FA">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C2EA4E5" w14:textId="77777777" w:rsidR="00401E09" w:rsidRPr="006144FA" w:rsidRDefault="00401E09" w:rsidP="006144FA">
            <w:pPr>
              <w:rPr>
                <w:rFonts w:ascii="Arial" w:hAnsi="Arial"/>
                <w:b/>
                <w:bCs/>
                <w:sz w:val="26"/>
                <w:szCs w:val="26"/>
              </w:rPr>
            </w:pPr>
            <w:r w:rsidRPr="006144FA">
              <w:rPr>
                <w:rFonts w:ascii="Arial" w:hAnsi="Arial"/>
                <w:b/>
                <w:bCs/>
                <w:sz w:val="26"/>
                <w:szCs w:val="26"/>
                <w:rtl/>
              </w:rPr>
              <w:t>מדינת ישראל</w:t>
            </w:r>
          </w:p>
        </w:tc>
        <w:tc>
          <w:tcPr>
            <w:tcW w:w="3771" w:type="dxa"/>
            <w:gridSpan w:val="2"/>
            <w:tcBorders>
              <w:top w:val="nil"/>
              <w:left w:val="nil"/>
              <w:bottom w:val="nil"/>
              <w:right w:val="nil"/>
            </w:tcBorders>
            <w:shd w:val="clear" w:color="auto" w:fill="auto"/>
          </w:tcPr>
          <w:p w14:paraId="0478B9A4" w14:textId="77777777" w:rsidR="00401E09" w:rsidRPr="006144FA" w:rsidRDefault="00401E09" w:rsidP="00401E09">
            <w:pPr>
              <w:jc w:val="both"/>
              <w:rPr>
                <w:rFonts w:ascii="Arial" w:hAnsi="Arial"/>
                <w:b/>
                <w:bCs/>
                <w:sz w:val="26"/>
                <w:szCs w:val="26"/>
              </w:rPr>
            </w:pPr>
          </w:p>
        </w:tc>
      </w:tr>
      <w:tr w:rsidR="006144FA" w:rsidRPr="006144FA" w14:paraId="301BDE26" w14:textId="77777777" w:rsidTr="00401E09">
        <w:trPr>
          <w:trHeight w:val="355"/>
          <w:jc w:val="center"/>
        </w:trPr>
        <w:tc>
          <w:tcPr>
            <w:tcW w:w="923" w:type="dxa"/>
            <w:tcBorders>
              <w:top w:val="nil"/>
              <w:left w:val="nil"/>
              <w:bottom w:val="nil"/>
              <w:right w:val="nil"/>
            </w:tcBorders>
            <w:shd w:val="clear" w:color="auto" w:fill="auto"/>
          </w:tcPr>
          <w:p w14:paraId="28D5AA07" w14:textId="77777777" w:rsidR="00401E09" w:rsidRPr="006144FA" w:rsidRDefault="00401E09" w:rsidP="00401E09">
            <w:pPr>
              <w:jc w:val="both"/>
              <w:rPr>
                <w:rFonts w:ascii="Arial" w:hAnsi="Arial"/>
                <w:b/>
                <w:bCs/>
                <w:sz w:val="26"/>
                <w:szCs w:val="26"/>
                <w:rtl/>
              </w:rPr>
            </w:pPr>
            <w:bookmarkStart w:id="2" w:name="FirstLawyer"/>
            <w:bookmarkEnd w:id="0"/>
          </w:p>
        </w:tc>
        <w:tc>
          <w:tcPr>
            <w:tcW w:w="4126" w:type="dxa"/>
            <w:tcBorders>
              <w:top w:val="nil"/>
              <w:left w:val="nil"/>
              <w:bottom w:val="nil"/>
              <w:right w:val="nil"/>
            </w:tcBorders>
            <w:shd w:val="clear" w:color="auto" w:fill="auto"/>
          </w:tcPr>
          <w:p w14:paraId="27E8A829" w14:textId="77777777" w:rsidR="00401E09" w:rsidRPr="006144FA" w:rsidRDefault="00401E09" w:rsidP="00401E09">
            <w:pPr>
              <w:jc w:val="both"/>
              <w:rPr>
                <w:rFonts w:ascii="Arial" w:hAnsi="Arial"/>
                <w:b/>
                <w:bCs/>
                <w:sz w:val="26"/>
                <w:szCs w:val="26"/>
                <w:rtl/>
              </w:rPr>
            </w:pPr>
            <w:r w:rsidRPr="006144FA">
              <w:rPr>
                <w:rFonts w:ascii="Arial" w:hAnsi="Arial" w:hint="cs"/>
                <w:b/>
                <w:bCs/>
                <w:sz w:val="26"/>
                <w:szCs w:val="26"/>
                <w:rtl/>
              </w:rPr>
              <w:t xml:space="preserve">ע"י ב"כ עוה"ד ואליד אלבאז </w:t>
            </w:r>
          </w:p>
        </w:tc>
        <w:tc>
          <w:tcPr>
            <w:tcW w:w="3771" w:type="dxa"/>
            <w:gridSpan w:val="2"/>
            <w:tcBorders>
              <w:top w:val="nil"/>
              <w:left w:val="nil"/>
              <w:bottom w:val="nil"/>
              <w:right w:val="nil"/>
            </w:tcBorders>
            <w:shd w:val="clear" w:color="auto" w:fill="auto"/>
          </w:tcPr>
          <w:p w14:paraId="2387E9AA" w14:textId="77777777" w:rsidR="00401E09" w:rsidRPr="006144FA" w:rsidRDefault="00401E09" w:rsidP="00401E09">
            <w:pPr>
              <w:jc w:val="right"/>
              <w:rPr>
                <w:rFonts w:ascii="Arial" w:hAnsi="Arial"/>
                <w:b/>
                <w:bCs/>
                <w:sz w:val="26"/>
                <w:szCs w:val="26"/>
                <w:rtl/>
              </w:rPr>
            </w:pPr>
            <w:r w:rsidRPr="006144FA">
              <w:rPr>
                <w:rFonts w:ascii="Arial" w:hAnsi="Arial" w:hint="cs"/>
                <w:b/>
                <w:bCs/>
                <w:sz w:val="26"/>
                <w:szCs w:val="26"/>
                <w:rtl/>
              </w:rPr>
              <w:t>ה</w:t>
            </w:r>
            <w:r w:rsidRPr="006144FA">
              <w:rPr>
                <w:rFonts w:ascii="Arial" w:hAnsi="Arial"/>
                <w:b/>
                <w:bCs/>
                <w:sz w:val="26"/>
                <w:szCs w:val="26"/>
                <w:rtl/>
              </w:rPr>
              <w:t>מאשימה</w:t>
            </w:r>
          </w:p>
        </w:tc>
      </w:tr>
      <w:bookmarkEnd w:id="2"/>
      <w:tr w:rsidR="006144FA" w:rsidRPr="006144FA" w14:paraId="6DCD34AC" w14:textId="77777777" w:rsidTr="00401E09">
        <w:trPr>
          <w:trHeight w:val="355"/>
          <w:jc w:val="center"/>
        </w:trPr>
        <w:tc>
          <w:tcPr>
            <w:tcW w:w="923" w:type="dxa"/>
            <w:tcBorders>
              <w:top w:val="nil"/>
              <w:left w:val="nil"/>
              <w:bottom w:val="nil"/>
              <w:right w:val="nil"/>
            </w:tcBorders>
            <w:shd w:val="clear" w:color="auto" w:fill="auto"/>
          </w:tcPr>
          <w:p w14:paraId="382624E8" w14:textId="77777777" w:rsidR="00401E09" w:rsidRPr="006144FA" w:rsidRDefault="00401E09" w:rsidP="00401E09">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2A62AE9A" w14:textId="77777777" w:rsidR="00401E09" w:rsidRPr="006144FA" w:rsidRDefault="00401E09" w:rsidP="00401E09">
            <w:pPr>
              <w:jc w:val="center"/>
              <w:rPr>
                <w:rFonts w:ascii="Arial" w:hAnsi="Arial"/>
                <w:b/>
                <w:bCs/>
                <w:sz w:val="26"/>
                <w:szCs w:val="26"/>
                <w:rtl/>
              </w:rPr>
            </w:pPr>
          </w:p>
          <w:p w14:paraId="26D10704" w14:textId="77777777" w:rsidR="00401E09" w:rsidRPr="006144FA" w:rsidRDefault="00401E09" w:rsidP="00401E09">
            <w:pPr>
              <w:jc w:val="center"/>
              <w:rPr>
                <w:rFonts w:ascii="Arial" w:hAnsi="Arial"/>
                <w:b/>
                <w:bCs/>
                <w:sz w:val="26"/>
                <w:szCs w:val="26"/>
                <w:rtl/>
              </w:rPr>
            </w:pPr>
            <w:r w:rsidRPr="006144FA">
              <w:rPr>
                <w:rFonts w:ascii="Arial" w:hAnsi="Arial"/>
                <w:b/>
                <w:bCs/>
                <w:sz w:val="26"/>
                <w:szCs w:val="26"/>
                <w:rtl/>
              </w:rPr>
              <w:t>נגד</w:t>
            </w:r>
          </w:p>
          <w:p w14:paraId="3C06D95A" w14:textId="77777777" w:rsidR="00401E09" w:rsidRPr="006144FA" w:rsidRDefault="00401E09" w:rsidP="00401E09">
            <w:pPr>
              <w:jc w:val="both"/>
              <w:rPr>
                <w:rFonts w:ascii="Arial" w:hAnsi="Arial"/>
                <w:b/>
                <w:bCs/>
                <w:sz w:val="26"/>
                <w:szCs w:val="26"/>
              </w:rPr>
            </w:pPr>
          </w:p>
        </w:tc>
      </w:tr>
      <w:tr w:rsidR="006144FA" w:rsidRPr="006144FA" w14:paraId="07A27B70" w14:textId="77777777" w:rsidTr="00401E09">
        <w:trPr>
          <w:trHeight w:val="355"/>
          <w:jc w:val="center"/>
        </w:trPr>
        <w:tc>
          <w:tcPr>
            <w:tcW w:w="923" w:type="dxa"/>
            <w:tcBorders>
              <w:top w:val="nil"/>
              <w:left w:val="nil"/>
              <w:bottom w:val="nil"/>
              <w:right w:val="nil"/>
            </w:tcBorders>
            <w:shd w:val="clear" w:color="auto" w:fill="auto"/>
          </w:tcPr>
          <w:p w14:paraId="746AA8A9" w14:textId="77777777" w:rsidR="00401E09" w:rsidRPr="006144FA" w:rsidRDefault="00401E09" w:rsidP="006144FA">
            <w:pPr>
              <w:rPr>
                <w:rFonts w:ascii="Arial" w:hAnsi="Arial"/>
                <w:b/>
                <w:bCs/>
                <w:sz w:val="26"/>
                <w:szCs w:val="26"/>
                <w:rtl/>
              </w:rPr>
            </w:pPr>
          </w:p>
        </w:tc>
        <w:tc>
          <w:tcPr>
            <w:tcW w:w="4126" w:type="dxa"/>
            <w:tcBorders>
              <w:top w:val="nil"/>
              <w:left w:val="nil"/>
              <w:bottom w:val="nil"/>
              <w:right w:val="nil"/>
            </w:tcBorders>
            <w:shd w:val="clear" w:color="auto" w:fill="auto"/>
          </w:tcPr>
          <w:p w14:paraId="3AD5571A" w14:textId="77777777" w:rsidR="00401E09" w:rsidRPr="006144FA" w:rsidRDefault="00401E09" w:rsidP="006144FA">
            <w:pPr>
              <w:rPr>
                <w:rFonts w:ascii="Arial" w:hAnsi="Arial"/>
                <w:b/>
                <w:bCs/>
                <w:sz w:val="26"/>
                <w:szCs w:val="26"/>
                <w:rtl/>
              </w:rPr>
            </w:pPr>
            <w:r w:rsidRPr="006144FA">
              <w:rPr>
                <w:rFonts w:ascii="Arial" w:hAnsi="Arial"/>
                <w:b/>
                <w:bCs/>
                <w:sz w:val="26"/>
                <w:szCs w:val="26"/>
                <w:rtl/>
              </w:rPr>
              <w:t>מחמד אבו כף (עציר)</w:t>
            </w:r>
          </w:p>
        </w:tc>
        <w:tc>
          <w:tcPr>
            <w:tcW w:w="3771" w:type="dxa"/>
            <w:gridSpan w:val="2"/>
            <w:tcBorders>
              <w:top w:val="nil"/>
              <w:left w:val="nil"/>
              <w:bottom w:val="nil"/>
              <w:right w:val="nil"/>
            </w:tcBorders>
            <w:shd w:val="clear" w:color="auto" w:fill="auto"/>
          </w:tcPr>
          <w:p w14:paraId="257B5617" w14:textId="77777777" w:rsidR="00401E09" w:rsidRPr="006144FA" w:rsidRDefault="00401E09" w:rsidP="00401E09">
            <w:pPr>
              <w:jc w:val="right"/>
              <w:rPr>
                <w:rFonts w:ascii="Arial" w:hAnsi="Arial"/>
                <w:b/>
                <w:bCs/>
                <w:sz w:val="26"/>
                <w:szCs w:val="26"/>
              </w:rPr>
            </w:pPr>
          </w:p>
        </w:tc>
      </w:tr>
      <w:tr w:rsidR="006144FA" w:rsidRPr="006144FA" w14:paraId="371B83D4" w14:textId="77777777" w:rsidTr="00401E09">
        <w:trPr>
          <w:trHeight w:val="355"/>
          <w:jc w:val="center"/>
        </w:trPr>
        <w:tc>
          <w:tcPr>
            <w:tcW w:w="923" w:type="dxa"/>
            <w:tcBorders>
              <w:top w:val="nil"/>
              <w:left w:val="nil"/>
              <w:bottom w:val="nil"/>
              <w:right w:val="nil"/>
            </w:tcBorders>
            <w:shd w:val="clear" w:color="auto" w:fill="auto"/>
          </w:tcPr>
          <w:p w14:paraId="7F662B4F" w14:textId="77777777" w:rsidR="00401E09" w:rsidRPr="006144FA" w:rsidRDefault="00401E09" w:rsidP="00401E09">
            <w:pPr>
              <w:jc w:val="both"/>
              <w:rPr>
                <w:rFonts w:ascii="Arial" w:hAnsi="Arial"/>
                <w:b/>
                <w:bCs/>
                <w:sz w:val="26"/>
                <w:szCs w:val="26"/>
                <w:rtl/>
              </w:rPr>
            </w:pPr>
          </w:p>
        </w:tc>
        <w:tc>
          <w:tcPr>
            <w:tcW w:w="4126" w:type="dxa"/>
            <w:tcBorders>
              <w:top w:val="nil"/>
              <w:left w:val="nil"/>
              <w:bottom w:val="nil"/>
              <w:right w:val="nil"/>
            </w:tcBorders>
            <w:shd w:val="clear" w:color="auto" w:fill="auto"/>
          </w:tcPr>
          <w:p w14:paraId="0D987BAD" w14:textId="77777777" w:rsidR="00401E09" w:rsidRPr="006144FA" w:rsidRDefault="00401E09" w:rsidP="00401E09">
            <w:pPr>
              <w:jc w:val="both"/>
              <w:rPr>
                <w:rFonts w:ascii="Arial" w:hAnsi="Arial"/>
                <w:b/>
                <w:bCs/>
                <w:sz w:val="26"/>
                <w:szCs w:val="26"/>
                <w:rtl/>
              </w:rPr>
            </w:pPr>
            <w:r w:rsidRPr="006144FA">
              <w:rPr>
                <w:rFonts w:ascii="Arial" w:hAnsi="Arial" w:hint="cs"/>
                <w:b/>
                <w:bCs/>
                <w:sz w:val="26"/>
                <w:szCs w:val="26"/>
                <w:rtl/>
              </w:rPr>
              <w:t xml:space="preserve">ע"י ב"כ עוה"ד אבנר שמש </w:t>
            </w:r>
          </w:p>
        </w:tc>
        <w:tc>
          <w:tcPr>
            <w:tcW w:w="3771" w:type="dxa"/>
            <w:gridSpan w:val="2"/>
            <w:tcBorders>
              <w:top w:val="nil"/>
              <w:left w:val="nil"/>
              <w:bottom w:val="nil"/>
              <w:right w:val="nil"/>
            </w:tcBorders>
            <w:shd w:val="clear" w:color="auto" w:fill="auto"/>
          </w:tcPr>
          <w:p w14:paraId="2DCD46A2" w14:textId="77777777" w:rsidR="00401E09" w:rsidRPr="006144FA" w:rsidRDefault="00401E09" w:rsidP="00401E09">
            <w:pPr>
              <w:jc w:val="right"/>
              <w:rPr>
                <w:rFonts w:ascii="Arial" w:hAnsi="Arial"/>
                <w:b/>
                <w:bCs/>
                <w:sz w:val="26"/>
                <w:szCs w:val="26"/>
              </w:rPr>
            </w:pPr>
            <w:r w:rsidRPr="006144FA">
              <w:rPr>
                <w:rFonts w:ascii="Arial" w:hAnsi="Arial" w:hint="cs"/>
                <w:b/>
                <w:bCs/>
                <w:sz w:val="26"/>
                <w:szCs w:val="26"/>
                <w:rtl/>
              </w:rPr>
              <w:t>ה</w:t>
            </w:r>
            <w:r w:rsidRPr="006144FA">
              <w:rPr>
                <w:rFonts w:ascii="Arial" w:hAnsi="Arial"/>
                <w:b/>
                <w:bCs/>
                <w:sz w:val="26"/>
                <w:szCs w:val="26"/>
                <w:rtl/>
              </w:rPr>
              <w:t>נאשם</w:t>
            </w:r>
          </w:p>
        </w:tc>
      </w:tr>
    </w:tbl>
    <w:p w14:paraId="359D20BA" w14:textId="77777777" w:rsidR="00A01B1B" w:rsidRDefault="00A01B1B" w:rsidP="00401E09">
      <w:pPr>
        <w:rPr>
          <w:rtl/>
        </w:rPr>
      </w:pPr>
      <w:bookmarkStart w:id="3" w:name="LawTable"/>
      <w:bookmarkEnd w:id="3"/>
    </w:p>
    <w:p w14:paraId="67FD48B3" w14:textId="77777777" w:rsidR="00A01B1B" w:rsidRPr="00A01B1B" w:rsidRDefault="00A01B1B" w:rsidP="00A01B1B">
      <w:pPr>
        <w:spacing w:after="120" w:line="240" w:lineRule="exact"/>
        <w:ind w:left="283" w:hanging="283"/>
        <w:jc w:val="both"/>
        <w:rPr>
          <w:rFonts w:ascii="FrankRuehl" w:hAnsi="FrankRuehl" w:cs="FrankRuehl"/>
          <w:rtl/>
        </w:rPr>
      </w:pPr>
    </w:p>
    <w:p w14:paraId="7ADADFA7" w14:textId="77777777" w:rsidR="00A01B1B" w:rsidRPr="00A01B1B" w:rsidRDefault="00A01B1B" w:rsidP="00A01B1B">
      <w:pPr>
        <w:spacing w:after="120" w:line="240" w:lineRule="exact"/>
        <w:ind w:left="283" w:hanging="283"/>
        <w:jc w:val="both"/>
        <w:rPr>
          <w:rFonts w:ascii="FrankRuehl" w:hAnsi="FrankRuehl" w:cs="FrankRuehl"/>
          <w:rtl/>
        </w:rPr>
      </w:pPr>
      <w:r w:rsidRPr="00A01B1B">
        <w:rPr>
          <w:rFonts w:ascii="FrankRuehl" w:hAnsi="FrankRuehl" w:cs="FrankRuehl"/>
          <w:rtl/>
        </w:rPr>
        <w:t xml:space="preserve">חקיקה שאוזכרה: </w:t>
      </w:r>
    </w:p>
    <w:p w14:paraId="39C307B3" w14:textId="77777777" w:rsidR="00A01B1B" w:rsidRPr="00A01B1B" w:rsidRDefault="00A01B1B" w:rsidP="00A01B1B">
      <w:pPr>
        <w:spacing w:after="120" w:line="240" w:lineRule="exact"/>
        <w:ind w:left="283" w:hanging="283"/>
        <w:jc w:val="both"/>
        <w:rPr>
          <w:rFonts w:ascii="FrankRuehl" w:hAnsi="FrankRuehl" w:cs="FrankRuehl"/>
          <w:rtl/>
        </w:rPr>
      </w:pPr>
      <w:hyperlink r:id="rId7" w:history="1">
        <w:r w:rsidRPr="00A01B1B">
          <w:rPr>
            <w:rFonts w:ascii="FrankRuehl" w:hAnsi="FrankRuehl" w:cs="FrankRuehl"/>
            <w:color w:val="0000FF"/>
            <w:u w:val="single"/>
            <w:rtl/>
          </w:rPr>
          <w:t>חוק העונשין, תשל"ז-1977</w:t>
        </w:r>
      </w:hyperlink>
      <w:r w:rsidRPr="00A01B1B">
        <w:rPr>
          <w:rFonts w:ascii="FrankRuehl" w:hAnsi="FrankRuehl" w:cs="FrankRuehl"/>
          <w:rtl/>
        </w:rPr>
        <w:t xml:space="preserve">: סע'  </w:t>
      </w:r>
      <w:hyperlink r:id="rId8" w:history="1">
        <w:r w:rsidRPr="00A01B1B">
          <w:rPr>
            <w:rFonts w:ascii="FrankRuehl" w:hAnsi="FrankRuehl" w:cs="FrankRuehl"/>
            <w:color w:val="0000FF"/>
            <w:u w:val="single"/>
            <w:rtl/>
          </w:rPr>
          <w:t>25</w:t>
        </w:r>
      </w:hyperlink>
      <w:r w:rsidRPr="00A01B1B">
        <w:rPr>
          <w:rFonts w:ascii="FrankRuehl" w:hAnsi="FrankRuehl" w:cs="FrankRuehl"/>
          <w:rtl/>
        </w:rPr>
        <w:t xml:space="preserve">, </w:t>
      </w:r>
      <w:hyperlink r:id="rId9" w:history="1">
        <w:r w:rsidRPr="00A01B1B">
          <w:rPr>
            <w:rFonts w:ascii="FrankRuehl" w:hAnsi="FrankRuehl" w:cs="FrankRuehl"/>
            <w:color w:val="0000FF"/>
            <w:u w:val="single"/>
            <w:rtl/>
          </w:rPr>
          <w:t>144(א)</w:t>
        </w:r>
      </w:hyperlink>
      <w:r w:rsidRPr="00A01B1B">
        <w:rPr>
          <w:rFonts w:ascii="FrankRuehl" w:hAnsi="FrankRuehl" w:cs="FrankRuehl"/>
          <w:rtl/>
        </w:rPr>
        <w:t xml:space="preserve">, </w:t>
      </w:r>
      <w:hyperlink r:id="rId10" w:history="1">
        <w:r w:rsidRPr="00A01B1B">
          <w:rPr>
            <w:rFonts w:ascii="FrankRuehl" w:hAnsi="FrankRuehl" w:cs="FrankRuehl"/>
            <w:color w:val="0000FF"/>
            <w:u w:val="single"/>
            <w:rtl/>
          </w:rPr>
          <w:t>144(ב2)</w:t>
        </w:r>
      </w:hyperlink>
      <w:r w:rsidRPr="00A01B1B">
        <w:rPr>
          <w:rFonts w:ascii="FrankRuehl" w:hAnsi="FrankRuehl" w:cs="FrankRuehl"/>
          <w:rtl/>
        </w:rPr>
        <w:t xml:space="preserve">, </w:t>
      </w:r>
      <w:hyperlink r:id="rId11" w:history="1">
        <w:r w:rsidRPr="00A01B1B">
          <w:rPr>
            <w:rFonts w:ascii="FrankRuehl" w:hAnsi="FrankRuehl" w:cs="FrankRuehl"/>
            <w:color w:val="0000FF"/>
            <w:u w:val="single"/>
            <w:rtl/>
          </w:rPr>
          <w:t>499(א)(1)</w:t>
        </w:r>
      </w:hyperlink>
    </w:p>
    <w:p w14:paraId="0A0B2596" w14:textId="77777777" w:rsidR="00A01B1B" w:rsidRPr="00A01B1B" w:rsidRDefault="00A01B1B" w:rsidP="00A01B1B">
      <w:pPr>
        <w:spacing w:after="120" w:line="240" w:lineRule="exact"/>
        <w:ind w:left="283" w:hanging="283"/>
        <w:jc w:val="both"/>
        <w:rPr>
          <w:rFonts w:ascii="FrankRuehl" w:hAnsi="FrankRuehl" w:cs="FrankRuehl"/>
          <w:rtl/>
        </w:rPr>
      </w:pPr>
    </w:p>
    <w:p w14:paraId="68ADB0E0" w14:textId="77777777" w:rsidR="00A01B1B" w:rsidRPr="00A01B1B" w:rsidRDefault="00A01B1B" w:rsidP="00401E09">
      <w:pPr>
        <w:rPr>
          <w:rtl/>
        </w:rPr>
      </w:pPr>
      <w:bookmarkStart w:id="4" w:name="LawTable_End"/>
      <w:bookmarkEnd w:id="4"/>
    </w:p>
    <w:p w14:paraId="6A6762DB" w14:textId="77777777" w:rsidR="00A01B1B" w:rsidRPr="00A01B1B" w:rsidRDefault="00A01B1B" w:rsidP="00401E09">
      <w:pPr>
        <w:rPr>
          <w:rtl/>
        </w:rPr>
      </w:pPr>
    </w:p>
    <w:p w14:paraId="1B485177" w14:textId="77777777" w:rsidR="00401E09" w:rsidRPr="00A01B1B" w:rsidRDefault="00401E09" w:rsidP="00401E09">
      <w:pPr>
        <w:rPr>
          <w:rtl/>
        </w:rPr>
      </w:pPr>
    </w:p>
    <w:p w14:paraId="4069F6E8" w14:textId="77777777" w:rsidR="006144FA" w:rsidRPr="006144FA" w:rsidRDefault="006144FA" w:rsidP="00401E09">
      <w:pPr>
        <w:jc w:val="center"/>
        <w:rPr>
          <w:b/>
          <w:bCs/>
          <w:rtl/>
        </w:rPr>
      </w:pPr>
    </w:p>
    <w:p w14:paraId="3C31F05B" w14:textId="77777777" w:rsidR="006144FA" w:rsidRPr="006144FA" w:rsidRDefault="006144FA" w:rsidP="006144FA">
      <w:pPr>
        <w:jc w:val="center"/>
        <w:rPr>
          <w:b/>
          <w:bCs/>
          <w:u w:val="single"/>
          <w:rtl/>
        </w:rPr>
      </w:pPr>
      <w:bookmarkStart w:id="5" w:name="PsakDin"/>
      <w:r w:rsidRPr="006144FA">
        <w:rPr>
          <w:b/>
          <w:bCs/>
          <w:u w:val="single"/>
          <w:rtl/>
        </w:rPr>
        <w:t>גזר דין</w:t>
      </w:r>
    </w:p>
    <w:bookmarkEnd w:id="5"/>
    <w:p w14:paraId="62DEB73C" w14:textId="77777777" w:rsidR="00401E09" w:rsidRDefault="00401E09" w:rsidP="00401E09">
      <w:pPr>
        <w:jc w:val="center"/>
        <w:rPr>
          <w:b/>
          <w:bCs/>
          <w:u w:val="single"/>
        </w:rPr>
      </w:pPr>
    </w:p>
    <w:p w14:paraId="15287362" w14:textId="77777777" w:rsidR="00401E09" w:rsidRDefault="00401E09" w:rsidP="00401E09">
      <w:pPr>
        <w:rPr>
          <w:rtl/>
        </w:rPr>
      </w:pPr>
    </w:p>
    <w:p w14:paraId="4BDF305F" w14:textId="77777777" w:rsidR="00401E09" w:rsidRDefault="00401E09" w:rsidP="00401E09">
      <w:pPr>
        <w:spacing w:line="360" w:lineRule="auto"/>
        <w:ind w:left="720" w:hanging="720"/>
        <w:rPr>
          <w:rtl/>
        </w:rPr>
      </w:pPr>
      <w:r>
        <w:rPr>
          <w:rFonts w:hint="cs"/>
          <w:rtl/>
        </w:rPr>
        <w:t>1.</w:t>
      </w:r>
      <w:r>
        <w:rPr>
          <w:rFonts w:hint="cs"/>
          <w:rtl/>
        </w:rPr>
        <w:tab/>
        <w:t>בטרם שמיעת הראיות הגיעו הצדדים להסדר טיעון במסגרתו כתב האישום שהוגש נגד הנאשם תוקן והוא הודה בעובדות כתב האישום המתוקן שאלה עיקריהן:</w:t>
      </w:r>
    </w:p>
    <w:p w14:paraId="4C4F8813" w14:textId="77777777" w:rsidR="00401E09" w:rsidRDefault="00401E09" w:rsidP="00401E09">
      <w:pPr>
        <w:spacing w:line="360" w:lineRule="auto"/>
        <w:ind w:left="720" w:hanging="720"/>
        <w:rPr>
          <w:rtl/>
        </w:rPr>
      </w:pPr>
    </w:p>
    <w:p w14:paraId="22241965" w14:textId="77777777" w:rsidR="00401E09" w:rsidRDefault="00401E09" w:rsidP="00401E09">
      <w:pPr>
        <w:spacing w:line="360" w:lineRule="auto"/>
        <w:ind w:left="720"/>
        <w:rPr>
          <w:rtl/>
        </w:rPr>
      </w:pPr>
      <w:r>
        <w:rPr>
          <w:rFonts w:hint="cs"/>
          <w:rtl/>
        </w:rPr>
        <w:t>הנאשם הועסק, במהלך חלק מהאירועים נשוא כתב האישום, כעובד בסופרמרקט "קינגסטור" באזור באר-שבע, כעוזר קצין הביטחון. באקר אבו תקפה (להלן: "באקר") עבד אף הוא בסופר. והאחראי על הנאשם בסופר היה מוחמד מצרי (להלן: "מצרי"), סגן מנהל הסופר.</w:t>
      </w:r>
      <w:r>
        <w:rPr>
          <w:rFonts w:hint="cs"/>
          <w:rtl/>
        </w:rPr>
        <w:tab/>
      </w:r>
    </w:p>
    <w:p w14:paraId="5DEEFF06" w14:textId="77777777" w:rsidR="00401E09" w:rsidRDefault="00401E09" w:rsidP="00401E09">
      <w:pPr>
        <w:spacing w:line="360" w:lineRule="auto"/>
        <w:ind w:left="720"/>
        <w:rPr>
          <w:rtl/>
        </w:rPr>
      </w:pPr>
    </w:p>
    <w:p w14:paraId="34BA6006" w14:textId="77777777" w:rsidR="00401E09" w:rsidRDefault="00401E09" w:rsidP="00401E09">
      <w:pPr>
        <w:spacing w:line="360" w:lineRule="auto"/>
        <w:ind w:left="720"/>
        <w:rPr>
          <w:b/>
          <w:bCs/>
          <w:u w:val="single"/>
          <w:rtl/>
        </w:rPr>
      </w:pPr>
      <w:r>
        <w:rPr>
          <w:rFonts w:hint="cs"/>
          <w:b/>
          <w:bCs/>
          <w:u w:val="single"/>
          <w:rtl/>
        </w:rPr>
        <w:t>אישום ראשון</w:t>
      </w:r>
    </w:p>
    <w:p w14:paraId="6D028DA9" w14:textId="77777777" w:rsidR="00401E09" w:rsidRDefault="00401E09" w:rsidP="00401E09">
      <w:pPr>
        <w:spacing w:line="360" w:lineRule="auto"/>
        <w:ind w:left="720"/>
        <w:rPr>
          <w:rtl/>
        </w:rPr>
      </w:pPr>
      <w:bookmarkStart w:id="6" w:name="ABSTRACT_START"/>
      <w:bookmarkEnd w:id="6"/>
      <w:r>
        <w:rPr>
          <w:rFonts w:hint="cs"/>
          <w:rtl/>
        </w:rPr>
        <w:t xml:space="preserve">סמוך לחודש אפריל 2016, רכש הנאשם אקדח בסכום של 17,000 ₪. לאחר מכן הוא הציע לבאקר לרכוש ממנו אקדח. מספר ימים לאחר מכן, פנה לבאקר אדם שסיפר לו על חבר המתעניין באקדח. באקר סיפר זאת לנאשם והנאשם ביקש 20,000 ₪ עבור האקדח שלו. באקר הציע לאחר את האקדח ב- 25,000 ₪ והפגיש בינו ובין הנאשם. לבסוף העסקה לא </w:t>
      </w:r>
      <w:r>
        <w:rPr>
          <w:rFonts w:hint="cs"/>
          <w:rtl/>
        </w:rPr>
        <w:lastRenderedPageBreak/>
        <w:t xml:space="preserve">יצאה אל הפועל. לאחר מכן הנאשם מכר את האקדח לאדם שזהותו אינה ידועה, במחיר של 20,000 ₪. </w:t>
      </w:r>
    </w:p>
    <w:p w14:paraId="1601712D" w14:textId="77777777" w:rsidR="00401E09" w:rsidRDefault="00401E09" w:rsidP="00401E09">
      <w:pPr>
        <w:spacing w:line="360" w:lineRule="auto"/>
        <w:ind w:left="720"/>
        <w:rPr>
          <w:rtl/>
        </w:rPr>
      </w:pPr>
      <w:bookmarkStart w:id="7" w:name="ABSTRACT_END"/>
      <w:bookmarkEnd w:id="7"/>
    </w:p>
    <w:p w14:paraId="505F8AA9" w14:textId="77777777" w:rsidR="00401E09" w:rsidRDefault="00401E09" w:rsidP="00401E09">
      <w:pPr>
        <w:spacing w:line="360" w:lineRule="auto"/>
        <w:ind w:left="720"/>
        <w:rPr>
          <w:b/>
          <w:bCs/>
          <w:u w:val="single"/>
          <w:rtl/>
        </w:rPr>
      </w:pPr>
      <w:r>
        <w:rPr>
          <w:rFonts w:hint="cs"/>
          <w:b/>
          <w:bCs/>
          <w:u w:val="single"/>
          <w:rtl/>
        </w:rPr>
        <w:t>אישום שני</w:t>
      </w:r>
    </w:p>
    <w:p w14:paraId="7C5761E3" w14:textId="77777777" w:rsidR="00401E09" w:rsidRDefault="00401E09" w:rsidP="00401E09">
      <w:pPr>
        <w:spacing w:line="360" w:lineRule="auto"/>
        <w:ind w:left="720"/>
        <w:rPr>
          <w:rtl/>
        </w:rPr>
      </w:pPr>
      <w:r>
        <w:rPr>
          <w:rFonts w:hint="cs"/>
          <w:rtl/>
        </w:rPr>
        <w:t xml:space="preserve">סמוך לקיץ 2016, פנה באקר לנאשם ושאל אותו אם הוא יכול להשיג עבורו נשק, אקדח או קרלו. הנאשם השיב בחיוב, וברר עבור באקר, אך נאמר לו כי יש רק רוס"ר מסוג </w:t>
      </w:r>
      <w:r>
        <w:t>M16</w:t>
      </w:r>
      <w:r>
        <w:rPr>
          <w:rFonts w:hint="cs"/>
          <w:rtl/>
        </w:rPr>
        <w:t xml:space="preserve"> שהוא יקר יותר. הנאשם השיב לבאקר כי לא מצא עבורו נשק. </w:t>
      </w:r>
    </w:p>
    <w:p w14:paraId="3F534244" w14:textId="77777777" w:rsidR="00401E09" w:rsidRDefault="00401E09" w:rsidP="00401E09">
      <w:pPr>
        <w:spacing w:line="360" w:lineRule="auto"/>
        <w:ind w:left="720"/>
        <w:rPr>
          <w:rtl/>
        </w:rPr>
      </w:pPr>
    </w:p>
    <w:p w14:paraId="78220DD5" w14:textId="77777777" w:rsidR="00401E09" w:rsidRDefault="00401E09" w:rsidP="00401E09">
      <w:pPr>
        <w:spacing w:line="360" w:lineRule="auto"/>
        <w:ind w:left="720"/>
        <w:rPr>
          <w:b/>
          <w:bCs/>
          <w:u w:val="single"/>
          <w:rtl/>
        </w:rPr>
      </w:pPr>
      <w:r>
        <w:rPr>
          <w:rFonts w:hint="cs"/>
          <w:b/>
          <w:bCs/>
          <w:u w:val="single"/>
          <w:rtl/>
        </w:rPr>
        <w:t>אישום שלישי</w:t>
      </w:r>
    </w:p>
    <w:p w14:paraId="4D798A22" w14:textId="77777777" w:rsidR="00401E09" w:rsidRDefault="00401E09" w:rsidP="00401E09">
      <w:pPr>
        <w:spacing w:line="360" w:lineRule="auto"/>
        <w:ind w:left="720"/>
        <w:rPr>
          <w:rtl/>
        </w:rPr>
      </w:pPr>
      <w:r>
        <w:rPr>
          <w:rFonts w:hint="cs"/>
          <w:rtl/>
        </w:rPr>
        <w:t xml:space="preserve">סמוך לתחילת שנת 2016, פנה מצרי לנאשם וסיפר לו כי יש לו רובה קרלו למכירה וכן רוס"ר </w:t>
      </w:r>
      <w:r>
        <w:t>M16</w:t>
      </w:r>
      <w:r>
        <w:rPr>
          <w:rFonts w:hint="cs"/>
          <w:rtl/>
        </w:rPr>
        <w:t xml:space="preserve"> ושאל אותו האם הוא מעוניין לרכוש אותם או למצוא עבורם רוכש. הנאשם שוחח עם אחר אולם העסקה לא יצאה אל הפועל. סמוך לאחר מכן, מצרי פנה לנאשם, סיפר לו כי הוא מעוניין לרכוש אקדח מסוג גלוק ושאל האם יוכל להשיג זאת עבורו. הנאשם השיב בחיוב והודיע למצרי כי מחירו של האקדח הוא 30,000 ₪. מצרי השיב כי יחשוב על כך אך לא חזר לנאשם בעניין זה.  </w:t>
      </w:r>
    </w:p>
    <w:p w14:paraId="4AB5079A" w14:textId="77777777" w:rsidR="00401E09" w:rsidRDefault="00401E09" w:rsidP="00401E09">
      <w:pPr>
        <w:spacing w:line="360" w:lineRule="auto"/>
        <w:rPr>
          <w:rtl/>
        </w:rPr>
      </w:pPr>
    </w:p>
    <w:p w14:paraId="1DF18334" w14:textId="77777777" w:rsidR="00401E09" w:rsidRDefault="00401E09" w:rsidP="00401E09">
      <w:pPr>
        <w:spacing w:line="360" w:lineRule="auto"/>
        <w:ind w:left="720" w:hanging="720"/>
        <w:rPr>
          <w:rFonts w:ascii="Arial" w:hAnsi="Arial"/>
          <w:rtl/>
        </w:rPr>
      </w:pPr>
      <w:r>
        <w:rPr>
          <w:rFonts w:hint="cs"/>
          <w:rtl/>
        </w:rPr>
        <w:t>2.</w:t>
      </w:r>
      <w:r>
        <w:rPr>
          <w:rFonts w:hint="cs"/>
          <w:rtl/>
        </w:rPr>
        <w:tab/>
        <w:t xml:space="preserve">על יסוד הודאת הנאשם בעובדות כתב האישום המתוקן, כאמור, הוא הורשע בעבירות </w:t>
      </w:r>
      <w:r>
        <w:rPr>
          <w:rFonts w:ascii="Arial" w:hAnsi="Arial" w:hint="cs"/>
          <w:rtl/>
        </w:rPr>
        <w:t xml:space="preserve">של </w:t>
      </w:r>
    </w:p>
    <w:p w14:paraId="554316B7" w14:textId="77777777" w:rsidR="00401E09" w:rsidRDefault="00401E09" w:rsidP="00401E09">
      <w:pPr>
        <w:spacing w:line="360" w:lineRule="auto"/>
        <w:ind w:firstLine="720"/>
        <w:rPr>
          <w:rFonts w:ascii="Arial" w:hAnsi="Arial"/>
        </w:rPr>
      </w:pPr>
      <w:r>
        <w:rPr>
          <w:rFonts w:ascii="Arial" w:hAnsi="Arial" w:hint="cs"/>
          <w:rtl/>
        </w:rPr>
        <w:t xml:space="preserve">ניסיון לסחר בנשק, לפי </w:t>
      </w:r>
      <w:hyperlink r:id="rId12" w:history="1">
        <w:r w:rsidR="00E62FE9" w:rsidRPr="00E62FE9">
          <w:rPr>
            <w:rFonts w:ascii="Arial" w:hAnsi="Arial"/>
            <w:color w:val="0000FF"/>
            <w:u w:val="single"/>
            <w:rtl/>
          </w:rPr>
          <w:t>סעיפים 144(ב2)</w:t>
        </w:r>
      </w:hyperlink>
      <w:r>
        <w:rPr>
          <w:rFonts w:ascii="Arial" w:hAnsi="Arial" w:hint="cs"/>
          <w:rtl/>
        </w:rPr>
        <w:t xml:space="preserve"> ו- </w:t>
      </w:r>
      <w:hyperlink r:id="rId13" w:history="1">
        <w:r w:rsidR="00E62FE9" w:rsidRPr="00E62FE9">
          <w:rPr>
            <w:rFonts w:ascii="Arial" w:hAnsi="Arial"/>
            <w:color w:val="0000FF"/>
            <w:u w:val="single"/>
            <w:rtl/>
          </w:rPr>
          <w:t>25</w:t>
        </w:r>
      </w:hyperlink>
      <w:r>
        <w:rPr>
          <w:rFonts w:ascii="Arial" w:hAnsi="Arial" w:hint="cs"/>
          <w:rtl/>
        </w:rPr>
        <w:t xml:space="preserve"> ל</w:t>
      </w:r>
      <w:hyperlink r:id="rId14" w:history="1">
        <w:r w:rsidR="006144FA" w:rsidRPr="006144FA">
          <w:rPr>
            <w:rStyle w:val="Hyperlink"/>
            <w:rFonts w:ascii="Arial" w:hAnsi="Arial" w:hint="eastAsia"/>
            <w:rtl/>
          </w:rPr>
          <w:t>חוק</w:t>
        </w:r>
        <w:r w:rsidR="006144FA" w:rsidRPr="006144FA">
          <w:rPr>
            <w:rStyle w:val="Hyperlink"/>
            <w:rFonts w:ascii="Arial" w:hAnsi="Arial"/>
            <w:rtl/>
          </w:rPr>
          <w:t xml:space="preserve"> העונשין</w:t>
        </w:r>
      </w:hyperlink>
      <w:r>
        <w:rPr>
          <w:rFonts w:ascii="Arial" w:hAnsi="Arial" w:hint="cs"/>
          <w:rtl/>
        </w:rPr>
        <w:t xml:space="preserve"> תשל"ז – 1977 </w:t>
      </w:r>
    </w:p>
    <w:p w14:paraId="09CB467F" w14:textId="77777777" w:rsidR="00401E09" w:rsidRDefault="00401E09" w:rsidP="00401E09">
      <w:pPr>
        <w:spacing w:line="360" w:lineRule="auto"/>
        <w:ind w:left="720"/>
        <w:rPr>
          <w:rFonts w:ascii="Arial" w:hAnsi="Arial"/>
          <w:rtl/>
        </w:rPr>
      </w:pPr>
      <w:r>
        <w:rPr>
          <w:rFonts w:ascii="Arial" w:hAnsi="Arial" w:hint="cs"/>
          <w:rtl/>
        </w:rPr>
        <w:t>(להלן: "</w:t>
      </w:r>
      <w:hyperlink r:id="rId15" w:history="1">
        <w:r w:rsidR="006144FA" w:rsidRPr="006144FA">
          <w:rPr>
            <w:rStyle w:val="Hyperlink"/>
            <w:rFonts w:ascii="Arial" w:hAnsi="Arial" w:hint="eastAsia"/>
            <w:rtl/>
          </w:rPr>
          <w:t>חוק</w:t>
        </w:r>
        <w:r w:rsidR="006144FA" w:rsidRPr="006144FA">
          <w:rPr>
            <w:rStyle w:val="Hyperlink"/>
            <w:rFonts w:ascii="Arial" w:hAnsi="Arial"/>
            <w:rtl/>
          </w:rPr>
          <w:t xml:space="preserve"> העונשין</w:t>
        </w:r>
      </w:hyperlink>
      <w:r>
        <w:rPr>
          <w:rFonts w:ascii="Arial" w:hAnsi="Arial" w:hint="cs"/>
          <w:rtl/>
        </w:rPr>
        <w:t xml:space="preserve">"); סחר בנשק, לפי </w:t>
      </w:r>
      <w:hyperlink r:id="rId16" w:history="1">
        <w:r w:rsidR="00E62FE9" w:rsidRPr="00E62FE9">
          <w:rPr>
            <w:rFonts w:ascii="Arial" w:hAnsi="Arial"/>
            <w:color w:val="0000FF"/>
            <w:u w:val="single"/>
            <w:rtl/>
          </w:rPr>
          <w:t>סעיף 144(ב2)</w:t>
        </w:r>
      </w:hyperlink>
      <w:r>
        <w:rPr>
          <w:rFonts w:ascii="Arial" w:hAnsi="Arial" w:hint="cs"/>
          <w:rtl/>
        </w:rPr>
        <w:t xml:space="preserve"> לחוק העונשין; החזקת נשק, לפי </w:t>
      </w:r>
      <w:hyperlink r:id="rId17" w:history="1">
        <w:r w:rsidR="00E62FE9" w:rsidRPr="00E62FE9">
          <w:rPr>
            <w:rFonts w:ascii="Arial" w:hAnsi="Arial"/>
            <w:color w:val="0000FF"/>
            <w:u w:val="single"/>
            <w:rtl/>
          </w:rPr>
          <w:t>סעיף 144(א)</w:t>
        </w:r>
      </w:hyperlink>
      <w:r>
        <w:rPr>
          <w:rFonts w:ascii="Arial" w:hAnsi="Arial" w:hint="cs"/>
          <w:rtl/>
        </w:rPr>
        <w:t xml:space="preserve"> רישא לחוק העונשין; וקשירת קשר לפשע (שתי עבירות), לפי </w:t>
      </w:r>
      <w:hyperlink r:id="rId18" w:history="1">
        <w:r w:rsidR="00E62FE9" w:rsidRPr="00E62FE9">
          <w:rPr>
            <w:rFonts w:ascii="Arial" w:hAnsi="Arial"/>
            <w:color w:val="0000FF"/>
            <w:u w:val="single"/>
            <w:rtl/>
          </w:rPr>
          <w:t>סעיף 499(א)(1)</w:t>
        </w:r>
      </w:hyperlink>
      <w:r>
        <w:rPr>
          <w:rFonts w:ascii="Arial" w:hAnsi="Arial" w:hint="cs"/>
          <w:rtl/>
        </w:rPr>
        <w:t xml:space="preserve"> לחוק העונשין. </w:t>
      </w:r>
    </w:p>
    <w:p w14:paraId="565C2BB6" w14:textId="77777777" w:rsidR="00401E09" w:rsidRDefault="00401E09" w:rsidP="00401E09">
      <w:pPr>
        <w:spacing w:line="360" w:lineRule="auto"/>
        <w:ind w:left="720" w:hanging="720"/>
        <w:rPr>
          <w:rtl/>
        </w:rPr>
      </w:pPr>
    </w:p>
    <w:p w14:paraId="2905BA16" w14:textId="77777777" w:rsidR="00401E09" w:rsidRDefault="00401E09" w:rsidP="00401E09">
      <w:pPr>
        <w:spacing w:line="360" w:lineRule="auto"/>
        <w:ind w:left="720" w:hanging="720"/>
        <w:rPr>
          <w:rFonts w:ascii="David" w:hAnsi="David"/>
          <w:rtl/>
        </w:rPr>
      </w:pPr>
      <w:r>
        <w:rPr>
          <w:rFonts w:hint="cs"/>
          <w:rtl/>
        </w:rPr>
        <w:t>3.</w:t>
      </w:r>
      <w:r>
        <w:rPr>
          <w:rFonts w:hint="cs"/>
          <w:rtl/>
        </w:rPr>
        <w:tab/>
        <w:t xml:space="preserve">במסגרת הסדר הטיעון, הצדדים המליצו לבית המשפט להטיל על הנאשם </w:t>
      </w:r>
      <w:r>
        <w:rPr>
          <w:rFonts w:ascii="David" w:hAnsi="David" w:hint="cs"/>
          <w:rtl/>
        </w:rPr>
        <w:t xml:space="preserve">30 חודשי מאסר בפועל מיום מעצרו, מאסר על תנאי וקנס בסך 15,000 ₪. </w:t>
      </w:r>
    </w:p>
    <w:p w14:paraId="5BC0B715" w14:textId="77777777" w:rsidR="00401E09" w:rsidRDefault="00401E09" w:rsidP="00401E09">
      <w:pPr>
        <w:spacing w:line="360" w:lineRule="auto"/>
        <w:ind w:left="720" w:hanging="720"/>
        <w:rPr>
          <w:rtl/>
        </w:rPr>
      </w:pPr>
      <w:r>
        <w:rPr>
          <w:rFonts w:hint="cs"/>
          <w:rtl/>
        </w:rPr>
        <w:t>4.</w:t>
      </w:r>
      <w:r>
        <w:rPr>
          <w:rFonts w:hint="cs"/>
          <w:rtl/>
        </w:rPr>
        <w:tab/>
        <w:t xml:space="preserve">ב"כ המאשימה הסביר את הסדר הטיעון בקושי ראייתי, הנוגע בעיקר לתעודת החיסיון. הוסיף, כי  הנאשם הודה בהזדמנות הראשונה, שיתף פעולה בחקירותיו וחסך זמן שיפוטי. ציין, כי מדובר בפרשה גדולה עם נאשמים רבים ושהקושי הראייתי שצוין הביא את המאשימה להגיע להסדרים מקלים גם עם מעורבים אחרים. </w:t>
      </w:r>
    </w:p>
    <w:p w14:paraId="0B3C7959" w14:textId="77777777" w:rsidR="00401E09" w:rsidRDefault="00401E09" w:rsidP="00401E09">
      <w:pPr>
        <w:spacing w:line="360" w:lineRule="auto"/>
        <w:ind w:left="720" w:hanging="720"/>
        <w:rPr>
          <w:rtl/>
        </w:rPr>
      </w:pPr>
    </w:p>
    <w:p w14:paraId="2A080135" w14:textId="77777777" w:rsidR="00401E09" w:rsidRDefault="00401E09" w:rsidP="00401E09">
      <w:pPr>
        <w:spacing w:line="360" w:lineRule="auto"/>
        <w:ind w:left="720" w:hanging="720"/>
        <w:rPr>
          <w:rtl/>
        </w:rPr>
      </w:pPr>
      <w:r>
        <w:rPr>
          <w:rFonts w:hint="cs"/>
          <w:rtl/>
        </w:rPr>
        <w:tab/>
        <w:t>ב"כ הנאשם הצטרף לדברי ב"כ המאשימה. ציין, כי הודאת הנאשם בחקירתו ובבית המשפט גרמה לכך שהפרשה הסתיימה גם בפני מותבים אחרים. ציין, כי מדובר בנאשם צעיר, ובמאסרו המשמעותי הראשון. הוסיף, כי במסגרת ההסדר יוטל על הנאשם קנס משמעותי. וביקש שהקנס ישולם ב-10 תשלומים החל מה-1.6.18.</w:t>
      </w:r>
    </w:p>
    <w:p w14:paraId="102318BC" w14:textId="77777777" w:rsidR="00401E09" w:rsidRDefault="00401E09" w:rsidP="00401E09">
      <w:pPr>
        <w:spacing w:line="360" w:lineRule="auto"/>
        <w:ind w:left="720" w:hanging="720"/>
        <w:rPr>
          <w:rtl/>
        </w:rPr>
      </w:pPr>
    </w:p>
    <w:p w14:paraId="2D78ACE7" w14:textId="77777777" w:rsidR="00401E09" w:rsidRDefault="00401E09" w:rsidP="00401E09">
      <w:pPr>
        <w:spacing w:line="360" w:lineRule="auto"/>
        <w:ind w:left="720" w:hanging="720"/>
        <w:rPr>
          <w:rtl/>
        </w:rPr>
      </w:pPr>
      <w:r>
        <w:rPr>
          <w:rFonts w:hint="cs"/>
          <w:rtl/>
        </w:rPr>
        <w:tab/>
        <w:t xml:space="preserve">הנאשם הודה בטעותו. ציין כי עובר למעצרו עבד בעבודות שונות וכי הוא נשוי ללא ילדים.  </w:t>
      </w:r>
    </w:p>
    <w:p w14:paraId="098DF423" w14:textId="77777777" w:rsidR="00401E09" w:rsidRDefault="00401E09" w:rsidP="00401E09">
      <w:pPr>
        <w:spacing w:line="360" w:lineRule="auto"/>
        <w:ind w:left="720" w:hanging="720"/>
        <w:rPr>
          <w:rtl/>
        </w:rPr>
      </w:pPr>
    </w:p>
    <w:p w14:paraId="25DB8A81" w14:textId="77777777" w:rsidR="00401E09" w:rsidRDefault="00401E09" w:rsidP="00401E09">
      <w:pPr>
        <w:spacing w:line="360" w:lineRule="auto"/>
        <w:ind w:left="720" w:hanging="720"/>
        <w:rPr>
          <w:rtl/>
          <w:lang w:eastAsia="he-IL"/>
        </w:rPr>
      </w:pPr>
      <w:r>
        <w:rPr>
          <w:rFonts w:hint="cs"/>
          <w:rtl/>
        </w:rPr>
        <w:t>5.</w:t>
      </w:r>
      <w:r>
        <w:rPr>
          <w:rFonts w:hint="cs"/>
          <w:rtl/>
        </w:rPr>
        <w:tab/>
        <w:t xml:space="preserve">אקדחים ורובים הם כלים שנועדו לפגיעה בגוף ובנפש. החזקתם ללא היתר, במטרה לסחור בהם, מסכנת בצורה חמורה את בטחון הציבור ושלומו. העברתם לידיים עלומות, העלולות להפנותם נגד אזרחי ישראל, בין במישור הפלילי ובין במישור הפח"ע, מעצימה את חשיפת הציבור לסכנות הטבעיות הנובעות מהימצאות כלי משחית בידיים בלתי מורשות. </w:t>
      </w:r>
    </w:p>
    <w:p w14:paraId="725D3BA5" w14:textId="77777777" w:rsidR="00401E09" w:rsidRDefault="00401E09" w:rsidP="00401E09">
      <w:pPr>
        <w:spacing w:line="360" w:lineRule="auto"/>
        <w:ind w:left="720" w:hanging="720"/>
        <w:rPr>
          <w:rFonts w:ascii="Arial" w:hAnsi="Arial"/>
          <w:rtl/>
        </w:rPr>
      </w:pPr>
    </w:p>
    <w:p w14:paraId="7DC61F66" w14:textId="77777777" w:rsidR="00401E09" w:rsidRDefault="00401E09" w:rsidP="00401E09">
      <w:pPr>
        <w:spacing w:line="360" w:lineRule="auto"/>
        <w:ind w:left="1440" w:right="900"/>
        <w:jc w:val="both"/>
        <w:rPr>
          <w:rFonts w:ascii="Arial" w:hAnsi="Arial"/>
          <w:rtl/>
        </w:rPr>
      </w:pPr>
      <w:r>
        <w:rPr>
          <w:rFonts w:ascii="Arial" w:hAnsi="Arial" w:hint="cs"/>
          <w:rtl/>
        </w:rPr>
        <w:t>"</w:t>
      </w:r>
      <w:r>
        <w:rPr>
          <w:rFonts w:ascii="Arial" w:hAnsi="Arial" w:hint="cs"/>
          <w:b/>
          <w:bCs/>
          <w:rt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Pr>
          <w:rFonts w:ascii="Arial" w:hAnsi="Arial" w:hint="cs"/>
          <w:rtl/>
        </w:rPr>
        <w:t>".</w:t>
      </w:r>
      <w:r>
        <w:rPr>
          <w:rFonts w:ascii="Arial" w:hAnsi="Arial" w:hint="cs"/>
          <w:b/>
          <w:bCs/>
          <w:rtl/>
        </w:rPr>
        <w:t xml:space="preserve"> </w:t>
      </w:r>
      <w:r>
        <w:rPr>
          <w:rFonts w:ascii="Arial" w:hAnsi="Arial" w:hint="cs"/>
          <w:rtl/>
        </w:rPr>
        <w:t xml:space="preserve">– </w:t>
      </w:r>
      <w:hyperlink r:id="rId19" w:history="1">
        <w:r w:rsidR="006144FA" w:rsidRPr="006144FA">
          <w:rPr>
            <w:rStyle w:val="Hyperlink"/>
            <w:rFonts w:ascii="Arial" w:hAnsi="Arial" w:hint="eastAsia"/>
            <w:rtl/>
          </w:rPr>
          <w:t>ע</w:t>
        </w:r>
        <w:r w:rsidR="006144FA" w:rsidRPr="006144FA">
          <w:rPr>
            <w:rStyle w:val="Hyperlink"/>
            <w:rFonts w:ascii="Arial" w:hAnsi="Arial"/>
            <w:rtl/>
          </w:rPr>
          <w:t>"פ 4609/98</w:t>
        </w:r>
      </w:hyperlink>
      <w:r>
        <w:rPr>
          <w:rFonts w:ascii="Arial" w:hAnsi="Arial" w:hint="cs"/>
          <w:rtl/>
        </w:rPr>
        <w:t xml:space="preserve"> </w:t>
      </w:r>
      <w:r>
        <w:rPr>
          <w:rFonts w:ascii="Arial" w:hAnsi="Arial" w:hint="cs"/>
          <w:b/>
          <w:bCs/>
          <w:rtl/>
        </w:rPr>
        <w:t>טאהא</w:t>
      </w:r>
      <w:r>
        <w:rPr>
          <w:rFonts w:ascii="Arial" w:hAnsi="Arial" w:hint="cs"/>
          <w:rtl/>
        </w:rPr>
        <w:t xml:space="preserve"> נ'</w:t>
      </w:r>
      <w:r>
        <w:rPr>
          <w:rFonts w:ascii="Arial" w:hAnsi="Arial" w:hint="cs"/>
          <w:b/>
          <w:bCs/>
          <w:rtl/>
        </w:rPr>
        <w:t xml:space="preserve"> מדינת ישראל, </w:t>
      </w:r>
      <w:r>
        <w:rPr>
          <w:rFonts w:ascii="Arial" w:hAnsi="Arial" w:hint="cs"/>
          <w:rtl/>
        </w:rPr>
        <w:t>תק - על 99(2) 716.</w:t>
      </w:r>
    </w:p>
    <w:p w14:paraId="34AF9300" w14:textId="77777777" w:rsidR="00401E09" w:rsidRDefault="00401E09" w:rsidP="00401E09">
      <w:pPr>
        <w:spacing w:line="360" w:lineRule="auto"/>
        <w:ind w:left="1440" w:right="900"/>
        <w:rPr>
          <w:rFonts w:ascii="Arial" w:hAnsi="Arial"/>
          <w:b/>
          <w:bCs/>
          <w:rtl/>
        </w:rPr>
      </w:pPr>
    </w:p>
    <w:p w14:paraId="4EA74615" w14:textId="77777777" w:rsidR="00401E09" w:rsidRDefault="00401E09" w:rsidP="00401E09">
      <w:pPr>
        <w:spacing w:line="360" w:lineRule="auto"/>
        <w:ind w:left="720" w:hanging="720"/>
        <w:rPr>
          <w:rtl/>
        </w:rPr>
      </w:pPr>
      <w:r>
        <w:rPr>
          <w:rFonts w:hint="cs"/>
          <w:rtl/>
        </w:rPr>
        <w:t>6.</w:t>
      </w:r>
      <w:r>
        <w:rPr>
          <w:rFonts w:hint="cs"/>
          <w:rtl/>
        </w:rPr>
        <w:tab/>
        <w:t xml:space="preserve">ריבוי המקרים ופנייתם של אנשים שונים אל הנאשם בבקשה שישיג עבורם נשק מלמדת על מעורבות עמוקה בתחום הסחר בנשק. </w:t>
      </w:r>
    </w:p>
    <w:p w14:paraId="023880BB" w14:textId="77777777" w:rsidR="00401E09" w:rsidRDefault="00401E09" w:rsidP="00401E09">
      <w:pPr>
        <w:spacing w:line="360" w:lineRule="auto"/>
        <w:ind w:left="720" w:hanging="720"/>
        <w:rPr>
          <w:rtl/>
        </w:rPr>
      </w:pPr>
    </w:p>
    <w:p w14:paraId="4CAF2507" w14:textId="77777777" w:rsidR="00401E09" w:rsidRDefault="00401E09" w:rsidP="00401E09">
      <w:pPr>
        <w:spacing w:line="360" w:lineRule="auto"/>
        <w:ind w:left="720" w:hanging="720"/>
        <w:rPr>
          <w:rtl/>
        </w:rPr>
      </w:pPr>
      <w:r>
        <w:rPr>
          <w:rFonts w:hint="cs"/>
          <w:rtl/>
        </w:rPr>
        <w:t>7.</w:t>
      </w:r>
      <w:r>
        <w:rPr>
          <w:rFonts w:hint="cs"/>
          <w:rtl/>
        </w:rPr>
        <w:tab/>
        <w:t xml:space="preserve">מדיניות הענישה הנהוגה בעבירות הנשק, במיוחד בסחר בנשק, הינה של החמרה מובהקת. </w:t>
      </w:r>
    </w:p>
    <w:p w14:paraId="762C65FE" w14:textId="77777777" w:rsidR="00401E09" w:rsidRDefault="00401E09" w:rsidP="00401E09">
      <w:pPr>
        <w:spacing w:line="360" w:lineRule="auto"/>
        <w:ind w:left="720" w:hanging="720"/>
        <w:rPr>
          <w:rtl/>
        </w:rPr>
      </w:pPr>
    </w:p>
    <w:p w14:paraId="2051BA0F" w14:textId="77777777" w:rsidR="00401E09" w:rsidRDefault="00401E09" w:rsidP="00401E09">
      <w:pPr>
        <w:spacing w:line="360" w:lineRule="auto"/>
        <w:ind w:left="720" w:hanging="720"/>
        <w:rPr>
          <w:rtl/>
        </w:rPr>
      </w:pPr>
      <w:r>
        <w:rPr>
          <w:rFonts w:hint="cs"/>
          <w:rtl/>
        </w:rPr>
        <w:t>8.</w:t>
      </w:r>
      <w:r>
        <w:rPr>
          <w:rFonts w:hint="cs"/>
          <w:rtl/>
        </w:rPr>
        <w:tab/>
        <w:t>לנאשם הרשעות קודמות בעבירות החזקת סמים שלא לצריכה עצמית, הוצאת רכוש מחוץ לצבא, והוצאת נשק מחוץ לצבא. והוא ריצה עונשי מאסר.</w:t>
      </w:r>
    </w:p>
    <w:p w14:paraId="7A5BA3CB" w14:textId="77777777" w:rsidR="00401E09" w:rsidRDefault="00401E09" w:rsidP="00401E09">
      <w:pPr>
        <w:spacing w:line="360" w:lineRule="auto"/>
        <w:ind w:left="720" w:hanging="720"/>
        <w:rPr>
          <w:rtl/>
        </w:rPr>
      </w:pPr>
    </w:p>
    <w:p w14:paraId="28A7947D" w14:textId="77777777" w:rsidR="00401E09" w:rsidRDefault="00401E09" w:rsidP="00401E09">
      <w:pPr>
        <w:spacing w:line="360" w:lineRule="auto"/>
        <w:ind w:left="720" w:hanging="720"/>
        <w:rPr>
          <w:rtl/>
        </w:rPr>
      </w:pPr>
      <w:r>
        <w:rPr>
          <w:rFonts w:hint="cs"/>
          <w:rtl/>
        </w:rPr>
        <w:t>9.</w:t>
      </w:r>
      <w:r>
        <w:rPr>
          <w:rFonts w:hint="cs"/>
          <w:rtl/>
        </w:rPr>
        <w:tab/>
        <w:t>מכלול הנתונים מלמד, כי העונש הראוי לנאשם על מעשיו – הן במרכיב המאסר והן במרכיב הקנס - חמור מזה המוצע בהסדר הטיעון. עם זאת, לאחר ששקלתי בדבר, באתי למסקנה כי יש לכבד את הסדר הטיעון:</w:t>
      </w:r>
    </w:p>
    <w:p w14:paraId="3FF84F0F" w14:textId="77777777" w:rsidR="00401E09" w:rsidRDefault="00401E09" w:rsidP="00401E09">
      <w:pPr>
        <w:spacing w:line="360" w:lineRule="auto"/>
        <w:ind w:left="720" w:hanging="720"/>
        <w:rPr>
          <w:rtl/>
        </w:rPr>
      </w:pPr>
    </w:p>
    <w:p w14:paraId="33FDCF83" w14:textId="77777777" w:rsidR="00401E09" w:rsidRDefault="00401E09" w:rsidP="00401E09">
      <w:pPr>
        <w:numPr>
          <w:ilvl w:val="0"/>
          <w:numId w:val="1"/>
        </w:numPr>
        <w:spacing w:line="360" w:lineRule="auto"/>
        <w:rPr>
          <w:rFonts w:ascii="FrankRuehl" w:hAnsi="FrankRuehl"/>
          <w:color w:val="000000"/>
          <w:rtl/>
          <w:lang w:eastAsia="he-IL"/>
        </w:rPr>
      </w:pPr>
      <w:r>
        <w:rPr>
          <w:rFonts w:hint="cs"/>
          <w:b/>
          <w:rtl/>
        </w:rPr>
        <w:t xml:space="preserve">"הסדר טיעון </w:t>
      </w:r>
      <w:r>
        <w:rPr>
          <w:rFonts w:hint="cs"/>
          <w:rtl/>
        </w:rPr>
        <w:t>– באשר הוא – אינו רק שיקול אחד ככל יתר השיקולים העומדים בפני בית</w:t>
      </w:r>
      <w:r>
        <w:rPr>
          <w:rFonts w:hint="cs"/>
          <w:vertAlign w:val="superscript"/>
          <w:rtl/>
        </w:rPr>
        <w:t>-</w:t>
      </w:r>
      <w:r>
        <w:rPr>
          <w:rFonts w:hint="cs"/>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Pr>
          <w:rFonts w:hint="cs"/>
          <w:vertAlign w:val="superscript"/>
          <w:rtl/>
        </w:rPr>
        <w:t>-</w:t>
      </w:r>
      <w:r>
        <w:rPr>
          <w:rFonts w:hint="cs"/>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Pr>
          <w:rFonts w:hint="cs"/>
          <w:vertAlign w:val="superscript"/>
          <w:rtl/>
        </w:rPr>
        <w:t>-</w:t>
      </w:r>
      <w:r>
        <w:rPr>
          <w:rFonts w:hint="cs"/>
          <w:rtl/>
        </w:rPr>
        <w:t xml:space="preserve">המשפט יראה לקיים את הסדר הטיעון בשל הטעמים הקשורים בחשיבותם ובמעמדם של הסדרי הטיעון". - </w:t>
      </w:r>
      <w:r>
        <w:rPr>
          <w:rFonts w:ascii="FrankRuehl" w:hAnsi="FrankRuehl" w:hint="cs"/>
          <w:color w:val="000000"/>
          <w:rtl/>
        </w:rPr>
        <w:t xml:space="preserve">ע"פ </w:t>
      </w:r>
      <w:hyperlink r:id="rId20" w:history="1">
        <w:r w:rsidR="00A01B1B" w:rsidRPr="00A01B1B">
          <w:rPr>
            <w:rFonts w:ascii="FrankRuehl" w:hAnsi="FrankRuehl"/>
            <w:color w:val="0000FF"/>
            <w:u w:val="single"/>
            <w:rtl/>
          </w:rPr>
          <w:t xml:space="preserve">1958/98‏ </w:t>
        </w:r>
      </w:hyperlink>
      <w:r>
        <w:rPr>
          <w:rFonts w:ascii="FrankRuehl" w:hAnsi="FrankRuehl" w:hint="cs"/>
          <w:color w:val="000000"/>
          <w:rtl/>
        </w:rPr>
        <w:t xml:space="preserve"> פלוני נ' מדינת ישראל, פ''ד נז(1) 577</w:t>
      </w:r>
    </w:p>
    <w:p w14:paraId="2B0E9EFF" w14:textId="77777777" w:rsidR="00401E09" w:rsidRDefault="00401E09" w:rsidP="00401E09">
      <w:pPr>
        <w:numPr>
          <w:ilvl w:val="0"/>
          <w:numId w:val="1"/>
        </w:numPr>
        <w:spacing w:line="360" w:lineRule="auto"/>
        <w:rPr>
          <w:rtl/>
        </w:rPr>
      </w:pPr>
      <w:r>
        <w:rPr>
          <w:rFonts w:ascii="FrankRuehl" w:hAnsi="FrankRuehl" w:hint="cs"/>
          <w:color w:val="000000"/>
          <w:rtl/>
        </w:rPr>
        <w:t xml:space="preserve">הרקע להסדר הטיעון, כמוסבר על ידי התביעה, נעוץ בקושי הנוגע לראיות חסויות. מצב בו התביעה נאלצת להסכים לענישה מקלה כדי להימנע מחשיפת מקור ידיעה, מצדיק עקרונית הגעה להסדר טיעון. חזקה על התביעה, המודעת לפרטי הענין החסוי, ששקלה את הענין כראוי. </w:t>
      </w:r>
    </w:p>
    <w:p w14:paraId="6AF65E46" w14:textId="77777777" w:rsidR="00401E09" w:rsidRDefault="00401E09" w:rsidP="00401E09">
      <w:pPr>
        <w:numPr>
          <w:ilvl w:val="0"/>
          <w:numId w:val="1"/>
        </w:numPr>
        <w:spacing w:line="360" w:lineRule="auto"/>
      </w:pPr>
      <w:r>
        <w:rPr>
          <w:rFonts w:ascii="FrankRuehl" w:hAnsi="FrankRuehl" w:hint="cs"/>
          <w:color w:val="000000"/>
          <w:rtl/>
        </w:rPr>
        <w:t xml:space="preserve">הרשעת הנאשם מבוססת על הודאתו וזו באה במסגרת הסדר טיעון הכולל הסכמה לענין העונש, בציפיה סבירה שבית המשפט יכבד אותו. </w:t>
      </w:r>
    </w:p>
    <w:p w14:paraId="088B81C5" w14:textId="77777777" w:rsidR="00401E09" w:rsidRDefault="00401E09" w:rsidP="00401E09">
      <w:pPr>
        <w:numPr>
          <w:ilvl w:val="0"/>
          <w:numId w:val="1"/>
        </w:numPr>
        <w:spacing w:line="360" w:lineRule="auto"/>
        <w:rPr>
          <w:rFonts w:ascii="FrankRuehl" w:hAnsi="FrankRuehl"/>
          <w:color w:val="000000"/>
          <w:lang w:eastAsia="he-IL"/>
        </w:rPr>
      </w:pPr>
      <w:r>
        <w:rPr>
          <w:rFonts w:ascii="FrankRuehl" w:hAnsi="FrankRuehl" w:hint="cs"/>
          <w:color w:val="000000"/>
          <w:rtl/>
        </w:rPr>
        <w:t>העונש המוצע בהסדר כולל מאסר בפועל לתקופה משמעותית ויש בו לתרום להרתעת הנאשם והציבור.</w:t>
      </w:r>
    </w:p>
    <w:p w14:paraId="6AFE0A0D" w14:textId="77777777" w:rsidR="00401E09" w:rsidRDefault="00401E09" w:rsidP="00401E09">
      <w:pPr>
        <w:numPr>
          <w:ilvl w:val="0"/>
          <w:numId w:val="1"/>
        </w:numPr>
        <w:spacing w:line="360" w:lineRule="auto"/>
      </w:pPr>
      <w:r>
        <w:rPr>
          <w:rFonts w:ascii="FrankRuehl" w:hAnsi="FrankRuehl" w:hint="cs"/>
          <w:color w:val="000000"/>
          <w:rtl/>
        </w:rPr>
        <w:t>הודאת הנאשם חסכה זמן שיפוטי ומשאבים ציבוריים נוספים, שהיו נדרשים לצורך ניהול המשפט עד תומו.</w:t>
      </w:r>
    </w:p>
    <w:p w14:paraId="2ED48A5D" w14:textId="77777777" w:rsidR="00401E09" w:rsidRDefault="00401E09" w:rsidP="00401E09">
      <w:pPr>
        <w:spacing w:line="360" w:lineRule="auto"/>
        <w:ind w:left="720"/>
        <w:rPr>
          <w:rFonts w:ascii="FrankRuehl" w:hAnsi="FrankRuehl"/>
          <w:color w:val="000000"/>
          <w:lang w:eastAsia="he-IL"/>
        </w:rPr>
      </w:pPr>
    </w:p>
    <w:p w14:paraId="2ACCCC28" w14:textId="77777777" w:rsidR="00401E09" w:rsidRDefault="00401E09" w:rsidP="00401E09">
      <w:pPr>
        <w:spacing w:line="360" w:lineRule="auto"/>
        <w:rPr>
          <w:rFonts w:ascii="FrankRuehl" w:hAnsi="FrankRuehl"/>
          <w:color w:val="000000"/>
          <w:rtl/>
        </w:rPr>
      </w:pPr>
      <w:r>
        <w:rPr>
          <w:rFonts w:ascii="FrankRuehl" w:hAnsi="FrankRuehl" w:hint="cs"/>
          <w:color w:val="000000"/>
          <w:rtl/>
        </w:rPr>
        <w:t>10.</w:t>
      </w:r>
      <w:r>
        <w:rPr>
          <w:rFonts w:ascii="FrankRuehl" w:hAnsi="FrankRuehl" w:hint="cs"/>
          <w:color w:val="000000"/>
          <w:rtl/>
        </w:rPr>
        <w:tab/>
        <w:t>נוכח כל האמור אני דן את הנאשם לעונשים הבאים:</w:t>
      </w:r>
    </w:p>
    <w:p w14:paraId="0DC0E11E" w14:textId="77777777" w:rsidR="00401E09" w:rsidRDefault="00401E09" w:rsidP="00401E09">
      <w:pPr>
        <w:numPr>
          <w:ilvl w:val="0"/>
          <w:numId w:val="2"/>
        </w:numPr>
        <w:spacing w:line="360" w:lineRule="auto"/>
        <w:rPr>
          <w:rFonts w:ascii="FrankRuehl" w:hAnsi="FrankRuehl"/>
          <w:color w:val="000000"/>
          <w:rtl/>
        </w:rPr>
      </w:pPr>
      <w:r>
        <w:rPr>
          <w:rFonts w:ascii="FrankRuehl" w:hAnsi="FrankRuehl" w:hint="cs"/>
          <w:color w:val="000000"/>
          <w:rtl/>
        </w:rPr>
        <w:t>30 חודשי מאסר בפועל, מיום מעצרו.</w:t>
      </w:r>
    </w:p>
    <w:p w14:paraId="3B88F36C" w14:textId="77777777" w:rsidR="00401E09" w:rsidRDefault="00401E09" w:rsidP="00401E09">
      <w:pPr>
        <w:numPr>
          <w:ilvl w:val="0"/>
          <w:numId w:val="2"/>
        </w:numPr>
        <w:spacing w:line="360" w:lineRule="auto"/>
        <w:rPr>
          <w:rFonts w:ascii="FrankRuehl" w:hAnsi="FrankRuehl"/>
          <w:color w:val="000000"/>
          <w:rtl/>
        </w:rPr>
      </w:pPr>
      <w:r>
        <w:rPr>
          <w:rFonts w:ascii="FrankRuehl" w:hAnsi="FrankRuehl" w:hint="cs"/>
          <w:color w:val="000000"/>
          <w:rtl/>
        </w:rPr>
        <w:t>12 חודשי מאסר על תנאי למשך 3 שנים מיום שחרורו מהמאסר, שלא יעבור</w:t>
      </w:r>
    </w:p>
    <w:p w14:paraId="0FEF4091" w14:textId="77777777" w:rsidR="00401E09" w:rsidRDefault="00401E09" w:rsidP="00401E09">
      <w:pPr>
        <w:spacing w:line="360" w:lineRule="auto"/>
        <w:ind w:left="720" w:firstLine="720"/>
        <w:rPr>
          <w:rFonts w:ascii="FrankRuehl" w:hAnsi="FrankRuehl"/>
          <w:color w:val="000000"/>
        </w:rPr>
      </w:pPr>
      <w:r>
        <w:rPr>
          <w:rFonts w:ascii="FrankRuehl" w:hAnsi="FrankRuehl" w:hint="cs"/>
          <w:color w:val="000000"/>
          <w:rtl/>
        </w:rPr>
        <w:t>עבירת נשק המסווגת כפשע.</w:t>
      </w:r>
    </w:p>
    <w:p w14:paraId="688CB558" w14:textId="77777777" w:rsidR="00401E09" w:rsidRDefault="00401E09" w:rsidP="00401E09">
      <w:pPr>
        <w:spacing w:line="360" w:lineRule="auto"/>
        <w:ind w:left="1440" w:hanging="720"/>
        <w:rPr>
          <w:rFonts w:ascii="FrankRuehl" w:hAnsi="FrankRuehl"/>
          <w:color w:val="000000"/>
          <w:rtl/>
        </w:rPr>
      </w:pPr>
      <w:r>
        <w:rPr>
          <w:rFonts w:ascii="FrankRuehl" w:hAnsi="FrankRuehl" w:hint="cs"/>
          <w:color w:val="000000"/>
          <w:rtl/>
        </w:rPr>
        <w:t xml:space="preserve">ג. </w:t>
      </w:r>
      <w:r>
        <w:rPr>
          <w:rFonts w:ascii="FrankRuehl" w:hAnsi="FrankRuehl" w:hint="cs"/>
          <w:color w:val="000000"/>
          <w:rtl/>
        </w:rPr>
        <w:tab/>
      </w:r>
      <w:r>
        <w:rPr>
          <w:rFonts w:hint="cs"/>
          <w:rtl/>
        </w:rPr>
        <w:t>קנס בסך 15,000 ₪ או 60 ימי מאסר תחתיו.</w:t>
      </w:r>
      <w:r>
        <w:rPr>
          <w:rFonts w:ascii="FrankRuehl" w:hAnsi="FrankRuehl" w:hint="cs"/>
          <w:color w:val="000000"/>
          <w:rtl/>
        </w:rPr>
        <w:t xml:space="preserve"> הקנס ישולם ב-5 תשלומים חודשיים שווים ורצופים החל מיום 01.01.18. תשלום שלא ישולם במועדו יעמיד את כל יתרת הסכום לפרעון מיידי. </w:t>
      </w:r>
    </w:p>
    <w:p w14:paraId="7915D36C" w14:textId="77777777" w:rsidR="00401E09" w:rsidRDefault="00401E09" w:rsidP="00401E09">
      <w:pPr>
        <w:spacing w:line="360" w:lineRule="auto"/>
        <w:rPr>
          <w:rFonts w:ascii="FrankRuehl" w:hAnsi="FrankRuehl"/>
          <w:color w:val="000000"/>
          <w:rtl/>
        </w:rPr>
      </w:pPr>
      <w:r>
        <w:rPr>
          <w:rFonts w:ascii="FrankRuehl" w:hAnsi="FrankRuehl" w:hint="cs"/>
          <w:color w:val="000000"/>
          <w:rtl/>
        </w:rPr>
        <w:tab/>
      </w:r>
    </w:p>
    <w:p w14:paraId="555CC9FF" w14:textId="77777777" w:rsidR="00401E09" w:rsidRDefault="00401E09" w:rsidP="00401E09">
      <w:pPr>
        <w:spacing w:line="360" w:lineRule="auto"/>
        <w:ind w:left="1440" w:hanging="720"/>
        <w:rPr>
          <w:rFonts w:ascii="FrankRuehl" w:hAnsi="FrankRuehl"/>
          <w:color w:val="000000"/>
          <w:rtl/>
        </w:rPr>
      </w:pPr>
    </w:p>
    <w:p w14:paraId="63BE2DE7" w14:textId="77777777" w:rsidR="00401E09" w:rsidRPr="002B70D2" w:rsidRDefault="00401E09" w:rsidP="00401E09">
      <w:pPr>
        <w:spacing w:line="360" w:lineRule="auto"/>
        <w:ind w:left="1440" w:hanging="720"/>
        <w:rPr>
          <w:rFonts w:ascii="FrankRuehl" w:hAnsi="FrankRuehl"/>
          <w:b/>
          <w:bCs/>
          <w:color w:val="000000"/>
          <w:rtl/>
        </w:rPr>
      </w:pPr>
      <w:r w:rsidRPr="002B70D2">
        <w:rPr>
          <w:rFonts w:ascii="FrankRuehl" w:hAnsi="FrankRuehl" w:hint="cs"/>
          <w:b/>
          <w:bCs/>
          <w:color w:val="000000"/>
          <w:rtl/>
        </w:rPr>
        <w:t>זכות ערעור תוך 45 יום.</w:t>
      </w:r>
    </w:p>
    <w:p w14:paraId="11F3D0D6" w14:textId="77777777" w:rsidR="00401E09" w:rsidRPr="00B05847" w:rsidRDefault="00401E09" w:rsidP="00401E09">
      <w:pPr>
        <w:rPr>
          <w:rtl/>
        </w:rPr>
      </w:pPr>
    </w:p>
    <w:p w14:paraId="519F5405" w14:textId="77777777" w:rsidR="00401E09" w:rsidRPr="00B05847" w:rsidRDefault="00401E09" w:rsidP="00401E09">
      <w:pPr>
        <w:rPr>
          <w:rtl/>
        </w:rPr>
      </w:pPr>
    </w:p>
    <w:p w14:paraId="68671915" w14:textId="77777777" w:rsidR="00401E09" w:rsidRPr="006144FA" w:rsidRDefault="006144FA" w:rsidP="00401E09">
      <w:pPr>
        <w:rPr>
          <w:color w:val="FFFFFF"/>
          <w:sz w:val="2"/>
          <w:szCs w:val="2"/>
          <w:rtl/>
        </w:rPr>
      </w:pPr>
      <w:r w:rsidRPr="006144FA">
        <w:rPr>
          <w:color w:val="FFFFFF"/>
          <w:sz w:val="2"/>
          <w:szCs w:val="2"/>
          <w:rtl/>
        </w:rPr>
        <w:t>5129371</w:t>
      </w:r>
    </w:p>
    <w:p w14:paraId="563A2F97" w14:textId="77777777" w:rsidR="00401E09" w:rsidRDefault="006144FA" w:rsidP="00401E09">
      <w:pPr>
        <w:rPr>
          <w:rFonts w:cs="FrankRuehl"/>
          <w:sz w:val="28"/>
          <w:szCs w:val="28"/>
          <w:rtl/>
        </w:rPr>
      </w:pPr>
      <w:r w:rsidRPr="006144FA">
        <w:rPr>
          <w:rFonts w:ascii="Arial" w:hAnsi="Arial"/>
          <w:color w:val="FFFFFF"/>
          <w:sz w:val="2"/>
          <w:szCs w:val="2"/>
          <w:rtl/>
        </w:rPr>
        <w:t>54678313</w:t>
      </w:r>
      <w:r>
        <w:rPr>
          <w:rFonts w:ascii="Arial" w:hAnsi="Arial"/>
          <w:rtl/>
        </w:rPr>
        <w:t xml:space="preserve">ניתן היום,  כ"ה כסלו תשע"ח, 13 דצמבר 2017, במעמד הצדדים. </w:t>
      </w:r>
    </w:p>
    <w:p w14:paraId="1140A274" w14:textId="77777777" w:rsidR="00401E09" w:rsidRDefault="00401E09" w:rsidP="00401E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7A4F382" w14:textId="77777777" w:rsidR="00401E09" w:rsidRDefault="00401E09" w:rsidP="00401E09">
      <w:pPr>
        <w:jc w:val="center"/>
        <w:rPr>
          <w:rFonts w:ascii="Arial" w:hAnsi="Arial" w:cs="FrankRuehl"/>
          <w:sz w:val="28"/>
          <w:szCs w:val="28"/>
          <w:rtl/>
        </w:rPr>
      </w:pPr>
    </w:p>
    <w:p w14:paraId="0E1ECB59" w14:textId="77777777" w:rsidR="00401E09" w:rsidRDefault="00401E09" w:rsidP="00401E09">
      <w:pPr>
        <w:rPr>
          <w:rFonts w:cs="FrankRuehl"/>
          <w:sz w:val="28"/>
          <w:szCs w:val="28"/>
          <w:rtl/>
        </w:rPr>
      </w:pPr>
    </w:p>
    <w:p w14:paraId="4E6BD864" w14:textId="77777777" w:rsidR="00401E09" w:rsidRDefault="00401E09" w:rsidP="00401E09">
      <w:pPr>
        <w:pStyle w:val="a3"/>
        <w:jc w:val="center"/>
        <w:rPr>
          <w:rtl/>
        </w:rPr>
      </w:pPr>
    </w:p>
    <w:p w14:paraId="1A5963F9" w14:textId="77777777" w:rsidR="006144FA" w:rsidRPr="006144FA" w:rsidRDefault="006144FA" w:rsidP="006144FA">
      <w:pPr>
        <w:keepNext/>
        <w:rPr>
          <w:rFonts w:ascii="David" w:hAnsi="David"/>
          <w:color w:val="000000"/>
          <w:sz w:val="22"/>
          <w:szCs w:val="22"/>
          <w:rtl/>
        </w:rPr>
      </w:pPr>
    </w:p>
    <w:p w14:paraId="725D13A8" w14:textId="77777777" w:rsidR="006144FA" w:rsidRPr="006144FA" w:rsidRDefault="006144FA" w:rsidP="006144FA">
      <w:pPr>
        <w:keepNext/>
        <w:rPr>
          <w:rFonts w:ascii="David" w:hAnsi="David"/>
          <w:color w:val="000000"/>
          <w:sz w:val="22"/>
          <w:szCs w:val="22"/>
          <w:rtl/>
        </w:rPr>
      </w:pPr>
      <w:r w:rsidRPr="006144FA">
        <w:rPr>
          <w:rFonts w:ascii="David" w:hAnsi="David"/>
          <w:color w:val="000000"/>
          <w:sz w:val="22"/>
          <w:szCs w:val="22"/>
          <w:rtl/>
        </w:rPr>
        <w:t>אליהו ביתן 54678313</w:t>
      </w:r>
    </w:p>
    <w:p w14:paraId="77C809D1" w14:textId="77777777" w:rsidR="006144FA" w:rsidRDefault="006144FA" w:rsidP="006144FA">
      <w:pPr>
        <w:rPr>
          <w:color w:val="000000"/>
          <w:rtl/>
        </w:rPr>
      </w:pPr>
      <w:r w:rsidRPr="006144FA">
        <w:rPr>
          <w:color w:val="000000"/>
          <w:rtl/>
        </w:rPr>
        <w:t>נוסח מסמך זה כפוף לשינויי ניסוח ועריכה</w:t>
      </w:r>
    </w:p>
    <w:p w14:paraId="502D8572" w14:textId="77777777" w:rsidR="006144FA" w:rsidRDefault="006144FA" w:rsidP="006144FA">
      <w:pPr>
        <w:rPr>
          <w:rtl/>
        </w:rPr>
      </w:pPr>
    </w:p>
    <w:p w14:paraId="7D653D41" w14:textId="77777777" w:rsidR="006144FA" w:rsidRDefault="006144FA" w:rsidP="006144FA">
      <w:pPr>
        <w:jc w:val="center"/>
        <w:rPr>
          <w:color w:val="0000FF"/>
          <w:u w:val="single"/>
          <w:rtl/>
        </w:rPr>
      </w:pPr>
      <w:hyperlink r:id="rId21" w:history="1">
        <w:r>
          <w:rPr>
            <w:rStyle w:val="Hyperlink"/>
            <w:rtl/>
          </w:rPr>
          <w:t>בעניין עריכה ושינויים במסמכי פסיקה, חקיקה ועוד באתר נבו – הקש כאן</w:t>
        </w:r>
      </w:hyperlink>
    </w:p>
    <w:p w14:paraId="2FEBD476" w14:textId="77777777" w:rsidR="002D7B2F" w:rsidRPr="006144FA" w:rsidRDefault="002D7B2F" w:rsidP="006144FA">
      <w:pPr>
        <w:jc w:val="center"/>
        <w:rPr>
          <w:color w:val="0000FF"/>
          <w:u w:val="single"/>
        </w:rPr>
      </w:pPr>
    </w:p>
    <w:sectPr w:rsidR="002D7B2F" w:rsidRPr="006144FA" w:rsidSect="006144F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02A0" w14:textId="77777777" w:rsidR="008C53BE" w:rsidRDefault="008C53BE">
      <w:r>
        <w:separator/>
      </w:r>
    </w:p>
  </w:endnote>
  <w:endnote w:type="continuationSeparator" w:id="0">
    <w:p w14:paraId="6F07B33E" w14:textId="77777777" w:rsidR="008C53BE" w:rsidRDefault="008C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8BCE3" w14:textId="77777777" w:rsidR="009F6564" w:rsidRDefault="009F6564" w:rsidP="006144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F33937" w14:textId="77777777" w:rsidR="009F6564" w:rsidRPr="006144FA" w:rsidRDefault="009F6564" w:rsidP="006144FA">
    <w:pPr>
      <w:pStyle w:val="a5"/>
      <w:pBdr>
        <w:top w:val="single" w:sz="4" w:space="1" w:color="auto"/>
        <w:between w:val="single" w:sz="4" w:space="0" w:color="auto"/>
      </w:pBdr>
      <w:spacing w:after="60"/>
      <w:jc w:val="center"/>
      <w:rPr>
        <w:rFonts w:ascii="FrankRuehl" w:hAnsi="FrankRuehl" w:cs="FrankRuehl"/>
        <w:color w:val="000000"/>
      </w:rPr>
    </w:pPr>
    <w:r w:rsidRPr="006144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AA5D" w14:textId="77777777" w:rsidR="009F6564" w:rsidRDefault="009F6564" w:rsidP="006144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6D8D">
      <w:rPr>
        <w:rFonts w:ascii="FrankRuehl" w:hAnsi="FrankRuehl" w:cs="FrankRuehl"/>
        <w:noProof/>
        <w:rtl/>
      </w:rPr>
      <w:t>1</w:t>
    </w:r>
    <w:r>
      <w:rPr>
        <w:rFonts w:ascii="FrankRuehl" w:hAnsi="FrankRuehl" w:cs="FrankRuehl"/>
        <w:rtl/>
      </w:rPr>
      <w:fldChar w:fldCharType="end"/>
    </w:r>
  </w:p>
  <w:p w14:paraId="2296577A" w14:textId="77777777" w:rsidR="009F6564" w:rsidRPr="006144FA" w:rsidRDefault="009F6564" w:rsidP="006144FA">
    <w:pPr>
      <w:pStyle w:val="a5"/>
      <w:pBdr>
        <w:top w:val="single" w:sz="4" w:space="1" w:color="auto"/>
        <w:between w:val="single" w:sz="4" w:space="0" w:color="auto"/>
      </w:pBdr>
      <w:spacing w:after="60"/>
      <w:jc w:val="center"/>
      <w:rPr>
        <w:rFonts w:ascii="FrankRuehl" w:hAnsi="FrankRuehl" w:cs="FrankRuehl"/>
        <w:color w:val="000000"/>
      </w:rPr>
    </w:pPr>
    <w:r w:rsidRPr="006144FA">
      <w:rPr>
        <w:rFonts w:ascii="FrankRuehl" w:hAnsi="FrankRuehl" w:cs="FrankRuehl"/>
        <w:color w:val="000000"/>
      </w:rPr>
      <w:pict w14:anchorId="410B6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67C80" w14:textId="77777777" w:rsidR="008C53BE" w:rsidRDefault="008C53BE">
      <w:r>
        <w:separator/>
      </w:r>
    </w:p>
  </w:footnote>
  <w:footnote w:type="continuationSeparator" w:id="0">
    <w:p w14:paraId="33145954" w14:textId="77777777" w:rsidR="008C53BE" w:rsidRDefault="008C5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415" w14:textId="77777777" w:rsidR="009F6564" w:rsidRPr="006144FA" w:rsidRDefault="009F6564" w:rsidP="00614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10627-01-17</w:t>
    </w:r>
    <w:r>
      <w:rPr>
        <w:rFonts w:ascii="David" w:hAnsi="David"/>
        <w:color w:val="000000"/>
        <w:sz w:val="22"/>
        <w:szCs w:val="22"/>
        <w:rtl/>
      </w:rPr>
      <w:tab/>
      <w:t xml:space="preserve"> מדינת ישראל נ' מחמד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512EA" w14:textId="77777777" w:rsidR="009F6564" w:rsidRPr="006144FA" w:rsidRDefault="009F6564" w:rsidP="00614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10627-01-17</w:t>
    </w:r>
    <w:r>
      <w:rPr>
        <w:rFonts w:ascii="David" w:hAnsi="David"/>
        <w:color w:val="000000"/>
        <w:sz w:val="22"/>
        <w:szCs w:val="22"/>
        <w:rtl/>
      </w:rPr>
      <w:tab/>
      <w:t xml:space="preserve"> מדינת ישראל נ' מחמד אבו כף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7A334589"/>
    <w:multiLevelType w:val="hybridMultilevel"/>
    <w:tmpl w:val="D0DAC160"/>
    <w:lvl w:ilvl="0" w:tplc="F15285C8">
      <w:start w:val="1"/>
      <w:numFmt w:val="hebrew1"/>
      <w:lvlText w:val="%1."/>
      <w:lvlJc w:val="left"/>
      <w:pPr>
        <w:ind w:left="1635" w:hanging="915"/>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835731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83663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1E09"/>
    <w:rsid w:val="000E2E97"/>
    <w:rsid w:val="001C3CE7"/>
    <w:rsid w:val="002D7B2F"/>
    <w:rsid w:val="00401E09"/>
    <w:rsid w:val="006144FA"/>
    <w:rsid w:val="007A6D8D"/>
    <w:rsid w:val="008C53BE"/>
    <w:rsid w:val="009F6564"/>
    <w:rsid w:val="00A01B1B"/>
    <w:rsid w:val="00AA3DBD"/>
    <w:rsid w:val="00B765FD"/>
    <w:rsid w:val="00BA16A0"/>
    <w:rsid w:val="00E62FE9"/>
    <w:rsid w:val="00E918CE"/>
    <w:rsid w:val="00F95605"/>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82FF80"/>
  <w15:chartTrackingRefBased/>
  <w15:docId w15:val="{6B177BA1-75FE-40B6-BDEF-7746EA80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1E09"/>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01E09"/>
    <w:pPr>
      <w:tabs>
        <w:tab w:val="center" w:pos="4153"/>
        <w:tab w:val="right" w:pos="8306"/>
      </w:tabs>
    </w:pPr>
  </w:style>
  <w:style w:type="character" w:customStyle="1" w:styleId="a4">
    <w:name w:val="כותרת עליונה תו"/>
    <w:link w:val="a3"/>
    <w:rsid w:val="00401E09"/>
    <w:rPr>
      <w:rFonts w:ascii="Times New Roman" w:eastAsia="Times New Roman" w:hAnsi="Times New Roman" w:cs="David"/>
      <w:sz w:val="24"/>
      <w:szCs w:val="24"/>
    </w:rPr>
  </w:style>
  <w:style w:type="paragraph" w:styleId="a5">
    <w:name w:val="footer"/>
    <w:basedOn w:val="a"/>
    <w:link w:val="a6"/>
    <w:rsid w:val="00401E09"/>
    <w:pPr>
      <w:tabs>
        <w:tab w:val="center" w:pos="4153"/>
        <w:tab w:val="right" w:pos="8306"/>
      </w:tabs>
    </w:pPr>
  </w:style>
  <w:style w:type="character" w:customStyle="1" w:styleId="a6">
    <w:name w:val="כותרת תחתונה תו"/>
    <w:link w:val="a5"/>
    <w:rsid w:val="00401E09"/>
    <w:rPr>
      <w:rFonts w:ascii="Times New Roman" w:eastAsia="Times New Roman" w:hAnsi="Times New Roman" w:cs="David"/>
      <w:sz w:val="24"/>
      <w:szCs w:val="24"/>
    </w:rPr>
  </w:style>
  <w:style w:type="table" w:styleId="a7">
    <w:name w:val="Table Grid"/>
    <w:basedOn w:val="a1"/>
    <w:rsid w:val="00401E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1E09"/>
  </w:style>
  <w:style w:type="character" w:styleId="Hyperlink">
    <w:name w:val="Hyperlink"/>
    <w:rsid w:val="006144FA"/>
    <w:rPr>
      <w:color w:val="0000FF"/>
      <w:u w:val="single"/>
    </w:rPr>
  </w:style>
  <w:style w:type="character" w:styleId="a9">
    <w:name w:val="Unresolved Mention"/>
    <w:uiPriority w:val="99"/>
    <w:semiHidden/>
    <w:unhideWhenUsed/>
    <w:rsid w:val="00A01B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70301/499.a.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144.b2" TargetMode="External"/><Relationship Id="rId20" Type="http://schemas.openxmlformats.org/officeDocument/2006/relationships/hyperlink" Target="http://www.nevo.co.il/case/59106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144.b2" TargetMode="External"/><Relationship Id="rId19" Type="http://schemas.openxmlformats.org/officeDocument/2006/relationships/hyperlink" Target="http://www.nevo.co.il/case/570701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5525</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6616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3276920</vt:i4>
      </vt:variant>
      <vt:variant>
        <vt:i4>39</vt:i4>
      </vt:variant>
      <vt:variant>
        <vt:i4>0</vt:i4>
      </vt:variant>
      <vt:variant>
        <vt:i4>5</vt:i4>
      </vt:variant>
      <vt:variant>
        <vt:lpwstr>http://www.nevo.co.il/case/5910650</vt:lpwstr>
      </vt:variant>
      <vt:variant>
        <vt:lpwstr/>
      </vt:variant>
      <vt:variant>
        <vt:i4>3211381</vt:i4>
      </vt:variant>
      <vt:variant>
        <vt:i4>36</vt:i4>
      </vt:variant>
      <vt:variant>
        <vt:i4>0</vt:i4>
      </vt:variant>
      <vt:variant>
        <vt:i4>5</vt:i4>
      </vt:variant>
      <vt:variant>
        <vt:lpwstr>http://www.nevo.co.il/case/5707014</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10627</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מחמד אבו כף</vt:lpwstr>
  </property>
  <property fmtid="{D5CDD505-2E9C-101B-9397-08002B2CF9AE}" pid="10" name="LAWYER">
    <vt:lpwstr>ואליד אלבאז;אבנר שמש</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20171213</vt:lpwstr>
  </property>
  <property fmtid="{D5CDD505-2E9C-101B-9397-08002B2CF9AE}" pid="14" name="TYPE_N_DATE">
    <vt:lpwstr>39020171213</vt:lpwstr>
  </property>
  <property fmtid="{D5CDD505-2E9C-101B-9397-08002B2CF9AE}" pid="15" name="WORDNUMPAGES">
    <vt:lpwstr>4</vt:lpwstr>
  </property>
  <property fmtid="{D5CDD505-2E9C-101B-9397-08002B2CF9AE}" pid="16" name="TYPE_ABS_DATE">
    <vt:lpwstr>390020171213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5707014;5910650</vt:lpwstr>
  </property>
  <property fmtid="{D5CDD505-2E9C-101B-9397-08002B2CF9AE}" pid="36" name="LAWLISTTMP1">
    <vt:lpwstr>70301/144.b2:2;025;144.a;499.a.1</vt:lpwstr>
  </property>
</Properties>
</file>