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2E111D" w:rsidRPr="007D00CF" w14:paraId="751C125D" w14:textId="77777777" w:rsidTr="00040B22">
        <w:trPr>
          <w:trHeight w:hRule="exact" w:val="418"/>
          <w:jc w:val="center"/>
        </w:trPr>
        <w:tc>
          <w:tcPr>
            <w:tcW w:w="8721" w:type="dxa"/>
            <w:gridSpan w:val="2"/>
          </w:tcPr>
          <w:p w14:paraId="077A2CF9" w14:textId="77777777" w:rsidR="002E111D" w:rsidRPr="007D00CF" w:rsidRDefault="002E111D" w:rsidP="00EF7328">
            <w:pPr>
              <w:pStyle w:val="a3"/>
              <w:jc w:val="center"/>
              <w:rPr>
                <w:rFonts w:ascii="Tahoma" w:hAnsi="Tahoma" w:cs="Tahoma"/>
                <w:color w:val="000080"/>
                <w:rtl/>
              </w:rPr>
            </w:pPr>
            <w:bookmarkStart w:id="0" w:name="FirstLawyer"/>
            <w:bookmarkStart w:id="1" w:name="LastJudge"/>
            <w:r w:rsidRPr="007D00CF">
              <w:rPr>
                <w:rFonts w:ascii="Tahoma" w:hAnsi="Tahoma" w:cs="Tahoma"/>
                <w:b/>
                <w:bCs/>
                <w:color w:val="000080"/>
                <w:rtl/>
              </w:rPr>
              <w:t>בית המשפט המחוזי בחיפה</w:t>
            </w:r>
          </w:p>
        </w:tc>
      </w:tr>
      <w:tr w:rsidR="002E111D" w:rsidRPr="007D00CF" w14:paraId="3C185E98" w14:textId="77777777" w:rsidTr="00040B22">
        <w:trPr>
          <w:trHeight w:val="337"/>
          <w:jc w:val="center"/>
        </w:trPr>
        <w:tc>
          <w:tcPr>
            <w:tcW w:w="5057" w:type="dxa"/>
          </w:tcPr>
          <w:p w14:paraId="50F965AE" w14:textId="77777777" w:rsidR="002E111D" w:rsidRPr="007D00CF" w:rsidRDefault="002E111D" w:rsidP="00EF7328">
            <w:pPr>
              <w:rPr>
                <w:rFonts w:cs="FrankRuehl"/>
                <w:sz w:val="28"/>
                <w:szCs w:val="28"/>
                <w:rtl/>
              </w:rPr>
            </w:pPr>
            <w:r w:rsidRPr="007D00CF">
              <w:rPr>
                <w:rFonts w:cs="FrankRuehl"/>
                <w:sz w:val="28"/>
                <w:szCs w:val="28"/>
                <w:rtl/>
              </w:rPr>
              <w:t>ת"פ</w:t>
            </w:r>
            <w:r w:rsidRPr="007D00CF">
              <w:rPr>
                <w:rFonts w:cs="FrankRuehl" w:hint="cs"/>
                <w:sz w:val="28"/>
                <w:szCs w:val="28"/>
                <w:rtl/>
              </w:rPr>
              <w:t xml:space="preserve"> </w:t>
            </w:r>
            <w:r w:rsidRPr="007D00CF">
              <w:rPr>
                <w:rFonts w:cs="FrankRuehl"/>
                <w:sz w:val="28"/>
                <w:szCs w:val="28"/>
                <w:rtl/>
              </w:rPr>
              <w:t>44521-01-17</w:t>
            </w:r>
            <w:r w:rsidRPr="007D00CF">
              <w:rPr>
                <w:rFonts w:cs="FrankRuehl" w:hint="cs"/>
                <w:sz w:val="28"/>
                <w:szCs w:val="28"/>
                <w:rtl/>
              </w:rPr>
              <w:t xml:space="preserve"> </w:t>
            </w:r>
            <w:r w:rsidRPr="007D00CF">
              <w:rPr>
                <w:rFonts w:cs="FrankRuehl"/>
                <w:sz w:val="28"/>
                <w:szCs w:val="28"/>
                <w:rtl/>
              </w:rPr>
              <w:t>מדינת ישראל נ' חלו נסאר(עציר)</w:t>
            </w:r>
          </w:p>
          <w:p w14:paraId="0ABEB3A2" w14:textId="77777777" w:rsidR="002E111D" w:rsidRPr="007D00CF" w:rsidRDefault="002E111D" w:rsidP="00EF7328">
            <w:pPr>
              <w:pStyle w:val="a3"/>
              <w:rPr>
                <w:rFonts w:cs="FrankRuehl"/>
                <w:sz w:val="28"/>
                <w:szCs w:val="28"/>
                <w:rtl/>
              </w:rPr>
            </w:pPr>
          </w:p>
        </w:tc>
        <w:tc>
          <w:tcPr>
            <w:tcW w:w="3664" w:type="dxa"/>
          </w:tcPr>
          <w:p w14:paraId="50FE0526" w14:textId="77777777" w:rsidR="002E111D" w:rsidRPr="007D00CF" w:rsidRDefault="002E111D" w:rsidP="00EF7328">
            <w:pPr>
              <w:pStyle w:val="a3"/>
              <w:jc w:val="right"/>
              <w:rPr>
                <w:rFonts w:cs="FrankRuehl"/>
                <w:sz w:val="28"/>
                <w:szCs w:val="28"/>
                <w:rtl/>
              </w:rPr>
            </w:pPr>
          </w:p>
        </w:tc>
      </w:tr>
    </w:tbl>
    <w:p w14:paraId="0DF1B441" w14:textId="77777777" w:rsidR="002E111D" w:rsidRPr="007D00CF" w:rsidRDefault="002E111D" w:rsidP="002E111D">
      <w:pPr>
        <w:pStyle w:val="a3"/>
        <w:rPr>
          <w:rtl/>
        </w:rPr>
      </w:pPr>
      <w:r w:rsidRPr="007D00CF">
        <w:rPr>
          <w:rFonts w:hint="cs"/>
          <w:rtl/>
        </w:rPr>
        <w:t xml:space="preserve"> </w:t>
      </w:r>
    </w:p>
    <w:p w14:paraId="0C9CDC96" w14:textId="77777777" w:rsidR="002E111D" w:rsidRPr="007D00CF" w:rsidRDefault="002E111D" w:rsidP="002E111D">
      <w:pPr>
        <w:rPr>
          <w:rtl/>
        </w:rPr>
      </w:pPr>
    </w:p>
    <w:tbl>
      <w:tblPr>
        <w:bidiVisual/>
        <w:tblW w:w="8820" w:type="dxa"/>
        <w:jc w:val="center"/>
        <w:tblLook w:val="01E0" w:firstRow="1" w:lastRow="1" w:firstColumn="1" w:lastColumn="1" w:noHBand="0" w:noVBand="0"/>
      </w:tblPr>
      <w:tblGrid>
        <w:gridCol w:w="743"/>
        <w:gridCol w:w="2506"/>
        <w:gridCol w:w="5571"/>
      </w:tblGrid>
      <w:tr w:rsidR="002E111D" w:rsidRPr="007D00CF" w14:paraId="7351883E" w14:textId="77777777" w:rsidTr="002E111D">
        <w:trPr>
          <w:jc w:val="center"/>
        </w:trPr>
        <w:tc>
          <w:tcPr>
            <w:tcW w:w="743" w:type="dxa"/>
            <w:shd w:val="clear" w:color="auto" w:fill="auto"/>
          </w:tcPr>
          <w:p w14:paraId="78C71817" w14:textId="77777777" w:rsidR="002E111D" w:rsidRPr="007D00CF" w:rsidRDefault="002E111D" w:rsidP="002E111D">
            <w:pPr>
              <w:suppressLineNumbers/>
              <w:jc w:val="both"/>
              <w:rPr>
                <w:rFonts w:ascii="Arial" w:hAnsi="Arial"/>
                <w:b/>
                <w:bCs/>
              </w:rPr>
            </w:pPr>
            <w:r w:rsidRPr="007D00CF">
              <w:rPr>
                <w:rFonts w:ascii="Arial" w:hAnsi="Arial" w:hint="cs"/>
                <w:b/>
                <w:bCs/>
                <w:rtl/>
              </w:rPr>
              <w:t xml:space="preserve">בפני </w:t>
            </w:r>
          </w:p>
        </w:tc>
        <w:tc>
          <w:tcPr>
            <w:tcW w:w="8077" w:type="dxa"/>
            <w:gridSpan w:val="2"/>
            <w:shd w:val="clear" w:color="auto" w:fill="auto"/>
          </w:tcPr>
          <w:p w14:paraId="08F43401" w14:textId="77777777" w:rsidR="002E111D" w:rsidRPr="007D00CF" w:rsidRDefault="002E111D" w:rsidP="002E111D">
            <w:pPr>
              <w:suppressLineNumbers/>
              <w:rPr>
                <w:rFonts w:ascii="Arial" w:hAnsi="Arial"/>
                <w:b/>
                <w:bCs/>
                <w:rtl/>
              </w:rPr>
            </w:pPr>
            <w:r w:rsidRPr="007D00CF">
              <w:rPr>
                <w:rFonts w:ascii="Arial" w:hAnsi="Arial" w:hint="cs"/>
                <w:b/>
                <w:bCs/>
                <w:rtl/>
              </w:rPr>
              <w:t>כבוד השופט  דניאל פיש</w:t>
            </w:r>
          </w:p>
          <w:p w14:paraId="1B7BB167" w14:textId="77777777" w:rsidR="002E111D" w:rsidRPr="007D00CF" w:rsidRDefault="002E111D" w:rsidP="002E111D">
            <w:pPr>
              <w:suppressLineNumbers/>
              <w:rPr>
                <w:rFonts w:ascii="Arial" w:hAnsi="Arial" w:cs="FrankRuehl"/>
                <w:b/>
                <w:bCs/>
                <w:highlight w:val="yellow"/>
                <w:rtl/>
              </w:rPr>
            </w:pPr>
          </w:p>
        </w:tc>
      </w:tr>
      <w:tr w:rsidR="002E111D" w:rsidRPr="007D00CF" w14:paraId="5BD304D7" w14:textId="77777777" w:rsidTr="002E111D">
        <w:trPr>
          <w:jc w:val="center"/>
        </w:trPr>
        <w:tc>
          <w:tcPr>
            <w:tcW w:w="3249" w:type="dxa"/>
            <w:gridSpan w:val="2"/>
            <w:shd w:val="clear" w:color="auto" w:fill="auto"/>
          </w:tcPr>
          <w:p w14:paraId="19E4ABD6" w14:textId="77777777" w:rsidR="002E111D" w:rsidRPr="007D00CF" w:rsidRDefault="002E111D" w:rsidP="002E111D">
            <w:pPr>
              <w:suppressLineNumbers/>
              <w:rPr>
                <w:rFonts w:ascii="Arial" w:hAnsi="Arial"/>
                <w:b/>
                <w:bCs/>
              </w:rPr>
            </w:pPr>
            <w:bookmarkStart w:id="2" w:name="FirstAppellant"/>
            <w:r w:rsidRPr="007D00CF">
              <w:rPr>
                <w:rFonts w:ascii="Arial" w:hAnsi="Arial" w:hint="cs"/>
                <w:b/>
                <w:bCs/>
                <w:rtl/>
              </w:rPr>
              <w:t>מאשימה</w:t>
            </w:r>
          </w:p>
        </w:tc>
        <w:tc>
          <w:tcPr>
            <w:tcW w:w="5571" w:type="dxa"/>
            <w:shd w:val="clear" w:color="auto" w:fill="auto"/>
          </w:tcPr>
          <w:p w14:paraId="74A0E736" w14:textId="77777777" w:rsidR="002E111D" w:rsidRPr="007D00CF" w:rsidRDefault="002E111D" w:rsidP="002E111D">
            <w:pPr>
              <w:suppressLineNumbers/>
              <w:rPr>
                <w:b/>
                <w:bCs/>
                <w:rtl/>
              </w:rPr>
            </w:pPr>
            <w:r w:rsidRPr="007D00CF">
              <w:rPr>
                <w:rFonts w:ascii="Arial" w:hAnsi="Arial" w:hint="cs"/>
                <w:b/>
                <w:bCs/>
                <w:rtl/>
              </w:rPr>
              <w:t>מדינת ישראל</w:t>
            </w:r>
            <w:r w:rsidRPr="007D00CF">
              <w:rPr>
                <w:rFonts w:ascii="Arial" w:hAnsi="Arial" w:hint="cs"/>
                <w:b/>
                <w:bCs/>
                <w:rtl/>
              </w:rPr>
              <w:br/>
            </w:r>
            <w:r w:rsidRPr="007D00CF">
              <w:rPr>
                <w:rFonts w:hint="cs"/>
                <w:b/>
                <w:bCs/>
                <w:rtl/>
              </w:rPr>
              <w:t>ע"י ב"כ עו"ד מפרקליטות מחוז חיפה - פלילי</w:t>
            </w:r>
          </w:p>
        </w:tc>
      </w:tr>
      <w:bookmarkEnd w:id="2"/>
      <w:tr w:rsidR="002E111D" w:rsidRPr="007D00CF" w14:paraId="2A8B7183" w14:textId="77777777" w:rsidTr="002E111D">
        <w:trPr>
          <w:jc w:val="center"/>
        </w:trPr>
        <w:tc>
          <w:tcPr>
            <w:tcW w:w="8820" w:type="dxa"/>
            <w:gridSpan w:val="3"/>
            <w:shd w:val="clear" w:color="auto" w:fill="auto"/>
          </w:tcPr>
          <w:p w14:paraId="496DA09E" w14:textId="77777777" w:rsidR="002E111D" w:rsidRPr="007D00CF" w:rsidRDefault="002E111D" w:rsidP="002E111D">
            <w:pPr>
              <w:suppressLineNumbers/>
              <w:rPr>
                <w:rFonts w:ascii="Arial" w:hAnsi="Arial"/>
                <w:b/>
                <w:bCs/>
              </w:rPr>
            </w:pPr>
          </w:p>
          <w:p w14:paraId="0DB7B88D" w14:textId="77777777" w:rsidR="002E111D" w:rsidRPr="007D00CF" w:rsidRDefault="002E111D" w:rsidP="002E111D">
            <w:pPr>
              <w:suppressLineNumbers/>
              <w:jc w:val="center"/>
              <w:rPr>
                <w:rFonts w:ascii="Arial" w:hAnsi="Arial"/>
                <w:b/>
                <w:bCs/>
                <w:rtl/>
              </w:rPr>
            </w:pPr>
            <w:r w:rsidRPr="007D00CF">
              <w:rPr>
                <w:rFonts w:ascii="Arial" w:hAnsi="Arial" w:hint="cs"/>
                <w:b/>
                <w:bCs/>
                <w:rtl/>
              </w:rPr>
              <w:t>נגד</w:t>
            </w:r>
          </w:p>
          <w:p w14:paraId="5C2FA2F5" w14:textId="77777777" w:rsidR="002E111D" w:rsidRPr="007D00CF" w:rsidRDefault="002E111D" w:rsidP="002E111D">
            <w:pPr>
              <w:suppressLineNumbers/>
              <w:rPr>
                <w:rFonts w:ascii="Arial" w:hAnsi="Arial"/>
                <w:b/>
                <w:bCs/>
                <w:rtl/>
              </w:rPr>
            </w:pPr>
          </w:p>
        </w:tc>
      </w:tr>
      <w:tr w:rsidR="002E111D" w:rsidRPr="007D00CF" w14:paraId="4544A198" w14:textId="77777777" w:rsidTr="002E111D">
        <w:trPr>
          <w:jc w:val="center"/>
        </w:trPr>
        <w:tc>
          <w:tcPr>
            <w:tcW w:w="3249" w:type="dxa"/>
            <w:gridSpan w:val="2"/>
            <w:shd w:val="clear" w:color="auto" w:fill="auto"/>
          </w:tcPr>
          <w:p w14:paraId="428E86A1" w14:textId="77777777" w:rsidR="002E111D" w:rsidRPr="007D00CF" w:rsidRDefault="002E111D" w:rsidP="002E111D">
            <w:pPr>
              <w:suppressLineNumbers/>
              <w:rPr>
                <w:rFonts w:ascii="Arial" w:hAnsi="Arial"/>
                <w:b/>
                <w:bCs/>
              </w:rPr>
            </w:pPr>
          </w:p>
          <w:p w14:paraId="70CFB8BC" w14:textId="77777777" w:rsidR="002E111D" w:rsidRPr="007D00CF" w:rsidRDefault="002E111D" w:rsidP="002E111D">
            <w:pPr>
              <w:suppressLineNumbers/>
              <w:rPr>
                <w:rFonts w:ascii="Arial" w:hAnsi="Arial"/>
                <w:b/>
                <w:bCs/>
                <w:rtl/>
              </w:rPr>
            </w:pPr>
            <w:r w:rsidRPr="007D00CF">
              <w:rPr>
                <w:rFonts w:ascii="Arial" w:hAnsi="Arial" w:hint="cs"/>
                <w:b/>
                <w:bCs/>
                <w:rtl/>
              </w:rPr>
              <w:t>נאשם</w:t>
            </w:r>
          </w:p>
        </w:tc>
        <w:tc>
          <w:tcPr>
            <w:tcW w:w="5571" w:type="dxa"/>
            <w:shd w:val="clear" w:color="auto" w:fill="auto"/>
          </w:tcPr>
          <w:p w14:paraId="6BEEF3DD" w14:textId="77777777" w:rsidR="002E111D" w:rsidRPr="007D00CF" w:rsidRDefault="002E111D" w:rsidP="002E111D">
            <w:pPr>
              <w:suppressLineNumbers/>
              <w:rPr>
                <w:rFonts w:ascii="Arial" w:hAnsi="Arial"/>
                <w:b/>
                <w:bCs/>
              </w:rPr>
            </w:pPr>
          </w:p>
          <w:p w14:paraId="490E50F5" w14:textId="77777777" w:rsidR="002E111D" w:rsidRPr="007D00CF" w:rsidRDefault="002E111D" w:rsidP="002E111D">
            <w:pPr>
              <w:suppressLineNumbers/>
              <w:rPr>
                <w:b/>
                <w:bCs/>
                <w:rtl/>
              </w:rPr>
            </w:pPr>
            <w:r w:rsidRPr="007D00CF">
              <w:rPr>
                <w:rFonts w:hint="cs"/>
                <w:b/>
                <w:bCs/>
                <w:rtl/>
              </w:rPr>
              <w:t xml:space="preserve">יאמן חלו נסאר </w:t>
            </w:r>
            <w:r w:rsidRPr="007D00CF">
              <w:rPr>
                <w:rFonts w:hint="cs"/>
                <w:b/>
                <w:bCs/>
                <w:rtl/>
              </w:rPr>
              <w:br/>
              <w:t>ע"י ב"כ עו"ד דוניא נעאמנה</w:t>
            </w:r>
          </w:p>
        </w:tc>
      </w:tr>
    </w:tbl>
    <w:p w14:paraId="74F80ED8" w14:textId="77777777" w:rsidR="005D1FC1" w:rsidRDefault="005D1FC1" w:rsidP="005D1FC1">
      <w:pPr>
        <w:spacing w:after="120" w:line="240" w:lineRule="exact"/>
        <w:ind w:left="360"/>
        <w:contextualSpacing/>
        <w:jc w:val="both"/>
        <w:rPr>
          <w:rFonts w:ascii="FrankRuehl" w:hAnsi="FrankRuehl" w:cs="FrankRuehl" w:hint="cs"/>
          <w:rtl/>
        </w:rPr>
      </w:pPr>
    </w:p>
    <w:p w14:paraId="6B5E715F" w14:textId="77777777" w:rsidR="005D1FC1" w:rsidRPr="005D1FC1" w:rsidRDefault="005D1FC1" w:rsidP="005D1FC1">
      <w:pPr>
        <w:spacing w:after="120" w:line="240" w:lineRule="exact"/>
        <w:ind w:left="360"/>
        <w:contextualSpacing/>
        <w:jc w:val="both"/>
        <w:rPr>
          <w:rFonts w:ascii="FrankRuehl" w:hAnsi="FrankRuehl" w:cs="FrankRuehl"/>
          <w:rtl/>
        </w:rPr>
      </w:pPr>
      <w:r w:rsidRPr="005D1FC1">
        <w:rPr>
          <w:rFonts w:ascii="FrankRuehl" w:hAnsi="FrankRuehl" w:cs="FrankRuehl" w:hint="eastAsia"/>
          <w:rtl/>
        </w:rPr>
        <w:t>חקיקה</w:t>
      </w:r>
      <w:r w:rsidRPr="005D1FC1">
        <w:rPr>
          <w:rFonts w:ascii="FrankRuehl" w:hAnsi="FrankRuehl" w:cs="FrankRuehl"/>
          <w:rtl/>
        </w:rPr>
        <w:t xml:space="preserve"> </w:t>
      </w:r>
      <w:r w:rsidRPr="005D1FC1">
        <w:rPr>
          <w:rFonts w:ascii="FrankRuehl" w:hAnsi="FrankRuehl" w:cs="FrankRuehl" w:hint="eastAsia"/>
          <w:rtl/>
        </w:rPr>
        <w:t>שאוזכרה</w:t>
      </w:r>
      <w:r w:rsidRPr="005D1FC1">
        <w:rPr>
          <w:rFonts w:ascii="FrankRuehl" w:hAnsi="FrankRuehl" w:cs="FrankRuehl"/>
          <w:rtl/>
        </w:rPr>
        <w:t xml:space="preserve">: </w:t>
      </w:r>
    </w:p>
    <w:p w14:paraId="213041EC" w14:textId="77777777" w:rsidR="005D1FC1" w:rsidRPr="005D1FC1" w:rsidRDefault="005D1FC1" w:rsidP="005D1FC1">
      <w:pPr>
        <w:spacing w:after="120" w:line="240" w:lineRule="exact"/>
        <w:ind w:left="360"/>
        <w:contextualSpacing/>
        <w:jc w:val="both"/>
        <w:rPr>
          <w:rFonts w:ascii="FrankRuehl" w:hAnsi="FrankRuehl" w:cs="FrankRuehl"/>
          <w:rtl/>
        </w:rPr>
      </w:pPr>
      <w:hyperlink r:id="rId7" w:history="1">
        <w:r w:rsidRPr="005D1FC1">
          <w:rPr>
            <w:rFonts w:ascii="FrankRuehl" w:hAnsi="FrankRuehl" w:cs="FrankRuehl" w:hint="eastAsia"/>
            <w:rtl/>
          </w:rPr>
          <w:t>חוק</w:t>
        </w:r>
        <w:r w:rsidRPr="005D1FC1">
          <w:rPr>
            <w:rFonts w:ascii="FrankRuehl" w:hAnsi="FrankRuehl" w:cs="FrankRuehl"/>
            <w:rtl/>
          </w:rPr>
          <w:t xml:space="preserve"> </w:t>
        </w:r>
        <w:r w:rsidRPr="005D1FC1">
          <w:rPr>
            <w:rFonts w:ascii="FrankRuehl" w:hAnsi="FrankRuehl" w:cs="FrankRuehl" w:hint="eastAsia"/>
            <w:rtl/>
          </w:rPr>
          <w:t>העונשין</w:t>
        </w:r>
        <w:r w:rsidRPr="005D1FC1">
          <w:rPr>
            <w:rFonts w:ascii="FrankRuehl" w:hAnsi="FrankRuehl" w:cs="FrankRuehl"/>
            <w:rtl/>
          </w:rPr>
          <w:t xml:space="preserve">, </w:t>
        </w:r>
        <w:r w:rsidRPr="005D1FC1">
          <w:rPr>
            <w:rFonts w:ascii="FrankRuehl" w:hAnsi="FrankRuehl" w:cs="FrankRuehl" w:hint="eastAsia"/>
            <w:rtl/>
          </w:rPr>
          <w:t>תשל</w:t>
        </w:r>
        <w:r w:rsidRPr="005D1FC1">
          <w:rPr>
            <w:rFonts w:ascii="FrankRuehl" w:hAnsi="FrankRuehl" w:cs="FrankRuehl"/>
            <w:rtl/>
          </w:rPr>
          <w:t>"</w:t>
        </w:r>
        <w:r w:rsidRPr="005D1FC1">
          <w:rPr>
            <w:rFonts w:ascii="FrankRuehl" w:hAnsi="FrankRuehl" w:cs="FrankRuehl" w:hint="eastAsia"/>
            <w:rtl/>
          </w:rPr>
          <w:t>ז</w:t>
        </w:r>
        <w:r w:rsidRPr="005D1FC1">
          <w:rPr>
            <w:rFonts w:ascii="FrankRuehl" w:hAnsi="FrankRuehl" w:cs="FrankRuehl"/>
            <w:rtl/>
          </w:rPr>
          <w:t>-1977</w:t>
        </w:r>
      </w:hyperlink>
      <w:r w:rsidRPr="005D1FC1">
        <w:rPr>
          <w:rFonts w:ascii="FrankRuehl" w:hAnsi="FrankRuehl" w:cs="FrankRuehl"/>
          <w:rtl/>
        </w:rPr>
        <w:t xml:space="preserve">: </w:t>
      </w:r>
      <w:r w:rsidRPr="005D1FC1">
        <w:rPr>
          <w:rFonts w:ascii="FrankRuehl" w:hAnsi="FrankRuehl" w:cs="FrankRuehl" w:hint="eastAsia"/>
          <w:rtl/>
        </w:rPr>
        <w:t>סע</w:t>
      </w:r>
      <w:r w:rsidRPr="005D1FC1">
        <w:rPr>
          <w:rFonts w:ascii="FrankRuehl" w:hAnsi="FrankRuehl" w:cs="FrankRuehl"/>
          <w:rtl/>
        </w:rPr>
        <w:t xml:space="preserve">'  </w:t>
      </w:r>
      <w:hyperlink r:id="rId8" w:history="1">
        <w:r w:rsidRPr="005D1FC1">
          <w:rPr>
            <w:rFonts w:ascii="FrankRuehl" w:hAnsi="FrankRuehl" w:cs="FrankRuehl"/>
            <w:rtl/>
          </w:rPr>
          <w:t>144 (</w:t>
        </w:r>
        <w:r w:rsidRPr="005D1FC1">
          <w:rPr>
            <w:rFonts w:ascii="FrankRuehl" w:hAnsi="FrankRuehl" w:cs="FrankRuehl" w:hint="eastAsia"/>
            <w:rtl/>
          </w:rPr>
          <w:t>א</w:t>
        </w:r>
        <w:r w:rsidRPr="005D1FC1">
          <w:rPr>
            <w:rFonts w:ascii="FrankRuehl" w:hAnsi="FrankRuehl" w:cs="FrankRuehl"/>
            <w:rtl/>
          </w:rPr>
          <w:t>)</w:t>
        </w:r>
      </w:hyperlink>
      <w:r w:rsidRPr="005D1FC1">
        <w:rPr>
          <w:rFonts w:ascii="FrankRuehl" w:hAnsi="FrankRuehl" w:cs="FrankRuehl"/>
          <w:rtl/>
        </w:rPr>
        <w:t xml:space="preserve">, </w:t>
      </w:r>
      <w:hyperlink r:id="rId9" w:history="1">
        <w:r w:rsidRPr="005D1FC1">
          <w:rPr>
            <w:rFonts w:ascii="FrankRuehl" w:hAnsi="FrankRuehl" w:cs="FrankRuehl"/>
            <w:rtl/>
          </w:rPr>
          <w:t>244</w:t>
        </w:r>
      </w:hyperlink>
      <w:r w:rsidRPr="005D1FC1">
        <w:rPr>
          <w:rFonts w:ascii="FrankRuehl" w:hAnsi="FrankRuehl" w:cs="FrankRuehl"/>
          <w:rtl/>
        </w:rPr>
        <w:t xml:space="preserve">, </w:t>
      </w:r>
      <w:hyperlink r:id="rId10" w:history="1">
        <w:r w:rsidRPr="005D1FC1">
          <w:rPr>
            <w:rFonts w:ascii="FrankRuehl" w:hAnsi="FrankRuehl" w:cs="FrankRuehl"/>
            <w:rtl/>
          </w:rPr>
          <w:t>477 (1)</w:t>
        </w:r>
      </w:hyperlink>
      <w:r w:rsidRPr="005D1FC1">
        <w:rPr>
          <w:rFonts w:ascii="FrankRuehl" w:hAnsi="FrankRuehl" w:cs="FrankRuehl"/>
          <w:rtl/>
        </w:rPr>
        <w:t xml:space="preserve">, </w:t>
      </w:r>
      <w:hyperlink r:id="rId11" w:history="1">
        <w:r w:rsidRPr="005D1FC1">
          <w:rPr>
            <w:rFonts w:ascii="FrankRuehl" w:hAnsi="FrankRuehl" w:cs="FrankRuehl"/>
            <w:rtl/>
          </w:rPr>
          <w:t>477 (2)</w:t>
        </w:r>
      </w:hyperlink>
    </w:p>
    <w:p w14:paraId="535DD0AD" w14:textId="77777777" w:rsidR="005D1FC1" w:rsidRPr="005D1FC1" w:rsidRDefault="005D1FC1" w:rsidP="005D1FC1">
      <w:pPr>
        <w:spacing w:after="120" w:line="240" w:lineRule="exact"/>
        <w:ind w:left="360"/>
        <w:contextualSpacing/>
        <w:jc w:val="both"/>
        <w:rPr>
          <w:rFonts w:ascii="FrankRuehl" w:hAnsi="FrankRuehl" w:cs="FrankRuehl"/>
          <w:rtl/>
        </w:rPr>
      </w:pPr>
    </w:p>
    <w:p w14:paraId="511B63CC" w14:textId="77777777" w:rsidR="002E111D" w:rsidRPr="007D00CF" w:rsidRDefault="002E111D" w:rsidP="002E111D"/>
    <w:p w14:paraId="22D078FB" w14:textId="77777777" w:rsidR="002E111D" w:rsidRPr="007D00CF" w:rsidRDefault="002E111D" w:rsidP="002E111D">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E111D" w:rsidRPr="007D00CF" w14:paraId="3BAA4086" w14:textId="77777777" w:rsidTr="002E111D">
        <w:trPr>
          <w:trHeight w:val="355"/>
          <w:jc w:val="center"/>
        </w:trPr>
        <w:tc>
          <w:tcPr>
            <w:tcW w:w="8820" w:type="dxa"/>
            <w:tcBorders>
              <w:top w:val="nil"/>
              <w:left w:val="nil"/>
              <w:bottom w:val="nil"/>
              <w:right w:val="nil"/>
            </w:tcBorders>
            <w:shd w:val="clear" w:color="auto" w:fill="auto"/>
          </w:tcPr>
          <w:p w14:paraId="32BDEFEE" w14:textId="77777777" w:rsidR="002E111D" w:rsidRPr="007D00CF" w:rsidRDefault="002E111D" w:rsidP="002E111D">
            <w:pPr>
              <w:jc w:val="center"/>
              <w:rPr>
                <w:rFonts w:ascii="Arial" w:hAnsi="Arial" w:cs="FrankRuehl"/>
                <w:sz w:val="32"/>
                <w:szCs w:val="32"/>
                <w:rtl/>
              </w:rPr>
            </w:pPr>
            <w:r w:rsidRPr="007D00CF">
              <w:rPr>
                <w:rFonts w:ascii="Arial" w:hAnsi="Arial" w:cs="FrankRuehl" w:hint="cs"/>
                <w:b/>
                <w:bCs/>
                <w:sz w:val="32"/>
                <w:szCs w:val="32"/>
                <w:rtl/>
              </w:rPr>
              <w:t>גזר דין</w:t>
            </w:r>
            <w:r w:rsidRPr="007D00CF">
              <w:rPr>
                <w:rFonts w:ascii="Arial" w:hAnsi="Arial" w:cs="FrankRuehl" w:hint="cs"/>
                <w:sz w:val="32"/>
                <w:szCs w:val="32"/>
                <w:rtl/>
              </w:rPr>
              <w:t xml:space="preserve"> </w:t>
            </w:r>
            <w:r w:rsidRPr="007D00CF">
              <w:rPr>
                <w:rFonts w:ascii="Arial" w:hAnsi="Arial" w:cs="FrankRuehl"/>
                <w:sz w:val="32"/>
                <w:szCs w:val="32"/>
                <w:rtl/>
              </w:rPr>
              <w:t>–</w:t>
            </w:r>
            <w:r w:rsidRPr="007D00CF">
              <w:rPr>
                <w:rFonts w:ascii="Arial" w:hAnsi="Arial" w:cs="FrankRuehl" w:hint="cs"/>
                <w:sz w:val="32"/>
                <w:szCs w:val="32"/>
                <w:rtl/>
              </w:rPr>
              <w:t xml:space="preserve"> מתוקן</w:t>
            </w:r>
          </w:p>
        </w:tc>
      </w:tr>
    </w:tbl>
    <w:p w14:paraId="0D7A1DF7" w14:textId="77777777" w:rsidR="002E111D" w:rsidRPr="007D00CF" w:rsidRDefault="002E111D" w:rsidP="002E111D">
      <w:pPr>
        <w:rPr>
          <w:rFonts w:ascii="Arial" w:hAnsi="Arial"/>
          <w:rtl/>
        </w:rPr>
      </w:pPr>
    </w:p>
    <w:p w14:paraId="20DC3292" w14:textId="77777777" w:rsidR="002E111D" w:rsidRPr="007D00CF" w:rsidRDefault="002E111D" w:rsidP="002E111D">
      <w:pPr>
        <w:spacing w:line="360" w:lineRule="auto"/>
        <w:rPr>
          <w:rFonts w:ascii="Arial" w:hAnsi="Arial"/>
          <w:rtl/>
        </w:rPr>
      </w:pPr>
      <w:r w:rsidRPr="007D00CF">
        <w:rPr>
          <w:rFonts w:ascii="Arial" w:hAnsi="Arial" w:hint="cs"/>
          <w:rtl/>
        </w:rPr>
        <w:t xml:space="preserve">בגזר הדין שניתן היום נפלה שגגה בסעיף 6 ב. באשר לתחולת המאסר על תנאי. </w:t>
      </w:r>
    </w:p>
    <w:p w14:paraId="3A8CDA77" w14:textId="77777777" w:rsidR="002E111D" w:rsidRPr="007D00CF" w:rsidRDefault="002E111D" w:rsidP="002E111D">
      <w:pPr>
        <w:spacing w:line="360" w:lineRule="auto"/>
        <w:rPr>
          <w:rFonts w:ascii="Arial" w:hAnsi="Arial"/>
          <w:rtl/>
        </w:rPr>
      </w:pPr>
      <w:r w:rsidRPr="007D00CF">
        <w:rPr>
          <w:rFonts w:ascii="Arial" w:hAnsi="Arial" w:hint="cs"/>
          <w:rtl/>
        </w:rPr>
        <w:t xml:space="preserve">בוצע תיקון טרם יצאתי מהאולם. </w:t>
      </w:r>
    </w:p>
    <w:p w14:paraId="48A5CF63" w14:textId="77777777" w:rsidR="002E111D" w:rsidRPr="007D00CF" w:rsidRDefault="002E111D" w:rsidP="002E111D">
      <w:pPr>
        <w:spacing w:line="360" w:lineRule="auto"/>
        <w:rPr>
          <w:rFonts w:ascii="Arial" w:hAnsi="Arial"/>
          <w:rtl/>
        </w:rPr>
      </w:pPr>
      <w:r w:rsidRPr="007D00CF">
        <w:rPr>
          <w:rFonts w:ascii="Arial" w:hAnsi="Arial" w:hint="cs"/>
          <w:rtl/>
        </w:rPr>
        <w:t xml:space="preserve">יתרת גזר הדין נותרה על כנה. </w:t>
      </w:r>
    </w:p>
    <w:p w14:paraId="1C11DFBC" w14:textId="77777777" w:rsidR="002E111D" w:rsidRPr="007D00CF" w:rsidRDefault="002E111D" w:rsidP="002E111D">
      <w:pPr>
        <w:rPr>
          <w:rtl/>
        </w:rPr>
      </w:pPr>
    </w:p>
    <w:p w14:paraId="74C0EFCF" w14:textId="77777777" w:rsidR="002E111D" w:rsidRPr="007D00CF" w:rsidRDefault="002E111D" w:rsidP="002E111D">
      <w:pPr>
        <w:numPr>
          <w:ilvl w:val="0"/>
          <w:numId w:val="1"/>
        </w:numPr>
        <w:spacing w:after="160" w:line="360" w:lineRule="auto"/>
        <w:contextualSpacing/>
        <w:jc w:val="both"/>
        <w:rPr>
          <w:rFonts w:ascii="Calibri" w:hAnsi="Calibri"/>
          <w:rtl/>
        </w:rPr>
      </w:pPr>
      <w:bookmarkStart w:id="3" w:name="ABSTRACT_START"/>
      <w:bookmarkEnd w:id="3"/>
      <w:r w:rsidRPr="007D00CF">
        <w:rPr>
          <w:rFonts w:ascii="Calibri" w:hAnsi="Calibri" w:hint="cs"/>
          <w:rtl/>
        </w:rPr>
        <w:t xml:space="preserve">כתב האישום המתוקן מייחס לנאשם- יאמן חלו נאסר  (להלן: "הנאשם"), עבירות של התקנת והחזקת מכשירים לזיוף מטבע פשוטה- עבירה לפי </w:t>
      </w:r>
      <w:hyperlink r:id="rId12" w:history="1">
        <w:r w:rsidR="005D1FC1" w:rsidRPr="005D1FC1">
          <w:rPr>
            <w:rFonts w:ascii="Calibri" w:hAnsi="Calibri" w:hint="eastAsia"/>
            <w:color w:val="0000FF"/>
            <w:u w:val="single"/>
            <w:rtl/>
          </w:rPr>
          <w:t>סעיף</w:t>
        </w:r>
        <w:r w:rsidR="005D1FC1" w:rsidRPr="005D1FC1">
          <w:rPr>
            <w:rFonts w:ascii="Calibri" w:hAnsi="Calibri"/>
            <w:color w:val="0000FF"/>
            <w:u w:val="single"/>
            <w:rtl/>
          </w:rPr>
          <w:t xml:space="preserve"> 477 (2)</w:t>
        </w:r>
      </w:hyperlink>
      <w:r w:rsidRPr="007D00CF">
        <w:rPr>
          <w:rFonts w:ascii="Calibri" w:hAnsi="Calibri" w:hint="cs"/>
          <w:rtl/>
        </w:rPr>
        <w:t xml:space="preserve"> ל</w:t>
      </w:r>
      <w:hyperlink r:id="rId13" w:history="1">
        <w:r w:rsidR="007D00CF" w:rsidRPr="007D00CF">
          <w:rPr>
            <w:rFonts w:ascii="Calibri" w:hAnsi="Calibri" w:hint="eastAsia"/>
            <w:color w:val="0000FF"/>
            <w:u w:val="single"/>
            <w:rtl/>
          </w:rPr>
          <w:t>חוק</w:t>
        </w:r>
        <w:r w:rsidR="007D00CF" w:rsidRPr="007D00CF">
          <w:rPr>
            <w:rFonts w:ascii="Calibri" w:hAnsi="Calibri"/>
            <w:color w:val="0000FF"/>
            <w:u w:val="single"/>
            <w:rtl/>
          </w:rPr>
          <w:t xml:space="preserve"> </w:t>
        </w:r>
        <w:r w:rsidR="007D00CF" w:rsidRPr="007D00CF">
          <w:rPr>
            <w:rFonts w:ascii="Calibri" w:hAnsi="Calibri" w:hint="eastAsia"/>
            <w:color w:val="0000FF"/>
            <w:u w:val="single"/>
            <w:rtl/>
          </w:rPr>
          <w:t>העונשין</w:t>
        </w:r>
      </w:hyperlink>
      <w:r w:rsidRPr="007D00CF">
        <w:rPr>
          <w:rFonts w:ascii="Calibri" w:hAnsi="Calibri" w:hint="cs"/>
          <w:rtl/>
        </w:rPr>
        <w:t xml:space="preserve">, התשל"ז-1977, זיוף מטבע פשוטה- עבירה לפי </w:t>
      </w:r>
      <w:hyperlink r:id="rId14" w:history="1">
        <w:r w:rsidR="005D1FC1" w:rsidRPr="005D1FC1">
          <w:rPr>
            <w:rFonts w:ascii="Calibri" w:hAnsi="Calibri" w:hint="eastAsia"/>
            <w:color w:val="0000FF"/>
            <w:u w:val="single"/>
            <w:rtl/>
          </w:rPr>
          <w:t>סעיף</w:t>
        </w:r>
        <w:r w:rsidR="005D1FC1" w:rsidRPr="005D1FC1">
          <w:rPr>
            <w:rFonts w:ascii="Calibri" w:hAnsi="Calibri"/>
            <w:color w:val="0000FF"/>
            <w:u w:val="single"/>
            <w:rtl/>
          </w:rPr>
          <w:t xml:space="preserve"> 477 (1)</w:t>
        </w:r>
      </w:hyperlink>
      <w:r w:rsidRPr="007D00CF">
        <w:rPr>
          <w:rFonts w:ascii="Calibri" w:hAnsi="Calibri" w:hint="cs"/>
          <w:rtl/>
        </w:rPr>
        <w:t xml:space="preserve"> לחוק, החזקת חלק או אבזר של נשק- עבירה לפי </w:t>
      </w:r>
      <w:hyperlink r:id="rId15" w:history="1">
        <w:r w:rsidR="005D1FC1" w:rsidRPr="005D1FC1">
          <w:rPr>
            <w:rFonts w:ascii="Calibri" w:hAnsi="Calibri" w:hint="eastAsia"/>
            <w:color w:val="0000FF"/>
            <w:u w:val="single"/>
            <w:rtl/>
          </w:rPr>
          <w:t>סעיף</w:t>
        </w:r>
        <w:r w:rsidR="005D1FC1" w:rsidRPr="005D1FC1">
          <w:rPr>
            <w:rFonts w:ascii="Calibri" w:hAnsi="Calibri"/>
            <w:color w:val="0000FF"/>
            <w:u w:val="single"/>
            <w:rtl/>
          </w:rPr>
          <w:t xml:space="preserve"> 144 (</w:t>
        </w:r>
        <w:r w:rsidR="005D1FC1" w:rsidRPr="005D1FC1">
          <w:rPr>
            <w:rFonts w:ascii="Calibri" w:hAnsi="Calibri" w:hint="eastAsia"/>
            <w:color w:val="0000FF"/>
            <w:u w:val="single"/>
            <w:rtl/>
          </w:rPr>
          <w:t>א</w:t>
        </w:r>
        <w:r w:rsidR="005D1FC1" w:rsidRPr="005D1FC1">
          <w:rPr>
            <w:rFonts w:ascii="Calibri" w:hAnsi="Calibri"/>
            <w:color w:val="0000FF"/>
            <w:u w:val="single"/>
            <w:rtl/>
          </w:rPr>
          <w:t>)</w:t>
        </w:r>
      </w:hyperlink>
      <w:r w:rsidRPr="007D00CF">
        <w:rPr>
          <w:rFonts w:ascii="Calibri" w:hAnsi="Calibri" w:hint="cs"/>
          <w:rtl/>
        </w:rPr>
        <w:t xml:space="preserve"> סיפא לחוק ושיבוש מהלכי משפט- עבירה לפי </w:t>
      </w:r>
      <w:hyperlink r:id="rId16" w:history="1">
        <w:r w:rsidR="005D1FC1" w:rsidRPr="005D1FC1">
          <w:rPr>
            <w:rFonts w:ascii="Calibri" w:hAnsi="Calibri" w:hint="eastAsia"/>
            <w:color w:val="0000FF"/>
            <w:u w:val="single"/>
            <w:rtl/>
          </w:rPr>
          <w:t>סעיף</w:t>
        </w:r>
        <w:r w:rsidR="005D1FC1" w:rsidRPr="005D1FC1">
          <w:rPr>
            <w:rFonts w:ascii="Calibri" w:hAnsi="Calibri"/>
            <w:color w:val="0000FF"/>
            <w:u w:val="single"/>
            <w:rtl/>
          </w:rPr>
          <w:t xml:space="preserve"> 244</w:t>
        </w:r>
      </w:hyperlink>
      <w:r w:rsidRPr="007D00CF">
        <w:rPr>
          <w:rFonts w:ascii="Calibri" w:hAnsi="Calibri" w:hint="cs"/>
          <w:rtl/>
        </w:rPr>
        <w:t xml:space="preserve"> לחוק. </w:t>
      </w:r>
    </w:p>
    <w:p w14:paraId="28BCC11A" w14:textId="77777777" w:rsidR="002E111D" w:rsidRPr="007D00CF" w:rsidRDefault="002E111D" w:rsidP="002E111D">
      <w:pPr>
        <w:spacing w:after="160" w:line="360" w:lineRule="auto"/>
        <w:ind w:left="720"/>
        <w:contextualSpacing/>
        <w:jc w:val="both"/>
        <w:rPr>
          <w:rFonts w:ascii="Calibri" w:hAnsi="Calibri"/>
        </w:rPr>
      </w:pPr>
      <w:bookmarkStart w:id="4" w:name="ABSTRACT_END"/>
      <w:bookmarkEnd w:id="4"/>
    </w:p>
    <w:p w14:paraId="6C48C14F" w14:textId="77777777" w:rsidR="002E111D" w:rsidRPr="007D00CF" w:rsidRDefault="002E111D" w:rsidP="002E111D">
      <w:pPr>
        <w:numPr>
          <w:ilvl w:val="0"/>
          <w:numId w:val="1"/>
        </w:numPr>
        <w:spacing w:after="160" w:line="360" w:lineRule="auto"/>
        <w:contextualSpacing/>
        <w:jc w:val="both"/>
        <w:rPr>
          <w:rFonts w:ascii="Calibri" w:hAnsi="Calibri"/>
          <w:rtl/>
        </w:rPr>
      </w:pPr>
      <w:r w:rsidRPr="007D00CF">
        <w:rPr>
          <w:rFonts w:ascii="Calibri" w:hAnsi="Calibri" w:hint="cs"/>
          <w:rtl/>
        </w:rPr>
        <w:t xml:space="preserve">בין הצדדים נחתם ביום 11.5.17 הסכם בעניין הסדר טיעון לפיו הנאשם יודה בעובדות כתב האישום ויורשע בעבירות המיוחסות לו. בהתאם, הוסכם כי על הנאשם יוטלו העונשים הבאים: 18 חודשי מאסר לריצוי בפועל שתחילתם ביום מעצרו- 4.1.17, עונש מאסר מותנה לגבי העבירות בהן הורשע (משכו בהתאם לשיקול דעת בית המשפט) וקנס ששיעורו יקבע על ידי בית המשפט. עוד נקבע שעונש המאסר המותנה בן 10 חודשים נשוא </w:t>
      </w:r>
      <w:hyperlink r:id="rId17" w:history="1">
        <w:r w:rsidR="007D00CF" w:rsidRPr="007D00CF">
          <w:rPr>
            <w:rFonts w:ascii="Calibri" w:hAnsi="Calibri" w:hint="eastAsia"/>
            <w:color w:val="0000FF"/>
            <w:u w:val="single"/>
            <w:rtl/>
          </w:rPr>
          <w:t>ת</w:t>
        </w:r>
        <w:r w:rsidR="007D00CF" w:rsidRPr="007D00CF">
          <w:rPr>
            <w:rFonts w:ascii="Calibri" w:hAnsi="Calibri"/>
            <w:color w:val="0000FF"/>
            <w:u w:val="single"/>
            <w:rtl/>
          </w:rPr>
          <w:t>"</w:t>
        </w:r>
        <w:r w:rsidR="007D00CF" w:rsidRPr="007D00CF">
          <w:rPr>
            <w:rFonts w:ascii="Calibri" w:hAnsi="Calibri" w:hint="eastAsia"/>
            <w:color w:val="0000FF"/>
            <w:u w:val="single"/>
            <w:rtl/>
          </w:rPr>
          <w:t>פ</w:t>
        </w:r>
        <w:r w:rsidR="007D00CF" w:rsidRPr="007D00CF">
          <w:rPr>
            <w:rFonts w:ascii="Calibri" w:hAnsi="Calibri"/>
            <w:color w:val="0000FF"/>
            <w:u w:val="single"/>
            <w:rtl/>
          </w:rPr>
          <w:t xml:space="preserve"> 11670-02-14</w:t>
        </w:r>
      </w:hyperlink>
      <w:r w:rsidRPr="007D00CF">
        <w:rPr>
          <w:rFonts w:ascii="Calibri" w:hAnsi="Calibri" w:hint="cs"/>
          <w:rtl/>
        </w:rPr>
        <w:t xml:space="preserve"> יופעל באופן שחציו ירוצה במצטבר לעונש שיוטל על הנאשם בתיק זה וחציו בחופף לו, כך שבסך הכל יוטל על הנאשם לרצות עונש של 23 חודשי מאסר, שמניינם מיום מעצרו. צוין כי </w:t>
      </w:r>
      <w:r w:rsidRPr="007D00CF">
        <w:rPr>
          <w:rFonts w:ascii="Calibri" w:hAnsi="Calibri" w:hint="cs"/>
          <w:rtl/>
        </w:rPr>
        <w:lastRenderedPageBreak/>
        <w:t xml:space="preserve">לא הושגה הסכמה בין הצדדים לעניין בקשת המאשימה לחלט את המחרטה הנזכרת בכתב האישום (באמצעותה זייף הנאשם מטבעות) והצדדים יטענו לעניין זה בדיון שיקבע. </w:t>
      </w:r>
    </w:p>
    <w:p w14:paraId="3E2CDCC0" w14:textId="77777777" w:rsidR="002E111D" w:rsidRPr="007D00CF" w:rsidRDefault="002E111D" w:rsidP="002E111D">
      <w:pPr>
        <w:spacing w:after="160" w:line="360" w:lineRule="auto"/>
        <w:ind w:left="720"/>
        <w:contextualSpacing/>
        <w:jc w:val="both"/>
        <w:rPr>
          <w:rFonts w:ascii="Calibri" w:hAnsi="Calibri"/>
        </w:rPr>
      </w:pPr>
    </w:p>
    <w:p w14:paraId="5A1D7EB3" w14:textId="77777777" w:rsidR="005D1FC1" w:rsidRDefault="002E111D" w:rsidP="005D1FC1">
      <w:pPr>
        <w:numPr>
          <w:ilvl w:val="0"/>
          <w:numId w:val="1"/>
        </w:numPr>
        <w:spacing w:after="160" w:line="360" w:lineRule="auto"/>
        <w:contextualSpacing/>
        <w:jc w:val="both"/>
        <w:rPr>
          <w:rFonts w:ascii="Calibri" w:hAnsi="Calibri"/>
          <w:rtl/>
        </w:rPr>
      </w:pPr>
      <w:r w:rsidRPr="007D00CF">
        <w:rPr>
          <w:rFonts w:ascii="Calibri" w:hAnsi="Calibri" w:hint="cs"/>
          <w:rtl/>
        </w:rPr>
        <w:t>בדיון שהתקיים ביום 22.6.17 המציא ב"כ המאשימה פלט רישום פלילי, את כתב האישו</w:t>
      </w:r>
      <w:bookmarkStart w:id="5" w:name="LawTable"/>
      <w:bookmarkEnd w:id="5"/>
      <w:r w:rsidR="005D1FC1">
        <w:rPr>
          <w:rFonts w:ascii="Calibri" w:hAnsi="Calibri" w:hint="cs"/>
          <w:rtl/>
        </w:rPr>
        <w:t>ם</w:t>
      </w:r>
    </w:p>
    <w:p w14:paraId="389287C6" w14:textId="77777777" w:rsidR="005D1FC1" w:rsidRPr="005D1FC1" w:rsidRDefault="005D1FC1" w:rsidP="005D1FC1">
      <w:pPr>
        <w:spacing w:after="120" w:line="240" w:lineRule="exact"/>
        <w:ind w:left="360"/>
        <w:contextualSpacing/>
        <w:jc w:val="both"/>
        <w:rPr>
          <w:rFonts w:ascii="FrankRuehl" w:hAnsi="FrankRuehl" w:cs="FrankRuehl"/>
          <w:rtl/>
        </w:rPr>
      </w:pPr>
    </w:p>
    <w:p w14:paraId="686F7C3C" w14:textId="77777777" w:rsidR="007D00CF" w:rsidRPr="007D00CF" w:rsidRDefault="007D00CF" w:rsidP="007D00CF">
      <w:pPr>
        <w:numPr>
          <w:ilvl w:val="0"/>
          <w:numId w:val="1"/>
        </w:numPr>
        <w:spacing w:after="160" w:line="360" w:lineRule="auto"/>
        <w:contextualSpacing/>
        <w:jc w:val="center"/>
        <w:rPr>
          <w:rFonts w:ascii="Calibri" w:hAnsi="Calibri"/>
          <w:bCs/>
          <w:rtl/>
        </w:rPr>
      </w:pPr>
      <w:bookmarkStart w:id="6" w:name="PsakDin"/>
      <w:bookmarkEnd w:id="0"/>
      <w:bookmarkEnd w:id="1"/>
      <w:r w:rsidRPr="007D00CF">
        <w:rPr>
          <w:rFonts w:ascii="Calibri" w:hAnsi="Calibri" w:hint="eastAsia"/>
          <w:bCs/>
          <w:rtl/>
        </w:rPr>
        <w:t>המתוקן</w:t>
      </w:r>
      <w:r w:rsidRPr="007D00CF">
        <w:rPr>
          <w:rFonts w:ascii="Calibri" w:hAnsi="Calibri"/>
          <w:bCs/>
          <w:rtl/>
        </w:rPr>
        <w:t xml:space="preserve">, </w:t>
      </w:r>
      <w:r w:rsidRPr="007D00CF">
        <w:rPr>
          <w:rFonts w:ascii="Calibri" w:hAnsi="Calibri" w:hint="eastAsia"/>
          <w:bCs/>
          <w:rtl/>
        </w:rPr>
        <w:t>את</w:t>
      </w:r>
      <w:r w:rsidRPr="007D00CF">
        <w:rPr>
          <w:rFonts w:ascii="Calibri" w:hAnsi="Calibri"/>
          <w:bCs/>
          <w:rtl/>
        </w:rPr>
        <w:t xml:space="preserve"> </w:t>
      </w:r>
      <w:r w:rsidRPr="007D00CF">
        <w:rPr>
          <w:rFonts w:ascii="Calibri" w:hAnsi="Calibri" w:hint="eastAsia"/>
          <w:bCs/>
          <w:rtl/>
        </w:rPr>
        <w:t>גזר</w:t>
      </w:r>
      <w:r w:rsidRPr="007D00CF">
        <w:rPr>
          <w:rFonts w:ascii="Calibri" w:hAnsi="Calibri"/>
          <w:bCs/>
          <w:rtl/>
        </w:rPr>
        <w:t xml:space="preserve"> </w:t>
      </w:r>
      <w:r w:rsidRPr="007D00CF">
        <w:rPr>
          <w:rFonts w:ascii="Calibri" w:hAnsi="Calibri" w:hint="eastAsia"/>
          <w:bCs/>
          <w:rtl/>
        </w:rPr>
        <w:t>הדין</w:t>
      </w:r>
      <w:r w:rsidRPr="007D00CF">
        <w:rPr>
          <w:rFonts w:ascii="Calibri" w:hAnsi="Calibri"/>
          <w:bCs/>
          <w:rtl/>
        </w:rPr>
        <w:t xml:space="preserve"> </w:t>
      </w:r>
      <w:r w:rsidRPr="007D00CF">
        <w:rPr>
          <w:rFonts w:ascii="Calibri" w:hAnsi="Calibri" w:hint="eastAsia"/>
          <w:bCs/>
          <w:rtl/>
        </w:rPr>
        <w:t>והכרעת</w:t>
      </w:r>
      <w:r w:rsidRPr="007D00CF">
        <w:rPr>
          <w:rFonts w:ascii="Calibri" w:hAnsi="Calibri"/>
          <w:bCs/>
          <w:rtl/>
        </w:rPr>
        <w:t xml:space="preserve"> </w:t>
      </w:r>
      <w:r w:rsidRPr="007D00CF">
        <w:rPr>
          <w:rFonts w:ascii="Calibri" w:hAnsi="Calibri" w:hint="eastAsia"/>
          <w:bCs/>
          <w:rtl/>
        </w:rPr>
        <w:t>הדין</w:t>
      </w:r>
      <w:r w:rsidRPr="007D00CF">
        <w:rPr>
          <w:rFonts w:ascii="Calibri" w:hAnsi="Calibri"/>
          <w:bCs/>
          <w:rtl/>
        </w:rPr>
        <w:t xml:space="preserve"> </w:t>
      </w:r>
      <w:r w:rsidRPr="007D00CF">
        <w:rPr>
          <w:rFonts w:ascii="Calibri" w:hAnsi="Calibri" w:hint="eastAsia"/>
          <w:bCs/>
          <w:rtl/>
        </w:rPr>
        <w:t>בתיק</w:t>
      </w:r>
      <w:r w:rsidRPr="007D00CF">
        <w:rPr>
          <w:rFonts w:ascii="Calibri" w:hAnsi="Calibri"/>
          <w:bCs/>
          <w:rtl/>
        </w:rPr>
        <w:t xml:space="preserve"> </w:t>
      </w:r>
      <w:r w:rsidRPr="007D00CF">
        <w:rPr>
          <w:rFonts w:ascii="Calibri" w:hAnsi="Calibri" w:hint="eastAsia"/>
          <w:bCs/>
          <w:rtl/>
        </w:rPr>
        <w:t>הנוסף</w:t>
      </w:r>
      <w:r w:rsidRPr="007D00CF">
        <w:rPr>
          <w:rFonts w:ascii="Calibri" w:hAnsi="Calibri"/>
          <w:bCs/>
          <w:rtl/>
        </w:rPr>
        <w:t xml:space="preserve"> </w:t>
      </w:r>
      <w:r w:rsidRPr="007D00CF">
        <w:rPr>
          <w:rFonts w:ascii="Calibri" w:hAnsi="Calibri" w:hint="eastAsia"/>
          <w:bCs/>
          <w:rtl/>
        </w:rPr>
        <w:t>ודוחות</w:t>
      </w:r>
      <w:r w:rsidRPr="007D00CF">
        <w:rPr>
          <w:rFonts w:ascii="Calibri" w:hAnsi="Calibri"/>
          <w:bCs/>
          <w:rtl/>
        </w:rPr>
        <w:t xml:space="preserve"> </w:t>
      </w:r>
      <w:r w:rsidRPr="007D00CF">
        <w:rPr>
          <w:rFonts w:ascii="Calibri" w:hAnsi="Calibri" w:hint="eastAsia"/>
          <w:bCs/>
          <w:rtl/>
        </w:rPr>
        <w:t>מחלקת</w:t>
      </w:r>
      <w:r w:rsidRPr="007D00CF">
        <w:rPr>
          <w:rFonts w:ascii="Calibri" w:hAnsi="Calibri"/>
          <w:bCs/>
          <w:rtl/>
        </w:rPr>
        <w:t xml:space="preserve"> </w:t>
      </w:r>
      <w:r w:rsidRPr="007D00CF">
        <w:rPr>
          <w:rFonts w:ascii="Calibri" w:hAnsi="Calibri" w:hint="eastAsia"/>
          <w:bCs/>
          <w:rtl/>
        </w:rPr>
        <w:t>הרווחה</w:t>
      </w:r>
      <w:r w:rsidRPr="007D00CF">
        <w:rPr>
          <w:rFonts w:ascii="Calibri" w:hAnsi="Calibri"/>
          <w:bCs/>
          <w:rtl/>
        </w:rPr>
        <w:t xml:space="preserve"> </w:t>
      </w:r>
      <w:r w:rsidRPr="007D00CF">
        <w:rPr>
          <w:rFonts w:ascii="Calibri" w:hAnsi="Calibri" w:hint="eastAsia"/>
          <w:bCs/>
          <w:rtl/>
        </w:rPr>
        <w:t>לפיהם</w:t>
      </w:r>
      <w:r w:rsidRPr="007D00CF">
        <w:rPr>
          <w:rFonts w:ascii="Calibri" w:hAnsi="Calibri"/>
          <w:bCs/>
          <w:rtl/>
        </w:rPr>
        <w:t xml:space="preserve"> </w:t>
      </w:r>
      <w:r w:rsidRPr="007D00CF">
        <w:rPr>
          <w:rFonts w:ascii="Calibri" w:hAnsi="Calibri" w:hint="eastAsia"/>
          <w:bCs/>
          <w:rtl/>
        </w:rPr>
        <w:t>הנאשם</w:t>
      </w:r>
    </w:p>
    <w:bookmarkEnd w:id="6"/>
    <w:p w14:paraId="17FE0AAD" w14:textId="77777777" w:rsidR="002E111D" w:rsidRPr="002E111D" w:rsidRDefault="002E111D" w:rsidP="002E111D">
      <w:pPr>
        <w:numPr>
          <w:ilvl w:val="0"/>
          <w:numId w:val="1"/>
        </w:numPr>
        <w:spacing w:after="160" w:line="360" w:lineRule="auto"/>
        <w:contextualSpacing/>
        <w:jc w:val="both"/>
        <w:rPr>
          <w:rFonts w:ascii="Calibri" w:hAnsi="Calibri"/>
          <w:rtl/>
        </w:rPr>
      </w:pPr>
      <w:r w:rsidRPr="002E111D">
        <w:rPr>
          <w:rFonts w:ascii="Calibri" w:hAnsi="Calibri" w:hint="cs"/>
          <w:rtl/>
        </w:rPr>
        <w:t>משתכר מהבטחת הכנסה. צוין כי הוסכם על ריצוי של 23 חודשי מאסר בפועל וכן כי הושגה הסכמה לפיה הקנס יעמוד על 9,000 ₪ אותם ישלם הנאשם לאחר שחרורו ב-9 תשלומים שווים ורצופים. ב"כ המאשימה ציין שלא יעמוד על חילוט התפוסים במקרה דנן- מחרטה וכלי עבודה- באופן חריג וזאת משום שהמאשימה סבורה שהם יסייעו בשיקום הנאשם בעתיד שיוכל לעבוד עימם לאחר שיפעל לקבלת רישיון עסק. עוד נטען שבתיקון כתב האישום נלקח בחשבון השיקום לעתיד והשלב המוקדם בו נמצא הנאשם ביחס לכוונה ליצור נשק עת שנתפס. נטען שמדובר בענישה מאוזנת וראויה והוגשה פסיקה בהתאם המעידה שהעונש נמצא במתחם הפסיקתי. נטען שעברו של הנאשם נלקח בחשבון, גם לעניין אופי הפעלת המאסר המותנה. הוזכר שהנאשם נשוי ואב לילדים וכי רעייתו אינה עובדת לפרנסתה. באשר לעבירות זיוף המטבע נטען שבהתאם לפסיקה מוטלים עונשים מכבידים אך מדובר בהיקפים נרחבים יותר מהמקרה דנן. ב"כ המאשימה הפנה לפסיקה בהקשר זה וטען כי העונש במקרה דנן הוא בהינתן היקף העבירות וכי הוא ראוי ומאוזן ויש לאמצו.</w:t>
      </w:r>
    </w:p>
    <w:p w14:paraId="07EC5283" w14:textId="77777777" w:rsidR="002E111D" w:rsidRPr="002E111D" w:rsidRDefault="002E111D" w:rsidP="002E111D">
      <w:pPr>
        <w:spacing w:after="160" w:line="360" w:lineRule="auto"/>
        <w:ind w:left="720"/>
        <w:contextualSpacing/>
        <w:jc w:val="both"/>
        <w:rPr>
          <w:rFonts w:ascii="Calibri" w:hAnsi="Calibri"/>
        </w:rPr>
      </w:pPr>
    </w:p>
    <w:p w14:paraId="10261FE5" w14:textId="77777777" w:rsidR="002E111D" w:rsidRPr="002E111D" w:rsidRDefault="002E111D" w:rsidP="002E111D">
      <w:pPr>
        <w:numPr>
          <w:ilvl w:val="0"/>
          <w:numId w:val="1"/>
        </w:numPr>
        <w:spacing w:after="160" w:line="360" w:lineRule="auto"/>
        <w:contextualSpacing/>
        <w:jc w:val="both"/>
        <w:rPr>
          <w:rFonts w:ascii="Calibri" w:hAnsi="Calibri"/>
          <w:rtl/>
        </w:rPr>
      </w:pPr>
      <w:r w:rsidRPr="002E111D">
        <w:rPr>
          <w:rFonts w:ascii="Calibri" w:hAnsi="Calibri" w:hint="cs"/>
          <w:rtl/>
        </w:rPr>
        <w:t xml:space="preserve">ב"כ המאשימה הציג פסיקה נוספת בנוגע לעבירות נשק, כדלקמן: </w:t>
      </w:r>
    </w:p>
    <w:p w14:paraId="21A23F6D" w14:textId="77777777" w:rsidR="002E111D" w:rsidRPr="002E111D" w:rsidRDefault="002E111D" w:rsidP="002E111D">
      <w:pPr>
        <w:spacing w:after="160" w:line="360" w:lineRule="auto"/>
        <w:ind w:left="720"/>
        <w:contextualSpacing/>
        <w:jc w:val="both"/>
        <w:rPr>
          <w:rFonts w:ascii="Calibri" w:hAnsi="Calibri"/>
          <w:rtl/>
        </w:rPr>
      </w:pPr>
      <w:r w:rsidRPr="002E111D">
        <w:rPr>
          <w:rFonts w:ascii="Calibri" w:hAnsi="Calibri" w:hint="cs"/>
          <w:rtl/>
        </w:rPr>
        <w:t>ב</w:t>
      </w:r>
      <w:hyperlink r:id="rId18" w:history="1">
        <w:r w:rsidR="007D00CF" w:rsidRPr="007D00CF">
          <w:rPr>
            <w:rFonts w:ascii="Calibri" w:hAnsi="Calibri" w:hint="eastAsia"/>
            <w:color w:val="0000FF"/>
            <w:u w:val="single"/>
            <w:rtl/>
          </w:rPr>
          <w:t>ת</w:t>
        </w:r>
        <w:r w:rsidR="007D00CF" w:rsidRPr="007D00CF">
          <w:rPr>
            <w:rFonts w:ascii="Calibri" w:hAnsi="Calibri"/>
            <w:color w:val="0000FF"/>
            <w:u w:val="single"/>
            <w:rtl/>
          </w:rPr>
          <w:t>"</w:t>
        </w:r>
        <w:r w:rsidR="007D00CF" w:rsidRPr="007D00CF">
          <w:rPr>
            <w:rFonts w:ascii="Calibri" w:hAnsi="Calibri" w:hint="eastAsia"/>
            <w:color w:val="0000FF"/>
            <w:u w:val="single"/>
            <w:rtl/>
          </w:rPr>
          <w:t>פ</w:t>
        </w:r>
        <w:r w:rsidR="007D00CF" w:rsidRPr="007D00CF">
          <w:rPr>
            <w:rFonts w:ascii="Calibri" w:hAnsi="Calibri"/>
            <w:color w:val="0000FF"/>
            <w:u w:val="single"/>
            <w:rtl/>
          </w:rPr>
          <w:t xml:space="preserve"> 7166-09-15</w:t>
        </w:r>
      </w:hyperlink>
      <w:r w:rsidRPr="002E111D">
        <w:rPr>
          <w:rFonts w:ascii="Calibri" w:hAnsi="Calibri" w:hint="cs"/>
          <w:rtl/>
        </w:rPr>
        <w:t xml:space="preserve"> </w:t>
      </w:r>
      <w:r w:rsidRPr="002E111D">
        <w:rPr>
          <w:rFonts w:ascii="Calibri" w:hAnsi="Calibri" w:hint="cs"/>
          <w:b/>
          <w:bCs/>
          <w:rtl/>
        </w:rPr>
        <w:t>מדינת ישראל נ' נעמה</w:t>
      </w:r>
      <w:r w:rsidRPr="002E111D">
        <w:rPr>
          <w:rFonts w:ascii="Calibri" w:hAnsi="Calibri" w:hint="cs"/>
          <w:rtl/>
        </w:rPr>
        <w:t xml:space="preserve"> הושתו על נאשם 12 חודשי מאסר בגין עבירות של החזקת נשק, חלק של נשק ותחמושת שלא כדין (ריבוי עבירות). </w:t>
      </w:r>
    </w:p>
    <w:p w14:paraId="68680B04" w14:textId="77777777" w:rsidR="002E111D" w:rsidRPr="002E111D" w:rsidRDefault="002E111D" w:rsidP="002E111D">
      <w:pPr>
        <w:spacing w:after="160" w:line="360" w:lineRule="auto"/>
        <w:ind w:left="720"/>
        <w:contextualSpacing/>
        <w:jc w:val="both"/>
        <w:rPr>
          <w:rFonts w:ascii="Calibri" w:hAnsi="Calibri"/>
          <w:rtl/>
        </w:rPr>
      </w:pPr>
      <w:r w:rsidRPr="002E111D">
        <w:rPr>
          <w:rFonts w:ascii="Calibri" w:hAnsi="Calibri" w:hint="cs"/>
          <w:rtl/>
        </w:rPr>
        <w:t>ב</w:t>
      </w:r>
      <w:hyperlink r:id="rId19" w:history="1">
        <w:r w:rsidR="007D00CF" w:rsidRPr="007D00CF">
          <w:rPr>
            <w:rFonts w:ascii="Calibri" w:hAnsi="Calibri" w:hint="eastAsia"/>
            <w:color w:val="0000FF"/>
            <w:u w:val="single"/>
            <w:rtl/>
          </w:rPr>
          <w:t>ת</w:t>
        </w:r>
        <w:r w:rsidR="007D00CF" w:rsidRPr="007D00CF">
          <w:rPr>
            <w:rFonts w:ascii="Calibri" w:hAnsi="Calibri"/>
            <w:color w:val="0000FF"/>
            <w:u w:val="single"/>
            <w:rtl/>
          </w:rPr>
          <w:t>"</w:t>
        </w:r>
        <w:r w:rsidR="007D00CF" w:rsidRPr="007D00CF">
          <w:rPr>
            <w:rFonts w:ascii="Calibri" w:hAnsi="Calibri" w:hint="eastAsia"/>
            <w:color w:val="0000FF"/>
            <w:u w:val="single"/>
            <w:rtl/>
          </w:rPr>
          <w:t>פ</w:t>
        </w:r>
        <w:r w:rsidR="007D00CF" w:rsidRPr="007D00CF">
          <w:rPr>
            <w:rFonts w:ascii="Calibri" w:hAnsi="Calibri"/>
            <w:color w:val="0000FF"/>
            <w:u w:val="single"/>
            <w:rtl/>
          </w:rPr>
          <w:t xml:space="preserve"> 61306-02-15</w:t>
        </w:r>
      </w:hyperlink>
      <w:r w:rsidRPr="002E111D">
        <w:rPr>
          <w:rFonts w:ascii="Calibri" w:hAnsi="Calibri" w:hint="cs"/>
          <w:rtl/>
        </w:rPr>
        <w:t xml:space="preserve"> </w:t>
      </w:r>
      <w:r w:rsidRPr="002E111D">
        <w:rPr>
          <w:rFonts w:ascii="Calibri" w:hAnsi="Calibri" w:hint="cs"/>
          <w:b/>
          <w:bCs/>
          <w:rtl/>
        </w:rPr>
        <w:t>מדינת ישראל נ' ראפע</w:t>
      </w:r>
      <w:r w:rsidRPr="002E111D">
        <w:rPr>
          <w:rFonts w:ascii="Calibri" w:hAnsi="Calibri" w:hint="cs"/>
          <w:rtl/>
        </w:rPr>
        <w:t xml:space="preserve"> הושתו על נאשם 6 חודשי מאסר בפועל שירוצו בעבודות שירות בגין עבירות של החזקה ונשיאת נשק. </w:t>
      </w:r>
    </w:p>
    <w:p w14:paraId="7A7B9129" w14:textId="77777777" w:rsidR="002E111D" w:rsidRPr="002E111D" w:rsidRDefault="002E111D" w:rsidP="002E111D">
      <w:pPr>
        <w:spacing w:after="160" w:line="360" w:lineRule="auto"/>
        <w:ind w:left="720"/>
        <w:contextualSpacing/>
        <w:jc w:val="both"/>
        <w:rPr>
          <w:rFonts w:ascii="Calibri" w:hAnsi="Calibri"/>
          <w:rtl/>
        </w:rPr>
      </w:pPr>
      <w:r w:rsidRPr="002E111D">
        <w:rPr>
          <w:rFonts w:ascii="Calibri" w:hAnsi="Calibri" w:hint="cs"/>
          <w:rtl/>
        </w:rPr>
        <w:t>ב</w:t>
      </w:r>
      <w:hyperlink r:id="rId20" w:history="1">
        <w:r w:rsidR="007D00CF" w:rsidRPr="007D00CF">
          <w:rPr>
            <w:rFonts w:ascii="Calibri" w:hAnsi="Calibri" w:hint="eastAsia"/>
            <w:color w:val="0000FF"/>
            <w:u w:val="single"/>
            <w:rtl/>
          </w:rPr>
          <w:t>ת</w:t>
        </w:r>
        <w:r w:rsidR="007D00CF" w:rsidRPr="007D00CF">
          <w:rPr>
            <w:rFonts w:ascii="Calibri" w:hAnsi="Calibri"/>
            <w:color w:val="0000FF"/>
            <w:u w:val="single"/>
            <w:rtl/>
          </w:rPr>
          <w:t>"</w:t>
        </w:r>
        <w:r w:rsidR="007D00CF" w:rsidRPr="007D00CF">
          <w:rPr>
            <w:rFonts w:ascii="Calibri" w:hAnsi="Calibri" w:hint="eastAsia"/>
            <w:color w:val="0000FF"/>
            <w:u w:val="single"/>
            <w:rtl/>
          </w:rPr>
          <w:t>פ</w:t>
        </w:r>
        <w:r w:rsidR="007D00CF" w:rsidRPr="007D00CF">
          <w:rPr>
            <w:rFonts w:ascii="Calibri" w:hAnsi="Calibri"/>
            <w:color w:val="0000FF"/>
            <w:u w:val="single"/>
            <w:rtl/>
          </w:rPr>
          <w:t xml:space="preserve"> 42684-06-15</w:t>
        </w:r>
      </w:hyperlink>
      <w:r w:rsidRPr="002E111D">
        <w:rPr>
          <w:rFonts w:ascii="Calibri" w:hAnsi="Calibri" w:hint="cs"/>
          <w:rtl/>
        </w:rPr>
        <w:t xml:space="preserve"> </w:t>
      </w:r>
      <w:r w:rsidRPr="002E111D">
        <w:rPr>
          <w:rFonts w:ascii="Calibri" w:hAnsi="Calibri" w:hint="cs"/>
          <w:b/>
          <w:bCs/>
          <w:rtl/>
        </w:rPr>
        <w:t>פרקליטות מחוז חיפה  נ' ותד</w:t>
      </w:r>
      <w:r w:rsidRPr="002E111D">
        <w:rPr>
          <w:rFonts w:ascii="Calibri" w:hAnsi="Calibri" w:hint="cs"/>
          <w:rtl/>
        </w:rPr>
        <w:t xml:space="preserve"> הושתו על נאשם 14 חודשי מאסר בפועל בגין עבירות של החזקת נשק שלא כדין. </w:t>
      </w:r>
    </w:p>
    <w:p w14:paraId="717CC3A2" w14:textId="77777777" w:rsidR="002E111D" w:rsidRPr="002E111D" w:rsidRDefault="002E111D" w:rsidP="002E111D">
      <w:pPr>
        <w:spacing w:after="160" w:line="360" w:lineRule="auto"/>
        <w:ind w:left="720"/>
        <w:contextualSpacing/>
        <w:jc w:val="both"/>
        <w:rPr>
          <w:rFonts w:ascii="Calibri" w:hAnsi="Calibri"/>
          <w:rtl/>
        </w:rPr>
      </w:pPr>
      <w:r w:rsidRPr="002E111D">
        <w:rPr>
          <w:rFonts w:ascii="Calibri" w:hAnsi="Calibri" w:hint="cs"/>
          <w:rtl/>
        </w:rPr>
        <w:t>ב"כ הנאשם טענה לעניין העונש שההסדר ראוי והולם בנסיבות המקרה. נטען שלחובת הנאשם עבר בהחזקת נשק אך במקרה דנן דובר בחלק שנתפס שאינו מהווה נשק פעיל וכי ניתן הסבר לפיו מאן דהוא</w:t>
      </w:r>
      <w:r w:rsidRPr="002E111D">
        <w:rPr>
          <w:rFonts w:ascii="Calibri" w:hAnsi="Calibri"/>
        </w:rPr>
        <w:t xml:space="preserve"> </w:t>
      </w:r>
      <w:r w:rsidRPr="002E111D">
        <w:rPr>
          <w:rFonts w:ascii="Calibri" w:hAnsi="Calibri" w:hint="cs"/>
          <w:rtl/>
        </w:rPr>
        <w:t xml:space="preserve"> הביא לנאשם את אותו החלק. נטען כי דובר בשלב התחלתי של הייצור. נטען למתן אפשרות שיקום ולרצון הנאשם שהבין שמקומו אינו בכלא אלא לצד משפחתו. עוד הוסף כי הנאשם מתחרט על מעשיו, הודה בהזדמנות הראשונה, חסך זמן שיפוטי יקר וכי לא היתה סכנה ממשית לפגיעה במעשיו. לעניין הקנס נטען כי מצבו הכלכלי קשה וכי הוגשו מסמכים משירות הרווחה המעידים על כך. </w:t>
      </w:r>
    </w:p>
    <w:p w14:paraId="5A6A13DD" w14:textId="77777777" w:rsidR="002E111D" w:rsidRPr="002E111D" w:rsidRDefault="002E111D" w:rsidP="002E111D">
      <w:pPr>
        <w:spacing w:after="160" w:line="360" w:lineRule="auto"/>
        <w:ind w:left="720"/>
        <w:contextualSpacing/>
        <w:jc w:val="both"/>
        <w:rPr>
          <w:rFonts w:ascii="Calibri" w:hAnsi="Calibri"/>
          <w:rtl/>
        </w:rPr>
      </w:pPr>
      <w:r w:rsidRPr="002E111D">
        <w:rPr>
          <w:rFonts w:ascii="Calibri" w:hAnsi="Calibri" w:hint="cs"/>
          <w:rtl/>
        </w:rPr>
        <w:t xml:space="preserve">ב"כ הצדדים הוסיפו שעלויות החזרת התפוסים יחולו על הנאשם בהתאם להסכמה בין הצדדים. הנאשם טען בפני בית המשפט שאם תינתן לו הזדמנות הוא מבטיח לחזור למוטב. </w:t>
      </w:r>
    </w:p>
    <w:p w14:paraId="3288E26C" w14:textId="77777777" w:rsidR="002E111D" w:rsidRPr="002E111D" w:rsidRDefault="002E111D" w:rsidP="002E111D">
      <w:pPr>
        <w:spacing w:after="160" w:line="360" w:lineRule="auto"/>
        <w:ind w:left="720"/>
        <w:contextualSpacing/>
        <w:jc w:val="both"/>
        <w:rPr>
          <w:rFonts w:ascii="Calibri" w:hAnsi="Calibri"/>
          <w:rtl/>
        </w:rPr>
      </w:pPr>
    </w:p>
    <w:p w14:paraId="48631A9B" w14:textId="77777777" w:rsidR="002E111D" w:rsidRPr="002E111D" w:rsidRDefault="002E111D" w:rsidP="002E111D">
      <w:pPr>
        <w:numPr>
          <w:ilvl w:val="0"/>
          <w:numId w:val="1"/>
        </w:numPr>
        <w:spacing w:after="160" w:line="360" w:lineRule="auto"/>
        <w:contextualSpacing/>
        <w:jc w:val="both"/>
        <w:rPr>
          <w:rFonts w:ascii="Calibri" w:hAnsi="Calibri"/>
          <w:rtl/>
        </w:rPr>
      </w:pPr>
      <w:r w:rsidRPr="002E111D">
        <w:rPr>
          <w:rFonts w:ascii="Calibri" w:hAnsi="Calibri" w:hint="cs"/>
          <w:rtl/>
        </w:rPr>
        <w:t>לאחר שעיינתי בכתב האישום המתוקן, בהסדר הטיעון שנחתם בין הצדדים, במסמכים שהוגשו ושמעתי את טיעוני הצדדים, החלטתי לאמץ את הסדר הטיעון. מדובר בהסדר בו נשקלו השיקולים הרלוונטיים. מדובר בעבירות חמורות, הפוגעות בערכים המוגנים של שלום הציבור ובטחונו (עבירות הנשק) ובערכים של קניין הציבור, אמינות המטבע והגנה עליו ופגיעה בכלכלת המדינה (עבירות הזיוף). לאור מכלול הנתונים- היקף העבירות, הכמויות, פוטנציאל הנזק והפסיקה במקרים דומים, אני קובע שמתחם הענישה ההולם הוא בין 15-40 חודשי מאסר בפועל, לצד רכיבי ענישה נלווים. אציין כי מדובר בנאשם בעל עבר פלילי, לרבות בגין החזקת נשק, אשר ביצע עבירות חמורות. מנגד, יצוין מצבו הכלכלי הרעוע, השלב המוקדם של הכוונה ליצור נשק וההיקף הקטן של יצור המטבעות, היותו איש משפחה החפץ לטענתו בשיקום, הבעת החרטה מטעמו, הודאתו במיוחס לו וחסכון זמן שיפוטי יקר. יוער כי ההסדר מקל - בייחוד בהתחשב במספר העבירות - אך אינו חורג במידה שמצדיקה התערבות.</w:t>
      </w:r>
    </w:p>
    <w:p w14:paraId="1D009031" w14:textId="77777777" w:rsidR="002E111D" w:rsidRPr="002E111D" w:rsidRDefault="002E111D" w:rsidP="002E111D">
      <w:pPr>
        <w:spacing w:after="160" w:line="360" w:lineRule="auto"/>
        <w:ind w:left="720"/>
        <w:contextualSpacing/>
        <w:jc w:val="both"/>
        <w:rPr>
          <w:rFonts w:ascii="Calibri" w:hAnsi="Calibri"/>
        </w:rPr>
      </w:pPr>
    </w:p>
    <w:p w14:paraId="39A86026" w14:textId="77777777" w:rsidR="002E111D" w:rsidRPr="002E111D" w:rsidRDefault="002E111D" w:rsidP="002E111D">
      <w:pPr>
        <w:numPr>
          <w:ilvl w:val="0"/>
          <w:numId w:val="1"/>
        </w:numPr>
        <w:spacing w:after="160" w:line="360" w:lineRule="auto"/>
        <w:contextualSpacing/>
        <w:jc w:val="both"/>
        <w:rPr>
          <w:rFonts w:ascii="Calibri" w:hAnsi="Calibri"/>
          <w:rtl/>
        </w:rPr>
      </w:pPr>
      <w:r w:rsidRPr="002E111D">
        <w:rPr>
          <w:rFonts w:ascii="Calibri" w:hAnsi="Calibri" w:hint="cs"/>
          <w:u w:val="single"/>
          <w:rtl/>
        </w:rPr>
        <w:t>לאור כל האמור לעיל אני מטיל על הנאשם את העונשים הבאים כדלקמן</w:t>
      </w:r>
      <w:r w:rsidRPr="002E111D">
        <w:rPr>
          <w:rFonts w:ascii="Calibri" w:hAnsi="Calibri" w:hint="cs"/>
          <w:rtl/>
        </w:rPr>
        <w:t xml:space="preserve">: </w:t>
      </w:r>
    </w:p>
    <w:p w14:paraId="0B7D5C10" w14:textId="77777777" w:rsidR="002E111D" w:rsidRPr="002E111D" w:rsidRDefault="002E111D" w:rsidP="002E111D">
      <w:pPr>
        <w:numPr>
          <w:ilvl w:val="1"/>
          <w:numId w:val="1"/>
        </w:numPr>
        <w:spacing w:after="160" w:line="360" w:lineRule="auto"/>
        <w:contextualSpacing/>
        <w:jc w:val="both"/>
        <w:rPr>
          <w:rFonts w:ascii="Calibri" w:hAnsi="Calibri"/>
          <w:rtl/>
        </w:rPr>
      </w:pPr>
      <w:r w:rsidRPr="002E111D">
        <w:rPr>
          <w:rFonts w:ascii="Calibri" w:hAnsi="Calibri" w:hint="cs"/>
          <w:rtl/>
        </w:rPr>
        <w:t xml:space="preserve">23 חודשי מאסר לריצוי בפועל שתחילתם ביום מעצרו- 4.1.17, הכוללים את המאסר המותנה בן 10 חודשים נשוא </w:t>
      </w:r>
      <w:hyperlink r:id="rId21" w:history="1">
        <w:r w:rsidR="007D00CF" w:rsidRPr="007D00CF">
          <w:rPr>
            <w:rFonts w:ascii="Calibri" w:hAnsi="Calibri" w:hint="eastAsia"/>
            <w:color w:val="0000FF"/>
            <w:u w:val="single"/>
            <w:rtl/>
          </w:rPr>
          <w:t>ת</w:t>
        </w:r>
        <w:r w:rsidR="007D00CF" w:rsidRPr="007D00CF">
          <w:rPr>
            <w:rFonts w:ascii="Calibri" w:hAnsi="Calibri"/>
            <w:color w:val="0000FF"/>
            <w:u w:val="single"/>
            <w:rtl/>
          </w:rPr>
          <w:t>"</w:t>
        </w:r>
        <w:r w:rsidR="007D00CF" w:rsidRPr="007D00CF">
          <w:rPr>
            <w:rFonts w:ascii="Calibri" w:hAnsi="Calibri" w:hint="eastAsia"/>
            <w:color w:val="0000FF"/>
            <w:u w:val="single"/>
            <w:rtl/>
          </w:rPr>
          <w:t>פ</w:t>
        </w:r>
        <w:r w:rsidR="007D00CF" w:rsidRPr="007D00CF">
          <w:rPr>
            <w:rFonts w:ascii="Calibri" w:hAnsi="Calibri"/>
            <w:color w:val="0000FF"/>
            <w:u w:val="single"/>
            <w:rtl/>
          </w:rPr>
          <w:t xml:space="preserve"> 11670-02-14</w:t>
        </w:r>
      </w:hyperlink>
      <w:r w:rsidRPr="002E111D">
        <w:rPr>
          <w:rFonts w:ascii="Calibri" w:hAnsi="Calibri" w:hint="cs"/>
          <w:rtl/>
        </w:rPr>
        <w:t xml:space="preserve">, שמחציתו יופעל בחופף ומחציתו במצטבר. </w:t>
      </w:r>
    </w:p>
    <w:p w14:paraId="63418583" w14:textId="77777777" w:rsidR="002E111D" w:rsidRPr="002E111D" w:rsidRDefault="002E111D" w:rsidP="002E111D">
      <w:pPr>
        <w:numPr>
          <w:ilvl w:val="1"/>
          <w:numId w:val="1"/>
        </w:numPr>
        <w:spacing w:after="160" w:line="360" w:lineRule="auto"/>
        <w:contextualSpacing/>
        <w:jc w:val="both"/>
        <w:rPr>
          <w:rFonts w:ascii="Calibri" w:hAnsi="Calibri"/>
          <w:rtl/>
        </w:rPr>
      </w:pPr>
      <w:r w:rsidRPr="002E111D">
        <w:rPr>
          <w:rFonts w:ascii="Calibri" w:hAnsi="Calibri" w:hint="cs"/>
          <w:rtl/>
        </w:rPr>
        <w:t xml:space="preserve">10 חודשי מאסר על תנאי למשך 3 שנים מיום שחרורו, והתנאי שהנאשם לא יעבור על אחת העבירות המצוינות בכתב האישום ויורשע בגינן כדין. </w:t>
      </w:r>
    </w:p>
    <w:p w14:paraId="63ABD92A" w14:textId="77777777" w:rsidR="002E111D" w:rsidRPr="002E111D" w:rsidRDefault="002E111D" w:rsidP="002E111D">
      <w:pPr>
        <w:numPr>
          <w:ilvl w:val="1"/>
          <w:numId w:val="1"/>
        </w:numPr>
        <w:spacing w:after="160" w:line="360" w:lineRule="auto"/>
        <w:contextualSpacing/>
        <w:jc w:val="both"/>
        <w:rPr>
          <w:rFonts w:ascii="Calibri" w:hAnsi="Calibri"/>
          <w:rtl/>
        </w:rPr>
      </w:pPr>
      <w:r w:rsidRPr="002E111D">
        <w:rPr>
          <w:rFonts w:ascii="Calibri" w:hAnsi="Calibri" w:hint="cs"/>
          <w:rtl/>
        </w:rPr>
        <w:t xml:space="preserve">קנס בסך 9,000 ₪ שישולם החל ממועד שחרורו של הנאשם ב-9 תשלומים שווים ורצופים בראשון לכל חודש. </w:t>
      </w:r>
    </w:p>
    <w:p w14:paraId="52B713A6" w14:textId="77777777" w:rsidR="002E111D" w:rsidRDefault="002E111D" w:rsidP="002E111D">
      <w:pPr>
        <w:numPr>
          <w:ilvl w:val="1"/>
          <w:numId w:val="1"/>
        </w:numPr>
        <w:spacing w:after="160" w:line="360" w:lineRule="auto"/>
        <w:contextualSpacing/>
        <w:jc w:val="both"/>
        <w:rPr>
          <w:rtl/>
        </w:rPr>
      </w:pPr>
      <w:r w:rsidRPr="002E111D">
        <w:rPr>
          <w:rFonts w:ascii="Calibri" w:hAnsi="Calibri" w:hint="cs"/>
          <w:rtl/>
        </w:rPr>
        <w:t xml:space="preserve">באשר לתפוסים, המחרטה וכלי העבודה יוחזרו לנאשם, אשר יישא בהוצאות השבתם. קנה הנשק יושמד.         </w:t>
      </w:r>
    </w:p>
    <w:p w14:paraId="547996A7" w14:textId="77777777" w:rsidR="002E111D" w:rsidRDefault="002E111D" w:rsidP="002E111D">
      <w:pPr>
        <w:rPr>
          <w:rtl/>
        </w:rPr>
      </w:pPr>
    </w:p>
    <w:p w14:paraId="57956C38" w14:textId="77777777" w:rsidR="002E111D" w:rsidRDefault="002E111D" w:rsidP="002E111D">
      <w:pPr>
        <w:rPr>
          <w:rtl/>
        </w:rPr>
      </w:pPr>
      <w:r>
        <w:rPr>
          <w:rFonts w:hint="cs"/>
          <w:b/>
          <w:bCs/>
          <w:u w:val="single"/>
          <w:rtl/>
        </w:rPr>
        <w:t xml:space="preserve">זכות ערעור תוך 45 ימים. </w:t>
      </w:r>
    </w:p>
    <w:p w14:paraId="1A657B3C" w14:textId="77777777" w:rsidR="002E111D" w:rsidRDefault="002E111D" w:rsidP="002E111D">
      <w:pPr>
        <w:rPr>
          <w:rtl/>
        </w:rPr>
      </w:pPr>
    </w:p>
    <w:p w14:paraId="42356CF0" w14:textId="77777777" w:rsidR="002E111D" w:rsidRDefault="002E111D" w:rsidP="002E111D">
      <w:pPr>
        <w:rPr>
          <w:rtl/>
        </w:rPr>
      </w:pP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2E111D" w14:paraId="2381BF3D" w14:textId="77777777" w:rsidTr="002E111D">
        <w:trPr>
          <w:trHeight w:val="316"/>
        </w:trPr>
        <w:tc>
          <w:tcPr>
            <w:tcW w:w="3936" w:type="dxa"/>
            <w:tcBorders>
              <w:top w:val="nil"/>
              <w:left w:val="nil"/>
              <w:bottom w:val="single" w:sz="4" w:space="0" w:color="auto"/>
              <w:right w:val="nil"/>
            </w:tcBorders>
            <w:shd w:val="clear" w:color="auto" w:fill="auto"/>
          </w:tcPr>
          <w:p w14:paraId="16A0F940" w14:textId="77777777" w:rsidR="002E111D" w:rsidRDefault="002E111D" w:rsidP="002E111D">
            <w:pPr>
              <w:jc w:val="center"/>
            </w:pPr>
            <w:r w:rsidRPr="002E111D">
              <w:rPr>
                <w:rFonts w:cs="Times New Roman"/>
                <w:rtl/>
              </w:rPr>
              <w:t xml:space="preserve">     </w:t>
            </w:r>
          </w:p>
          <w:p w14:paraId="3886B95C" w14:textId="77777777" w:rsidR="002E111D" w:rsidRDefault="002E111D" w:rsidP="002E111D">
            <w:pPr>
              <w:jc w:val="center"/>
              <w:rPr>
                <w:rtl/>
              </w:rPr>
            </w:pPr>
          </w:p>
        </w:tc>
      </w:tr>
      <w:tr w:rsidR="002E111D" w14:paraId="5C8FA8FF" w14:textId="77777777" w:rsidTr="002E111D">
        <w:trPr>
          <w:trHeight w:val="361"/>
        </w:trPr>
        <w:tc>
          <w:tcPr>
            <w:tcW w:w="3936" w:type="dxa"/>
            <w:tcBorders>
              <w:top w:val="single" w:sz="4" w:space="0" w:color="auto"/>
              <w:left w:val="nil"/>
              <w:bottom w:val="nil"/>
              <w:right w:val="nil"/>
            </w:tcBorders>
            <w:shd w:val="clear" w:color="auto" w:fill="auto"/>
          </w:tcPr>
          <w:p w14:paraId="43923F35" w14:textId="77777777" w:rsidR="002E111D" w:rsidRPr="002E111D" w:rsidRDefault="002E111D" w:rsidP="002E111D">
            <w:pPr>
              <w:jc w:val="center"/>
              <w:rPr>
                <w:b/>
                <w:bCs/>
              </w:rPr>
            </w:pPr>
            <w:r w:rsidRPr="002E111D">
              <w:rPr>
                <w:rFonts w:hint="cs"/>
                <w:b/>
                <w:bCs/>
                <w:rtl/>
              </w:rPr>
              <w:t xml:space="preserve">דניאל פיש , שופט </w:t>
            </w:r>
          </w:p>
        </w:tc>
      </w:tr>
    </w:tbl>
    <w:p w14:paraId="0E532930" w14:textId="77777777" w:rsidR="002E111D" w:rsidRPr="007D00CF" w:rsidRDefault="007D00CF" w:rsidP="002E111D">
      <w:pPr>
        <w:spacing w:line="360" w:lineRule="auto"/>
        <w:jc w:val="both"/>
        <w:rPr>
          <w:rFonts w:ascii="Arial" w:hAnsi="Arial"/>
          <w:color w:val="FFFFFF"/>
          <w:sz w:val="2"/>
          <w:szCs w:val="2"/>
          <w:rtl/>
        </w:rPr>
      </w:pPr>
      <w:r w:rsidRPr="007D00CF">
        <w:rPr>
          <w:rFonts w:ascii="Arial" w:hAnsi="Arial"/>
          <w:color w:val="FFFFFF"/>
          <w:sz w:val="2"/>
          <w:szCs w:val="2"/>
          <w:rtl/>
        </w:rPr>
        <w:t>5129371</w:t>
      </w: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2E111D" w14:paraId="4CF3E333" w14:textId="77777777" w:rsidTr="002E111D">
        <w:trPr>
          <w:trHeight w:val="316"/>
        </w:trPr>
        <w:tc>
          <w:tcPr>
            <w:tcW w:w="3936" w:type="dxa"/>
            <w:tcBorders>
              <w:top w:val="nil"/>
              <w:left w:val="nil"/>
              <w:bottom w:val="single" w:sz="4" w:space="0" w:color="auto"/>
              <w:right w:val="nil"/>
            </w:tcBorders>
            <w:shd w:val="clear" w:color="auto" w:fill="auto"/>
          </w:tcPr>
          <w:p w14:paraId="275FD528" w14:textId="77777777" w:rsidR="002E111D" w:rsidRDefault="007D00CF" w:rsidP="002E111D">
            <w:pPr>
              <w:jc w:val="center"/>
            </w:pPr>
            <w:r w:rsidRPr="007D00CF">
              <w:rPr>
                <w:rFonts w:ascii="Arial" w:hAnsi="Arial"/>
                <w:color w:val="FFFFFF"/>
                <w:sz w:val="2"/>
                <w:szCs w:val="2"/>
                <w:rtl/>
              </w:rPr>
              <w:t>54678313</w:t>
            </w:r>
            <w:r>
              <w:rPr>
                <w:rFonts w:ascii="Arial" w:hAnsi="Arial"/>
                <w:rtl/>
              </w:rPr>
              <w:t xml:space="preserve">ניתן היום,  י"א תמוז תשע"ז, 05 יולי 2017, בהעדר הצדדים. </w:t>
            </w:r>
            <w:r w:rsidR="002E111D" w:rsidRPr="002E111D">
              <w:rPr>
                <w:rFonts w:cs="Times New Roman"/>
                <w:rtl/>
              </w:rPr>
              <w:t xml:space="preserve">     </w:t>
            </w:r>
          </w:p>
          <w:p w14:paraId="22811448" w14:textId="77777777" w:rsidR="002E111D" w:rsidRDefault="002E111D" w:rsidP="002E111D">
            <w:pPr>
              <w:jc w:val="center"/>
              <w:rPr>
                <w:rtl/>
              </w:rPr>
            </w:pPr>
          </w:p>
        </w:tc>
      </w:tr>
      <w:tr w:rsidR="002E111D" w14:paraId="54437E16" w14:textId="77777777" w:rsidTr="002E111D">
        <w:trPr>
          <w:trHeight w:val="361"/>
        </w:trPr>
        <w:tc>
          <w:tcPr>
            <w:tcW w:w="3936" w:type="dxa"/>
            <w:tcBorders>
              <w:top w:val="single" w:sz="4" w:space="0" w:color="auto"/>
              <w:left w:val="nil"/>
              <w:bottom w:val="nil"/>
              <w:right w:val="nil"/>
            </w:tcBorders>
            <w:shd w:val="clear" w:color="auto" w:fill="auto"/>
          </w:tcPr>
          <w:p w14:paraId="435FFB96" w14:textId="77777777" w:rsidR="002E111D" w:rsidRPr="002E111D" w:rsidRDefault="002E111D" w:rsidP="002E111D">
            <w:pPr>
              <w:jc w:val="center"/>
              <w:rPr>
                <w:b/>
                <w:bCs/>
              </w:rPr>
            </w:pPr>
            <w:r w:rsidRPr="002E111D">
              <w:rPr>
                <w:rFonts w:hint="cs"/>
                <w:b/>
                <w:bCs/>
                <w:rtl/>
              </w:rPr>
              <w:t xml:space="preserve">דניאל פיש , שופט </w:t>
            </w:r>
          </w:p>
        </w:tc>
      </w:tr>
    </w:tbl>
    <w:p w14:paraId="3C48EE9B" w14:textId="77777777" w:rsidR="002E111D" w:rsidRDefault="002E111D" w:rsidP="002E111D">
      <w:pPr>
        <w:pStyle w:val="a3"/>
        <w:jc w:val="center"/>
        <w:rPr>
          <w:rtl/>
        </w:rPr>
      </w:pPr>
    </w:p>
    <w:p w14:paraId="54F67744" w14:textId="77777777" w:rsidR="002D7B2F" w:rsidRPr="007D00CF" w:rsidRDefault="002D7B2F" w:rsidP="007D00CF">
      <w:pPr>
        <w:keepNext/>
        <w:rPr>
          <w:rFonts w:ascii="David" w:hAnsi="David"/>
          <w:color w:val="000000"/>
          <w:sz w:val="22"/>
          <w:szCs w:val="22"/>
          <w:rtl/>
        </w:rPr>
      </w:pPr>
    </w:p>
    <w:p w14:paraId="0E4A4612" w14:textId="77777777" w:rsidR="007D00CF" w:rsidRPr="007D00CF" w:rsidRDefault="007D00CF" w:rsidP="007D00CF">
      <w:pPr>
        <w:keepNext/>
        <w:rPr>
          <w:rFonts w:ascii="David" w:hAnsi="David"/>
          <w:color w:val="000000"/>
          <w:sz w:val="22"/>
          <w:szCs w:val="22"/>
          <w:rtl/>
        </w:rPr>
      </w:pPr>
      <w:r w:rsidRPr="007D00CF">
        <w:rPr>
          <w:rFonts w:ascii="David" w:hAnsi="David"/>
          <w:color w:val="000000"/>
          <w:sz w:val="22"/>
          <w:szCs w:val="22"/>
          <w:rtl/>
        </w:rPr>
        <w:t>דניאל פיש 54678313</w:t>
      </w:r>
    </w:p>
    <w:p w14:paraId="526ED643" w14:textId="77777777" w:rsidR="007D00CF" w:rsidRDefault="007D00CF" w:rsidP="007D00CF">
      <w:r w:rsidRPr="007D00CF">
        <w:rPr>
          <w:color w:val="000000"/>
          <w:rtl/>
        </w:rPr>
        <w:t>נוסח מסמך זה כפוף לשינויי ניסוח ועריכה</w:t>
      </w:r>
    </w:p>
    <w:p w14:paraId="011EAB40" w14:textId="77777777" w:rsidR="007D00CF" w:rsidRDefault="007D00CF" w:rsidP="007D00CF">
      <w:pPr>
        <w:rPr>
          <w:rtl/>
        </w:rPr>
      </w:pPr>
    </w:p>
    <w:p w14:paraId="109C60BD" w14:textId="77777777" w:rsidR="007D00CF" w:rsidRDefault="007D00CF" w:rsidP="007D00CF">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5A37E5C3" w14:textId="77777777" w:rsidR="007D00CF" w:rsidRPr="007D00CF" w:rsidRDefault="007D00CF" w:rsidP="007D00CF">
      <w:pPr>
        <w:jc w:val="center"/>
        <w:rPr>
          <w:color w:val="0000FF"/>
          <w:u w:val="single"/>
        </w:rPr>
      </w:pPr>
    </w:p>
    <w:sectPr w:rsidR="007D00CF" w:rsidRPr="007D00CF" w:rsidSect="007D00CF">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DBAB6" w14:textId="77777777" w:rsidR="00390C22" w:rsidRDefault="00390C22" w:rsidP="00CE0644">
      <w:r>
        <w:separator/>
      </w:r>
    </w:p>
  </w:endnote>
  <w:endnote w:type="continuationSeparator" w:id="0">
    <w:p w14:paraId="1A2B1B39" w14:textId="77777777" w:rsidR="00390C22" w:rsidRDefault="00390C22" w:rsidP="00CE0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7AF2E" w14:textId="77777777" w:rsidR="00390C22" w:rsidRDefault="00390C22" w:rsidP="007D00C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38525F" w14:textId="77777777" w:rsidR="00390C22" w:rsidRPr="007D00CF" w:rsidRDefault="00390C22" w:rsidP="007D00C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B3A73" w14:textId="77777777" w:rsidR="00390C22" w:rsidRDefault="00390C22" w:rsidP="007D00C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37D58">
      <w:rPr>
        <w:rFonts w:ascii="FrankRuehl" w:hAnsi="FrankRuehl" w:cs="FrankRuehl"/>
        <w:noProof/>
        <w:rtl/>
      </w:rPr>
      <w:t>1</w:t>
    </w:r>
    <w:r>
      <w:rPr>
        <w:rFonts w:ascii="FrankRuehl" w:hAnsi="FrankRuehl" w:cs="FrankRuehl"/>
        <w:rtl/>
      </w:rPr>
      <w:fldChar w:fldCharType="end"/>
    </w:r>
  </w:p>
  <w:p w14:paraId="2B7E4D75" w14:textId="77777777" w:rsidR="00390C22" w:rsidRPr="007D00CF" w:rsidRDefault="00390C22" w:rsidP="007D00C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5B75B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64017" w14:textId="77777777" w:rsidR="00390C22" w:rsidRDefault="00390C22" w:rsidP="00CE0644">
      <w:r>
        <w:separator/>
      </w:r>
    </w:p>
  </w:footnote>
  <w:footnote w:type="continuationSeparator" w:id="0">
    <w:p w14:paraId="33B05D80" w14:textId="77777777" w:rsidR="00390C22" w:rsidRDefault="00390C22" w:rsidP="00CE0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4B90A" w14:textId="77777777" w:rsidR="00390C22" w:rsidRPr="007D00CF" w:rsidRDefault="00390C22" w:rsidP="007D00C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44521-01-17</w:t>
    </w:r>
    <w:r>
      <w:rPr>
        <w:rFonts w:ascii="David" w:hAnsi="David"/>
        <w:color w:val="000000"/>
        <w:sz w:val="22"/>
        <w:szCs w:val="22"/>
        <w:rtl/>
      </w:rPr>
      <w:tab/>
      <w:t xml:space="preserve"> מדינת ישראל נ' יאמן חלו נסאר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4D989" w14:textId="77777777" w:rsidR="00390C22" w:rsidRPr="007D00CF" w:rsidRDefault="00390C22" w:rsidP="007D00C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44521-01-17</w:t>
    </w:r>
    <w:r>
      <w:rPr>
        <w:rFonts w:ascii="David" w:hAnsi="David"/>
        <w:color w:val="000000"/>
        <w:sz w:val="22"/>
        <w:szCs w:val="22"/>
        <w:rtl/>
      </w:rPr>
      <w:tab/>
      <w:t xml:space="preserve"> מדינת ישראל נ' יאמן חלו נסאר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C24F78"/>
    <w:multiLevelType w:val="hybridMultilevel"/>
    <w:tmpl w:val="AEE4D840"/>
    <w:lvl w:ilvl="0" w:tplc="0409000F">
      <w:start w:val="1"/>
      <w:numFmt w:val="decimal"/>
      <w:lvlText w:val="%1."/>
      <w:lvlJc w:val="left"/>
      <w:pPr>
        <w:ind w:left="720" w:hanging="360"/>
      </w:pPr>
      <w:rPr>
        <w:rFonts w:cs="Times New Roman"/>
      </w:rPr>
    </w:lvl>
    <w:lvl w:ilvl="1" w:tplc="C39A6252">
      <w:start w:val="1"/>
      <w:numFmt w:val="hebrew1"/>
      <w:lvlText w:val="%2."/>
      <w:lvlJc w:val="left"/>
      <w:pPr>
        <w:ind w:left="1560" w:hanging="48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0956625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E111D"/>
    <w:rsid w:val="00040B22"/>
    <w:rsid w:val="00137D58"/>
    <w:rsid w:val="002454B5"/>
    <w:rsid w:val="002C792A"/>
    <w:rsid w:val="002D7B2F"/>
    <w:rsid w:val="002E111D"/>
    <w:rsid w:val="00390C22"/>
    <w:rsid w:val="003E7D02"/>
    <w:rsid w:val="005D1FC1"/>
    <w:rsid w:val="006901B1"/>
    <w:rsid w:val="007D00CF"/>
    <w:rsid w:val="00BA16A0"/>
    <w:rsid w:val="00CE0644"/>
    <w:rsid w:val="00EF7328"/>
    <w:rsid w:val="00FA45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01E34DC"/>
  <w15:chartTrackingRefBased/>
  <w15:docId w15:val="{C438CA13-A394-48BD-B4F6-6BC16B07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111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E111D"/>
    <w:pPr>
      <w:tabs>
        <w:tab w:val="center" w:pos="4153"/>
        <w:tab w:val="right" w:pos="8306"/>
      </w:tabs>
    </w:pPr>
  </w:style>
  <w:style w:type="character" w:customStyle="1" w:styleId="a4">
    <w:name w:val="כותרת עליונה תו"/>
    <w:link w:val="a3"/>
    <w:rsid w:val="002E111D"/>
    <w:rPr>
      <w:rFonts w:ascii="Times New Roman" w:eastAsia="Times New Roman" w:hAnsi="Times New Roman" w:cs="David"/>
      <w:sz w:val="24"/>
      <w:szCs w:val="24"/>
    </w:rPr>
  </w:style>
  <w:style w:type="paragraph" w:styleId="a5">
    <w:name w:val="footer"/>
    <w:basedOn w:val="a"/>
    <w:link w:val="a6"/>
    <w:rsid w:val="002E111D"/>
    <w:pPr>
      <w:tabs>
        <w:tab w:val="center" w:pos="4153"/>
        <w:tab w:val="right" w:pos="8306"/>
      </w:tabs>
    </w:pPr>
  </w:style>
  <w:style w:type="character" w:customStyle="1" w:styleId="a6">
    <w:name w:val="כותרת תחתונה תו"/>
    <w:link w:val="a5"/>
    <w:rsid w:val="002E111D"/>
    <w:rPr>
      <w:rFonts w:ascii="Times New Roman" w:eastAsia="Times New Roman" w:hAnsi="Times New Roman" w:cs="David"/>
      <w:sz w:val="24"/>
      <w:szCs w:val="24"/>
    </w:rPr>
  </w:style>
  <w:style w:type="table" w:styleId="a7">
    <w:name w:val="Table Grid"/>
    <w:basedOn w:val="a1"/>
    <w:rsid w:val="002E111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E111D"/>
  </w:style>
  <w:style w:type="character" w:styleId="Hyperlink">
    <w:name w:val="Hyperlink"/>
    <w:rsid w:val="007D00CF"/>
    <w:rPr>
      <w:color w:val="0563C1"/>
      <w:u w:val="single"/>
    </w:rPr>
  </w:style>
  <w:style w:type="character" w:styleId="a9">
    <w:name w:val="Unresolved Mention"/>
    <w:rsid w:val="007D00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20551957"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case/11298983"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477.2" TargetMode="External"/><Relationship Id="rId17" Type="http://schemas.openxmlformats.org/officeDocument/2006/relationships/hyperlink" Target="http://www.nevo.co.il/case/11298983"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244" TargetMode="External"/><Relationship Id="rId20" Type="http://schemas.openxmlformats.org/officeDocument/2006/relationships/hyperlink" Target="http://www.nevo.co.il/case/203689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77.2"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477.1" TargetMode="External"/><Relationship Id="rId19" Type="http://schemas.openxmlformats.org/officeDocument/2006/relationships/hyperlink" Target="http://www.nevo.co.il/case/20104770" TargetMode="External"/><Relationship Id="rId4" Type="http://schemas.openxmlformats.org/officeDocument/2006/relationships/webSettings" Target="webSettings.xml"/><Relationship Id="rId9" Type="http://schemas.openxmlformats.org/officeDocument/2006/relationships/hyperlink" Target="http://www.nevo.co.il/law/70301/244" TargetMode="External"/><Relationship Id="rId14" Type="http://schemas.openxmlformats.org/officeDocument/2006/relationships/hyperlink" Target="http://www.nevo.co.il/law/70301/477.1"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1022</Words>
  <Characters>5111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6121</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3342453</vt:i4>
      </vt:variant>
      <vt:variant>
        <vt:i4>42</vt:i4>
      </vt:variant>
      <vt:variant>
        <vt:i4>0</vt:i4>
      </vt:variant>
      <vt:variant>
        <vt:i4>5</vt:i4>
      </vt:variant>
      <vt:variant>
        <vt:lpwstr>http://www.nevo.co.il/case/11298983</vt:lpwstr>
      </vt:variant>
      <vt:variant>
        <vt:lpwstr/>
      </vt:variant>
      <vt:variant>
        <vt:i4>3997819</vt:i4>
      </vt:variant>
      <vt:variant>
        <vt:i4>39</vt:i4>
      </vt:variant>
      <vt:variant>
        <vt:i4>0</vt:i4>
      </vt:variant>
      <vt:variant>
        <vt:i4>5</vt:i4>
      </vt:variant>
      <vt:variant>
        <vt:lpwstr>http://www.nevo.co.il/case/20368946</vt:lpwstr>
      </vt:variant>
      <vt:variant>
        <vt:lpwstr/>
      </vt:variant>
      <vt:variant>
        <vt:i4>3145843</vt:i4>
      </vt:variant>
      <vt:variant>
        <vt:i4>36</vt:i4>
      </vt:variant>
      <vt:variant>
        <vt:i4>0</vt:i4>
      </vt:variant>
      <vt:variant>
        <vt:i4>5</vt:i4>
      </vt:variant>
      <vt:variant>
        <vt:lpwstr>http://www.nevo.co.il/case/20104770</vt:lpwstr>
      </vt:variant>
      <vt:variant>
        <vt:lpwstr/>
      </vt:variant>
      <vt:variant>
        <vt:i4>3342456</vt:i4>
      </vt:variant>
      <vt:variant>
        <vt:i4>33</vt:i4>
      </vt:variant>
      <vt:variant>
        <vt:i4>0</vt:i4>
      </vt:variant>
      <vt:variant>
        <vt:i4>5</vt:i4>
      </vt:variant>
      <vt:variant>
        <vt:lpwstr>http://www.nevo.co.il/case/20551957</vt:lpwstr>
      </vt:variant>
      <vt:variant>
        <vt:lpwstr/>
      </vt:variant>
      <vt:variant>
        <vt:i4>3342453</vt:i4>
      </vt:variant>
      <vt:variant>
        <vt:i4>30</vt:i4>
      </vt:variant>
      <vt:variant>
        <vt:i4>0</vt:i4>
      </vt:variant>
      <vt:variant>
        <vt:i4>5</vt:i4>
      </vt:variant>
      <vt:variant>
        <vt:lpwstr>http://www.nevo.co.il/case/11298983</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4980822</vt:i4>
      </vt:variant>
      <vt:variant>
        <vt:i4>21</vt:i4>
      </vt:variant>
      <vt:variant>
        <vt:i4>0</vt:i4>
      </vt:variant>
      <vt:variant>
        <vt:i4>5</vt:i4>
      </vt:variant>
      <vt:variant>
        <vt:lpwstr>http://www.nevo.co.il/law/70301/477.1</vt:lpwstr>
      </vt:variant>
      <vt:variant>
        <vt:lpwstr/>
      </vt:variant>
      <vt:variant>
        <vt:i4>7995492</vt:i4>
      </vt:variant>
      <vt:variant>
        <vt:i4>18</vt:i4>
      </vt:variant>
      <vt:variant>
        <vt:i4>0</vt:i4>
      </vt:variant>
      <vt:variant>
        <vt:i4>5</vt:i4>
      </vt:variant>
      <vt:variant>
        <vt:lpwstr>http://www.nevo.co.il/law/70301</vt:lpwstr>
      </vt:variant>
      <vt:variant>
        <vt:lpwstr/>
      </vt:variant>
      <vt:variant>
        <vt:i4>4980822</vt:i4>
      </vt:variant>
      <vt:variant>
        <vt:i4>15</vt:i4>
      </vt:variant>
      <vt:variant>
        <vt:i4>0</vt:i4>
      </vt:variant>
      <vt:variant>
        <vt:i4>5</vt:i4>
      </vt:variant>
      <vt:variant>
        <vt:lpwstr>http://www.nevo.co.il/law/70301/477.2</vt:lpwstr>
      </vt:variant>
      <vt:variant>
        <vt:lpwstr/>
      </vt:variant>
      <vt:variant>
        <vt:i4>4980822</vt:i4>
      </vt:variant>
      <vt:variant>
        <vt:i4>12</vt:i4>
      </vt:variant>
      <vt:variant>
        <vt:i4>0</vt:i4>
      </vt:variant>
      <vt:variant>
        <vt:i4>5</vt:i4>
      </vt:variant>
      <vt:variant>
        <vt:lpwstr>http://www.nevo.co.il/law/70301/477.2</vt:lpwstr>
      </vt:variant>
      <vt:variant>
        <vt:lpwstr/>
      </vt:variant>
      <vt:variant>
        <vt:i4>4980822</vt:i4>
      </vt:variant>
      <vt:variant>
        <vt:i4>9</vt:i4>
      </vt:variant>
      <vt:variant>
        <vt:i4>0</vt:i4>
      </vt:variant>
      <vt:variant>
        <vt:i4>5</vt:i4>
      </vt:variant>
      <vt:variant>
        <vt:lpwstr>http://www.nevo.co.il/law/70301/477.1</vt:lpwstr>
      </vt:variant>
      <vt:variant>
        <vt:lpwstr/>
      </vt:variant>
      <vt:variant>
        <vt:i4>6357095</vt:i4>
      </vt:variant>
      <vt:variant>
        <vt:i4>6</vt:i4>
      </vt:variant>
      <vt:variant>
        <vt:i4>0</vt:i4>
      </vt:variant>
      <vt:variant>
        <vt:i4>5</vt:i4>
      </vt:variant>
      <vt:variant>
        <vt:lpwstr>http://www.nevo.co.il/law/70301/244</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2025-01-19T16:14:00Z</dcterms:created>
  <dcterms:modified xsi:type="dcterms:W3CDTF">2025-01-19T16:14:00Z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44521;11670</vt:lpwstr>
  </property>
  <property fmtid="{D5CDD505-2E9C-101B-9397-08002B2CF9AE}" pid="6" name="NEWPARTB">
    <vt:lpwstr>01;02</vt:lpwstr>
  </property>
  <property fmtid="{D5CDD505-2E9C-101B-9397-08002B2CF9AE}" pid="7" name="NEWPARTC">
    <vt:lpwstr>17;14</vt:lpwstr>
  </property>
  <property fmtid="{D5CDD505-2E9C-101B-9397-08002B2CF9AE}" pid="8" name="APPELLANT">
    <vt:lpwstr>מדינת ישראל</vt:lpwstr>
  </property>
  <property fmtid="{D5CDD505-2E9C-101B-9397-08002B2CF9AE}" pid="9" name="APPELLEE">
    <vt:lpwstr>יאמן חלו נסאר</vt:lpwstr>
  </property>
  <property fmtid="{D5CDD505-2E9C-101B-9397-08002B2CF9AE}" pid="10" name="LAWYER">
    <vt:lpwstr>דוניא נעאמנה</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20170705</vt:lpwstr>
  </property>
  <property fmtid="{D5CDD505-2E9C-101B-9397-08002B2CF9AE}" pid="14" name="TYPE_N_DATE">
    <vt:lpwstr>39020170705</vt:lpwstr>
  </property>
  <property fmtid="{D5CDD505-2E9C-101B-9397-08002B2CF9AE}" pid="15" name="CASESLISTTMP1">
    <vt:lpwstr>11298983:2;20551957;20104770;20368946</vt:lpwstr>
  </property>
  <property fmtid="{D5CDD505-2E9C-101B-9397-08002B2CF9AE}" pid="16" name="WORDNUMPAGES">
    <vt:lpwstr>4</vt:lpwstr>
  </property>
  <property fmtid="{D5CDD505-2E9C-101B-9397-08002B2CF9AE}" pid="17" name="TYPE_ABS_DATE">
    <vt:lpwstr>390020170705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70301/144.a;244;477.1;477.2</vt:lpwstr>
  </property>
</Properties>
</file>