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7C5C26" w:rsidRPr="00F2727C" w14:paraId="6D5BBA54" w14:textId="77777777" w:rsidTr="00195E41">
        <w:trPr>
          <w:trHeight w:hRule="exact" w:val="851"/>
          <w:jc w:val="center"/>
        </w:trPr>
        <w:tc>
          <w:tcPr>
            <w:tcW w:w="8721" w:type="dxa"/>
            <w:gridSpan w:val="2"/>
          </w:tcPr>
          <w:p w14:paraId="06032036" w14:textId="77777777" w:rsidR="007C5C26" w:rsidRPr="00F2727C" w:rsidRDefault="007C5C26" w:rsidP="000B75B8">
            <w:pPr>
              <w:pStyle w:val="a3"/>
              <w:jc w:val="center"/>
              <w:rPr>
                <w:rFonts w:ascii="Tahoma" w:hAnsi="Tahoma" w:cs="Tahoma"/>
                <w:b/>
                <w:bCs/>
                <w:color w:val="000080"/>
                <w:rtl/>
              </w:rPr>
            </w:pPr>
            <w:bookmarkStart w:id="0" w:name="FirstLawyer"/>
            <w:bookmarkStart w:id="1" w:name="LastJudge"/>
            <w:r w:rsidRPr="00F2727C">
              <w:rPr>
                <w:rFonts w:ascii="Tahoma" w:hAnsi="Tahoma" w:cs="Tahoma"/>
                <w:b/>
                <w:bCs/>
                <w:color w:val="000080"/>
                <w:rtl/>
              </w:rPr>
              <w:t>בית המשפט המחוזי בירושלים</w:t>
            </w:r>
          </w:p>
          <w:p w14:paraId="40F76147" w14:textId="77777777" w:rsidR="007C5C26" w:rsidRPr="00F2727C" w:rsidRDefault="007C5C26" w:rsidP="000B75B8">
            <w:pPr>
              <w:pStyle w:val="a3"/>
              <w:jc w:val="center"/>
              <w:rPr>
                <w:rFonts w:ascii="Tahoma" w:hAnsi="Tahoma" w:cs="Tahoma"/>
                <w:b/>
                <w:bCs/>
                <w:color w:val="000080"/>
                <w:rtl/>
              </w:rPr>
            </w:pPr>
            <w:r w:rsidRPr="00F2727C">
              <w:rPr>
                <w:rFonts w:ascii="Tahoma" w:hAnsi="Tahoma" w:cs="Tahoma" w:hint="cs"/>
                <w:b/>
                <w:bCs/>
                <w:color w:val="000080"/>
                <w:rtl/>
              </w:rPr>
              <w:t xml:space="preserve">לפני כב' השופט דניאל טפרברג </w:t>
            </w:r>
          </w:p>
        </w:tc>
      </w:tr>
      <w:tr w:rsidR="007C5C26" w:rsidRPr="00F2727C" w14:paraId="679B3121" w14:textId="77777777" w:rsidTr="00195E41">
        <w:trPr>
          <w:trHeight w:val="337"/>
          <w:jc w:val="center"/>
        </w:trPr>
        <w:tc>
          <w:tcPr>
            <w:tcW w:w="5059" w:type="dxa"/>
          </w:tcPr>
          <w:p w14:paraId="73082B0A" w14:textId="77777777" w:rsidR="007C5C26" w:rsidRPr="00F2727C" w:rsidRDefault="007C5C26" w:rsidP="000B75B8">
            <w:pPr>
              <w:rPr>
                <w:rFonts w:cs="FrankRuehl"/>
                <w:sz w:val="28"/>
                <w:szCs w:val="28"/>
                <w:rtl/>
              </w:rPr>
            </w:pPr>
            <w:r w:rsidRPr="00F2727C">
              <w:rPr>
                <w:rFonts w:cs="FrankRuehl"/>
                <w:sz w:val="28"/>
                <w:szCs w:val="28"/>
                <w:rtl/>
              </w:rPr>
              <w:t>ת"פ</w:t>
            </w:r>
            <w:r w:rsidRPr="00F2727C">
              <w:rPr>
                <w:rFonts w:cs="FrankRuehl" w:hint="cs"/>
                <w:sz w:val="28"/>
                <w:szCs w:val="28"/>
                <w:rtl/>
              </w:rPr>
              <w:t xml:space="preserve"> </w:t>
            </w:r>
            <w:r w:rsidRPr="00F2727C">
              <w:rPr>
                <w:rFonts w:cs="FrankRuehl"/>
                <w:sz w:val="28"/>
                <w:szCs w:val="28"/>
                <w:rtl/>
              </w:rPr>
              <w:t>9873-02-17</w:t>
            </w:r>
            <w:r w:rsidRPr="00F2727C">
              <w:rPr>
                <w:rFonts w:cs="FrankRuehl" w:hint="cs"/>
                <w:sz w:val="28"/>
                <w:szCs w:val="28"/>
                <w:rtl/>
              </w:rPr>
              <w:t xml:space="preserve"> </w:t>
            </w:r>
            <w:r w:rsidRPr="00F2727C">
              <w:rPr>
                <w:rFonts w:cs="FrankRuehl"/>
                <w:sz w:val="28"/>
                <w:szCs w:val="28"/>
                <w:rtl/>
              </w:rPr>
              <w:t>מדינת ישראל נ' אבו אסחאק(עציר)</w:t>
            </w:r>
          </w:p>
          <w:p w14:paraId="1B6808A9" w14:textId="77777777" w:rsidR="007C5C26" w:rsidRPr="00F2727C" w:rsidRDefault="007C5C26" w:rsidP="000B75B8">
            <w:pPr>
              <w:pStyle w:val="a3"/>
              <w:rPr>
                <w:rFonts w:cs="FrankRuehl"/>
                <w:sz w:val="28"/>
                <w:szCs w:val="28"/>
                <w:rtl/>
              </w:rPr>
            </w:pPr>
          </w:p>
        </w:tc>
        <w:tc>
          <w:tcPr>
            <w:tcW w:w="3662" w:type="dxa"/>
          </w:tcPr>
          <w:p w14:paraId="0120EFC6" w14:textId="77777777" w:rsidR="007C5C26" w:rsidRPr="00F2727C" w:rsidRDefault="007C5C26" w:rsidP="000B75B8">
            <w:pPr>
              <w:pStyle w:val="a3"/>
              <w:jc w:val="right"/>
              <w:rPr>
                <w:rFonts w:cs="FrankRuehl"/>
                <w:sz w:val="28"/>
                <w:szCs w:val="28"/>
                <w:rtl/>
              </w:rPr>
            </w:pPr>
          </w:p>
        </w:tc>
      </w:tr>
    </w:tbl>
    <w:p w14:paraId="47B8B3A7" w14:textId="77777777" w:rsidR="007C5C26" w:rsidRPr="00F2727C" w:rsidRDefault="007C5C26" w:rsidP="007C5C26">
      <w:pPr>
        <w:pStyle w:val="a3"/>
        <w:rPr>
          <w:rtl/>
        </w:rPr>
      </w:pPr>
      <w:r w:rsidRPr="00F2727C">
        <w:rPr>
          <w:rFonts w:hint="cs"/>
          <w:rtl/>
        </w:rPr>
        <w:t xml:space="preserve"> </w:t>
      </w:r>
    </w:p>
    <w:p w14:paraId="13D0EBDB" w14:textId="77777777" w:rsidR="007C5C26" w:rsidRPr="00F2727C" w:rsidRDefault="007C5C26" w:rsidP="007C5C26">
      <w:pPr>
        <w:rPr>
          <w:rFonts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C5C26" w:rsidRPr="00F2727C" w14:paraId="3CB7693C" w14:textId="77777777" w:rsidTr="007C5C26">
        <w:trPr>
          <w:trHeight w:val="355"/>
          <w:jc w:val="center"/>
        </w:trPr>
        <w:tc>
          <w:tcPr>
            <w:tcW w:w="923" w:type="dxa"/>
            <w:tcBorders>
              <w:top w:val="nil"/>
              <w:left w:val="nil"/>
              <w:bottom w:val="nil"/>
              <w:right w:val="nil"/>
            </w:tcBorders>
            <w:shd w:val="clear" w:color="auto" w:fill="auto"/>
          </w:tcPr>
          <w:p w14:paraId="50F4F066" w14:textId="77777777" w:rsidR="007C5C26" w:rsidRPr="00F2727C" w:rsidRDefault="007C5C26" w:rsidP="007C5C26">
            <w:pPr>
              <w:jc w:val="both"/>
              <w:rPr>
                <w:rFonts w:ascii="Arial" w:hAnsi="Arial" w:cs="FrankRuehl"/>
                <w:sz w:val="28"/>
                <w:szCs w:val="28"/>
              </w:rPr>
            </w:pPr>
            <w:bookmarkStart w:id="2" w:name="FirstAppellant"/>
            <w:r w:rsidRPr="00F2727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FB7499A" w14:textId="77777777" w:rsidR="007C5C26" w:rsidRPr="00F2727C" w:rsidRDefault="007C5C26" w:rsidP="000B75B8">
            <w:pPr>
              <w:rPr>
                <w:rFonts w:cs="FrankRuehl"/>
                <w:sz w:val="28"/>
                <w:szCs w:val="28"/>
              </w:rPr>
            </w:pPr>
            <w:r w:rsidRPr="00F2727C">
              <w:rPr>
                <w:rFonts w:ascii="Arial" w:hAnsi="Arial" w:cs="FrankRuehl"/>
                <w:b/>
                <w:bCs/>
                <w:sz w:val="28"/>
                <w:szCs w:val="28"/>
                <w:rtl/>
              </w:rPr>
              <w:t>מדינת ישראל</w:t>
            </w:r>
            <w:r w:rsidRPr="00F2727C">
              <w:rPr>
                <w:rFonts w:ascii="Arial" w:hAnsi="Arial" w:cs="FrankRuehl"/>
                <w:b/>
                <w:bCs/>
                <w:sz w:val="28"/>
                <w:szCs w:val="28"/>
                <w:rtl/>
              </w:rPr>
              <w:br/>
            </w:r>
            <w:r w:rsidRPr="00F2727C">
              <w:rPr>
                <w:rFonts w:cs="FrankRuehl" w:hint="cs"/>
                <w:b/>
                <w:bCs/>
                <w:sz w:val="28"/>
                <w:szCs w:val="28"/>
                <w:rtl/>
              </w:rPr>
              <w:t xml:space="preserve">ע"י ב"כ עו"ד יפעת פנחסי-נבו </w:t>
            </w:r>
          </w:p>
        </w:tc>
        <w:tc>
          <w:tcPr>
            <w:tcW w:w="3771" w:type="dxa"/>
            <w:tcBorders>
              <w:top w:val="nil"/>
              <w:left w:val="nil"/>
              <w:bottom w:val="nil"/>
              <w:right w:val="nil"/>
            </w:tcBorders>
            <w:shd w:val="clear" w:color="auto" w:fill="auto"/>
          </w:tcPr>
          <w:p w14:paraId="158F7CE7" w14:textId="77777777" w:rsidR="007C5C26" w:rsidRPr="00F2727C" w:rsidRDefault="007C5C26" w:rsidP="007C5C26">
            <w:pPr>
              <w:jc w:val="both"/>
              <w:rPr>
                <w:rFonts w:ascii="Arial" w:hAnsi="Arial" w:cs="FrankRuehl"/>
                <w:sz w:val="28"/>
                <w:szCs w:val="28"/>
              </w:rPr>
            </w:pPr>
          </w:p>
        </w:tc>
      </w:tr>
      <w:bookmarkEnd w:id="2"/>
      <w:tr w:rsidR="007C5C26" w:rsidRPr="00F2727C" w14:paraId="67001D74" w14:textId="77777777" w:rsidTr="007C5C26">
        <w:trPr>
          <w:trHeight w:val="355"/>
          <w:jc w:val="center"/>
        </w:trPr>
        <w:tc>
          <w:tcPr>
            <w:tcW w:w="923" w:type="dxa"/>
            <w:tcBorders>
              <w:top w:val="nil"/>
              <w:left w:val="nil"/>
              <w:bottom w:val="nil"/>
              <w:right w:val="nil"/>
            </w:tcBorders>
            <w:shd w:val="clear" w:color="auto" w:fill="auto"/>
          </w:tcPr>
          <w:p w14:paraId="634CE8EE" w14:textId="77777777" w:rsidR="007C5C26" w:rsidRPr="00F2727C" w:rsidRDefault="007C5C26" w:rsidP="007C5C2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890CCE7" w14:textId="77777777" w:rsidR="007C5C26" w:rsidRPr="00F2727C" w:rsidRDefault="007C5C26" w:rsidP="007C5C26">
            <w:pPr>
              <w:jc w:val="both"/>
              <w:rPr>
                <w:rFonts w:cs="FrankRuehl"/>
                <w:sz w:val="28"/>
                <w:szCs w:val="28"/>
                <w:rtl/>
              </w:rPr>
            </w:pPr>
          </w:p>
        </w:tc>
        <w:tc>
          <w:tcPr>
            <w:tcW w:w="3771" w:type="dxa"/>
            <w:tcBorders>
              <w:top w:val="nil"/>
              <w:left w:val="nil"/>
              <w:bottom w:val="nil"/>
              <w:right w:val="nil"/>
            </w:tcBorders>
            <w:shd w:val="clear" w:color="auto" w:fill="auto"/>
          </w:tcPr>
          <w:p w14:paraId="0611769D" w14:textId="77777777" w:rsidR="007C5C26" w:rsidRPr="00F2727C" w:rsidRDefault="007C5C26" w:rsidP="007C5C26">
            <w:pPr>
              <w:jc w:val="right"/>
              <w:rPr>
                <w:rFonts w:ascii="Arial" w:hAnsi="Arial" w:cs="FrankRuehl"/>
                <w:b/>
                <w:bCs/>
                <w:sz w:val="28"/>
                <w:szCs w:val="28"/>
                <w:rtl/>
              </w:rPr>
            </w:pPr>
            <w:r w:rsidRPr="00F2727C">
              <w:rPr>
                <w:rFonts w:ascii="Arial" w:hAnsi="Arial" w:cs="FrankRuehl" w:hint="cs"/>
                <w:b/>
                <w:bCs/>
                <w:sz w:val="28"/>
                <w:szCs w:val="28"/>
                <w:rtl/>
              </w:rPr>
              <w:t>ה</w:t>
            </w:r>
            <w:r w:rsidRPr="00F2727C">
              <w:rPr>
                <w:rFonts w:ascii="Arial" w:hAnsi="Arial" w:cs="FrankRuehl"/>
                <w:b/>
                <w:bCs/>
                <w:sz w:val="28"/>
                <w:szCs w:val="28"/>
                <w:rtl/>
              </w:rPr>
              <w:t>מאשימה</w:t>
            </w:r>
          </w:p>
        </w:tc>
      </w:tr>
      <w:tr w:rsidR="007C5C26" w:rsidRPr="00F2727C" w14:paraId="60DA1A1B" w14:textId="77777777" w:rsidTr="007C5C26">
        <w:trPr>
          <w:trHeight w:val="355"/>
          <w:jc w:val="center"/>
        </w:trPr>
        <w:tc>
          <w:tcPr>
            <w:tcW w:w="923" w:type="dxa"/>
            <w:tcBorders>
              <w:top w:val="nil"/>
              <w:left w:val="nil"/>
              <w:bottom w:val="nil"/>
              <w:right w:val="nil"/>
            </w:tcBorders>
            <w:shd w:val="clear" w:color="auto" w:fill="auto"/>
          </w:tcPr>
          <w:p w14:paraId="0A76E2BB" w14:textId="77777777" w:rsidR="007C5C26" w:rsidRPr="00F2727C" w:rsidRDefault="007C5C26" w:rsidP="007C5C2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DE4CF84" w14:textId="77777777" w:rsidR="007C5C26" w:rsidRPr="00F2727C" w:rsidRDefault="007C5C26" w:rsidP="007C5C26">
            <w:pPr>
              <w:jc w:val="center"/>
              <w:rPr>
                <w:rFonts w:ascii="Arial" w:hAnsi="Arial" w:cs="FrankRuehl"/>
                <w:b/>
                <w:bCs/>
                <w:sz w:val="28"/>
                <w:szCs w:val="28"/>
                <w:rtl/>
              </w:rPr>
            </w:pPr>
          </w:p>
          <w:p w14:paraId="1DF9BB8B" w14:textId="77777777" w:rsidR="007C5C26" w:rsidRPr="00F2727C" w:rsidRDefault="007C5C26" w:rsidP="007C5C26">
            <w:pPr>
              <w:jc w:val="center"/>
              <w:rPr>
                <w:rFonts w:ascii="Arial" w:hAnsi="Arial" w:cs="FrankRuehl"/>
                <w:b/>
                <w:bCs/>
                <w:sz w:val="28"/>
                <w:szCs w:val="28"/>
                <w:rtl/>
              </w:rPr>
            </w:pPr>
            <w:r w:rsidRPr="00F2727C">
              <w:rPr>
                <w:rFonts w:ascii="Arial" w:hAnsi="Arial" w:cs="FrankRuehl"/>
                <w:b/>
                <w:bCs/>
                <w:sz w:val="28"/>
                <w:szCs w:val="28"/>
                <w:rtl/>
              </w:rPr>
              <w:t>נגד</w:t>
            </w:r>
          </w:p>
          <w:p w14:paraId="109C8D01" w14:textId="77777777" w:rsidR="007C5C26" w:rsidRPr="00F2727C" w:rsidRDefault="007C5C26" w:rsidP="007C5C26">
            <w:pPr>
              <w:jc w:val="both"/>
              <w:rPr>
                <w:rFonts w:ascii="Arial" w:hAnsi="Arial" w:cs="FrankRuehl"/>
                <w:sz w:val="28"/>
                <w:szCs w:val="28"/>
              </w:rPr>
            </w:pPr>
          </w:p>
        </w:tc>
      </w:tr>
      <w:tr w:rsidR="007C5C26" w:rsidRPr="00F2727C" w14:paraId="6143CC17" w14:textId="77777777" w:rsidTr="007C5C26">
        <w:trPr>
          <w:trHeight w:val="355"/>
          <w:jc w:val="center"/>
        </w:trPr>
        <w:tc>
          <w:tcPr>
            <w:tcW w:w="923" w:type="dxa"/>
            <w:tcBorders>
              <w:top w:val="nil"/>
              <w:left w:val="nil"/>
              <w:bottom w:val="nil"/>
              <w:right w:val="nil"/>
            </w:tcBorders>
            <w:shd w:val="clear" w:color="auto" w:fill="auto"/>
          </w:tcPr>
          <w:p w14:paraId="2A28673C" w14:textId="77777777" w:rsidR="007C5C26" w:rsidRPr="00F2727C" w:rsidRDefault="007C5C26" w:rsidP="000B75B8">
            <w:pPr>
              <w:rPr>
                <w:rFonts w:ascii="Arial" w:hAnsi="Arial" w:cs="FrankRuehl"/>
                <w:sz w:val="28"/>
                <w:szCs w:val="28"/>
                <w:rtl/>
              </w:rPr>
            </w:pPr>
          </w:p>
        </w:tc>
        <w:tc>
          <w:tcPr>
            <w:tcW w:w="4126" w:type="dxa"/>
            <w:tcBorders>
              <w:top w:val="nil"/>
              <w:left w:val="nil"/>
              <w:bottom w:val="nil"/>
              <w:right w:val="nil"/>
            </w:tcBorders>
            <w:shd w:val="clear" w:color="auto" w:fill="auto"/>
          </w:tcPr>
          <w:p w14:paraId="6B0D3213" w14:textId="77777777" w:rsidR="007C5C26" w:rsidRPr="00F2727C" w:rsidRDefault="007C5C26" w:rsidP="000B75B8">
            <w:pPr>
              <w:rPr>
                <w:rFonts w:cs="FrankRuehl"/>
                <w:sz w:val="28"/>
                <w:szCs w:val="28"/>
                <w:rtl/>
              </w:rPr>
            </w:pPr>
            <w:r w:rsidRPr="00F2727C">
              <w:rPr>
                <w:rFonts w:ascii="Arial" w:hAnsi="Arial" w:cs="FrankRuehl"/>
                <w:b/>
                <w:bCs/>
                <w:sz w:val="28"/>
                <w:szCs w:val="28"/>
                <w:rtl/>
              </w:rPr>
              <w:t>חדר אבו אסחאק (עציר)</w:t>
            </w:r>
            <w:r w:rsidRPr="00F2727C">
              <w:rPr>
                <w:rFonts w:ascii="Arial" w:hAnsi="Arial" w:cs="FrankRuehl"/>
                <w:b/>
                <w:bCs/>
                <w:sz w:val="28"/>
                <w:szCs w:val="28"/>
                <w:rtl/>
              </w:rPr>
              <w:br/>
            </w:r>
            <w:r w:rsidRPr="00F2727C">
              <w:rPr>
                <w:rFonts w:cs="FrankRuehl" w:hint="cs"/>
                <w:b/>
                <w:bCs/>
                <w:sz w:val="28"/>
                <w:szCs w:val="28"/>
                <w:rtl/>
              </w:rPr>
              <w:t xml:space="preserve">ע"י ב"כ עו"ד ניק קאופמן </w:t>
            </w:r>
          </w:p>
        </w:tc>
        <w:tc>
          <w:tcPr>
            <w:tcW w:w="3771" w:type="dxa"/>
            <w:tcBorders>
              <w:top w:val="nil"/>
              <w:left w:val="nil"/>
              <w:bottom w:val="nil"/>
              <w:right w:val="nil"/>
            </w:tcBorders>
            <w:shd w:val="clear" w:color="auto" w:fill="auto"/>
          </w:tcPr>
          <w:p w14:paraId="7446F577" w14:textId="77777777" w:rsidR="007C5C26" w:rsidRPr="00F2727C" w:rsidRDefault="007C5C26" w:rsidP="007C5C26">
            <w:pPr>
              <w:jc w:val="right"/>
              <w:rPr>
                <w:rFonts w:ascii="Arial" w:hAnsi="Arial" w:cs="FrankRuehl"/>
                <w:sz w:val="28"/>
                <w:szCs w:val="28"/>
              </w:rPr>
            </w:pPr>
          </w:p>
        </w:tc>
      </w:tr>
      <w:tr w:rsidR="007C5C26" w:rsidRPr="00F2727C" w14:paraId="31F54B37" w14:textId="77777777" w:rsidTr="007C5C26">
        <w:trPr>
          <w:trHeight w:val="355"/>
          <w:jc w:val="center"/>
        </w:trPr>
        <w:tc>
          <w:tcPr>
            <w:tcW w:w="923" w:type="dxa"/>
            <w:tcBorders>
              <w:top w:val="nil"/>
              <w:left w:val="nil"/>
              <w:bottom w:val="nil"/>
              <w:right w:val="nil"/>
            </w:tcBorders>
            <w:shd w:val="clear" w:color="auto" w:fill="auto"/>
          </w:tcPr>
          <w:p w14:paraId="00F983EC" w14:textId="77777777" w:rsidR="007C5C26" w:rsidRPr="00F2727C" w:rsidRDefault="007C5C26" w:rsidP="007C5C2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F46A7FB" w14:textId="77777777" w:rsidR="007C5C26" w:rsidRPr="00F2727C" w:rsidRDefault="007C5C26" w:rsidP="007C5C26">
            <w:pPr>
              <w:jc w:val="both"/>
              <w:rPr>
                <w:rFonts w:cs="FrankRuehl"/>
                <w:sz w:val="28"/>
                <w:szCs w:val="28"/>
                <w:rtl/>
              </w:rPr>
            </w:pPr>
          </w:p>
        </w:tc>
        <w:tc>
          <w:tcPr>
            <w:tcW w:w="3771" w:type="dxa"/>
            <w:tcBorders>
              <w:top w:val="nil"/>
              <w:left w:val="nil"/>
              <w:bottom w:val="nil"/>
              <w:right w:val="nil"/>
            </w:tcBorders>
            <w:shd w:val="clear" w:color="auto" w:fill="auto"/>
          </w:tcPr>
          <w:p w14:paraId="54A751AD" w14:textId="77777777" w:rsidR="007C5C26" w:rsidRPr="00F2727C" w:rsidRDefault="007C5C26" w:rsidP="007C5C26">
            <w:pPr>
              <w:jc w:val="right"/>
              <w:rPr>
                <w:rFonts w:ascii="Arial" w:hAnsi="Arial" w:cs="FrankRuehl"/>
                <w:sz w:val="28"/>
                <w:szCs w:val="28"/>
              </w:rPr>
            </w:pPr>
            <w:r w:rsidRPr="00F2727C">
              <w:rPr>
                <w:rFonts w:ascii="Arial" w:hAnsi="Arial" w:cs="FrankRuehl" w:hint="cs"/>
                <w:b/>
                <w:bCs/>
                <w:sz w:val="28"/>
                <w:szCs w:val="28"/>
                <w:rtl/>
              </w:rPr>
              <w:t>ה</w:t>
            </w:r>
            <w:r w:rsidRPr="00F2727C">
              <w:rPr>
                <w:rFonts w:ascii="Arial" w:hAnsi="Arial" w:cs="FrankRuehl"/>
                <w:b/>
                <w:bCs/>
                <w:sz w:val="28"/>
                <w:szCs w:val="28"/>
                <w:rtl/>
              </w:rPr>
              <w:t>נאש</w:t>
            </w:r>
            <w:r w:rsidRPr="00F2727C">
              <w:rPr>
                <w:rFonts w:ascii="Arial" w:hAnsi="Arial" w:cs="FrankRuehl" w:hint="cs"/>
                <w:b/>
                <w:bCs/>
                <w:sz w:val="28"/>
                <w:szCs w:val="28"/>
                <w:rtl/>
              </w:rPr>
              <w:t xml:space="preserve">ם </w:t>
            </w:r>
          </w:p>
        </w:tc>
      </w:tr>
      <w:tr w:rsidR="007C5C26" w:rsidRPr="008C3571" w14:paraId="39C7282A" w14:textId="77777777" w:rsidTr="007C5C26">
        <w:trPr>
          <w:trHeight w:val="355"/>
          <w:jc w:val="center"/>
        </w:trPr>
        <w:tc>
          <w:tcPr>
            <w:tcW w:w="8820" w:type="dxa"/>
            <w:gridSpan w:val="3"/>
            <w:tcBorders>
              <w:top w:val="nil"/>
              <w:left w:val="nil"/>
              <w:bottom w:val="nil"/>
              <w:right w:val="nil"/>
            </w:tcBorders>
            <w:shd w:val="clear" w:color="auto" w:fill="auto"/>
          </w:tcPr>
          <w:p w14:paraId="2A535001" w14:textId="77777777" w:rsidR="00BD6890" w:rsidRDefault="00BD6890" w:rsidP="00F2727C">
            <w:pPr>
              <w:jc w:val="center"/>
              <w:rPr>
                <w:rFonts w:ascii="Arial" w:hAnsi="Arial" w:cs="FrankRuehl"/>
                <w:sz w:val="26"/>
                <w:szCs w:val="26"/>
                <w:rtl/>
              </w:rPr>
            </w:pPr>
            <w:bookmarkStart w:id="3" w:name="PsakDin" w:colFirst="0" w:colLast="0"/>
            <w:bookmarkStart w:id="4" w:name="LawTable"/>
            <w:bookmarkEnd w:id="0"/>
            <w:bookmarkEnd w:id="1"/>
            <w:bookmarkEnd w:id="4"/>
          </w:p>
          <w:p w14:paraId="5930F3BA" w14:textId="77777777" w:rsidR="00BD6890" w:rsidRPr="00BD6890" w:rsidRDefault="00BD6890" w:rsidP="00BD6890">
            <w:pPr>
              <w:spacing w:after="120" w:line="240" w:lineRule="exact"/>
              <w:ind w:left="283" w:hanging="283"/>
              <w:jc w:val="both"/>
              <w:rPr>
                <w:rFonts w:ascii="FrankRuehl" w:hAnsi="FrankRuehl" w:cs="FrankRuehl"/>
                <w:rtl/>
              </w:rPr>
            </w:pPr>
          </w:p>
          <w:p w14:paraId="46031DB5" w14:textId="77777777" w:rsidR="00BD6890" w:rsidRPr="00BD6890" w:rsidRDefault="00BD6890" w:rsidP="00BD6890">
            <w:pPr>
              <w:spacing w:after="120" w:line="240" w:lineRule="exact"/>
              <w:ind w:left="283" w:hanging="283"/>
              <w:jc w:val="both"/>
              <w:rPr>
                <w:rFonts w:ascii="FrankRuehl" w:hAnsi="FrankRuehl" w:cs="FrankRuehl"/>
                <w:rtl/>
              </w:rPr>
            </w:pPr>
            <w:r w:rsidRPr="00BD6890">
              <w:rPr>
                <w:rFonts w:ascii="FrankRuehl" w:hAnsi="FrankRuehl" w:cs="FrankRuehl"/>
                <w:rtl/>
              </w:rPr>
              <w:t xml:space="preserve">חקיקה שאוזכרה: </w:t>
            </w:r>
          </w:p>
          <w:p w14:paraId="00977B41" w14:textId="77777777" w:rsidR="00BD6890" w:rsidRPr="00BD6890" w:rsidRDefault="00BD6890" w:rsidP="00BD6890">
            <w:pPr>
              <w:spacing w:after="120" w:line="240" w:lineRule="exact"/>
              <w:ind w:left="283" w:hanging="283"/>
              <w:jc w:val="both"/>
              <w:rPr>
                <w:rFonts w:ascii="FrankRuehl" w:hAnsi="FrankRuehl" w:cs="FrankRuehl"/>
                <w:rtl/>
              </w:rPr>
            </w:pPr>
            <w:hyperlink r:id="rId7" w:history="1">
              <w:r w:rsidRPr="00BD6890">
                <w:rPr>
                  <w:rFonts w:ascii="FrankRuehl" w:hAnsi="FrankRuehl" w:cs="FrankRuehl"/>
                  <w:color w:val="0000FF"/>
                  <w:u w:val="single"/>
                  <w:rtl/>
                </w:rPr>
                <w:t>חוק העונשין, תשל"ז-1977</w:t>
              </w:r>
            </w:hyperlink>
            <w:r w:rsidRPr="00BD6890">
              <w:rPr>
                <w:rFonts w:ascii="FrankRuehl" w:hAnsi="FrankRuehl" w:cs="FrankRuehl"/>
                <w:rtl/>
              </w:rPr>
              <w:t xml:space="preserve">: סע'  </w:t>
            </w:r>
            <w:hyperlink r:id="rId8" w:history="1">
              <w:r w:rsidRPr="00BD6890">
                <w:rPr>
                  <w:rFonts w:ascii="FrankRuehl" w:hAnsi="FrankRuehl" w:cs="FrankRuehl"/>
                  <w:color w:val="0000FF"/>
                  <w:u w:val="single"/>
                  <w:rtl/>
                </w:rPr>
                <w:t>40ב</w:t>
              </w:r>
            </w:hyperlink>
            <w:r w:rsidRPr="00BD6890">
              <w:rPr>
                <w:rFonts w:ascii="FrankRuehl" w:hAnsi="FrankRuehl" w:cs="FrankRuehl"/>
                <w:rtl/>
              </w:rPr>
              <w:t xml:space="preserve">, </w:t>
            </w:r>
            <w:hyperlink r:id="rId9" w:history="1">
              <w:r w:rsidRPr="00BD6890">
                <w:rPr>
                  <w:rFonts w:ascii="FrankRuehl" w:hAnsi="FrankRuehl" w:cs="FrankRuehl"/>
                  <w:color w:val="0000FF"/>
                  <w:u w:val="single"/>
                  <w:rtl/>
                </w:rPr>
                <w:t>40ג</w:t>
              </w:r>
            </w:hyperlink>
            <w:r w:rsidRPr="00BD6890">
              <w:rPr>
                <w:rFonts w:ascii="FrankRuehl" w:hAnsi="FrankRuehl" w:cs="FrankRuehl"/>
                <w:rtl/>
              </w:rPr>
              <w:t xml:space="preserve">, </w:t>
            </w:r>
            <w:hyperlink r:id="rId10" w:history="1">
              <w:r w:rsidRPr="00BD6890">
                <w:rPr>
                  <w:rFonts w:ascii="FrankRuehl" w:hAnsi="FrankRuehl" w:cs="FrankRuehl"/>
                  <w:color w:val="0000FF"/>
                  <w:u w:val="single"/>
                  <w:rtl/>
                </w:rPr>
                <w:t>40ג(ב)</w:t>
              </w:r>
            </w:hyperlink>
            <w:r w:rsidRPr="00BD6890">
              <w:rPr>
                <w:rFonts w:ascii="FrankRuehl" w:hAnsi="FrankRuehl" w:cs="FrankRuehl"/>
                <w:rtl/>
              </w:rPr>
              <w:t xml:space="preserve">, </w:t>
            </w:r>
            <w:hyperlink r:id="rId11" w:history="1">
              <w:r w:rsidRPr="00BD6890">
                <w:rPr>
                  <w:rFonts w:ascii="FrankRuehl" w:hAnsi="FrankRuehl" w:cs="FrankRuehl"/>
                  <w:color w:val="0000FF"/>
                  <w:u w:val="single"/>
                  <w:rtl/>
                </w:rPr>
                <w:t>40ט(א)</w:t>
              </w:r>
            </w:hyperlink>
            <w:r w:rsidRPr="00BD6890">
              <w:rPr>
                <w:rFonts w:ascii="FrankRuehl" w:hAnsi="FrankRuehl" w:cs="FrankRuehl"/>
                <w:rtl/>
              </w:rPr>
              <w:t xml:space="preserve">, </w:t>
            </w:r>
            <w:hyperlink r:id="rId12" w:history="1">
              <w:r w:rsidRPr="00BD6890">
                <w:rPr>
                  <w:rFonts w:ascii="FrankRuehl" w:hAnsi="FrankRuehl" w:cs="FrankRuehl"/>
                  <w:color w:val="0000FF"/>
                  <w:u w:val="single"/>
                  <w:rtl/>
                </w:rPr>
                <w:t>144</w:t>
              </w:r>
            </w:hyperlink>
            <w:r w:rsidRPr="00BD6890">
              <w:rPr>
                <w:rFonts w:ascii="FrankRuehl" w:hAnsi="FrankRuehl" w:cs="FrankRuehl"/>
                <w:rtl/>
              </w:rPr>
              <w:t xml:space="preserve">, </w:t>
            </w:r>
            <w:hyperlink r:id="rId13" w:history="1">
              <w:r w:rsidRPr="00BD6890">
                <w:rPr>
                  <w:rFonts w:ascii="FrankRuehl" w:hAnsi="FrankRuehl" w:cs="FrankRuehl"/>
                  <w:color w:val="0000FF"/>
                  <w:u w:val="single"/>
                  <w:rtl/>
                </w:rPr>
                <w:t>334</w:t>
              </w:r>
            </w:hyperlink>
            <w:r w:rsidRPr="00BD6890">
              <w:rPr>
                <w:rFonts w:ascii="FrankRuehl" w:hAnsi="FrankRuehl" w:cs="FrankRuehl"/>
                <w:rtl/>
              </w:rPr>
              <w:t xml:space="preserve">, </w:t>
            </w:r>
            <w:hyperlink r:id="rId14" w:history="1">
              <w:r w:rsidRPr="00BD6890">
                <w:rPr>
                  <w:rFonts w:ascii="FrankRuehl" w:hAnsi="FrankRuehl" w:cs="FrankRuehl"/>
                  <w:color w:val="0000FF"/>
                  <w:u w:val="single"/>
                  <w:rtl/>
                </w:rPr>
                <w:t>335(א)(1)</w:t>
              </w:r>
            </w:hyperlink>
            <w:r w:rsidRPr="00BD6890">
              <w:rPr>
                <w:rFonts w:ascii="FrankRuehl" w:hAnsi="FrankRuehl" w:cs="FrankRuehl"/>
                <w:rtl/>
              </w:rPr>
              <w:t xml:space="preserve">, </w:t>
            </w:r>
            <w:hyperlink r:id="rId15" w:history="1">
              <w:r w:rsidRPr="00BD6890">
                <w:rPr>
                  <w:rFonts w:ascii="FrankRuehl" w:hAnsi="FrankRuehl" w:cs="FrankRuehl"/>
                  <w:color w:val="0000FF"/>
                  <w:u w:val="single"/>
                  <w:rtl/>
                </w:rPr>
                <w:t>340א</w:t>
              </w:r>
            </w:hyperlink>
            <w:r w:rsidRPr="00BD6890">
              <w:rPr>
                <w:rFonts w:ascii="FrankRuehl" w:hAnsi="FrankRuehl" w:cs="FrankRuehl"/>
                <w:rtl/>
              </w:rPr>
              <w:t xml:space="preserve">, </w:t>
            </w:r>
            <w:hyperlink r:id="rId16" w:history="1">
              <w:r w:rsidRPr="00BD6890">
                <w:rPr>
                  <w:rFonts w:ascii="FrankRuehl" w:hAnsi="FrankRuehl" w:cs="FrankRuehl"/>
                  <w:color w:val="0000FF"/>
                  <w:u w:val="single"/>
                  <w:rtl/>
                </w:rPr>
                <w:t>40יא</w:t>
              </w:r>
            </w:hyperlink>
            <w:r w:rsidRPr="00BD6890">
              <w:rPr>
                <w:rFonts w:ascii="FrankRuehl" w:hAnsi="FrankRuehl" w:cs="FrankRuehl"/>
                <w:rtl/>
              </w:rPr>
              <w:t xml:space="preserve">, </w:t>
            </w:r>
            <w:hyperlink r:id="rId17" w:history="1">
              <w:r w:rsidRPr="00BD6890">
                <w:rPr>
                  <w:rFonts w:ascii="FrankRuehl" w:hAnsi="FrankRuehl" w:cs="FrankRuehl"/>
                  <w:color w:val="0000FF"/>
                  <w:u w:val="single"/>
                  <w:rtl/>
                </w:rPr>
                <w:t>40יג</w:t>
              </w:r>
            </w:hyperlink>
            <w:r w:rsidRPr="00BD6890">
              <w:rPr>
                <w:rFonts w:ascii="FrankRuehl" w:hAnsi="FrankRuehl" w:cs="FrankRuehl"/>
                <w:rtl/>
              </w:rPr>
              <w:t xml:space="preserve">, </w:t>
            </w:r>
            <w:hyperlink r:id="rId18" w:history="1">
              <w:r w:rsidRPr="00BD6890">
                <w:rPr>
                  <w:rFonts w:ascii="FrankRuehl" w:hAnsi="FrankRuehl" w:cs="FrankRuehl"/>
                  <w:color w:val="0000FF"/>
                  <w:u w:val="single"/>
                  <w:rtl/>
                </w:rPr>
                <w:t>א1</w:t>
              </w:r>
            </w:hyperlink>
          </w:p>
          <w:p w14:paraId="4E601F90" w14:textId="77777777" w:rsidR="00BD6890" w:rsidRPr="00BD6890" w:rsidRDefault="00BD6890" w:rsidP="00BD6890">
            <w:pPr>
              <w:spacing w:after="120" w:line="240" w:lineRule="exact"/>
              <w:ind w:left="283" w:hanging="283"/>
              <w:jc w:val="both"/>
              <w:rPr>
                <w:rFonts w:ascii="FrankRuehl" w:hAnsi="FrankRuehl" w:cs="FrankRuehl"/>
                <w:rtl/>
              </w:rPr>
            </w:pPr>
          </w:p>
          <w:p w14:paraId="58A7C4EF" w14:textId="77777777" w:rsidR="00BD6890" w:rsidRPr="00BD6890" w:rsidRDefault="00BD6890" w:rsidP="00F2727C">
            <w:pPr>
              <w:jc w:val="center"/>
              <w:rPr>
                <w:rFonts w:ascii="Arial" w:hAnsi="Arial" w:cs="FrankRuehl"/>
                <w:sz w:val="26"/>
                <w:szCs w:val="26"/>
                <w:rtl/>
              </w:rPr>
            </w:pPr>
            <w:bookmarkStart w:id="5" w:name="LawTable_End"/>
            <w:bookmarkEnd w:id="5"/>
          </w:p>
          <w:p w14:paraId="373AE02A" w14:textId="77777777" w:rsidR="00F2727C" w:rsidRPr="00F2727C" w:rsidRDefault="00F2727C" w:rsidP="00F2727C">
            <w:pPr>
              <w:jc w:val="center"/>
              <w:rPr>
                <w:rFonts w:ascii="Arial" w:hAnsi="Arial" w:cs="FrankRuehl"/>
                <w:b/>
                <w:bCs/>
                <w:sz w:val="26"/>
                <w:szCs w:val="26"/>
                <w:u w:val="single"/>
                <w:rtl/>
              </w:rPr>
            </w:pPr>
            <w:r w:rsidRPr="00F2727C">
              <w:rPr>
                <w:rFonts w:ascii="Arial" w:hAnsi="Arial" w:cs="FrankRuehl"/>
                <w:b/>
                <w:bCs/>
                <w:sz w:val="26"/>
                <w:szCs w:val="26"/>
                <w:u w:val="single"/>
                <w:rtl/>
              </w:rPr>
              <w:t>גזר דין</w:t>
            </w:r>
          </w:p>
          <w:p w14:paraId="68B66ED7" w14:textId="77777777" w:rsidR="007C5C26" w:rsidRPr="00F2727C" w:rsidRDefault="007C5C26" w:rsidP="00F2727C">
            <w:pPr>
              <w:jc w:val="center"/>
              <w:rPr>
                <w:rFonts w:ascii="Arial" w:hAnsi="Arial" w:cs="FrankRuehl"/>
                <w:bCs/>
                <w:sz w:val="26"/>
                <w:szCs w:val="26"/>
                <w:u w:val="single"/>
                <w:rtl/>
              </w:rPr>
            </w:pPr>
          </w:p>
        </w:tc>
      </w:tr>
      <w:bookmarkEnd w:id="3"/>
    </w:tbl>
    <w:p w14:paraId="285CA8FA" w14:textId="77777777" w:rsidR="007C5C26" w:rsidRPr="008C3571" w:rsidRDefault="007C5C26" w:rsidP="007C5C26">
      <w:pPr>
        <w:rPr>
          <w:rFonts w:ascii="Arial" w:hAnsi="Arial" w:cs="FrankRuehl"/>
          <w:sz w:val="26"/>
          <w:szCs w:val="26"/>
          <w:rtl/>
        </w:rPr>
      </w:pPr>
    </w:p>
    <w:p w14:paraId="05CB50DF" w14:textId="77777777" w:rsidR="007C5C26" w:rsidRPr="008C3571" w:rsidRDefault="007C5C26" w:rsidP="007C5C26">
      <w:pPr>
        <w:spacing w:after="120" w:line="360" w:lineRule="auto"/>
        <w:jc w:val="both"/>
        <w:rPr>
          <w:rFonts w:ascii="David" w:hAnsi="David" w:cs="FrankRuehl"/>
          <w:sz w:val="28"/>
          <w:szCs w:val="28"/>
          <w:rtl/>
        </w:rPr>
      </w:pPr>
      <w:bookmarkStart w:id="6" w:name="ABSTRACT_START"/>
      <w:bookmarkEnd w:id="6"/>
      <w:r w:rsidRPr="008C3571">
        <w:rPr>
          <w:rFonts w:ascii="David" w:hAnsi="David" w:cs="FrankRuehl" w:hint="cs"/>
          <w:sz w:val="28"/>
          <w:szCs w:val="28"/>
          <w:rtl/>
        </w:rPr>
        <w:t>הנאשם, יליד 19.6.2002, הודה והורשע במסגרת הסדר טיעון בעבירות הבאות:</w:t>
      </w:r>
    </w:p>
    <w:p w14:paraId="63EA2A84"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b/>
          <w:bCs/>
          <w:sz w:val="28"/>
          <w:szCs w:val="28"/>
          <w:rtl/>
        </w:rPr>
        <w:t>יריות באזור מגורים</w:t>
      </w:r>
      <w:r w:rsidRPr="008C3571">
        <w:rPr>
          <w:rFonts w:ascii="David" w:hAnsi="David" w:cs="FrankRuehl" w:hint="cs"/>
          <w:sz w:val="28"/>
          <w:szCs w:val="28"/>
          <w:rtl/>
        </w:rPr>
        <w:t xml:space="preserve"> – עבירה לפי </w:t>
      </w:r>
      <w:hyperlink r:id="rId19" w:history="1">
        <w:r w:rsidR="00195E41" w:rsidRPr="00195E41">
          <w:rPr>
            <w:rFonts w:ascii="David" w:hAnsi="David" w:cs="FrankRuehl"/>
            <w:color w:val="0000FF"/>
            <w:sz w:val="28"/>
            <w:szCs w:val="28"/>
            <w:u w:val="single"/>
            <w:rtl/>
          </w:rPr>
          <w:t>סעיף 340א</w:t>
        </w:r>
      </w:hyperlink>
      <w:r w:rsidRPr="008C3571">
        <w:rPr>
          <w:rFonts w:ascii="David" w:hAnsi="David" w:cs="FrankRuehl" w:hint="cs"/>
          <w:sz w:val="28"/>
          <w:szCs w:val="28"/>
          <w:rtl/>
        </w:rPr>
        <w:t xml:space="preserve"> ל</w:t>
      </w:r>
      <w:hyperlink r:id="rId20" w:history="1">
        <w:r w:rsidR="00F2727C" w:rsidRPr="00F2727C">
          <w:rPr>
            <w:rFonts w:ascii="David" w:hAnsi="David" w:cs="FrankRuehl"/>
            <w:color w:val="0000FF"/>
            <w:sz w:val="28"/>
            <w:szCs w:val="28"/>
            <w:u w:val="single"/>
            <w:rtl/>
          </w:rPr>
          <w:t>חוק העונשין</w:t>
        </w:r>
      </w:hyperlink>
      <w:r w:rsidRPr="008C3571">
        <w:rPr>
          <w:rFonts w:ascii="David" w:hAnsi="David" w:cs="FrankRuehl" w:hint="cs"/>
          <w:sz w:val="28"/>
          <w:szCs w:val="28"/>
          <w:rtl/>
        </w:rPr>
        <w:t>, התשל"ז-1977 (להלן: החוק).</w:t>
      </w:r>
    </w:p>
    <w:p w14:paraId="296DE9F0"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b/>
          <w:bCs/>
          <w:sz w:val="28"/>
          <w:szCs w:val="28"/>
          <w:rtl/>
        </w:rPr>
        <w:t>פציעה בנסיבות מחמירות</w:t>
      </w:r>
      <w:r w:rsidRPr="008C3571">
        <w:rPr>
          <w:rFonts w:ascii="David" w:hAnsi="David" w:cs="FrankRuehl" w:hint="cs"/>
          <w:sz w:val="28"/>
          <w:szCs w:val="28"/>
          <w:rtl/>
        </w:rPr>
        <w:t xml:space="preserve"> – עבירה לפי </w:t>
      </w:r>
      <w:hyperlink r:id="rId21" w:history="1">
        <w:r w:rsidR="00FF589B" w:rsidRPr="00FF589B">
          <w:rPr>
            <w:rFonts w:ascii="David" w:hAnsi="David" w:cs="FrankRuehl"/>
            <w:color w:val="0000FF"/>
            <w:sz w:val="28"/>
            <w:szCs w:val="28"/>
            <w:u w:val="single"/>
            <w:rtl/>
          </w:rPr>
          <w:t>סעיף 335(א)(1)</w:t>
        </w:r>
      </w:hyperlink>
      <w:r w:rsidRPr="008C3571">
        <w:rPr>
          <w:rFonts w:ascii="David" w:hAnsi="David" w:cs="FrankRuehl" w:hint="cs"/>
          <w:sz w:val="28"/>
          <w:szCs w:val="28"/>
          <w:rtl/>
        </w:rPr>
        <w:t xml:space="preserve"> בצירוף </w:t>
      </w:r>
      <w:hyperlink r:id="rId22" w:history="1">
        <w:r w:rsidR="00FF589B" w:rsidRPr="00FF589B">
          <w:rPr>
            <w:rFonts w:ascii="David" w:hAnsi="David" w:cs="FrankRuehl"/>
            <w:color w:val="0000FF"/>
            <w:sz w:val="28"/>
            <w:szCs w:val="28"/>
            <w:u w:val="single"/>
            <w:rtl/>
          </w:rPr>
          <w:t>סעיף 334</w:t>
        </w:r>
      </w:hyperlink>
      <w:r w:rsidRPr="008C3571">
        <w:rPr>
          <w:rFonts w:ascii="David" w:hAnsi="David" w:cs="FrankRuehl" w:hint="cs"/>
          <w:sz w:val="28"/>
          <w:szCs w:val="28"/>
          <w:rtl/>
        </w:rPr>
        <w:t xml:space="preserve"> לחוק.</w:t>
      </w:r>
    </w:p>
    <w:p w14:paraId="78B469CF"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הנאשם מתגורר בשכונת שועפאט בירושלים, בבניין השייך לסבו, מר חאדר אבו אסחאק (להלן: מר חאדר). בבניין מתגורר גם בנו של מר חאדר ודודו של הנאשם, מר יאסר אבו אסחאק (להלן: המתלונן). </w:t>
      </w:r>
    </w:p>
    <w:p w14:paraId="3C4C314C" w14:textId="77777777" w:rsidR="007C5C26" w:rsidRDefault="007C5C26" w:rsidP="007C5C26">
      <w:pPr>
        <w:spacing w:after="120" w:line="360" w:lineRule="auto"/>
        <w:jc w:val="both"/>
        <w:rPr>
          <w:rFonts w:ascii="David" w:hAnsi="David" w:cs="FrankRuehl"/>
          <w:sz w:val="28"/>
          <w:szCs w:val="28"/>
          <w:rtl/>
        </w:rPr>
      </w:pPr>
      <w:bookmarkStart w:id="7" w:name="ABSTRACT_END"/>
      <w:bookmarkEnd w:id="7"/>
    </w:p>
    <w:p w14:paraId="520BF744"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על פי עובדות כתב האישום המתוקן, ביום 22.1.2017 בשעה 14:00 לערך, התגלע סכסוך בין מר חאדר ובין המתלונן, עקב כך שהמתלונן הזמין חשמלאי למקום. לאחר דין ודברים בין מר חאדר למתלונן, הגיע מר חאדר לדירה בה שהה הנאשם באותה עת, וסיפר לו  כי המתלונן תקף אותו. בעקבות דברים אלה, גמלה בליבו של הנאשם החלטה להפחיד את המתלונן. הנאשם לקח אקדח, </w:t>
      </w:r>
      <w:r w:rsidRPr="008C3571">
        <w:rPr>
          <w:rFonts w:ascii="David" w:hAnsi="David" w:cs="FrankRuehl" w:hint="cs"/>
          <w:sz w:val="28"/>
          <w:szCs w:val="28"/>
          <w:rtl/>
        </w:rPr>
        <w:lastRenderedPageBreak/>
        <w:t xml:space="preserve">ירד לכניסה לבניין וירה כדור אחד לעבר השמיים. לשמע הירייה, הגיעו למקום בו עמד הנאשם שני ילדיו של המתלונן, י' – קטין יליד שנת 2004, ו-מ' – קטין יליד שנת 2000. הנאשם, כיוון את האקדח ממרחק מטרים ספורים לעברו של י'. </w:t>
      </w:r>
    </w:p>
    <w:p w14:paraId="3019D08F"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אחר כל זאת הלך הנאשם בחצר הבניין לכיוון דירת המתלונן, ואגב כך ירה 4 כדורים נוספים לכיוון צמרות העצים בחצר, וזאת במטרה לאיים ולהפחיד את המתלונן. באותה עת הגיעו בני משפחה נוספים למקום, וניסו להניא את הנאשם מלהמשיך ולירות. בעקבות צעקותיהם, ועקב כך שהנאשם הבין כי המתלונן מתכוון להזעיק את המשטרה, ברח הנאשם מהבניין ולקח עמו את האקדח כדי להחביאו. </w:t>
      </w:r>
    </w:p>
    <w:p w14:paraId="6962C428"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לאחר כ-10 דקות חזר הנאשם לבניין. שם, החל להתעמת עם המתלונן כשהוא אוחז במברג. במהלך תגרת ידיים עם המתלונן, חתך הנאשם את המתלונן באמצעות המברג בחלק גופו הימני מעל המותן. </w:t>
      </w:r>
    </w:p>
    <w:p w14:paraId="0D0C13F1"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במעשיו המתוארים לעיל, ירה הנאשם מנשק חם </w:t>
      </w:r>
      <w:r>
        <w:rPr>
          <w:rFonts w:ascii="David" w:hAnsi="David" w:cs="FrankRuehl" w:hint="cs"/>
          <w:sz w:val="28"/>
          <w:szCs w:val="28"/>
          <w:rtl/>
        </w:rPr>
        <w:t>ב</w:t>
      </w:r>
      <w:r w:rsidRPr="008C3571">
        <w:rPr>
          <w:rFonts w:ascii="David" w:hAnsi="David" w:cs="FrankRuehl" w:hint="cs"/>
          <w:sz w:val="28"/>
          <w:szCs w:val="28"/>
          <w:rtl/>
        </w:rPr>
        <w:t xml:space="preserve">אזור מגורים ללא הסבר סביר, ופצע אדם באמצעות נשק קר. </w:t>
      </w:r>
    </w:p>
    <w:p w14:paraId="2365BD20"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הנאשם הודה בעובדות כתב האישום המתוקן, והורשע בעבירות כאמור לעיל: יריות באזור מגורים – עבירה לפי </w:t>
      </w:r>
      <w:hyperlink r:id="rId23" w:history="1">
        <w:r w:rsidR="00FF589B" w:rsidRPr="00FF589B">
          <w:rPr>
            <w:rFonts w:ascii="David" w:hAnsi="David" w:cs="FrankRuehl"/>
            <w:color w:val="0000FF"/>
            <w:sz w:val="28"/>
            <w:szCs w:val="28"/>
            <w:u w:val="single"/>
            <w:rtl/>
          </w:rPr>
          <w:t>סעיף 340א</w:t>
        </w:r>
      </w:hyperlink>
      <w:r w:rsidRPr="008C3571">
        <w:rPr>
          <w:rFonts w:ascii="David" w:hAnsi="David" w:cs="FrankRuehl" w:hint="cs"/>
          <w:sz w:val="28"/>
          <w:szCs w:val="28"/>
          <w:rtl/>
        </w:rPr>
        <w:t xml:space="preserve"> לחוק, ופציעה בנסיבות מחמירות – עבירה לפי סעיף </w:t>
      </w:r>
      <w:hyperlink r:id="rId24" w:history="1">
        <w:r w:rsidR="00FF589B" w:rsidRPr="00FF589B">
          <w:rPr>
            <w:rFonts w:ascii="David" w:hAnsi="David" w:cs="FrankRuehl"/>
            <w:color w:val="0000FF"/>
            <w:sz w:val="28"/>
            <w:szCs w:val="28"/>
            <w:u w:val="single"/>
            <w:rtl/>
          </w:rPr>
          <w:t>335(א)(1)</w:t>
        </w:r>
      </w:hyperlink>
      <w:r w:rsidRPr="008C3571">
        <w:rPr>
          <w:rFonts w:ascii="David" w:hAnsi="David" w:cs="FrankRuehl" w:hint="cs"/>
          <w:sz w:val="28"/>
          <w:szCs w:val="28"/>
          <w:rtl/>
        </w:rPr>
        <w:t xml:space="preserve"> בצירוף </w:t>
      </w:r>
      <w:hyperlink r:id="rId25" w:history="1">
        <w:r w:rsidR="00FF589B" w:rsidRPr="00FF589B">
          <w:rPr>
            <w:rFonts w:ascii="David" w:hAnsi="David" w:cs="FrankRuehl"/>
            <w:color w:val="0000FF"/>
            <w:sz w:val="28"/>
            <w:szCs w:val="28"/>
            <w:u w:val="single"/>
            <w:rtl/>
          </w:rPr>
          <w:t>סעיף 334</w:t>
        </w:r>
      </w:hyperlink>
      <w:r w:rsidRPr="008C3571">
        <w:rPr>
          <w:rFonts w:ascii="David" w:hAnsi="David" w:cs="FrankRuehl" w:hint="cs"/>
          <w:sz w:val="28"/>
          <w:szCs w:val="28"/>
          <w:rtl/>
        </w:rPr>
        <w:t xml:space="preserve"> לחוק.</w:t>
      </w:r>
    </w:p>
    <w:p w14:paraId="11152D6D" w14:textId="77777777" w:rsidR="007C5C26" w:rsidRPr="00195E41" w:rsidRDefault="007C5C26" w:rsidP="00195E41">
      <w:pPr>
        <w:spacing w:after="120" w:line="360" w:lineRule="auto"/>
        <w:jc w:val="both"/>
        <w:rPr>
          <w:rFonts w:ascii="David" w:hAnsi="David" w:cs="FrankRuehl"/>
          <w:sz w:val="28"/>
          <w:szCs w:val="28"/>
          <w:rtl/>
        </w:rPr>
      </w:pPr>
    </w:p>
    <w:p w14:paraId="747C55EF" w14:textId="77777777" w:rsidR="007C5C26" w:rsidRPr="008C3571" w:rsidRDefault="007C5C26" w:rsidP="007C5C26">
      <w:pPr>
        <w:spacing w:after="120" w:line="360" w:lineRule="auto"/>
        <w:jc w:val="both"/>
        <w:rPr>
          <w:rFonts w:ascii="David" w:hAnsi="David" w:cs="FrankRuehl"/>
          <w:b/>
          <w:bCs/>
          <w:sz w:val="28"/>
          <w:szCs w:val="28"/>
          <w:u w:val="single"/>
          <w:rtl/>
        </w:rPr>
      </w:pPr>
      <w:r w:rsidRPr="008C3571">
        <w:rPr>
          <w:rFonts w:ascii="David" w:hAnsi="David" w:cs="FrankRuehl" w:hint="cs"/>
          <w:b/>
          <w:bCs/>
          <w:sz w:val="28"/>
          <w:szCs w:val="28"/>
          <w:u w:val="single"/>
          <w:rtl/>
        </w:rPr>
        <w:t>דיון והכרעה</w:t>
      </w:r>
    </w:p>
    <w:p w14:paraId="60F99986" w14:textId="77777777" w:rsidR="007C5C26" w:rsidRPr="008C3571" w:rsidRDefault="00137782" w:rsidP="007C5C26">
      <w:pPr>
        <w:spacing w:after="120" w:line="360" w:lineRule="auto"/>
        <w:jc w:val="both"/>
        <w:rPr>
          <w:rFonts w:ascii="David" w:hAnsi="David" w:cs="FrankRuehl"/>
          <w:sz w:val="28"/>
          <w:szCs w:val="28"/>
          <w:rtl/>
        </w:rPr>
      </w:pPr>
      <w:hyperlink r:id="rId26" w:history="1">
        <w:r w:rsidRPr="00137782">
          <w:rPr>
            <w:rFonts w:ascii="David" w:hAnsi="David" w:cs="FrankRuehl"/>
            <w:color w:val="0000FF"/>
            <w:sz w:val="28"/>
            <w:szCs w:val="28"/>
            <w:u w:val="single"/>
            <w:rtl/>
          </w:rPr>
          <w:t>סימן א1</w:t>
        </w:r>
      </w:hyperlink>
      <w:r w:rsidR="007C5C26" w:rsidRPr="008C3571">
        <w:rPr>
          <w:rFonts w:ascii="David" w:hAnsi="David" w:cs="FrankRuehl" w:hint="cs"/>
          <w:sz w:val="28"/>
          <w:szCs w:val="28"/>
          <w:rtl/>
        </w:rPr>
        <w:t xml:space="preserve"> לחוק מנחה את בית המשפט לגזור עונש המבטא "יחס הולם בין חומרת מעשה העברה בנסיבותיו ומידת אשמו של הנאשם" [</w:t>
      </w:r>
      <w:hyperlink r:id="rId27" w:history="1">
        <w:r w:rsidR="00FF589B" w:rsidRPr="00FF589B">
          <w:rPr>
            <w:rFonts w:ascii="David" w:hAnsi="David" w:cs="FrankRuehl"/>
            <w:color w:val="0000FF"/>
            <w:sz w:val="28"/>
            <w:szCs w:val="28"/>
            <w:u w:val="single"/>
            <w:rtl/>
          </w:rPr>
          <w:t>סעיף 40ב</w:t>
        </w:r>
      </w:hyperlink>
      <w:r w:rsidR="007C5C26" w:rsidRPr="008C3571">
        <w:rPr>
          <w:rFonts w:ascii="David" w:hAnsi="David" w:cs="FrankRuehl" w:hint="cs"/>
          <w:sz w:val="28"/>
          <w:szCs w:val="28"/>
          <w:rtl/>
        </w:rPr>
        <w:t xml:space="preserve"> לחוק]. לשם כך, על בית המשפט לקבוע 'מתחם עונש הולם', המבוסס על: (1) הערך החברתי שנפגע מביצוע העברה; (2) מידת הפגיעה בערך החברתי; (3) מדיניות הענישה הנהוגה; (4) נסיבות הקשורות בביצוע העברה [</w:t>
      </w:r>
      <w:hyperlink r:id="rId28" w:history="1">
        <w:r w:rsidR="00FF589B" w:rsidRPr="00FF589B">
          <w:rPr>
            <w:rFonts w:ascii="David" w:hAnsi="David" w:cs="FrankRuehl"/>
            <w:color w:val="0000FF"/>
            <w:sz w:val="28"/>
            <w:szCs w:val="28"/>
            <w:u w:val="single"/>
            <w:rtl/>
          </w:rPr>
          <w:t>סעיף 40ג</w:t>
        </w:r>
      </w:hyperlink>
      <w:r w:rsidR="007C5C26" w:rsidRPr="008C3571">
        <w:rPr>
          <w:rFonts w:ascii="David" w:hAnsi="David" w:cs="FrankRuehl" w:hint="cs"/>
          <w:sz w:val="28"/>
          <w:szCs w:val="28"/>
          <w:rtl/>
        </w:rPr>
        <w:t xml:space="preserve"> לחוק]. בשלב הבא, יקבע בית המשפט את העונש בתוך המתחם (</w:t>
      </w:r>
      <w:hyperlink r:id="rId29" w:history="1">
        <w:r w:rsidR="00FF589B" w:rsidRPr="00FF589B">
          <w:rPr>
            <w:rFonts w:ascii="David" w:hAnsi="David" w:cs="FrankRuehl"/>
            <w:color w:val="0000FF"/>
            <w:sz w:val="28"/>
            <w:szCs w:val="28"/>
            <w:u w:val="single"/>
            <w:rtl/>
          </w:rPr>
          <w:t>סעיף 40ג(ב)</w:t>
        </w:r>
      </w:hyperlink>
      <w:r w:rsidR="007C5C26" w:rsidRPr="008C3571">
        <w:rPr>
          <w:rFonts w:ascii="David" w:hAnsi="David" w:cs="FrankRuehl" w:hint="cs"/>
          <w:sz w:val="28"/>
          <w:szCs w:val="28"/>
          <w:rtl/>
        </w:rPr>
        <w:t xml:space="preserve"> לחוק). כשמדובר במי שהורשע בריבוי עבירות, הליך גזירת הדין כולל שלושה שלבים. בשלב הראשון על בית המשפט לקבוע בהתאם </w:t>
      </w:r>
      <w:hyperlink r:id="rId30" w:history="1">
        <w:r w:rsidR="00FF589B" w:rsidRPr="00FF589B">
          <w:rPr>
            <w:rFonts w:ascii="David" w:hAnsi="David" w:cs="FrankRuehl"/>
            <w:color w:val="0000FF"/>
            <w:sz w:val="28"/>
            <w:szCs w:val="28"/>
            <w:u w:val="single"/>
            <w:rtl/>
          </w:rPr>
          <w:t>לסעיף 40יג</w:t>
        </w:r>
      </w:hyperlink>
      <w:r w:rsidR="007C5C26" w:rsidRPr="008C3571">
        <w:rPr>
          <w:rFonts w:ascii="David" w:hAnsi="David" w:cs="FrankRuehl" w:hint="cs"/>
          <w:sz w:val="28"/>
          <w:szCs w:val="28"/>
          <w:rtl/>
        </w:rPr>
        <w:t xml:space="preserve"> לחוק, האם עבירות אלה מהוות אירוע אחד או כמה אירועים, על פי מבחן "הקשר ההדוק" שהתפתח בפסיקה (</w:t>
      </w:r>
      <w:hyperlink r:id="rId31" w:history="1">
        <w:r w:rsidR="00F2727C" w:rsidRPr="00F2727C">
          <w:rPr>
            <w:rFonts w:ascii="David" w:hAnsi="David" w:cs="FrankRuehl"/>
            <w:color w:val="0000FF"/>
            <w:sz w:val="28"/>
            <w:szCs w:val="28"/>
            <w:u w:val="single"/>
            <w:rtl/>
          </w:rPr>
          <w:t>ע"פ 4910/13</w:t>
        </w:r>
      </w:hyperlink>
      <w:r w:rsidR="007C5C26" w:rsidRPr="008C3571">
        <w:rPr>
          <w:rFonts w:ascii="David" w:hAnsi="David" w:cs="FrankRuehl" w:hint="cs"/>
          <w:sz w:val="28"/>
          <w:szCs w:val="28"/>
          <w:rtl/>
        </w:rPr>
        <w:t xml:space="preserve"> </w:t>
      </w:r>
      <w:r w:rsidR="007C5C26" w:rsidRPr="008C3571">
        <w:rPr>
          <w:rFonts w:ascii="David" w:hAnsi="David" w:cs="FrankRuehl" w:hint="cs"/>
          <w:b/>
          <w:bCs/>
          <w:sz w:val="28"/>
          <w:szCs w:val="28"/>
          <w:rtl/>
        </w:rPr>
        <w:t>ג'אבר נ' מדינת ישראל</w:t>
      </w:r>
      <w:r w:rsidR="007C5C26" w:rsidRPr="008C3571">
        <w:rPr>
          <w:rFonts w:ascii="David" w:hAnsi="David" w:cs="FrankRuehl" w:hint="cs"/>
          <w:sz w:val="28"/>
          <w:szCs w:val="28"/>
          <w:rtl/>
        </w:rPr>
        <w:t xml:space="preserve"> (פורסם בנבו, 29.10.2014) (להלן: עניין </w:t>
      </w:r>
      <w:r w:rsidR="007C5C26" w:rsidRPr="008C3571">
        <w:rPr>
          <w:rFonts w:ascii="David" w:hAnsi="David" w:cs="FrankRuehl" w:hint="cs"/>
          <w:b/>
          <w:bCs/>
          <w:sz w:val="28"/>
          <w:szCs w:val="28"/>
          <w:rtl/>
        </w:rPr>
        <w:t>ג'אבר</w:t>
      </w:r>
      <w:r w:rsidR="007C5C26" w:rsidRPr="008C3571">
        <w:rPr>
          <w:rFonts w:ascii="David" w:hAnsi="David" w:cs="FrankRuehl" w:hint="cs"/>
          <w:sz w:val="28"/>
          <w:szCs w:val="28"/>
          <w:rtl/>
        </w:rPr>
        <w:t xml:space="preserve">); וכן </w:t>
      </w:r>
      <w:hyperlink r:id="rId32" w:history="1">
        <w:r w:rsidR="00F2727C" w:rsidRPr="00F2727C">
          <w:rPr>
            <w:rFonts w:ascii="David" w:hAnsi="David" w:cs="FrankRuehl"/>
            <w:color w:val="0000FF"/>
            <w:sz w:val="28"/>
            <w:szCs w:val="28"/>
            <w:u w:val="single"/>
            <w:rtl/>
          </w:rPr>
          <w:t>ע"פ 1127/13</w:t>
        </w:r>
      </w:hyperlink>
      <w:r w:rsidR="007C5C26" w:rsidRPr="008C3571">
        <w:rPr>
          <w:rFonts w:ascii="David" w:hAnsi="David" w:cs="FrankRuehl" w:hint="cs"/>
          <w:sz w:val="28"/>
          <w:szCs w:val="28"/>
          <w:rtl/>
        </w:rPr>
        <w:t xml:space="preserve"> </w:t>
      </w:r>
      <w:r w:rsidR="007C5C26" w:rsidRPr="008C3571">
        <w:rPr>
          <w:rFonts w:ascii="David" w:hAnsi="David" w:cs="FrankRuehl" w:hint="cs"/>
          <w:b/>
          <w:bCs/>
          <w:sz w:val="28"/>
          <w:szCs w:val="28"/>
          <w:rtl/>
        </w:rPr>
        <w:t>גברזגיי נ' מדינת ישראל</w:t>
      </w:r>
      <w:r w:rsidR="007C5C26" w:rsidRPr="008C3571">
        <w:rPr>
          <w:rFonts w:ascii="David" w:hAnsi="David" w:cs="FrankRuehl" w:hint="cs"/>
          <w:sz w:val="28"/>
          <w:szCs w:val="28"/>
          <w:rtl/>
        </w:rPr>
        <w:t xml:space="preserve">  (פורסם בנבו, 15.1.2014) ו</w:t>
      </w:r>
      <w:hyperlink r:id="rId33" w:history="1">
        <w:r w:rsidR="00F2727C" w:rsidRPr="00F2727C">
          <w:rPr>
            <w:rFonts w:ascii="David" w:hAnsi="David" w:cs="FrankRuehl"/>
            <w:color w:val="0000FF"/>
            <w:sz w:val="28"/>
            <w:szCs w:val="28"/>
            <w:u w:val="single"/>
            <w:rtl/>
          </w:rPr>
          <w:t>ע"פ 4702/15</w:t>
        </w:r>
      </w:hyperlink>
      <w:r w:rsidR="007C5C26" w:rsidRPr="008C3571">
        <w:rPr>
          <w:rFonts w:ascii="David" w:hAnsi="David" w:cs="FrankRuehl" w:hint="cs"/>
          <w:sz w:val="28"/>
          <w:szCs w:val="28"/>
          <w:rtl/>
        </w:rPr>
        <w:t xml:space="preserve"> </w:t>
      </w:r>
      <w:r w:rsidR="007C5C26" w:rsidRPr="008C3571">
        <w:rPr>
          <w:rFonts w:ascii="David" w:hAnsi="David" w:cs="FrankRuehl" w:hint="cs"/>
          <w:b/>
          <w:bCs/>
          <w:sz w:val="28"/>
          <w:szCs w:val="28"/>
          <w:rtl/>
        </w:rPr>
        <w:t>עביד נ' מדינת ישראל</w:t>
      </w:r>
      <w:r w:rsidR="007C5C26" w:rsidRPr="008C3571">
        <w:rPr>
          <w:rFonts w:ascii="David" w:hAnsi="David" w:cs="FrankRuehl" w:hint="cs"/>
          <w:sz w:val="28"/>
          <w:szCs w:val="28"/>
          <w:rtl/>
        </w:rPr>
        <w:t xml:space="preserve"> (פורסם בנבו, 20.4.2016)). אם מדובר בכמה </w:t>
      </w:r>
      <w:r w:rsidR="007C5C26" w:rsidRPr="008C3571">
        <w:rPr>
          <w:rFonts w:ascii="David" w:hAnsi="David" w:cs="FrankRuehl" w:hint="cs"/>
          <w:sz w:val="28"/>
          <w:szCs w:val="28"/>
          <w:rtl/>
        </w:rPr>
        <w:lastRenderedPageBreak/>
        <w:t xml:space="preserve">עבירות המהוות אירוע אחד, יקבע בית המשפט מתחם עונש הולם לאירוע כולו, ויגזור עונש כולל לכל העבירות בשל אותו אירוע. </w:t>
      </w:r>
    </w:p>
    <w:p w14:paraId="62839281"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הבחנה בין תרחיש עובדתי שיש לראותו כאירוע אחד, לבין תרחיש עובדתי שיש לראותו ככמה אירועים, לעיתים מעוררת קושי. ברגיל, מעשים שונים המהווים "אירוע אחד", יתקיימו אם נמצאה בין הפעולות "סמיכות זמנים" ואם הפעולות הן "חלק מאותה תוכנית עבריינית" (עניין </w:t>
      </w:r>
      <w:r w:rsidRPr="008C3571">
        <w:rPr>
          <w:rFonts w:ascii="David" w:hAnsi="David" w:cs="FrankRuehl" w:hint="cs"/>
          <w:b/>
          <w:bCs/>
          <w:sz w:val="28"/>
          <w:szCs w:val="28"/>
          <w:rtl/>
        </w:rPr>
        <w:t>ג'אבר</w:t>
      </w:r>
      <w:r w:rsidRPr="008C3571">
        <w:rPr>
          <w:rFonts w:ascii="David" w:hAnsi="David" w:cs="FrankRuehl" w:hint="cs"/>
          <w:sz w:val="28"/>
          <w:szCs w:val="28"/>
          <w:rtl/>
        </w:rPr>
        <w:t xml:space="preserve"> הנ"ל). בענייננו, מצאתי כי קיים קשר הדוק בין האישומים בגינם עומד הנאשם לדין, ועל כן יש לקבוע מתחם עונש אחד לשניהם. מדובר במעשים שנעשו בסמיכות זמנים הדוקה, ולצורך אותה מטרה – הפחדת המתלונן. אוסיף כי המאשימה לא התנגדה לבקשת ב"כ הנאשם, לקבוע מתחם עונש אחד לשני האישומים (עמ' 7 שו' 5 ו-6 לפרוטוקול).</w:t>
      </w:r>
    </w:p>
    <w:p w14:paraId="6C983D1F"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מידת הפגיעה בערכים החברתיים בעבירה מסוג ירי באזור מגורים, הינה מן הגבוהות, נוכח החשש והפחד שמעשים מעין אלה נוטעים בלב אדם מן היישוב, שעלול להיקלע לסיטואציה שתביא לאובדן חיי אדם ולפגיעה בחפים מפשע, כאשר כל "חטאו" נובע מכך כי נקלע בדרך מקרה לזירת פשע. כך גם מידת הסיכון שייגרם נזק ופגיעה בשלומו ואף בחייו של אדם הינו גבוה, בהתחשב בכך, שהירי מבוצע בלב אזור מגורים. הערכים הנפגעים אפוא, הם ביטחון הציבור ושלטון החוק.</w:t>
      </w:r>
    </w:p>
    <w:p w14:paraId="276DBB6F"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באשר למדיניות הענישה הנוהגת, לא רבה הפסיקה הנוגעת לעבירת </w:t>
      </w:r>
      <w:r>
        <w:rPr>
          <w:rFonts w:ascii="David" w:hAnsi="David" w:cs="FrankRuehl" w:hint="cs"/>
          <w:sz w:val="28"/>
          <w:szCs w:val="28"/>
          <w:rtl/>
        </w:rPr>
        <w:t xml:space="preserve">ירי </w:t>
      </w:r>
      <w:r w:rsidRPr="008C3571">
        <w:rPr>
          <w:rFonts w:ascii="David" w:hAnsi="David" w:cs="FrankRuehl" w:hint="cs"/>
          <w:sz w:val="28"/>
          <w:szCs w:val="28"/>
          <w:rtl/>
        </w:rPr>
        <w:t>באיזור מגורים, שאינה נלווית ל-"עבירות בנשק" נוספות. ב</w:t>
      </w:r>
      <w:hyperlink r:id="rId34" w:history="1">
        <w:r w:rsidR="00F2727C" w:rsidRPr="00F2727C">
          <w:rPr>
            <w:rFonts w:ascii="David" w:hAnsi="David" w:cs="FrankRuehl"/>
            <w:color w:val="0000FF"/>
            <w:sz w:val="28"/>
            <w:szCs w:val="28"/>
            <w:u w:val="single"/>
            <w:rtl/>
          </w:rPr>
          <w:t>ת"פ (מחוזי חי') 13401-03-12</w:t>
        </w:r>
      </w:hyperlink>
      <w:r w:rsidRPr="008C3571">
        <w:rPr>
          <w:rFonts w:ascii="David" w:hAnsi="David" w:cs="FrankRuehl" w:hint="cs"/>
          <w:sz w:val="28"/>
          <w:szCs w:val="28"/>
          <w:rtl/>
        </w:rPr>
        <w:t xml:space="preserve"> </w:t>
      </w:r>
      <w:r w:rsidRPr="008C3571">
        <w:rPr>
          <w:rFonts w:ascii="David" w:hAnsi="David" w:cs="FrankRuehl" w:hint="cs"/>
          <w:b/>
          <w:bCs/>
          <w:sz w:val="28"/>
          <w:szCs w:val="28"/>
          <w:rtl/>
        </w:rPr>
        <w:t>מדינת ישראל נ' ח'ורי</w:t>
      </w:r>
      <w:r w:rsidRPr="008C3571">
        <w:rPr>
          <w:rFonts w:ascii="David" w:hAnsi="David" w:cs="FrankRuehl" w:hint="cs"/>
          <w:sz w:val="28"/>
          <w:szCs w:val="28"/>
          <w:rtl/>
        </w:rPr>
        <w:t xml:space="preserve"> (פורסם בנבו, 7.6.2012), הורשע נאשם בעבירות של החזקת נשק שלא כדין, נשיאת והובלת נשק </w:t>
      </w:r>
      <w:r>
        <w:rPr>
          <w:rFonts w:ascii="David" w:hAnsi="David" w:cs="FrankRuehl" w:hint="cs"/>
          <w:sz w:val="28"/>
          <w:szCs w:val="28"/>
          <w:rtl/>
        </w:rPr>
        <w:t xml:space="preserve">וירי </w:t>
      </w:r>
      <w:r w:rsidRPr="008C3571">
        <w:rPr>
          <w:rFonts w:ascii="David" w:hAnsi="David" w:cs="FrankRuehl" w:hint="cs"/>
          <w:sz w:val="28"/>
          <w:szCs w:val="28"/>
          <w:rtl/>
        </w:rPr>
        <w:t>באזור מגורים. המדובר היה בבחור צעיר, ללא עבר פלילי. בית המשפט המחוזי השית עליו 20 חודשי מאסר בפועל ו- 10 חודשי מאסר על תנאי. ב</w:t>
      </w:r>
      <w:hyperlink r:id="rId35" w:history="1">
        <w:r w:rsidR="00F2727C" w:rsidRPr="00F2727C">
          <w:rPr>
            <w:rFonts w:ascii="David" w:hAnsi="David" w:cs="FrankRuehl"/>
            <w:color w:val="0000FF"/>
            <w:sz w:val="28"/>
            <w:szCs w:val="28"/>
            <w:u w:val="single"/>
            <w:rtl/>
          </w:rPr>
          <w:t>ת"פ (מחוזי נצ') 13179-07-14</w:t>
        </w:r>
      </w:hyperlink>
      <w:r w:rsidRPr="008C3571">
        <w:rPr>
          <w:rFonts w:ascii="David" w:hAnsi="David" w:cs="FrankRuehl" w:hint="cs"/>
          <w:sz w:val="28"/>
          <w:szCs w:val="28"/>
          <w:rtl/>
        </w:rPr>
        <w:t xml:space="preserve"> </w:t>
      </w:r>
      <w:r w:rsidRPr="008C3571">
        <w:rPr>
          <w:rFonts w:ascii="David" w:hAnsi="David" w:cs="FrankRuehl" w:hint="cs"/>
          <w:b/>
          <w:bCs/>
          <w:sz w:val="28"/>
          <w:szCs w:val="28"/>
          <w:rtl/>
        </w:rPr>
        <w:t>מדינת ישראל נ' עווד</w:t>
      </w:r>
      <w:r w:rsidRPr="008C3571">
        <w:rPr>
          <w:rFonts w:ascii="David" w:hAnsi="David" w:cs="FrankRuehl" w:hint="cs"/>
          <w:sz w:val="28"/>
          <w:szCs w:val="28"/>
          <w:rtl/>
        </w:rPr>
        <w:t xml:space="preserve"> (פורסם בנבו, 5.5.2015), הורשע נאשם בעבירות של החזקה ונשיאת נשק ותחמושת, ירי באזור מגורים, שיבוש מהלכי משפט, הפרת הוראה חוקית, גניבה ואיומים. הנאשם ביצע את העבירות המתוארות בכתב האישום בעודו שוהה במעצר בית. לחובת הנאשם היה עבר פלילי הכולל הרשעה בעבירת אלימות (פציעה). בית המשפט המחוזי גזר עליו 24 חודשי מאסר בפועל, ומאסר צופה פני עתיד. על אף כל זאת יש לזכור כי בענייננו, הורשע הנאשם בעבירה לפי </w:t>
      </w:r>
      <w:hyperlink r:id="rId36" w:history="1">
        <w:r w:rsidR="00FF589B" w:rsidRPr="00FF589B">
          <w:rPr>
            <w:rFonts w:ascii="David" w:hAnsi="David" w:cs="FrankRuehl"/>
            <w:color w:val="0000FF"/>
            <w:sz w:val="28"/>
            <w:szCs w:val="28"/>
            <w:u w:val="single"/>
            <w:rtl/>
          </w:rPr>
          <w:t>סעיף 340א</w:t>
        </w:r>
      </w:hyperlink>
      <w:r w:rsidRPr="008C3571">
        <w:rPr>
          <w:rFonts w:ascii="David" w:hAnsi="David" w:cs="FrankRuehl" w:hint="cs"/>
          <w:sz w:val="28"/>
          <w:szCs w:val="28"/>
          <w:rtl/>
        </w:rPr>
        <w:t xml:space="preserve"> לחוק, שהעונש המירבי עליה הוא שנת מאסר. ניתן לקבוע כי מדיניות הענישה הנוהגת בעבירה זו, היא בין 6 ל-12 חודשי מאסר בפועל. </w:t>
      </w:r>
    </w:p>
    <w:p w14:paraId="37BC5DD4"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בנוגע לעבירה הנוספת בה הורשע הנאשם, עבירת הפציעה בנסיבות מחמירות, הערכים המוגנים הנפגעים הינם ערך שמירת החיים ושלמות הגוף, כמו גם הגנה על שלום הציבור וביטחונו. העונש המירבי בגין עבירת פציעה בנסיבות מחמירות הוא 6 שנות מאסר. עיון במדיניות הענישה הנהוגה בעבירה זו, מלמד על מתחם ענישה שבין 9 ל-18 חודשי מאסר בפועל (ראו למשל: </w:t>
      </w:r>
      <w:hyperlink r:id="rId37" w:history="1">
        <w:r w:rsidR="00F2727C" w:rsidRPr="00F2727C">
          <w:rPr>
            <w:rFonts w:ascii="David" w:hAnsi="David" w:cs="FrankRuehl"/>
            <w:color w:val="0000FF"/>
            <w:sz w:val="28"/>
            <w:szCs w:val="28"/>
            <w:u w:val="single"/>
            <w:rtl/>
          </w:rPr>
          <w:t>ת"פ (מחוזי נצ') 6009-06-12</w:t>
        </w:r>
      </w:hyperlink>
      <w:r w:rsidRPr="008C3571">
        <w:rPr>
          <w:rFonts w:ascii="David" w:hAnsi="David" w:cs="FrankRuehl" w:hint="cs"/>
          <w:sz w:val="28"/>
          <w:szCs w:val="28"/>
          <w:rtl/>
        </w:rPr>
        <w:t xml:space="preserve"> </w:t>
      </w:r>
      <w:r w:rsidRPr="008C3571">
        <w:rPr>
          <w:rFonts w:ascii="David" w:hAnsi="David" w:cs="FrankRuehl" w:hint="cs"/>
          <w:b/>
          <w:bCs/>
          <w:sz w:val="28"/>
          <w:szCs w:val="28"/>
          <w:rtl/>
        </w:rPr>
        <w:t>מדינת ישראל נ' חבשי</w:t>
      </w:r>
      <w:r w:rsidRPr="008C3571">
        <w:rPr>
          <w:rFonts w:ascii="David" w:hAnsi="David" w:cs="FrankRuehl" w:hint="cs"/>
          <w:sz w:val="28"/>
          <w:szCs w:val="28"/>
          <w:rtl/>
        </w:rPr>
        <w:t xml:space="preserve"> (פורסם בנבו, 5.2.2013), בו נקבע מתחם ענישה בין 9-18 חודשי מאסר ונגזרו 12 חודשי מאסר; </w:t>
      </w:r>
      <w:hyperlink r:id="rId38" w:history="1">
        <w:r w:rsidR="00F2727C" w:rsidRPr="00F2727C">
          <w:rPr>
            <w:rFonts w:ascii="David" w:hAnsi="David" w:cs="FrankRuehl"/>
            <w:color w:val="0000FF"/>
            <w:sz w:val="28"/>
            <w:szCs w:val="28"/>
            <w:u w:val="single"/>
            <w:rtl/>
          </w:rPr>
          <w:t>ע"פ 6176/12</w:t>
        </w:r>
      </w:hyperlink>
      <w:r w:rsidRPr="008C3571">
        <w:rPr>
          <w:rFonts w:ascii="David" w:hAnsi="David" w:cs="FrankRuehl" w:hint="cs"/>
          <w:sz w:val="28"/>
          <w:szCs w:val="28"/>
          <w:rtl/>
        </w:rPr>
        <w:t xml:space="preserve"> </w:t>
      </w:r>
      <w:r w:rsidRPr="008C3571">
        <w:rPr>
          <w:rFonts w:ascii="David" w:hAnsi="David" w:cs="FrankRuehl" w:hint="cs"/>
          <w:b/>
          <w:bCs/>
          <w:sz w:val="28"/>
          <w:szCs w:val="28"/>
          <w:rtl/>
        </w:rPr>
        <w:t>מועין שווק נ' מדינת ישראל</w:t>
      </w:r>
      <w:r w:rsidRPr="008C3571">
        <w:rPr>
          <w:rFonts w:ascii="David" w:hAnsi="David" w:cs="FrankRuehl" w:hint="cs"/>
          <w:sz w:val="28"/>
          <w:szCs w:val="28"/>
          <w:rtl/>
        </w:rPr>
        <w:t xml:space="preserve"> (פורסם בנבו, 13.1.2013), שם נגזרו 18 חודשי מאסר; </w:t>
      </w:r>
      <w:hyperlink r:id="rId39" w:history="1">
        <w:r w:rsidR="00F2727C" w:rsidRPr="00F2727C">
          <w:rPr>
            <w:rFonts w:ascii="David" w:hAnsi="David" w:cs="FrankRuehl"/>
            <w:color w:val="0000FF"/>
            <w:sz w:val="28"/>
            <w:szCs w:val="28"/>
            <w:u w:val="single"/>
            <w:rtl/>
          </w:rPr>
          <w:t>ת"פ (מחוזי י-ם) 2084/06</w:t>
        </w:r>
      </w:hyperlink>
      <w:r w:rsidRPr="008C3571">
        <w:rPr>
          <w:rFonts w:ascii="David" w:hAnsi="David" w:cs="FrankRuehl" w:hint="cs"/>
          <w:sz w:val="28"/>
          <w:szCs w:val="28"/>
          <w:rtl/>
        </w:rPr>
        <w:t xml:space="preserve"> </w:t>
      </w:r>
      <w:r w:rsidRPr="008C3571">
        <w:rPr>
          <w:rFonts w:ascii="David" w:hAnsi="David" w:cs="FrankRuehl" w:hint="cs"/>
          <w:b/>
          <w:bCs/>
          <w:sz w:val="28"/>
          <w:szCs w:val="28"/>
          <w:rtl/>
        </w:rPr>
        <w:t>מדינת ישראל נ' קבועה</w:t>
      </w:r>
      <w:r w:rsidRPr="008C3571">
        <w:rPr>
          <w:rFonts w:ascii="David" w:hAnsi="David" w:cs="FrankRuehl" w:hint="cs"/>
          <w:sz w:val="28"/>
          <w:szCs w:val="28"/>
          <w:rtl/>
        </w:rPr>
        <w:t xml:space="preserve"> (פורסם בנבו, 19.2.2009), שם נגזרו 12 חודשי מאסר; </w:t>
      </w:r>
      <w:hyperlink r:id="rId40" w:history="1">
        <w:r w:rsidR="00F2727C" w:rsidRPr="00F2727C">
          <w:rPr>
            <w:rFonts w:ascii="David" w:hAnsi="David" w:cs="FrankRuehl"/>
            <w:color w:val="0000FF"/>
            <w:sz w:val="28"/>
            <w:szCs w:val="28"/>
            <w:u w:val="single"/>
            <w:rtl/>
          </w:rPr>
          <w:t>ע"פ 4383/07</w:t>
        </w:r>
      </w:hyperlink>
      <w:r w:rsidRPr="008C3571">
        <w:rPr>
          <w:rFonts w:ascii="David" w:hAnsi="David" w:cs="FrankRuehl" w:hint="cs"/>
          <w:sz w:val="28"/>
          <w:szCs w:val="28"/>
          <w:rtl/>
        </w:rPr>
        <w:t xml:space="preserve"> </w:t>
      </w:r>
      <w:r w:rsidRPr="008C3571">
        <w:rPr>
          <w:rFonts w:ascii="David" w:hAnsi="David" w:cs="FrankRuehl" w:hint="cs"/>
          <w:b/>
          <w:bCs/>
          <w:sz w:val="28"/>
          <w:szCs w:val="28"/>
          <w:rtl/>
        </w:rPr>
        <w:t>אבו פנה נ' מדינת ישראל</w:t>
      </w:r>
      <w:r w:rsidRPr="008C3571">
        <w:rPr>
          <w:rFonts w:ascii="David" w:hAnsi="David" w:cs="FrankRuehl" w:hint="cs"/>
          <w:sz w:val="28"/>
          <w:szCs w:val="28"/>
          <w:rtl/>
        </w:rPr>
        <w:t xml:space="preserve"> (פורסם בנבו, 25.9.2007), שם נגזרו 9 חודשי מאסר; וכן ראו </w:t>
      </w:r>
      <w:hyperlink r:id="rId41" w:history="1">
        <w:r w:rsidR="00F2727C" w:rsidRPr="00F2727C">
          <w:rPr>
            <w:rFonts w:ascii="David" w:hAnsi="David" w:cs="FrankRuehl"/>
            <w:color w:val="0000FF"/>
            <w:sz w:val="28"/>
            <w:szCs w:val="28"/>
            <w:u w:val="single"/>
            <w:rtl/>
          </w:rPr>
          <w:t>ת"פ (מחוזי י-ם) 8579-01-13</w:t>
        </w:r>
      </w:hyperlink>
      <w:r w:rsidRPr="008C3571">
        <w:rPr>
          <w:rFonts w:ascii="David" w:hAnsi="David" w:cs="FrankRuehl" w:hint="cs"/>
          <w:sz w:val="28"/>
          <w:szCs w:val="28"/>
          <w:rtl/>
        </w:rPr>
        <w:t xml:space="preserve"> </w:t>
      </w:r>
      <w:r w:rsidRPr="008C3571">
        <w:rPr>
          <w:rFonts w:ascii="David" w:hAnsi="David" w:cs="FrankRuehl" w:hint="cs"/>
          <w:b/>
          <w:bCs/>
          <w:sz w:val="28"/>
          <w:szCs w:val="28"/>
          <w:rtl/>
        </w:rPr>
        <w:t>מדינת ישראל נ' פרלשטיין</w:t>
      </w:r>
      <w:r w:rsidRPr="008C3571">
        <w:rPr>
          <w:rFonts w:ascii="David" w:hAnsi="David" w:cs="FrankRuehl" w:hint="cs"/>
          <w:sz w:val="28"/>
          <w:szCs w:val="28"/>
          <w:rtl/>
        </w:rPr>
        <w:t xml:space="preserve"> (פורסם בנבו, 7.10.2013), בו נגזרו על הנאשם 100 ימי מאסר בפועל). ראוי להעיר כי בחלק ניכר מהמקרים, עבירת פציעה בנסיבות מחמירות אינה עומדת לבדה, והדבר מקשה על אבחון מדויק לעונש הנגזר על עבירה זו כשלעצמה.</w:t>
      </w:r>
    </w:p>
    <w:p w14:paraId="506852F3" w14:textId="77777777" w:rsidR="007C5C26" w:rsidRPr="000A61B7" w:rsidRDefault="007C5C26" w:rsidP="007C5C26">
      <w:pPr>
        <w:spacing w:after="120" w:line="360" w:lineRule="auto"/>
        <w:jc w:val="both"/>
        <w:rPr>
          <w:rFonts w:ascii="David" w:hAnsi="David" w:cs="FrankRuehl"/>
          <w:b/>
          <w:bCs/>
          <w:sz w:val="12"/>
          <w:szCs w:val="12"/>
          <w:u w:val="single"/>
          <w:rtl/>
        </w:rPr>
      </w:pPr>
    </w:p>
    <w:p w14:paraId="4D431250" w14:textId="77777777" w:rsidR="007C5C26" w:rsidRPr="008C3571" w:rsidRDefault="007C5C26" w:rsidP="007C5C26">
      <w:pPr>
        <w:spacing w:after="120" w:line="360" w:lineRule="auto"/>
        <w:jc w:val="both"/>
        <w:rPr>
          <w:rFonts w:ascii="David" w:hAnsi="David" w:cs="FrankRuehl"/>
          <w:b/>
          <w:bCs/>
          <w:sz w:val="28"/>
          <w:szCs w:val="28"/>
          <w:u w:val="single"/>
          <w:rtl/>
        </w:rPr>
      </w:pPr>
      <w:r w:rsidRPr="008C3571">
        <w:rPr>
          <w:rFonts w:ascii="David" w:hAnsi="David" w:cs="FrankRuehl" w:hint="cs"/>
          <w:b/>
          <w:bCs/>
          <w:sz w:val="28"/>
          <w:szCs w:val="28"/>
          <w:u w:val="single"/>
          <w:rtl/>
        </w:rPr>
        <w:t>בחינת הנסיבות הקשורות בביצוע העבירה</w:t>
      </w:r>
    </w:p>
    <w:p w14:paraId="21225F55"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כאמור לעיל, ולצורך קביעת מתחם העונש, אסקור להלן את הנסיבות השונות המפורטות </w:t>
      </w:r>
      <w:hyperlink r:id="rId42" w:history="1">
        <w:r w:rsidR="00FF589B" w:rsidRPr="00FF589B">
          <w:rPr>
            <w:rFonts w:ascii="David" w:hAnsi="David" w:cs="FrankRuehl"/>
            <w:color w:val="0000FF"/>
            <w:sz w:val="28"/>
            <w:szCs w:val="28"/>
            <w:u w:val="single"/>
            <w:rtl/>
          </w:rPr>
          <w:t>בסעיף 40ט(א)</w:t>
        </w:r>
      </w:hyperlink>
      <w:r w:rsidRPr="008C3571">
        <w:rPr>
          <w:rFonts w:ascii="David" w:hAnsi="David" w:cs="FrankRuehl" w:hint="cs"/>
          <w:sz w:val="28"/>
          <w:szCs w:val="28"/>
          <w:rtl/>
        </w:rPr>
        <w:t xml:space="preserve"> לחוק: </w:t>
      </w:r>
    </w:p>
    <w:p w14:paraId="3EAFF24E" w14:textId="77777777" w:rsidR="007C5C26" w:rsidRPr="008C3571" w:rsidRDefault="007C5C26" w:rsidP="007C5C26">
      <w:pPr>
        <w:spacing w:after="120" w:line="360" w:lineRule="auto"/>
        <w:jc w:val="both"/>
        <w:rPr>
          <w:rFonts w:ascii="David" w:hAnsi="David" w:cs="FrankRuehl"/>
          <w:sz w:val="28"/>
          <w:szCs w:val="28"/>
        </w:rPr>
      </w:pPr>
      <w:r w:rsidRPr="008C3571">
        <w:rPr>
          <w:rFonts w:ascii="David" w:hAnsi="David" w:cs="FrankRuehl" w:hint="cs"/>
          <w:sz w:val="28"/>
          <w:szCs w:val="28"/>
          <w:rtl/>
        </w:rPr>
        <w:t>(1) "</w:t>
      </w:r>
      <w:r w:rsidRPr="008C3571">
        <w:rPr>
          <w:rFonts w:ascii="David" w:hAnsi="David" w:cs="FrankRuehl" w:hint="cs"/>
          <w:b/>
          <w:bCs/>
          <w:sz w:val="28"/>
          <w:szCs w:val="28"/>
          <w:rtl/>
        </w:rPr>
        <w:t>התכנון שקדם לביצוע העבירה</w:t>
      </w:r>
      <w:r w:rsidRPr="008C3571">
        <w:rPr>
          <w:rFonts w:ascii="David" w:hAnsi="David" w:cs="FrankRuehl" w:hint="cs"/>
          <w:sz w:val="28"/>
          <w:szCs w:val="28"/>
          <w:rtl/>
        </w:rPr>
        <w:t xml:space="preserve">" – באשר לעבירת </w:t>
      </w:r>
      <w:r>
        <w:rPr>
          <w:rFonts w:ascii="David" w:hAnsi="David" w:cs="FrankRuehl" w:hint="cs"/>
          <w:sz w:val="28"/>
          <w:szCs w:val="28"/>
          <w:rtl/>
        </w:rPr>
        <w:t xml:space="preserve">הירי </w:t>
      </w:r>
      <w:r w:rsidRPr="008C3571">
        <w:rPr>
          <w:rFonts w:ascii="David" w:hAnsi="David" w:cs="FrankRuehl" w:hint="cs"/>
          <w:sz w:val="28"/>
          <w:szCs w:val="28"/>
          <w:rtl/>
        </w:rPr>
        <w:t>באזור מגורים, נראה כי בענייננו לא היה תכנון מובהק לביצוע העבירות. ניכר כי הנאשם פעל מתוך אימפולסיביות ומתוך החלטה רגעית להפחיד את המתלונן. ייתכן ובעבירת הפציעה ניתן לומר כי הנאשם פעל מתוך תכנון מוקדם, כאשר ההכרעה בעניין תיקבע על-פי המועד בו הצטייד הנאשם במברג – האם טרם חזרתו לבניין לאחר שנמלט עם האקדח, או שמא כטענת ב"כ הנאשם, במהלך התגרה תפס הנאשם את הדבר הראשון שנקרה בדרכו ותקף את המתלונן. לא הוצגו בפני בית המשפט ראיות חותכות בעניין זה.</w:t>
      </w:r>
    </w:p>
    <w:p w14:paraId="7EEF7D8A" w14:textId="77777777" w:rsidR="007C5C26" w:rsidRPr="008C3571" w:rsidRDefault="007C5C26" w:rsidP="007C5C26">
      <w:pPr>
        <w:spacing w:after="120" w:line="360" w:lineRule="auto"/>
        <w:jc w:val="both"/>
        <w:rPr>
          <w:rFonts w:ascii="David" w:hAnsi="David" w:cs="FrankRuehl"/>
          <w:sz w:val="28"/>
          <w:szCs w:val="28"/>
        </w:rPr>
      </w:pPr>
      <w:r w:rsidRPr="008C3571">
        <w:rPr>
          <w:rFonts w:ascii="David" w:hAnsi="David" w:cs="FrankRuehl" w:hint="cs"/>
          <w:sz w:val="28"/>
          <w:szCs w:val="28"/>
          <w:rtl/>
        </w:rPr>
        <w:t>(2) "</w:t>
      </w:r>
      <w:r w:rsidRPr="008C3571">
        <w:rPr>
          <w:rFonts w:ascii="David" w:hAnsi="David" w:cs="FrankRuehl" w:hint="cs"/>
          <w:b/>
          <w:bCs/>
          <w:sz w:val="28"/>
          <w:szCs w:val="28"/>
          <w:rtl/>
        </w:rPr>
        <w:t>חלקו היחסי של הנאשם בביצוע העבירה ומידת ההשפעה של אחר על הנאשם בביצוע העבירה</w:t>
      </w:r>
      <w:r w:rsidRPr="008C3571">
        <w:rPr>
          <w:rFonts w:ascii="David" w:hAnsi="David" w:cs="FrankRuehl" w:hint="cs"/>
          <w:sz w:val="28"/>
          <w:szCs w:val="28"/>
          <w:rtl/>
        </w:rPr>
        <w:t xml:space="preserve">" – הנאשם ביצע לבדו את העבירות בהן הורשע, ולא נטען שהושפע על ידי אחר לבצען. </w:t>
      </w:r>
    </w:p>
    <w:p w14:paraId="44B003DB"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(3) "</w:t>
      </w:r>
      <w:r w:rsidRPr="008C3571">
        <w:rPr>
          <w:rFonts w:ascii="David" w:hAnsi="David" w:cs="FrankRuehl" w:hint="cs"/>
          <w:b/>
          <w:bCs/>
          <w:sz w:val="28"/>
          <w:szCs w:val="28"/>
          <w:rtl/>
        </w:rPr>
        <w:t>הנזק שהיה צפוי להיגרם מביצוע העבירה</w:t>
      </w:r>
      <w:r w:rsidRPr="008C3571">
        <w:rPr>
          <w:rFonts w:ascii="David" w:hAnsi="David" w:cs="FrankRuehl" w:hint="cs"/>
          <w:sz w:val="28"/>
          <w:szCs w:val="28"/>
          <w:rtl/>
        </w:rPr>
        <w:t xml:space="preserve">" – הנזק שהיה צפוי להיגרם מביצוע העבירה חמור מאוד. הנאשם יכול היה להביא למותם של עוברים ושבים סמוך למקום האירוע, עקב </w:t>
      </w:r>
      <w:r>
        <w:rPr>
          <w:rFonts w:ascii="David" w:hAnsi="David" w:cs="FrankRuehl" w:hint="cs"/>
          <w:sz w:val="28"/>
          <w:szCs w:val="28"/>
          <w:rtl/>
        </w:rPr>
        <w:t xml:space="preserve">ביצוע הירי </w:t>
      </w:r>
      <w:r w:rsidRPr="008C3571">
        <w:rPr>
          <w:rFonts w:ascii="David" w:hAnsi="David" w:cs="FrankRuehl" w:hint="cs"/>
          <w:sz w:val="28"/>
          <w:szCs w:val="28"/>
          <w:rtl/>
        </w:rPr>
        <w:t xml:space="preserve">מהאקדח. </w:t>
      </w:r>
    </w:p>
    <w:p w14:paraId="2F90B19D"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(4) "</w:t>
      </w:r>
      <w:r w:rsidRPr="008C3571">
        <w:rPr>
          <w:rFonts w:ascii="David" w:hAnsi="David" w:cs="FrankRuehl" w:hint="cs"/>
          <w:b/>
          <w:bCs/>
          <w:sz w:val="28"/>
          <w:szCs w:val="28"/>
          <w:rtl/>
        </w:rPr>
        <w:t>הנזק שנגרם מביצוע העבירה</w:t>
      </w:r>
      <w:r w:rsidRPr="008C3571">
        <w:rPr>
          <w:rFonts w:ascii="David" w:hAnsi="David" w:cs="FrankRuehl" w:hint="cs"/>
          <w:sz w:val="28"/>
          <w:szCs w:val="28"/>
          <w:rtl/>
        </w:rPr>
        <w:t xml:space="preserve">" – תמים דעים אני עם ב"כ הנאשם, כי הנזק שנגרם למתלונן בעקבות התקיפה עם המברג, לא היה חמור. המתלונן לא פנה לקבלת טיפול רפואי, ולא הוצגה בפני בית המשפט תיעוד של הפציעה. </w:t>
      </w:r>
    </w:p>
    <w:p w14:paraId="5CFAB1B2" w14:textId="77777777" w:rsidR="007C5C26" w:rsidRPr="008C3571" w:rsidRDefault="007C5C26" w:rsidP="007C5C26">
      <w:pPr>
        <w:spacing w:after="120" w:line="360" w:lineRule="auto"/>
        <w:jc w:val="both"/>
        <w:rPr>
          <w:rFonts w:ascii="David" w:hAnsi="David" w:cs="FrankRuehl"/>
          <w:sz w:val="28"/>
          <w:szCs w:val="28"/>
        </w:rPr>
      </w:pPr>
      <w:r w:rsidRPr="008C3571">
        <w:rPr>
          <w:rFonts w:ascii="David" w:hAnsi="David" w:cs="FrankRuehl" w:hint="cs"/>
          <w:sz w:val="28"/>
          <w:szCs w:val="28"/>
          <w:rtl/>
        </w:rPr>
        <w:t xml:space="preserve"> (5) "</w:t>
      </w:r>
      <w:r w:rsidRPr="008C3571">
        <w:rPr>
          <w:rFonts w:ascii="David" w:hAnsi="David" w:cs="FrankRuehl" w:hint="cs"/>
          <w:b/>
          <w:bCs/>
          <w:sz w:val="28"/>
          <w:szCs w:val="28"/>
          <w:rtl/>
        </w:rPr>
        <w:t>הסיבות שהביאו את הנאשם לבצע את העבירה</w:t>
      </w:r>
      <w:r w:rsidRPr="008C3571">
        <w:rPr>
          <w:rFonts w:ascii="David" w:hAnsi="David" w:cs="FrankRuehl" w:hint="cs"/>
          <w:sz w:val="28"/>
          <w:szCs w:val="28"/>
          <w:rtl/>
        </w:rPr>
        <w:t xml:space="preserve">" – כאמור, הנאשם סבור היה כי המתלונן תקף את סביו, המהווה לו דמות אב. </w:t>
      </w:r>
    </w:p>
    <w:p w14:paraId="187FD574"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(6) "</w:t>
      </w:r>
      <w:r w:rsidRPr="008C3571">
        <w:rPr>
          <w:rFonts w:ascii="David" w:hAnsi="David" w:cs="FrankRuehl" w:hint="cs"/>
          <w:b/>
          <w:bCs/>
          <w:sz w:val="28"/>
          <w:szCs w:val="28"/>
          <w:rtl/>
        </w:rPr>
        <w:t>יכולתו של הנאשם להבין את אשר הוא עושה, את הפסול שבמעשהו או את משמעות מעשהו, לרבות בשל גילו</w:t>
      </w:r>
      <w:r w:rsidRPr="008C3571">
        <w:rPr>
          <w:rFonts w:ascii="David" w:hAnsi="David" w:cs="FrankRuehl" w:hint="cs"/>
          <w:sz w:val="28"/>
          <w:szCs w:val="28"/>
          <w:rtl/>
        </w:rPr>
        <w:t xml:space="preserve">" – הנאשם כבן 20 שנה. מדובר בבגיר, אך בה בעת, יש לתת משקל מה לגילו הצעיר בעת ביצוע העבירות. </w:t>
      </w:r>
    </w:p>
    <w:p w14:paraId="7B2C8A2B"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(7) "</w:t>
      </w:r>
      <w:r w:rsidRPr="008C3571">
        <w:rPr>
          <w:rFonts w:ascii="David" w:hAnsi="David" w:cs="FrankRuehl" w:hint="cs"/>
          <w:b/>
          <w:bCs/>
          <w:sz w:val="28"/>
          <w:szCs w:val="28"/>
          <w:rtl/>
        </w:rPr>
        <w:t>יכולתו של הנאשם להימנע מהמעשה ומידת השליטה שלו על מעשהו, לרבות עקב התגרות של נפגע העבירה</w:t>
      </w:r>
      <w:r w:rsidRPr="008C3571">
        <w:rPr>
          <w:rFonts w:ascii="David" w:hAnsi="David" w:cs="FrankRuehl" w:hint="cs"/>
          <w:sz w:val="28"/>
          <w:szCs w:val="28"/>
          <w:rtl/>
        </w:rPr>
        <w:t>" – לא מעט הזדמנויות היו לנאשם להימנע מהמעשה שביצע, ובפרט כאשר חזר לבניין כ-10 דקות לאחר שנמלט ממנו עם האקדח. שומה היה על הנאשם להתעשת, להבין את הפסול במעשיו ולא לשוב ולהתקוטט עם המתלונן. יחד עם זאת, לא ניתן להתעלם מכך שבכתב האישום צוין כי הפציעה אירעה "במהלך תגרת ידיים עם המתלונן" (סעיף 7 לכתב האישום). לא הובררה מידת "תרומתו" של המתלונן לתגרה זו.</w:t>
      </w:r>
    </w:p>
    <w:p w14:paraId="76BD9B50"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(8) "</w:t>
      </w:r>
      <w:r w:rsidRPr="008C3571">
        <w:rPr>
          <w:rFonts w:ascii="David" w:hAnsi="David" w:cs="FrankRuehl" w:hint="cs"/>
          <w:b/>
          <w:bCs/>
          <w:sz w:val="28"/>
          <w:szCs w:val="28"/>
          <w:rtl/>
        </w:rPr>
        <w:t>מצוקתו הנפשית של הנאשם עקב התעללות בו על ידי נפגע העבירה</w:t>
      </w:r>
      <w:r w:rsidRPr="008C3571">
        <w:rPr>
          <w:rFonts w:ascii="David" w:hAnsi="David" w:cs="FrankRuehl" w:hint="cs"/>
          <w:sz w:val="28"/>
          <w:szCs w:val="28"/>
          <w:rtl/>
        </w:rPr>
        <w:t xml:space="preserve">" – נסיבה זו לא רלוונטית לענייננו. </w:t>
      </w:r>
    </w:p>
    <w:p w14:paraId="62FC4A77"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(9) "</w:t>
      </w:r>
      <w:r w:rsidRPr="008C3571">
        <w:rPr>
          <w:rFonts w:ascii="David" w:hAnsi="David" w:cs="FrankRuehl" w:hint="cs"/>
          <w:b/>
          <w:bCs/>
          <w:sz w:val="28"/>
          <w:szCs w:val="28"/>
          <w:rtl/>
        </w:rPr>
        <w:t>הקרבה לסייג לאחריות פלילית כאמור בסימן ב' לפרק ה'1</w:t>
      </w:r>
      <w:r w:rsidRPr="008C3571">
        <w:rPr>
          <w:rFonts w:ascii="David" w:hAnsi="David" w:cs="FrankRuehl" w:hint="cs"/>
          <w:sz w:val="28"/>
          <w:szCs w:val="28"/>
          <w:rtl/>
        </w:rPr>
        <w:t xml:space="preserve">" – נסיבה זו לא רלוונטית לענייננו. </w:t>
      </w:r>
    </w:p>
    <w:p w14:paraId="03C1A18F" w14:textId="77777777" w:rsidR="007C5C26" w:rsidRPr="008C3571" w:rsidRDefault="007C5C26" w:rsidP="007C5C26">
      <w:pPr>
        <w:spacing w:after="120" w:line="360" w:lineRule="auto"/>
        <w:jc w:val="both"/>
        <w:rPr>
          <w:rFonts w:ascii="David" w:hAnsi="David" w:cs="FrankRuehl"/>
          <w:sz w:val="28"/>
          <w:szCs w:val="28"/>
        </w:rPr>
      </w:pPr>
      <w:r w:rsidRPr="008C3571">
        <w:rPr>
          <w:rFonts w:ascii="David" w:hAnsi="David" w:cs="FrankRuehl" w:hint="cs"/>
          <w:sz w:val="28"/>
          <w:szCs w:val="28"/>
          <w:rtl/>
        </w:rPr>
        <w:t>(10) "</w:t>
      </w:r>
      <w:r w:rsidRPr="008C3571">
        <w:rPr>
          <w:rFonts w:ascii="David" w:hAnsi="David" w:cs="FrankRuehl" w:hint="cs"/>
          <w:b/>
          <w:bCs/>
          <w:sz w:val="28"/>
          <w:szCs w:val="28"/>
          <w:rtl/>
        </w:rPr>
        <w:t>האכזריות, האלימות וההתעללות של הנאשם בנפגע העבירה או ניצולו</w:t>
      </w:r>
      <w:r w:rsidRPr="008C3571">
        <w:rPr>
          <w:rFonts w:ascii="David" w:hAnsi="David" w:cs="FrankRuehl" w:hint="cs"/>
          <w:sz w:val="28"/>
          <w:szCs w:val="28"/>
          <w:rtl/>
        </w:rPr>
        <w:t>" – נסיבה זו לא רלוונטית לענייננו.</w:t>
      </w:r>
    </w:p>
    <w:p w14:paraId="365F94C3"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(11) "</w:t>
      </w:r>
      <w:r w:rsidRPr="008C3571">
        <w:rPr>
          <w:rFonts w:ascii="David" w:hAnsi="David" w:cs="FrankRuehl" w:hint="cs"/>
          <w:b/>
          <w:bCs/>
          <w:sz w:val="28"/>
          <w:szCs w:val="28"/>
          <w:rtl/>
        </w:rPr>
        <w:t>הניצול לרעה של כוחו או מעמדו של הנאשם או של יחסיו עם נפגע העבירה</w:t>
      </w:r>
      <w:r w:rsidRPr="008C3571">
        <w:rPr>
          <w:rFonts w:ascii="David" w:hAnsi="David" w:cs="FrankRuehl" w:hint="cs"/>
          <w:sz w:val="28"/>
          <w:szCs w:val="28"/>
          <w:rtl/>
        </w:rPr>
        <w:t>" – נסיבה זו לא רלוונטית לענייננו.</w:t>
      </w:r>
    </w:p>
    <w:p w14:paraId="0BDABDF5"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לאור כל האמור לעיל, הערכים החברתיים שנפגעו כתוצאה ממעשי הנאשם, מידת הפגיעה בהם, מדיניות הענישה הנהוגה והנסיבות הקשורות בביצוע העבירות, הובילו אותי לכלל מסקנה כי מתחם העונש באירוע, על נסיבותיו, הינו בין 10 ל-24 חודשי מאסר בפועל. </w:t>
      </w:r>
    </w:p>
    <w:p w14:paraId="61B60D8F"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לא מצאתי כי יש לסטות ממתחם עונש זה, בין אם לחומרה משיקולי שלום הציבור, או לקולה, משיקולי שיקומו של הנאשם.</w:t>
      </w:r>
    </w:p>
    <w:p w14:paraId="20331193" w14:textId="77777777" w:rsidR="007C5C26" w:rsidRPr="000A61B7" w:rsidRDefault="007C5C26" w:rsidP="007C5C26">
      <w:pPr>
        <w:spacing w:after="120" w:line="360" w:lineRule="auto"/>
        <w:jc w:val="both"/>
        <w:rPr>
          <w:rFonts w:ascii="David" w:hAnsi="David" w:cs="FrankRuehl"/>
          <w:b/>
          <w:bCs/>
          <w:sz w:val="2"/>
          <w:szCs w:val="2"/>
          <w:u w:val="single"/>
          <w:rtl/>
        </w:rPr>
      </w:pPr>
    </w:p>
    <w:p w14:paraId="6235FA15" w14:textId="77777777" w:rsidR="007C5C26" w:rsidRPr="008C3571" w:rsidRDefault="007C5C26" w:rsidP="007C5C26">
      <w:pPr>
        <w:spacing w:after="120" w:line="360" w:lineRule="auto"/>
        <w:jc w:val="both"/>
        <w:rPr>
          <w:rFonts w:ascii="David" w:hAnsi="David" w:cs="FrankRuehl"/>
          <w:b/>
          <w:bCs/>
          <w:sz w:val="28"/>
          <w:szCs w:val="28"/>
          <w:rtl/>
        </w:rPr>
      </w:pPr>
      <w:r w:rsidRPr="008C3571">
        <w:rPr>
          <w:rFonts w:ascii="David" w:hAnsi="David" w:cs="FrankRuehl" w:hint="cs"/>
          <w:b/>
          <w:bCs/>
          <w:sz w:val="28"/>
          <w:szCs w:val="28"/>
          <w:u w:val="single"/>
          <w:rtl/>
        </w:rPr>
        <w:t>בחינת הנסיבות שאינן קשורות בביצוע העבירה</w:t>
      </w:r>
    </w:p>
    <w:p w14:paraId="4BC7F4FC"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בהתאם להוראות </w:t>
      </w:r>
      <w:hyperlink r:id="rId43" w:history="1">
        <w:r w:rsidR="00FF589B" w:rsidRPr="00FF589B">
          <w:rPr>
            <w:rFonts w:ascii="David" w:hAnsi="David" w:cs="FrankRuehl"/>
            <w:color w:val="0000FF"/>
            <w:sz w:val="28"/>
            <w:szCs w:val="28"/>
            <w:u w:val="single"/>
            <w:rtl/>
          </w:rPr>
          <w:t>סעיף 40יא</w:t>
        </w:r>
      </w:hyperlink>
      <w:r w:rsidRPr="008C3571">
        <w:rPr>
          <w:rFonts w:ascii="David" w:hAnsi="David" w:cs="FrankRuehl" w:hint="cs"/>
          <w:sz w:val="28"/>
          <w:szCs w:val="28"/>
          <w:rtl/>
        </w:rPr>
        <w:t xml:space="preserve"> לחוק, אסקור את הנסיבות שאינן קשורות בביצוע העבירה, לצורך קביעת עונשו של הנאשם בתוך המתחם:</w:t>
      </w:r>
    </w:p>
    <w:p w14:paraId="510E3CF7"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(1)  </w:t>
      </w:r>
      <w:r w:rsidRPr="008C3571">
        <w:rPr>
          <w:rFonts w:ascii="David" w:hAnsi="David" w:cs="FrankRuehl" w:hint="cs"/>
          <w:b/>
          <w:bCs/>
          <w:sz w:val="28"/>
          <w:szCs w:val="28"/>
          <w:rtl/>
        </w:rPr>
        <w:t>"הפגיעה של העונש בנאשם, לרבות בשל גילו"</w:t>
      </w:r>
      <w:r w:rsidRPr="008C3571">
        <w:rPr>
          <w:rFonts w:ascii="David" w:hAnsi="David" w:cs="FrankRuehl" w:hint="cs"/>
          <w:sz w:val="28"/>
          <w:szCs w:val="28"/>
          <w:rtl/>
        </w:rPr>
        <w:t xml:space="preserve"> – לא מצאתי כי נסיבה זו רלוונטית באופן מיוחד לענייננו. </w:t>
      </w:r>
    </w:p>
    <w:p w14:paraId="2A45AC45"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(2)  </w:t>
      </w:r>
      <w:r w:rsidRPr="008C3571">
        <w:rPr>
          <w:rFonts w:ascii="David" w:hAnsi="David" w:cs="FrankRuehl" w:hint="cs"/>
          <w:b/>
          <w:bCs/>
          <w:sz w:val="28"/>
          <w:szCs w:val="28"/>
          <w:rtl/>
        </w:rPr>
        <w:t>"הפגיעה של העונש במשפחתו של הנאשם"</w:t>
      </w:r>
      <w:r w:rsidRPr="008C3571">
        <w:rPr>
          <w:rFonts w:ascii="David" w:hAnsi="David" w:cs="FrankRuehl" w:hint="cs"/>
          <w:sz w:val="28"/>
          <w:szCs w:val="28"/>
          <w:rtl/>
        </w:rPr>
        <w:t xml:space="preserve"> – לא מצאתי כי נסיבה זו רלוונטית באופן מיוחד לענייננו.</w:t>
      </w:r>
    </w:p>
    <w:p w14:paraId="4DEE930E" w14:textId="77777777" w:rsidR="007C5C26" w:rsidRPr="008C3571" w:rsidRDefault="007C5C26" w:rsidP="007C5C26">
      <w:pPr>
        <w:spacing w:after="120" w:line="360" w:lineRule="auto"/>
        <w:jc w:val="both"/>
        <w:rPr>
          <w:rFonts w:ascii="David" w:hAnsi="David" w:cs="FrankRuehl"/>
          <w:b/>
          <w:bCs/>
          <w:sz w:val="28"/>
          <w:szCs w:val="28"/>
          <w:rtl/>
        </w:rPr>
      </w:pPr>
      <w:r w:rsidRPr="008C3571">
        <w:rPr>
          <w:rFonts w:ascii="David" w:hAnsi="David" w:cs="FrankRuehl" w:hint="cs"/>
          <w:sz w:val="28"/>
          <w:szCs w:val="28"/>
          <w:rtl/>
        </w:rPr>
        <w:t xml:space="preserve">(3)  </w:t>
      </w:r>
      <w:r w:rsidRPr="008C3571">
        <w:rPr>
          <w:rFonts w:ascii="David" w:hAnsi="David" w:cs="FrankRuehl" w:hint="cs"/>
          <w:b/>
          <w:bCs/>
          <w:sz w:val="28"/>
          <w:szCs w:val="28"/>
          <w:rtl/>
        </w:rPr>
        <w:t xml:space="preserve">"הנזקים שנגרמו לנאשם מביצוע העבירה ומהרשעתו" </w:t>
      </w:r>
      <w:r w:rsidRPr="008C3571">
        <w:rPr>
          <w:rFonts w:ascii="David" w:hAnsi="David" w:cs="FrankRuehl" w:hint="cs"/>
          <w:sz w:val="28"/>
          <w:szCs w:val="28"/>
          <w:rtl/>
        </w:rPr>
        <w:t xml:space="preserve">– הנאשם צעיר, ו-"כל החיים לפניו". אין ספק כי הרשעתו והעובדה כי הוא ירצה עונש מאסר מאחורי סורג ובריח, מסבה לו נזק. </w:t>
      </w:r>
    </w:p>
    <w:p w14:paraId="548C5E92"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(4)  </w:t>
      </w:r>
      <w:r w:rsidRPr="008C3571">
        <w:rPr>
          <w:rFonts w:ascii="David" w:hAnsi="David" w:cs="FrankRuehl" w:hint="cs"/>
          <w:b/>
          <w:bCs/>
          <w:sz w:val="28"/>
          <w:szCs w:val="28"/>
          <w:rtl/>
        </w:rPr>
        <w:t xml:space="preserve">"נטילת האחריות של הנאשם על מעשיו, וחזרתו למוטב או מאמציו לחזור למוטב" </w:t>
      </w:r>
      <w:r w:rsidRPr="008C3571">
        <w:rPr>
          <w:rFonts w:ascii="David" w:hAnsi="David" w:cs="FrankRuehl" w:hint="cs"/>
          <w:sz w:val="28"/>
          <w:szCs w:val="28"/>
          <w:rtl/>
        </w:rPr>
        <w:t xml:space="preserve">– הנאשם הודה בעבירות שביצע, וכעולה מתסקיר שירות המבחן נטל אחריות על מעשיו. </w:t>
      </w:r>
    </w:p>
    <w:p w14:paraId="2814E2C1" w14:textId="77777777" w:rsidR="007C5C26" w:rsidRPr="008C3571" w:rsidRDefault="007C5C26" w:rsidP="007C5C26">
      <w:pPr>
        <w:spacing w:after="120" w:line="360" w:lineRule="auto"/>
        <w:jc w:val="both"/>
        <w:rPr>
          <w:rFonts w:ascii="David" w:hAnsi="David" w:cs="FrankRuehl"/>
          <w:b/>
          <w:bCs/>
          <w:sz w:val="28"/>
          <w:szCs w:val="28"/>
          <w:rtl/>
        </w:rPr>
      </w:pPr>
      <w:r w:rsidRPr="008C3571">
        <w:rPr>
          <w:rFonts w:ascii="David" w:hAnsi="David" w:cs="FrankRuehl" w:hint="cs"/>
          <w:sz w:val="28"/>
          <w:szCs w:val="28"/>
          <w:rtl/>
        </w:rPr>
        <w:t xml:space="preserve">(5)  </w:t>
      </w:r>
      <w:r w:rsidRPr="008C3571">
        <w:rPr>
          <w:rFonts w:ascii="David" w:hAnsi="David" w:cs="FrankRuehl" w:hint="cs"/>
          <w:b/>
          <w:bCs/>
          <w:sz w:val="28"/>
          <w:szCs w:val="28"/>
          <w:rtl/>
        </w:rPr>
        <w:t xml:space="preserve">"מאמצי הנאשם לתיקון תוצאות העבירה ולפיצוי על הנזק שנגרם בשלה" </w:t>
      </w:r>
      <w:r w:rsidRPr="008C3571">
        <w:rPr>
          <w:rFonts w:ascii="David" w:hAnsi="David" w:cs="FrankRuehl" w:hint="cs"/>
          <w:sz w:val="28"/>
          <w:szCs w:val="28"/>
          <w:rtl/>
        </w:rPr>
        <w:t>– נסיבה זו אינה רלוונטית בענייננו.</w:t>
      </w:r>
    </w:p>
    <w:p w14:paraId="444BC62D" w14:textId="77777777" w:rsidR="007C5C26" w:rsidRPr="008C3571" w:rsidRDefault="007C5C26" w:rsidP="007C5C26">
      <w:pPr>
        <w:spacing w:after="120" w:line="360" w:lineRule="auto"/>
        <w:jc w:val="both"/>
        <w:rPr>
          <w:rFonts w:ascii="David" w:hAnsi="David" w:cs="FrankRuehl"/>
          <w:b/>
          <w:bCs/>
          <w:sz w:val="28"/>
          <w:szCs w:val="28"/>
          <w:rtl/>
        </w:rPr>
      </w:pPr>
      <w:r w:rsidRPr="008C3571">
        <w:rPr>
          <w:rFonts w:ascii="David" w:hAnsi="David" w:cs="FrankRuehl" w:hint="cs"/>
          <w:sz w:val="28"/>
          <w:szCs w:val="28"/>
          <w:rtl/>
        </w:rPr>
        <w:t xml:space="preserve">(6)  </w:t>
      </w:r>
      <w:r w:rsidRPr="008C3571">
        <w:rPr>
          <w:rFonts w:ascii="David" w:hAnsi="David" w:cs="FrankRuehl" w:hint="cs"/>
          <w:b/>
          <w:bCs/>
          <w:sz w:val="28"/>
          <w:szCs w:val="28"/>
          <w:rtl/>
        </w:rPr>
        <w:t xml:space="preserve">"שיתוף הפעולה של הנאשם עם רשויות אכיפת החוק; ואולם כפירה באשמה וניהול משפט על ידי הנאשם לא ייזקפו לחובתו" </w:t>
      </w:r>
      <w:r w:rsidRPr="008C3571">
        <w:rPr>
          <w:rFonts w:ascii="David" w:hAnsi="David" w:cs="FrankRuehl" w:hint="cs"/>
          <w:sz w:val="28"/>
          <w:szCs w:val="28"/>
          <w:rtl/>
        </w:rPr>
        <w:t>– הנאשם שיתף פעולה עם רשויות החוק, הודה בעובדות כתב האישום המתוקן, וחסך זמן שיפוטי. נסיבה זו בהכרח תיזקף לזכותו של הנאשם.</w:t>
      </w:r>
    </w:p>
    <w:p w14:paraId="29FE91CD" w14:textId="77777777" w:rsidR="007C5C26" w:rsidRPr="008C3571" w:rsidRDefault="007C5C26" w:rsidP="007C5C26">
      <w:pPr>
        <w:spacing w:after="120" w:line="360" w:lineRule="auto"/>
        <w:rPr>
          <w:rFonts w:ascii="David" w:hAnsi="David" w:cs="FrankRuehl"/>
          <w:sz w:val="28"/>
          <w:szCs w:val="28"/>
          <w:rtl/>
        </w:rPr>
      </w:pPr>
      <w:r w:rsidRPr="008C3571">
        <w:rPr>
          <w:rFonts w:ascii="David" w:hAnsi="David" w:cs="FrankRuehl" w:hint="cs"/>
          <w:sz w:val="28"/>
          <w:szCs w:val="28"/>
          <w:rtl/>
        </w:rPr>
        <w:t xml:space="preserve">(7) </w:t>
      </w:r>
      <w:r w:rsidRPr="008C3571">
        <w:rPr>
          <w:rFonts w:ascii="David" w:hAnsi="David" w:cs="FrankRuehl" w:hint="cs"/>
          <w:b/>
          <w:bCs/>
          <w:sz w:val="28"/>
          <w:szCs w:val="28"/>
          <w:rtl/>
        </w:rPr>
        <w:t xml:space="preserve"> "התנהגותו החיובית של הנאשם ותרומתו לחברה" </w:t>
      </w:r>
      <w:r w:rsidRPr="008C3571">
        <w:rPr>
          <w:rFonts w:ascii="David" w:hAnsi="David" w:cs="FrankRuehl" w:hint="cs"/>
          <w:sz w:val="28"/>
          <w:szCs w:val="28"/>
          <w:rtl/>
        </w:rPr>
        <w:t>– נסיבה זו אינה רלוונטית בענייננו.</w:t>
      </w:r>
    </w:p>
    <w:p w14:paraId="262C3D11" w14:textId="77777777" w:rsidR="007C5C26" w:rsidRPr="008C3571" w:rsidRDefault="007C5C26" w:rsidP="007C5C26">
      <w:pPr>
        <w:spacing w:after="120" w:line="360" w:lineRule="auto"/>
        <w:jc w:val="both"/>
        <w:rPr>
          <w:rFonts w:ascii="David" w:hAnsi="David" w:cs="FrankRuehl"/>
          <w:b/>
          <w:bCs/>
          <w:sz w:val="28"/>
          <w:szCs w:val="28"/>
          <w:rtl/>
        </w:rPr>
      </w:pPr>
      <w:r w:rsidRPr="008C3571">
        <w:rPr>
          <w:rFonts w:ascii="David" w:hAnsi="David" w:cs="FrankRuehl" w:hint="cs"/>
          <w:sz w:val="28"/>
          <w:szCs w:val="28"/>
          <w:rtl/>
        </w:rPr>
        <w:t>(8)</w:t>
      </w:r>
      <w:r w:rsidRPr="008C3571">
        <w:rPr>
          <w:rFonts w:ascii="David" w:hAnsi="David" w:cs="FrankRuehl" w:hint="cs"/>
          <w:b/>
          <w:bCs/>
          <w:sz w:val="28"/>
          <w:szCs w:val="28"/>
          <w:rtl/>
        </w:rPr>
        <w:t xml:space="preserve">  "נסיבות חיים קשות של הנאשם שהיתה להן השפעה על ביצוע מעשה העבירה" </w:t>
      </w:r>
      <w:r w:rsidRPr="008C3571">
        <w:rPr>
          <w:rFonts w:ascii="David" w:hAnsi="David" w:cs="FrankRuehl" w:hint="cs"/>
          <w:sz w:val="28"/>
          <w:szCs w:val="28"/>
          <w:rtl/>
        </w:rPr>
        <w:t>– נסיבה זו אינה רלוונטית במיוחד לענייננו, עם כי לא ניתן להתעלם מכך שהנאשם גדל אצל סביו וסבתו, ועזב את המסגרת הלימודית לאחר 6 שנות לימוד בלבד.</w:t>
      </w:r>
    </w:p>
    <w:p w14:paraId="0A2F759E" w14:textId="77777777" w:rsidR="007C5C26" w:rsidRPr="008C3571" w:rsidRDefault="007C5C26" w:rsidP="007C5C26">
      <w:pPr>
        <w:spacing w:after="120" w:line="360" w:lineRule="auto"/>
        <w:rPr>
          <w:rFonts w:ascii="David" w:hAnsi="David" w:cs="FrankRuehl"/>
          <w:b/>
          <w:bCs/>
          <w:sz w:val="28"/>
          <w:szCs w:val="28"/>
          <w:rtl/>
        </w:rPr>
      </w:pPr>
      <w:r w:rsidRPr="008C3571">
        <w:rPr>
          <w:rFonts w:ascii="David" w:hAnsi="David" w:cs="FrankRuehl" w:hint="cs"/>
          <w:sz w:val="28"/>
          <w:szCs w:val="28"/>
          <w:rtl/>
        </w:rPr>
        <w:t>(9)</w:t>
      </w:r>
      <w:r w:rsidRPr="008C3571">
        <w:rPr>
          <w:rFonts w:ascii="David" w:hAnsi="David" w:cs="FrankRuehl" w:hint="cs"/>
          <w:b/>
          <w:bCs/>
          <w:sz w:val="28"/>
          <w:szCs w:val="28"/>
          <w:rtl/>
        </w:rPr>
        <w:t xml:space="preserve">  "התנהגות רשויות אכיפת החוק" </w:t>
      </w:r>
      <w:r w:rsidRPr="008C3571">
        <w:rPr>
          <w:rFonts w:ascii="David" w:hAnsi="David" w:cs="FrankRuehl" w:hint="cs"/>
          <w:sz w:val="28"/>
          <w:szCs w:val="28"/>
          <w:rtl/>
        </w:rPr>
        <w:t>– נסיבה זו אינה רלוונטית בענייננו.</w:t>
      </w:r>
    </w:p>
    <w:p w14:paraId="59BFE9F7" w14:textId="77777777" w:rsidR="007C5C26" w:rsidRPr="008C3571" w:rsidRDefault="007C5C26" w:rsidP="007C5C26">
      <w:pPr>
        <w:spacing w:after="120" w:line="360" w:lineRule="auto"/>
        <w:rPr>
          <w:rFonts w:ascii="David" w:hAnsi="David" w:cs="FrankRuehl"/>
          <w:b/>
          <w:bCs/>
          <w:sz w:val="28"/>
          <w:szCs w:val="28"/>
          <w:rtl/>
        </w:rPr>
      </w:pPr>
      <w:r w:rsidRPr="008C3571">
        <w:rPr>
          <w:rFonts w:ascii="David" w:hAnsi="David" w:cs="FrankRuehl" w:hint="cs"/>
          <w:sz w:val="28"/>
          <w:szCs w:val="28"/>
          <w:rtl/>
        </w:rPr>
        <w:t xml:space="preserve">(10) </w:t>
      </w:r>
      <w:r w:rsidRPr="008C3571">
        <w:rPr>
          <w:rFonts w:ascii="David" w:hAnsi="David" w:cs="FrankRuehl" w:hint="cs"/>
          <w:b/>
          <w:bCs/>
          <w:sz w:val="28"/>
          <w:szCs w:val="28"/>
          <w:rtl/>
        </w:rPr>
        <w:t xml:space="preserve">"חלוף הזמן מעת ביצוע העבירה" </w:t>
      </w:r>
      <w:r w:rsidRPr="008C3571">
        <w:rPr>
          <w:rFonts w:ascii="David" w:hAnsi="David" w:cs="FrankRuehl" w:hint="cs"/>
          <w:sz w:val="28"/>
          <w:szCs w:val="28"/>
          <w:rtl/>
        </w:rPr>
        <w:t>– נסיבה זו אינה רלוונטית בענייננו.</w:t>
      </w:r>
    </w:p>
    <w:p w14:paraId="327F9215" w14:textId="77777777" w:rsidR="007C5C26" w:rsidRPr="008C3571" w:rsidRDefault="007C5C26" w:rsidP="007C5C26">
      <w:pPr>
        <w:spacing w:after="120" w:line="360" w:lineRule="auto"/>
        <w:jc w:val="both"/>
        <w:rPr>
          <w:rFonts w:ascii="David" w:hAnsi="David" w:cs="FrankRuehl"/>
          <w:b/>
          <w:bCs/>
          <w:sz w:val="28"/>
          <w:szCs w:val="28"/>
          <w:rtl/>
        </w:rPr>
      </w:pPr>
      <w:r w:rsidRPr="008C3571">
        <w:rPr>
          <w:rFonts w:ascii="David" w:hAnsi="David" w:cs="FrankRuehl" w:hint="cs"/>
          <w:sz w:val="28"/>
          <w:szCs w:val="28"/>
          <w:rtl/>
        </w:rPr>
        <w:t xml:space="preserve">(11) </w:t>
      </w:r>
      <w:r w:rsidRPr="008C3571">
        <w:rPr>
          <w:rFonts w:ascii="David" w:hAnsi="David" w:cs="FrankRuehl" w:hint="cs"/>
          <w:b/>
          <w:bCs/>
          <w:sz w:val="28"/>
          <w:szCs w:val="28"/>
          <w:rtl/>
        </w:rPr>
        <w:t xml:space="preserve">"עברו הפלילי של הנאשם או העדרו" </w:t>
      </w:r>
      <w:r w:rsidRPr="008C3571">
        <w:rPr>
          <w:rFonts w:ascii="David" w:hAnsi="David" w:cs="FrankRuehl" w:hint="cs"/>
          <w:sz w:val="28"/>
          <w:szCs w:val="28"/>
          <w:rtl/>
        </w:rPr>
        <w:t xml:space="preserve">– הנאשם נעדר עבר פלילי. </w:t>
      </w:r>
    </w:p>
    <w:p w14:paraId="6313F1F0"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בנוסף, אציין כי התרשמתי שהסולחה שנערכה בין הנאשם למתלונן, כנה ואמתית, ולא נערכה מן השפה ולחוץ.</w:t>
      </w:r>
    </w:p>
    <w:p w14:paraId="0F357AE1"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 xml:space="preserve">בשקלול כל הנתונים האמורים, בהתייחס לנסיבות שאינן קשורות בביצוע העבירה, אני קובע כי יש למקם את עונשו של הנאשם בענייננו, בתחתית המתחם. זאת, בעיקר עקב גילו הצעיר יחסית של הנאשם; העובדה כי אין עבר פלילי לחובתו; וכי הודה וקיבל אחריות על מעשיו. </w:t>
      </w:r>
    </w:p>
    <w:p w14:paraId="11B7B26D" w14:textId="77777777" w:rsidR="007C5C26" w:rsidRPr="008C3571" w:rsidRDefault="007C5C26" w:rsidP="007C5C26">
      <w:pPr>
        <w:spacing w:after="120" w:line="360" w:lineRule="auto"/>
        <w:jc w:val="both"/>
        <w:rPr>
          <w:rFonts w:ascii="David" w:hAnsi="David" w:cs="FrankRuehl"/>
          <w:sz w:val="28"/>
          <w:szCs w:val="28"/>
          <w:rtl/>
        </w:rPr>
      </w:pPr>
      <w:r w:rsidRPr="008C3571">
        <w:rPr>
          <w:rFonts w:ascii="David" w:hAnsi="David" w:cs="FrankRuehl" w:hint="cs"/>
          <w:sz w:val="28"/>
          <w:szCs w:val="28"/>
          <w:rtl/>
        </w:rPr>
        <w:t>לאור כל האמור לעיל, אני גוזר על הנאשם את העונשים הבאים:</w:t>
      </w:r>
    </w:p>
    <w:p w14:paraId="4F44CB46" w14:textId="77777777" w:rsidR="007C5C26" w:rsidRPr="008C3571" w:rsidRDefault="007C5C26" w:rsidP="007C5C26">
      <w:pPr>
        <w:pStyle w:val="a9"/>
        <w:numPr>
          <w:ilvl w:val="0"/>
          <w:numId w:val="1"/>
        </w:numPr>
        <w:spacing w:after="120" w:line="360" w:lineRule="auto"/>
        <w:jc w:val="both"/>
        <w:rPr>
          <w:rFonts w:ascii="David" w:hAnsi="David" w:cs="FrankRuehl"/>
          <w:sz w:val="28"/>
          <w:szCs w:val="28"/>
          <w:rtl/>
        </w:rPr>
      </w:pPr>
      <w:r w:rsidRPr="008C3571">
        <w:rPr>
          <w:rFonts w:ascii="David" w:hAnsi="David" w:cs="FrankRuehl" w:hint="cs"/>
          <w:sz w:val="28"/>
          <w:szCs w:val="28"/>
          <w:rtl/>
        </w:rPr>
        <w:t>12 חודשי מאסר בפועל, בקיזוז ימי מעצרו.</w:t>
      </w:r>
    </w:p>
    <w:p w14:paraId="1D3727CE" w14:textId="77777777" w:rsidR="007C5C26" w:rsidRPr="008C3571" w:rsidRDefault="007C5C26" w:rsidP="007C5C26">
      <w:pPr>
        <w:pStyle w:val="a9"/>
        <w:numPr>
          <w:ilvl w:val="0"/>
          <w:numId w:val="1"/>
        </w:numPr>
        <w:spacing w:after="120" w:line="360" w:lineRule="auto"/>
        <w:jc w:val="both"/>
        <w:rPr>
          <w:rFonts w:ascii="David" w:hAnsi="David" w:cs="FrankRuehl"/>
          <w:sz w:val="28"/>
          <w:szCs w:val="28"/>
        </w:rPr>
      </w:pPr>
      <w:r w:rsidRPr="008C3571">
        <w:rPr>
          <w:rFonts w:ascii="David" w:hAnsi="David" w:cs="FrankRuehl" w:hint="cs"/>
          <w:sz w:val="28"/>
          <w:szCs w:val="28"/>
          <w:rtl/>
        </w:rPr>
        <w:t xml:space="preserve">12 חודשי מאסר על תנאי, והתנאי הוא שלא יעבור הנאשם עבירה בה הורשע, או עבירות לפי </w:t>
      </w:r>
      <w:hyperlink r:id="rId44" w:history="1">
        <w:r w:rsidR="00FF589B" w:rsidRPr="00FF589B">
          <w:rPr>
            <w:rFonts w:ascii="David" w:hAnsi="David" w:cs="FrankRuehl"/>
            <w:color w:val="0000FF"/>
            <w:sz w:val="28"/>
            <w:szCs w:val="28"/>
            <w:u w:val="single"/>
            <w:rtl/>
          </w:rPr>
          <w:t>סעיף 144</w:t>
        </w:r>
      </w:hyperlink>
      <w:r w:rsidRPr="008C3571">
        <w:rPr>
          <w:rFonts w:ascii="David" w:hAnsi="David" w:cs="FrankRuehl" w:hint="cs"/>
          <w:sz w:val="28"/>
          <w:szCs w:val="28"/>
          <w:rtl/>
        </w:rPr>
        <w:t xml:space="preserve"> ל</w:t>
      </w:r>
      <w:hyperlink r:id="rId45" w:history="1">
        <w:r w:rsidR="00F2727C" w:rsidRPr="00F2727C">
          <w:rPr>
            <w:rFonts w:ascii="David" w:hAnsi="David" w:cs="FrankRuehl"/>
            <w:color w:val="0000FF"/>
            <w:sz w:val="28"/>
            <w:szCs w:val="28"/>
            <w:u w:val="single"/>
            <w:rtl/>
          </w:rPr>
          <w:t>חוק העונשין</w:t>
        </w:r>
      </w:hyperlink>
      <w:r w:rsidRPr="008C3571">
        <w:rPr>
          <w:rFonts w:ascii="David" w:hAnsi="David" w:cs="FrankRuehl" w:hint="cs"/>
          <w:sz w:val="28"/>
          <w:szCs w:val="28"/>
          <w:rtl/>
        </w:rPr>
        <w:t xml:space="preserve">. </w:t>
      </w:r>
    </w:p>
    <w:p w14:paraId="67FEC879" w14:textId="77777777" w:rsidR="007C5C26" w:rsidRDefault="00F2727C" w:rsidP="007C5C26">
      <w:pPr>
        <w:pStyle w:val="a9"/>
        <w:numPr>
          <w:ilvl w:val="0"/>
          <w:numId w:val="1"/>
        </w:numPr>
        <w:spacing w:after="120" w:line="360" w:lineRule="auto"/>
        <w:jc w:val="both"/>
        <w:rPr>
          <w:rFonts w:ascii="David" w:hAnsi="David" w:cs="FrankRuehl"/>
          <w:sz w:val="28"/>
          <w:szCs w:val="28"/>
        </w:rPr>
      </w:pPr>
      <w:r w:rsidRPr="00F2727C">
        <w:rPr>
          <w:rFonts w:ascii="David" w:hAnsi="David" w:cs="FrankRuehl"/>
          <w:color w:val="FFFFFF"/>
          <w:sz w:val="2"/>
          <w:szCs w:val="2"/>
          <w:rtl/>
        </w:rPr>
        <w:t>5129371</w:t>
      </w:r>
      <w:r w:rsidR="007C5C26" w:rsidRPr="008C3571">
        <w:rPr>
          <w:rFonts w:ascii="David" w:hAnsi="David" w:cs="FrankRuehl" w:hint="cs"/>
          <w:sz w:val="28"/>
          <w:szCs w:val="28"/>
          <w:rtl/>
        </w:rPr>
        <w:t>הנאשם ישלם למתלונן פיצוי בסך 2,000 ₪. הפיצוי ישולם בחמישה תשלומים שווים, חודש בחודשו. הפיצוי ישולם החל מיום שחרורו של הנאשם.</w:t>
      </w:r>
    </w:p>
    <w:p w14:paraId="345DC477" w14:textId="77777777" w:rsidR="007C5C26" w:rsidRPr="000A61B7" w:rsidRDefault="00F2727C" w:rsidP="007C5C26">
      <w:pPr>
        <w:spacing w:after="120" w:line="360" w:lineRule="auto"/>
        <w:jc w:val="both"/>
        <w:rPr>
          <w:rFonts w:ascii="David" w:hAnsi="David" w:cs="FrankRuehl"/>
          <w:sz w:val="28"/>
          <w:szCs w:val="28"/>
        </w:rPr>
      </w:pPr>
      <w:r w:rsidRPr="00F2727C">
        <w:rPr>
          <w:rFonts w:ascii="David" w:hAnsi="David" w:cs="FrankRuehl"/>
          <w:color w:val="FFFFFF"/>
          <w:sz w:val="2"/>
          <w:szCs w:val="2"/>
          <w:rtl/>
        </w:rPr>
        <w:t>54678313</w:t>
      </w:r>
      <w:r w:rsidR="007C5C26">
        <w:rPr>
          <w:rFonts w:ascii="David" w:hAnsi="David" w:cs="FrankRuehl" w:hint="cs"/>
          <w:sz w:val="28"/>
          <w:szCs w:val="28"/>
          <w:rtl/>
        </w:rPr>
        <w:t xml:space="preserve">זכות ערעור לבית המשפט העליון תוך 45 יום. </w:t>
      </w:r>
    </w:p>
    <w:p w14:paraId="0C46E266" w14:textId="77777777" w:rsidR="007C5C26" w:rsidRPr="000A61B7" w:rsidRDefault="007C5C26" w:rsidP="007C5C26">
      <w:pPr>
        <w:rPr>
          <w:rFonts w:cs="FrankRuehl"/>
          <w:sz w:val="8"/>
          <w:szCs w:val="8"/>
          <w:rtl/>
        </w:rPr>
      </w:pPr>
    </w:p>
    <w:p w14:paraId="16681C61" w14:textId="77777777" w:rsidR="007C5C26" w:rsidRPr="000A61B7" w:rsidRDefault="00F2727C" w:rsidP="007C5C26">
      <w:pPr>
        <w:rPr>
          <w:rFonts w:cs="FrankRuehl"/>
          <w:sz w:val="12"/>
          <w:szCs w:val="12"/>
          <w:rtl/>
        </w:rPr>
      </w:pPr>
      <w:r>
        <w:rPr>
          <w:rFonts w:ascii="Arial" w:hAnsi="Arial" w:cs="FrankRuehl"/>
          <w:b/>
          <w:bCs/>
          <w:sz w:val="28"/>
          <w:szCs w:val="28"/>
          <w:rtl/>
        </w:rPr>
        <w:t xml:space="preserve">ניתן היום,   כז' אייר תשע"זכ"ז אייר תשע"ז,23 מאי 2017 במעמד הצדדים. </w:t>
      </w:r>
    </w:p>
    <w:p w14:paraId="331566FE" w14:textId="77777777" w:rsidR="007C5C26" w:rsidRPr="008C3571" w:rsidRDefault="007C5C26" w:rsidP="007C5C26">
      <w:pPr>
        <w:jc w:val="center"/>
      </w:pPr>
      <w:r w:rsidRPr="008C3571">
        <w:rPr>
          <w:rFonts w:cs="FrankRuehl" w:hint="cs"/>
          <w:sz w:val="28"/>
          <w:szCs w:val="28"/>
          <w:rtl/>
        </w:rPr>
        <w:t xml:space="preserve">   </w:t>
      </w:r>
      <w:r w:rsidRPr="008C3571">
        <w:rPr>
          <w:rFonts w:cs="FrankRuehl" w:hint="cs"/>
          <w:sz w:val="28"/>
          <w:szCs w:val="28"/>
          <w:rtl/>
        </w:rPr>
        <w:tab/>
      </w:r>
      <w:r w:rsidRPr="008C3571">
        <w:rPr>
          <w:rFonts w:cs="FrankRuehl" w:hint="cs"/>
          <w:sz w:val="28"/>
          <w:szCs w:val="28"/>
          <w:rtl/>
        </w:rPr>
        <w:tab/>
      </w:r>
      <w:r w:rsidRPr="008C3571">
        <w:rPr>
          <w:rFonts w:cs="FrankRuehl" w:hint="cs"/>
          <w:sz w:val="28"/>
          <w:szCs w:val="28"/>
          <w:rtl/>
        </w:rPr>
        <w:tab/>
      </w:r>
      <w:r w:rsidRPr="008C3571">
        <w:rPr>
          <w:rFonts w:cs="FrankRuehl" w:hint="cs"/>
          <w:sz w:val="28"/>
          <w:szCs w:val="28"/>
          <w:rtl/>
        </w:rPr>
        <w:tab/>
      </w:r>
      <w:r w:rsidRPr="008C3571">
        <w:rPr>
          <w:rFonts w:cs="FrankRuehl" w:hint="cs"/>
          <w:sz w:val="28"/>
          <w:szCs w:val="28"/>
          <w:rtl/>
        </w:rPr>
        <w:tab/>
      </w:r>
      <w:r>
        <w:rPr>
          <w:rtl/>
        </w:rPr>
        <w:t xml:space="preserve">     </w:t>
      </w:r>
    </w:p>
    <w:p w14:paraId="571CE920" w14:textId="77777777" w:rsidR="007C5C26" w:rsidRPr="008C3571" w:rsidRDefault="007C5C26" w:rsidP="007C5C26">
      <w:pPr>
        <w:jc w:val="center"/>
        <w:rPr>
          <w:rFonts w:cs="FrankRuehl"/>
          <w:sz w:val="28"/>
          <w:szCs w:val="28"/>
          <w:rtl/>
        </w:rPr>
      </w:pPr>
    </w:p>
    <w:p w14:paraId="0B285C13" w14:textId="77777777" w:rsidR="002D7B2F" w:rsidRPr="00F2727C" w:rsidRDefault="002D7B2F" w:rsidP="00F2727C">
      <w:pPr>
        <w:keepNext/>
        <w:rPr>
          <w:rFonts w:ascii="David" w:hAnsi="David"/>
          <w:color w:val="000000"/>
          <w:sz w:val="22"/>
          <w:szCs w:val="22"/>
          <w:rtl/>
        </w:rPr>
      </w:pPr>
    </w:p>
    <w:p w14:paraId="26610A83" w14:textId="77777777" w:rsidR="00F2727C" w:rsidRPr="00F2727C" w:rsidRDefault="00F2727C" w:rsidP="00F2727C">
      <w:pPr>
        <w:keepNext/>
        <w:rPr>
          <w:rFonts w:ascii="David" w:hAnsi="David"/>
          <w:color w:val="000000"/>
          <w:sz w:val="22"/>
          <w:szCs w:val="22"/>
          <w:rtl/>
        </w:rPr>
      </w:pPr>
      <w:r w:rsidRPr="00F2727C">
        <w:rPr>
          <w:rFonts w:ascii="David" w:hAnsi="David"/>
          <w:color w:val="000000"/>
          <w:sz w:val="22"/>
          <w:szCs w:val="22"/>
          <w:rtl/>
        </w:rPr>
        <w:t>בית המשפט המחוזי בירושלים 54678313</w:t>
      </w:r>
    </w:p>
    <w:p w14:paraId="73DD139C" w14:textId="77777777" w:rsidR="00F2727C" w:rsidRDefault="00F2727C" w:rsidP="00F2727C">
      <w:r w:rsidRPr="00F2727C">
        <w:rPr>
          <w:color w:val="000000"/>
          <w:rtl/>
        </w:rPr>
        <w:t>נוסח מסמך זה כפוף לשינויי ניסוח ועריכה</w:t>
      </w:r>
    </w:p>
    <w:p w14:paraId="03464794" w14:textId="77777777" w:rsidR="00F2727C" w:rsidRDefault="00F2727C" w:rsidP="00F2727C">
      <w:pPr>
        <w:rPr>
          <w:rtl/>
        </w:rPr>
      </w:pPr>
    </w:p>
    <w:p w14:paraId="3A34AEA4" w14:textId="77777777" w:rsidR="00F2727C" w:rsidRDefault="00F2727C" w:rsidP="00F2727C">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121C9410" w14:textId="77777777" w:rsidR="00F2727C" w:rsidRPr="00F2727C" w:rsidRDefault="00F2727C" w:rsidP="00F2727C">
      <w:pPr>
        <w:jc w:val="center"/>
        <w:rPr>
          <w:color w:val="0000FF"/>
          <w:u w:val="single"/>
        </w:rPr>
      </w:pPr>
    </w:p>
    <w:sectPr w:rsidR="00F2727C" w:rsidRPr="00F2727C" w:rsidSect="00F2727C">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40468" w14:textId="77777777" w:rsidR="00723030" w:rsidRDefault="00723030" w:rsidP="00A060C3">
      <w:r>
        <w:separator/>
      </w:r>
    </w:p>
  </w:endnote>
  <w:endnote w:type="continuationSeparator" w:id="0">
    <w:p w14:paraId="119247D5" w14:textId="77777777" w:rsidR="00723030" w:rsidRDefault="00723030" w:rsidP="00A06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B1C47" w14:textId="77777777" w:rsidR="00A22778" w:rsidRDefault="00A22778" w:rsidP="00F2727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78BF4A" w14:textId="77777777" w:rsidR="00A22778" w:rsidRPr="00F2727C" w:rsidRDefault="00A22778" w:rsidP="00F2727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9E179" w14:textId="77777777" w:rsidR="00A22778" w:rsidRDefault="00A22778" w:rsidP="00F2727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3F2B">
      <w:rPr>
        <w:rFonts w:ascii="FrankRuehl" w:hAnsi="FrankRuehl" w:cs="FrankRuehl"/>
        <w:noProof/>
        <w:rtl/>
      </w:rPr>
      <w:t>1</w:t>
    </w:r>
    <w:r>
      <w:rPr>
        <w:rFonts w:ascii="FrankRuehl" w:hAnsi="FrankRuehl" w:cs="FrankRuehl"/>
        <w:rtl/>
      </w:rPr>
      <w:fldChar w:fldCharType="end"/>
    </w:r>
  </w:p>
  <w:p w14:paraId="01BBA65E" w14:textId="77777777" w:rsidR="00A22778" w:rsidRPr="00F2727C" w:rsidRDefault="00A22778" w:rsidP="00F2727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C063C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B8798" w14:textId="77777777" w:rsidR="00723030" w:rsidRDefault="00723030" w:rsidP="00A060C3">
      <w:r>
        <w:separator/>
      </w:r>
    </w:p>
  </w:footnote>
  <w:footnote w:type="continuationSeparator" w:id="0">
    <w:p w14:paraId="40105D9B" w14:textId="77777777" w:rsidR="00723030" w:rsidRDefault="00723030" w:rsidP="00A06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53F7E" w14:textId="77777777" w:rsidR="00A22778" w:rsidRPr="00F2727C" w:rsidRDefault="00A22778" w:rsidP="00F272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9873-02-17</w:t>
    </w:r>
    <w:r>
      <w:rPr>
        <w:rFonts w:ascii="David" w:hAnsi="David"/>
        <w:color w:val="000000"/>
        <w:sz w:val="22"/>
        <w:szCs w:val="22"/>
        <w:rtl/>
      </w:rPr>
      <w:tab/>
      <w:t xml:space="preserve"> מדינת ישראל נ' חדר אבו אסחאק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C14C1" w14:textId="77777777" w:rsidR="00A22778" w:rsidRPr="00F2727C" w:rsidRDefault="00A22778" w:rsidP="00F272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9873-02-17</w:t>
    </w:r>
    <w:r>
      <w:rPr>
        <w:rFonts w:ascii="David" w:hAnsi="David"/>
        <w:color w:val="000000"/>
        <w:sz w:val="22"/>
        <w:szCs w:val="22"/>
        <w:rtl/>
      </w:rPr>
      <w:tab/>
      <w:t xml:space="preserve"> מדינת ישראל נ' חדר אבו אסחאק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917EDD"/>
    <w:multiLevelType w:val="hybridMultilevel"/>
    <w:tmpl w:val="87FE9D0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26863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5C26"/>
    <w:rsid w:val="000B75B8"/>
    <w:rsid w:val="00137782"/>
    <w:rsid w:val="00195E41"/>
    <w:rsid w:val="002D5309"/>
    <w:rsid w:val="002D7B2F"/>
    <w:rsid w:val="00723030"/>
    <w:rsid w:val="007A0889"/>
    <w:rsid w:val="007C5C26"/>
    <w:rsid w:val="00825214"/>
    <w:rsid w:val="00A060C3"/>
    <w:rsid w:val="00A22778"/>
    <w:rsid w:val="00AE08CD"/>
    <w:rsid w:val="00B53F2B"/>
    <w:rsid w:val="00BA16A0"/>
    <w:rsid w:val="00BD6890"/>
    <w:rsid w:val="00F2727C"/>
    <w:rsid w:val="00FF58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6B08B50"/>
  <w15:chartTrackingRefBased/>
  <w15:docId w15:val="{5214951D-7174-49D0-BC77-B6318495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5C2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C5C26"/>
    <w:pPr>
      <w:tabs>
        <w:tab w:val="center" w:pos="4153"/>
        <w:tab w:val="right" w:pos="8306"/>
      </w:tabs>
    </w:pPr>
  </w:style>
  <w:style w:type="character" w:customStyle="1" w:styleId="a4">
    <w:name w:val="כותרת עליונה תו"/>
    <w:link w:val="a3"/>
    <w:rsid w:val="007C5C26"/>
    <w:rPr>
      <w:rFonts w:ascii="Times New Roman" w:eastAsia="Times New Roman" w:hAnsi="Times New Roman" w:cs="David"/>
      <w:sz w:val="24"/>
      <w:szCs w:val="24"/>
    </w:rPr>
  </w:style>
  <w:style w:type="paragraph" w:styleId="a5">
    <w:name w:val="footer"/>
    <w:basedOn w:val="a"/>
    <w:link w:val="a6"/>
    <w:rsid w:val="007C5C26"/>
    <w:pPr>
      <w:tabs>
        <w:tab w:val="center" w:pos="4153"/>
        <w:tab w:val="right" w:pos="8306"/>
      </w:tabs>
    </w:pPr>
  </w:style>
  <w:style w:type="character" w:customStyle="1" w:styleId="a6">
    <w:name w:val="כותרת תחתונה תו"/>
    <w:link w:val="a5"/>
    <w:rsid w:val="007C5C26"/>
    <w:rPr>
      <w:rFonts w:ascii="Times New Roman" w:eastAsia="Times New Roman" w:hAnsi="Times New Roman" w:cs="David"/>
      <w:sz w:val="24"/>
      <w:szCs w:val="24"/>
    </w:rPr>
  </w:style>
  <w:style w:type="table" w:styleId="a7">
    <w:name w:val="Table Grid"/>
    <w:basedOn w:val="a1"/>
    <w:rsid w:val="007C5C2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C5C26"/>
  </w:style>
  <w:style w:type="character" w:styleId="Hyperlink">
    <w:name w:val="Hyperlink"/>
    <w:rsid w:val="007C5C26"/>
    <w:rPr>
      <w:color w:val="0000FF"/>
      <w:u w:val="single"/>
    </w:rPr>
  </w:style>
  <w:style w:type="paragraph" w:styleId="a9">
    <w:name w:val="List Paragraph"/>
    <w:basedOn w:val="a"/>
    <w:qFormat/>
    <w:rsid w:val="007C5C26"/>
    <w:pPr>
      <w:spacing w:after="200" w:line="276" w:lineRule="auto"/>
      <w:ind w:left="720"/>
      <w:contextualSpacing/>
    </w:pPr>
    <w:rPr>
      <w:rFonts w:ascii="Calibri" w:eastAsia="Calibri" w:hAnsi="Calibri" w:cs="Arial"/>
      <w:sz w:val="22"/>
      <w:szCs w:val="22"/>
    </w:rPr>
  </w:style>
  <w:style w:type="character" w:styleId="aa">
    <w:name w:val="Mention"/>
    <w:rsid w:val="00F2727C"/>
    <w:rPr>
      <w:color w:val="2B579A"/>
      <w:shd w:val="clear" w:color="auto" w:fill="E6E6E6"/>
    </w:rPr>
  </w:style>
  <w:style w:type="character" w:styleId="ab">
    <w:name w:val="Unresolved Mention"/>
    <w:uiPriority w:val="99"/>
    <w:semiHidden/>
    <w:unhideWhenUsed/>
    <w:rsid w:val="00BD68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4" TargetMode="External"/><Relationship Id="rId18" Type="http://schemas.openxmlformats.org/officeDocument/2006/relationships/hyperlink" Target="http://www.nevo.co.il/law/70301/a1S" TargetMode="External"/><Relationship Id="rId26" Type="http://schemas.openxmlformats.org/officeDocument/2006/relationships/hyperlink" Target="http://www.nevo.co.il/law/70301/a1S" TargetMode="External"/><Relationship Id="rId39" Type="http://schemas.openxmlformats.org/officeDocument/2006/relationships/hyperlink" Target="http://www.nevo.co.il/case/492296" TargetMode="External"/><Relationship Id="rId21" Type="http://schemas.openxmlformats.org/officeDocument/2006/relationships/hyperlink" Target="http://www.nevo.co.il/law/70301/335.a.1" TargetMode="External"/><Relationship Id="rId34" Type="http://schemas.openxmlformats.org/officeDocument/2006/relationships/hyperlink" Target="http://www.nevo.co.il/case/4303167" TargetMode="External"/><Relationship Id="rId42" Type="http://schemas.openxmlformats.org/officeDocument/2006/relationships/hyperlink" Target="http://www.nevo.co.il/law/70301/40i.a"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40c.b" TargetMode="External"/><Relationship Id="rId11" Type="http://schemas.openxmlformats.org/officeDocument/2006/relationships/hyperlink" Target="http://www.nevo.co.il/law/70301/40i.a" TargetMode="External"/><Relationship Id="rId24" Type="http://schemas.openxmlformats.org/officeDocument/2006/relationships/hyperlink" Target="http://www.nevo.co.il/law/70301/335.a.1" TargetMode="External"/><Relationship Id="rId32" Type="http://schemas.openxmlformats.org/officeDocument/2006/relationships/hyperlink" Target="http://www.nevo.co.il/case/6018516" TargetMode="External"/><Relationship Id="rId37" Type="http://schemas.openxmlformats.org/officeDocument/2006/relationships/hyperlink" Target="http://www.nevo.co.il/case/5108505" TargetMode="External"/><Relationship Id="rId40" Type="http://schemas.openxmlformats.org/officeDocument/2006/relationships/hyperlink" Target="http://www.nevo.co.il/case/5954809"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340a" TargetMode="External"/><Relationship Id="rId23" Type="http://schemas.openxmlformats.org/officeDocument/2006/relationships/hyperlink" Target="http://www.nevo.co.il/law/70301/340a" TargetMode="External"/><Relationship Id="rId28" Type="http://schemas.openxmlformats.org/officeDocument/2006/relationships/hyperlink" Target="http://www.nevo.co.il/law/70301/40c" TargetMode="External"/><Relationship Id="rId36" Type="http://schemas.openxmlformats.org/officeDocument/2006/relationships/hyperlink" Target="http://www.nevo.co.il/law/70301/340a" TargetMode="External"/><Relationship Id="rId49" Type="http://schemas.openxmlformats.org/officeDocument/2006/relationships/footer" Target="footer1.xml"/><Relationship Id="rId10" Type="http://schemas.openxmlformats.org/officeDocument/2006/relationships/hyperlink" Target="http://www.nevo.co.il/law/70301/40c.b" TargetMode="External"/><Relationship Id="rId19" Type="http://schemas.openxmlformats.org/officeDocument/2006/relationships/hyperlink" Target="http://www.nevo.co.il/law/70301/340a"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law/70301/14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law/70301/334"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40jc" TargetMode="External"/><Relationship Id="rId35" Type="http://schemas.openxmlformats.org/officeDocument/2006/relationships/hyperlink" Target="http://www.nevo.co.il/case/17032356" TargetMode="External"/><Relationship Id="rId43" Type="http://schemas.openxmlformats.org/officeDocument/2006/relationships/hyperlink" Target="http://www.nevo.co.il/law/70301/40ja" TargetMode="External"/><Relationship Id="rId48"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334" TargetMode="External"/><Relationship Id="rId33" Type="http://schemas.openxmlformats.org/officeDocument/2006/relationships/hyperlink" Target="http://www.nevo.co.il/case/20420489" TargetMode="External"/><Relationship Id="rId38" Type="http://schemas.openxmlformats.org/officeDocument/2006/relationships/hyperlink" Target="http://www.nevo.co.il/case/5592533"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415081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2187</Words>
  <Characters>10935</Characters>
  <Application>Microsoft Office Word</Application>
  <DocSecurity>0</DocSecurity>
  <Lines>91</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13096</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6357092</vt:i4>
      </vt:variant>
      <vt:variant>
        <vt:i4>111</vt:i4>
      </vt:variant>
      <vt:variant>
        <vt:i4>0</vt:i4>
      </vt:variant>
      <vt:variant>
        <vt:i4>5</vt:i4>
      </vt:variant>
      <vt:variant>
        <vt:lpwstr>http://www.nevo.co.il/law/70301/144</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4915208</vt:i4>
      </vt:variant>
      <vt:variant>
        <vt:i4>105</vt:i4>
      </vt:variant>
      <vt:variant>
        <vt:i4>0</vt:i4>
      </vt:variant>
      <vt:variant>
        <vt:i4>5</vt:i4>
      </vt:variant>
      <vt:variant>
        <vt:lpwstr>http://www.nevo.co.il/law/70301/40i.a</vt:lpwstr>
      </vt:variant>
      <vt:variant>
        <vt:lpwstr/>
      </vt:variant>
      <vt:variant>
        <vt:i4>3211380</vt:i4>
      </vt:variant>
      <vt:variant>
        <vt:i4>102</vt:i4>
      </vt:variant>
      <vt:variant>
        <vt:i4>0</vt:i4>
      </vt:variant>
      <vt:variant>
        <vt:i4>5</vt:i4>
      </vt:variant>
      <vt:variant>
        <vt:lpwstr>http://www.nevo.co.il/case/4150818</vt:lpwstr>
      </vt:variant>
      <vt:variant>
        <vt:lpwstr/>
      </vt:variant>
      <vt:variant>
        <vt:i4>3211385</vt:i4>
      </vt:variant>
      <vt:variant>
        <vt:i4>99</vt:i4>
      </vt:variant>
      <vt:variant>
        <vt:i4>0</vt:i4>
      </vt:variant>
      <vt:variant>
        <vt:i4>5</vt:i4>
      </vt:variant>
      <vt:variant>
        <vt:lpwstr>http://www.nevo.co.il/case/5954809</vt:lpwstr>
      </vt:variant>
      <vt:variant>
        <vt:lpwstr/>
      </vt:variant>
      <vt:variant>
        <vt:i4>983119</vt:i4>
      </vt:variant>
      <vt:variant>
        <vt:i4>96</vt:i4>
      </vt:variant>
      <vt:variant>
        <vt:i4>0</vt:i4>
      </vt:variant>
      <vt:variant>
        <vt:i4>5</vt:i4>
      </vt:variant>
      <vt:variant>
        <vt:lpwstr>http://www.nevo.co.il/case/492296</vt:lpwstr>
      </vt:variant>
      <vt:variant>
        <vt:lpwstr/>
      </vt:variant>
      <vt:variant>
        <vt:i4>3801200</vt:i4>
      </vt:variant>
      <vt:variant>
        <vt:i4>93</vt:i4>
      </vt:variant>
      <vt:variant>
        <vt:i4>0</vt:i4>
      </vt:variant>
      <vt:variant>
        <vt:i4>5</vt:i4>
      </vt:variant>
      <vt:variant>
        <vt:lpwstr>http://www.nevo.co.il/case/5592533</vt:lpwstr>
      </vt:variant>
      <vt:variant>
        <vt:lpwstr/>
      </vt:variant>
      <vt:variant>
        <vt:i4>3473533</vt:i4>
      </vt:variant>
      <vt:variant>
        <vt:i4>90</vt:i4>
      </vt:variant>
      <vt:variant>
        <vt:i4>0</vt:i4>
      </vt:variant>
      <vt:variant>
        <vt:i4>5</vt:i4>
      </vt:variant>
      <vt:variant>
        <vt:lpwstr>http://www.nevo.co.il/case/5108505</vt:lpwstr>
      </vt:variant>
      <vt:variant>
        <vt:lpwstr/>
      </vt:variant>
      <vt:variant>
        <vt:i4>86</vt:i4>
      </vt:variant>
      <vt:variant>
        <vt:i4>87</vt:i4>
      </vt:variant>
      <vt:variant>
        <vt:i4>0</vt:i4>
      </vt:variant>
      <vt:variant>
        <vt:i4>5</vt:i4>
      </vt:variant>
      <vt:variant>
        <vt:lpwstr>http://www.nevo.co.il/law/70301/340a</vt:lpwstr>
      </vt:variant>
      <vt:variant>
        <vt:lpwstr/>
      </vt:variant>
      <vt:variant>
        <vt:i4>3539059</vt:i4>
      </vt:variant>
      <vt:variant>
        <vt:i4>84</vt:i4>
      </vt:variant>
      <vt:variant>
        <vt:i4>0</vt:i4>
      </vt:variant>
      <vt:variant>
        <vt:i4>5</vt:i4>
      </vt:variant>
      <vt:variant>
        <vt:lpwstr>http://www.nevo.co.il/case/17032356</vt:lpwstr>
      </vt:variant>
      <vt:variant>
        <vt:lpwstr/>
      </vt:variant>
      <vt:variant>
        <vt:i4>3276914</vt:i4>
      </vt:variant>
      <vt:variant>
        <vt:i4>81</vt:i4>
      </vt:variant>
      <vt:variant>
        <vt:i4>0</vt:i4>
      </vt:variant>
      <vt:variant>
        <vt:i4>5</vt:i4>
      </vt:variant>
      <vt:variant>
        <vt:lpwstr>http://www.nevo.co.il/case/4303167</vt:lpwstr>
      </vt:variant>
      <vt:variant>
        <vt:lpwstr/>
      </vt:variant>
      <vt:variant>
        <vt:i4>4063346</vt:i4>
      </vt:variant>
      <vt:variant>
        <vt:i4>78</vt:i4>
      </vt:variant>
      <vt:variant>
        <vt:i4>0</vt:i4>
      </vt:variant>
      <vt:variant>
        <vt:i4>5</vt:i4>
      </vt:variant>
      <vt:variant>
        <vt:lpwstr>http://www.nevo.co.il/case/20420489</vt:lpwstr>
      </vt:variant>
      <vt:variant>
        <vt:lpwstr/>
      </vt:variant>
      <vt:variant>
        <vt:i4>3407997</vt:i4>
      </vt:variant>
      <vt:variant>
        <vt:i4>75</vt:i4>
      </vt:variant>
      <vt:variant>
        <vt:i4>0</vt:i4>
      </vt:variant>
      <vt:variant>
        <vt:i4>5</vt:i4>
      </vt:variant>
      <vt:variant>
        <vt:lpwstr>http://www.nevo.co.il/case/6018516</vt:lpwstr>
      </vt:variant>
      <vt:variant>
        <vt:lpwstr/>
      </vt:variant>
      <vt:variant>
        <vt:i4>3145849</vt:i4>
      </vt:variant>
      <vt:variant>
        <vt:i4>72</vt:i4>
      </vt:variant>
      <vt:variant>
        <vt:i4>0</vt:i4>
      </vt:variant>
      <vt:variant>
        <vt:i4>5</vt:i4>
      </vt:variant>
      <vt:variant>
        <vt:lpwstr>http://www.nevo.co.il/case/13093721</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4915202</vt:i4>
      </vt:variant>
      <vt:variant>
        <vt:i4>66</vt:i4>
      </vt:variant>
      <vt:variant>
        <vt:i4>0</vt:i4>
      </vt:variant>
      <vt:variant>
        <vt:i4>5</vt:i4>
      </vt:variant>
      <vt:variant>
        <vt:lpwstr>http://www.nevo.co.il/law/70301/40c.b</vt:lpwstr>
      </vt:variant>
      <vt:variant>
        <vt:lpwstr/>
      </vt:variant>
      <vt:variant>
        <vt:i4>6619233</vt:i4>
      </vt:variant>
      <vt:variant>
        <vt:i4>63</vt:i4>
      </vt:variant>
      <vt:variant>
        <vt:i4>0</vt:i4>
      </vt:variant>
      <vt:variant>
        <vt:i4>5</vt:i4>
      </vt:variant>
      <vt:variant>
        <vt:lpwstr>http://www.nevo.co.il/law/70301/40c</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6553652</vt:i4>
      </vt:variant>
      <vt:variant>
        <vt:i4>57</vt:i4>
      </vt:variant>
      <vt:variant>
        <vt:i4>0</vt:i4>
      </vt:variant>
      <vt:variant>
        <vt:i4>5</vt:i4>
      </vt:variant>
      <vt:variant>
        <vt:lpwstr>http://www.nevo.co.il/law/70301/a1S</vt:lpwstr>
      </vt:variant>
      <vt:variant>
        <vt:lpwstr/>
      </vt:variant>
      <vt:variant>
        <vt:i4>6684774</vt:i4>
      </vt:variant>
      <vt:variant>
        <vt:i4>54</vt:i4>
      </vt:variant>
      <vt:variant>
        <vt:i4>0</vt:i4>
      </vt:variant>
      <vt:variant>
        <vt:i4>5</vt:i4>
      </vt:variant>
      <vt:variant>
        <vt:lpwstr>http://www.nevo.co.il/law/70301/334</vt:lpwstr>
      </vt:variant>
      <vt:variant>
        <vt:lpwstr/>
      </vt:variant>
      <vt:variant>
        <vt:i4>6684722</vt:i4>
      </vt:variant>
      <vt:variant>
        <vt:i4>51</vt:i4>
      </vt:variant>
      <vt:variant>
        <vt:i4>0</vt:i4>
      </vt:variant>
      <vt:variant>
        <vt:i4>5</vt:i4>
      </vt:variant>
      <vt:variant>
        <vt:lpwstr>http://www.nevo.co.il/law/70301/335.a.1</vt:lpwstr>
      </vt:variant>
      <vt:variant>
        <vt:lpwstr/>
      </vt:variant>
      <vt:variant>
        <vt:i4>86</vt:i4>
      </vt:variant>
      <vt:variant>
        <vt:i4>48</vt:i4>
      </vt:variant>
      <vt:variant>
        <vt:i4>0</vt:i4>
      </vt:variant>
      <vt:variant>
        <vt:i4>5</vt:i4>
      </vt:variant>
      <vt:variant>
        <vt:lpwstr>http://www.nevo.co.il/law/70301/340a</vt:lpwstr>
      </vt:variant>
      <vt:variant>
        <vt:lpwstr/>
      </vt:variant>
      <vt:variant>
        <vt:i4>6684774</vt:i4>
      </vt:variant>
      <vt:variant>
        <vt:i4>45</vt:i4>
      </vt:variant>
      <vt:variant>
        <vt:i4>0</vt:i4>
      </vt:variant>
      <vt:variant>
        <vt:i4>5</vt:i4>
      </vt:variant>
      <vt:variant>
        <vt:lpwstr>http://www.nevo.co.il/law/70301/334</vt:lpwstr>
      </vt:variant>
      <vt:variant>
        <vt:lpwstr/>
      </vt:variant>
      <vt:variant>
        <vt:i4>6684722</vt:i4>
      </vt:variant>
      <vt:variant>
        <vt:i4>42</vt:i4>
      </vt:variant>
      <vt:variant>
        <vt:i4>0</vt:i4>
      </vt:variant>
      <vt:variant>
        <vt:i4>5</vt:i4>
      </vt:variant>
      <vt:variant>
        <vt:lpwstr>http://www.nevo.co.il/law/70301/335.a.1</vt:lpwstr>
      </vt:variant>
      <vt:variant>
        <vt:lpwstr/>
      </vt:variant>
      <vt:variant>
        <vt:i4>7995492</vt:i4>
      </vt:variant>
      <vt:variant>
        <vt:i4>39</vt:i4>
      </vt:variant>
      <vt:variant>
        <vt:i4>0</vt:i4>
      </vt:variant>
      <vt:variant>
        <vt:i4>5</vt:i4>
      </vt:variant>
      <vt:variant>
        <vt:lpwstr>http://www.nevo.co.il/law/70301</vt:lpwstr>
      </vt:variant>
      <vt:variant>
        <vt:lpwstr/>
      </vt:variant>
      <vt:variant>
        <vt:i4>86</vt:i4>
      </vt:variant>
      <vt:variant>
        <vt:i4>36</vt:i4>
      </vt:variant>
      <vt:variant>
        <vt:i4>0</vt:i4>
      </vt:variant>
      <vt:variant>
        <vt:i4>5</vt:i4>
      </vt:variant>
      <vt:variant>
        <vt:lpwstr>http://www.nevo.co.il/law/70301/340a</vt:lpwstr>
      </vt:variant>
      <vt:variant>
        <vt:lpwstr/>
      </vt:variant>
      <vt:variant>
        <vt:i4>6553652</vt:i4>
      </vt:variant>
      <vt:variant>
        <vt:i4>33</vt:i4>
      </vt:variant>
      <vt:variant>
        <vt:i4>0</vt:i4>
      </vt:variant>
      <vt:variant>
        <vt:i4>5</vt:i4>
      </vt:variant>
      <vt:variant>
        <vt:lpwstr>http://www.nevo.co.il/law/70301/a1S</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86</vt:i4>
      </vt:variant>
      <vt:variant>
        <vt:i4>24</vt:i4>
      </vt:variant>
      <vt:variant>
        <vt:i4>0</vt:i4>
      </vt:variant>
      <vt:variant>
        <vt:i4>5</vt:i4>
      </vt:variant>
      <vt:variant>
        <vt:lpwstr>http://www.nevo.co.il/law/70301/340a</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http://www.nevo.co.il/law/70301/334</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4915208</vt:i4>
      </vt:variant>
      <vt:variant>
        <vt:i4>12</vt:i4>
      </vt:variant>
      <vt:variant>
        <vt:i4>0</vt:i4>
      </vt:variant>
      <vt:variant>
        <vt:i4>5</vt:i4>
      </vt:variant>
      <vt:variant>
        <vt:lpwstr>http://www.nevo.co.il/law/70301/40i.a</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2025-01-19T16:14:00Z</dcterms:created>
  <dcterms:modified xsi:type="dcterms:W3CDTF">2025-01-19T16:14:00Z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9873</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חדר אבו אסחאק</vt:lpwstr>
  </property>
  <property fmtid="{D5CDD505-2E9C-101B-9397-08002B2CF9AE}" pid="10" name="LAWYER">
    <vt:lpwstr>יפעת פנחסי נבו;ניק קאופמן</vt:lpwstr>
  </property>
  <property fmtid="{D5CDD505-2E9C-101B-9397-08002B2CF9AE}" pid="11" name="JUDGE">
    <vt:lpwstr>דניאל טפרברג</vt:lpwstr>
  </property>
  <property fmtid="{D5CDD505-2E9C-101B-9397-08002B2CF9AE}" pid="12" name="CITY">
    <vt:lpwstr>י-ם</vt:lpwstr>
  </property>
  <property fmtid="{D5CDD505-2E9C-101B-9397-08002B2CF9AE}" pid="13" name="DATE">
    <vt:lpwstr>20170523</vt:lpwstr>
  </property>
  <property fmtid="{D5CDD505-2E9C-101B-9397-08002B2CF9AE}" pid="14" name="TYPE_N_DATE">
    <vt:lpwstr>39020170523</vt:lpwstr>
  </property>
  <property fmtid="{D5CDD505-2E9C-101B-9397-08002B2CF9AE}" pid="15" name="WORDNUMPAGES">
    <vt:lpwstr>7</vt:lpwstr>
  </property>
  <property fmtid="{D5CDD505-2E9C-101B-9397-08002B2CF9AE}" pid="16" name="TYPE_ABS_DATE">
    <vt:lpwstr>390020170523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13093721;6018516;20420489;4303167;17032356;5108505;5592533;492296;5954809;4150818</vt:lpwstr>
  </property>
  <property fmtid="{D5CDD505-2E9C-101B-9397-08002B2CF9AE}" pid="36" name="LAWLISTTMP1">
    <vt:lpwstr>70301/340a:3;335.a.1:2;334:2;a1S;040b;040c;040c.b;40jc;040i.a;40ja;144</vt:lpwstr>
  </property>
</Properties>
</file>