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A06F82" w:rsidRPr="0093305B" w14:paraId="7F20C055" w14:textId="77777777" w:rsidTr="00F56D97">
        <w:trPr>
          <w:trHeight w:hRule="exact" w:val="567"/>
          <w:jc w:val="center"/>
        </w:trPr>
        <w:tc>
          <w:tcPr>
            <w:tcW w:w="8721" w:type="dxa"/>
            <w:gridSpan w:val="2"/>
          </w:tcPr>
          <w:p w14:paraId="22E1D332" w14:textId="77777777" w:rsidR="00A06F82" w:rsidRPr="0093305B" w:rsidRDefault="00A06F82" w:rsidP="002A04DE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FirstLawyer"/>
            <w:bookmarkStart w:id="1" w:name="LastJudge"/>
            <w:r w:rsidRPr="0093305B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</w:t>
            </w:r>
            <w:r w:rsidRPr="0093305B">
              <w:rPr>
                <w:rFonts w:ascii="Tahoma" w:hAnsi="Tahoma" w:cs="Tahoma" w:hint="cs"/>
                <w:b/>
                <w:bCs/>
                <w:color w:val="000080"/>
                <w:rtl/>
              </w:rPr>
              <w:t>ים</w:t>
            </w:r>
          </w:p>
          <w:p w14:paraId="4C6FFBEE" w14:textId="77777777" w:rsidR="00A06F82" w:rsidRPr="0093305B" w:rsidRDefault="00A06F82" w:rsidP="002A04DE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r w:rsidRPr="0093305B">
              <w:rPr>
                <w:rFonts w:ascii="Tahoma" w:hAnsi="Tahoma" w:cs="Tahoma" w:hint="cs"/>
                <w:b/>
                <w:bCs/>
                <w:color w:val="000080"/>
                <w:rtl/>
              </w:rPr>
              <w:t xml:space="preserve">לפני כב' השופט דניאל טפרברג </w:t>
            </w:r>
          </w:p>
        </w:tc>
      </w:tr>
      <w:tr w:rsidR="00A06F82" w:rsidRPr="0093305B" w14:paraId="5B9D0DC4" w14:textId="77777777" w:rsidTr="00F56D97">
        <w:trPr>
          <w:trHeight w:val="337"/>
          <w:jc w:val="center"/>
        </w:trPr>
        <w:tc>
          <w:tcPr>
            <w:tcW w:w="5058" w:type="dxa"/>
          </w:tcPr>
          <w:p w14:paraId="267F8C25" w14:textId="77777777" w:rsidR="00A06F82" w:rsidRPr="0093305B" w:rsidRDefault="00A06F82" w:rsidP="002A04DE">
            <w:pPr>
              <w:rPr>
                <w:rFonts w:cs="FrankRuehl"/>
                <w:sz w:val="28"/>
                <w:szCs w:val="28"/>
                <w:rtl/>
              </w:rPr>
            </w:pPr>
            <w:r w:rsidRPr="0093305B">
              <w:rPr>
                <w:rFonts w:cs="FrankRuehl"/>
                <w:sz w:val="28"/>
                <w:szCs w:val="28"/>
                <w:rtl/>
              </w:rPr>
              <w:t>ת"פ</w:t>
            </w:r>
            <w:r w:rsidRPr="009330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305B">
              <w:rPr>
                <w:rFonts w:cs="FrankRuehl"/>
                <w:sz w:val="28"/>
                <w:szCs w:val="28"/>
                <w:rtl/>
              </w:rPr>
              <w:t>26417-03-17</w:t>
            </w:r>
            <w:r w:rsidRPr="0093305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3305B">
              <w:rPr>
                <w:rFonts w:cs="FrankRuehl"/>
                <w:sz w:val="28"/>
                <w:szCs w:val="28"/>
                <w:rtl/>
              </w:rPr>
              <w:t>מדינת ישראל נ' ברהום(עציר)</w:t>
            </w:r>
          </w:p>
          <w:p w14:paraId="0630264F" w14:textId="77777777" w:rsidR="00A06F82" w:rsidRPr="0093305B" w:rsidRDefault="00A06F82" w:rsidP="002A04DE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03A6764" w14:textId="77777777" w:rsidR="00A06F82" w:rsidRPr="0093305B" w:rsidRDefault="00A06F82" w:rsidP="002A04D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3325F903" w14:textId="77777777" w:rsidR="00A06F82" w:rsidRPr="0093305B" w:rsidRDefault="00A06F82" w:rsidP="00A06F82">
      <w:pPr>
        <w:pStyle w:val="a3"/>
        <w:rPr>
          <w:rtl/>
        </w:rPr>
      </w:pPr>
      <w:r w:rsidRPr="0093305B">
        <w:rPr>
          <w:rFonts w:hint="cs"/>
          <w:rtl/>
        </w:rPr>
        <w:t xml:space="preserve"> </w:t>
      </w:r>
    </w:p>
    <w:p w14:paraId="52CEC407" w14:textId="77777777" w:rsidR="00A06F82" w:rsidRPr="0093305B" w:rsidRDefault="00A06F82" w:rsidP="00A06F82">
      <w:pPr>
        <w:rPr>
          <w:rFonts w:cs="FrankRuehl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A06F82" w:rsidRPr="0093305B" w14:paraId="573BBAED" w14:textId="77777777" w:rsidTr="00A06F82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31583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D1BAD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A06F82" w:rsidRPr="0093305B" w14:paraId="3D7571C7" w14:textId="77777777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EF256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bookmarkStart w:id="2" w:name="FirstAppellant"/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397BA" w14:textId="77777777" w:rsidR="00A06F82" w:rsidRPr="0093305B" w:rsidRDefault="00A06F82" w:rsidP="002A04DE">
            <w:pPr>
              <w:rPr>
                <w:rFonts w:cs="FrankRuehl"/>
                <w:b/>
                <w:bCs/>
                <w:sz w:val="28"/>
                <w:szCs w:val="28"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מדינת ישראל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93305B">
              <w:rPr>
                <w:rFonts w:cs="FrankRuehl" w:hint="cs"/>
                <w:b/>
                <w:bCs/>
                <w:sz w:val="28"/>
                <w:szCs w:val="28"/>
                <w:rtl/>
              </w:rPr>
              <w:t xml:space="preserve">ע"י ב"כ עו"ד מוריה ביינה 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05CD1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bookmarkEnd w:id="2"/>
      <w:tr w:rsidR="00A06F82" w:rsidRPr="0093305B" w14:paraId="375A89A2" w14:textId="77777777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AD71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CB334" w14:textId="77777777" w:rsidR="00A06F82" w:rsidRPr="0093305B" w:rsidRDefault="00A06F82" w:rsidP="00A06F82">
            <w:pPr>
              <w:jc w:val="both"/>
              <w:rPr>
                <w:rFonts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37BA1" w14:textId="77777777"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A06F82" w:rsidRPr="0093305B" w14:paraId="7AC6BA37" w14:textId="77777777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EE3E5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98C13" w14:textId="77777777" w:rsidR="00A06F82" w:rsidRPr="0093305B" w:rsidRDefault="00A06F82" w:rsidP="00A06F8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4C5FA478" w14:textId="77777777" w:rsidR="00A06F82" w:rsidRPr="0093305B" w:rsidRDefault="00A06F82" w:rsidP="00A06F82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0C357B45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A06F82" w:rsidRPr="0093305B" w14:paraId="7A06B289" w14:textId="77777777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2BA01" w14:textId="77777777" w:rsidR="00A06F82" w:rsidRPr="0093305B" w:rsidRDefault="00A06F82" w:rsidP="002A04DE">
            <w:pPr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69319" w14:textId="77777777" w:rsidR="00A06F82" w:rsidRPr="0093305B" w:rsidRDefault="00A06F82" w:rsidP="002A04DE">
            <w:pPr>
              <w:rPr>
                <w:rFonts w:cs="FrankRuehl"/>
                <w:b/>
                <w:bCs/>
                <w:sz w:val="28"/>
                <w:szCs w:val="28"/>
                <w:rtl/>
              </w:rPr>
            </w:pP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עמאר ברהום (עציר)</w:t>
            </w:r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br/>
            </w:r>
            <w:r w:rsidRPr="0093305B">
              <w:rPr>
                <w:rFonts w:cs="FrankRuehl" w:hint="cs"/>
                <w:b/>
                <w:bCs/>
                <w:sz w:val="28"/>
                <w:szCs w:val="28"/>
                <w:rtl/>
              </w:rPr>
              <w:t>ע"י ב"כ עו"ד ירון גיגי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462504" w14:textId="77777777"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</w:p>
        </w:tc>
      </w:tr>
      <w:tr w:rsidR="00A06F82" w:rsidRPr="0093305B" w14:paraId="680FF391" w14:textId="77777777" w:rsidTr="00A06F82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C38CA" w14:textId="77777777" w:rsidR="00A06F82" w:rsidRPr="0093305B" w:rsidRDefault="00A06F82" w:rsidP="00A06F82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B8384" w14:textId="77777777" w:rsidR="00A06F82" w:rsidRPr="0093305B" w:rsidRDefault="00A06F82" w:rsidP="00A06F82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1023F" w14:textId="77777777" w:rsidR="00A06F82" w:rsidRPr="0093305B" w:rsidRDefault="00A06F82" w:rsidP="00A06F82">
            <w:pPr>
              <w:jc w:val="righ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93305B">
              <w:rPr>
                <w:rFonts w:ascii="Arial" w:hAnsi="Arial" w:cs="FrankRuehl" w:hint="cs"/>
                <w:b/>
                <w:bCs/>
                <w:sz w:val="28"/>
                <w:szCs w:val="28"/>
                <w:rtl/>
              </w:rPr>
              <w:t>הנאשם</w:t>
            </w:r>
          </w:p>
        </w:tc>
      </w:tr>
    </w:tbl>
    <w:p w14:paraId="46FFF13E" w14:textId="77777777" w:rsidR="00F56D97" w:rsidRDefault="00F56D97" w:rsidP="00A06F82">
      <w:pPr>
        <w:rPr>
          <w:rFonts w:cs="FrankRuehl"/>
          <w:sz w:val="28"/>
          <w:szCs w:val="28"/>
          <w:rtl/>
        </w:rPr>
      </w:pPr>
      <w:bookmarkStart w:id="3" w:name="LawTable"/>
      <w:bookmarkEnd w:id="3"/>
    </w:p>
    <w:p w14:paraId="63D6C31E" w14:textId="77777777"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1084FCF" w14:textId="77777777"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56D97">
        <w:rPr>
          <w:rFonts w:ascii="FrankRuehl" w:hAnsi="FrankRuehl" w:cs="FrankRuehl"/>
          <w:rtl/>
        </w:rPr>
        <w:t xml:space="preserve">חקיקה שאוזכרה: </w:t>
      </w:r>
    </w:p>
    <w:p w14:paraId="76EA7FFA" w14:textId="77777777" w:rsidR="00F56D97" w:rsidRPr="00F56D97" w:rsidRDefault="00F56D97" w:rsidP="00F56D9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F56D97">
        <w:rPr>
          <w:rFonts w:ascii="FrankRuehl" w:hAnsi="FrankRuehl" w:cs="FrankRuehl"/>
          <w:rtl/>
        </w:rPr>
        <w:t xml:space="preserve">: סע'  </w:t>
      </w:r>
      <w:hyperlink r:id="rId8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9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0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1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2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3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242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4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5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F56D97">
        <w:rPr>
          <w:rFonts w:ascii="FrankRuehl" w:hAnsi="FrankRuehl" w:cs="FrankRuehl"/>
          <w:rtl/>
        </w:rPr>
        <w:t xml:space="preserve">, </w:t>
      </w:r>
      <w:hyperlink r:id="rId16" w:history="1">
        <w:r w:rsidRPr="00F56D97">
          <w:rPr>
            <w:rFonts w:ascii="FrankRuehl" w:hAnsi="FrankRuehl" w:cs="FrankRuehl"/>
            <w:color w:val="0000FF"/>
            <w:u w:val="single"/>
            <w:rtl/>
          </w:rPr>
          <w:t>א1</w:t>
        </w:r>
      </w:hyperlink>
    </w:p>
    <w:p w14:paraId="1D3C9A7A" w14:textId="77777777" w:rsidR="00A06F82" w:rsidRPr="0093305B" w:rsidRDefault="00A06F82" w:rsidP="00A06F82">
      <w:pPr>
        <w:rPr>
          <w:rFonts w:cs="FrankRuehl"/>
          <w:b/>
          <w:bCs/>
          <w:sz w:val="28"/>
          <w:szCs w:val="28"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06F82" w:rsidRPr="0058474E" w14:paraId="7DB338D2" w14:textId="77777777" w:rsidTr="00A06F82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EE927" w14:textId="77777777" w:rsidR="0093305B" w:rsidRPr="0093305B" w:rsidRDefault="0093305B" w:rsidP="0093305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bookmarkEnd w:id="1"/>
            <w:r w:rsidRPr="0093305B">
              <w:rPr>
                <w:rFonts w:ascii="Arial" w:hAnsi="Arial" w:cs="FrankRueh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264344CD" w14:textId="77777777" w:rsidR="00A06F82" w:rsidRPr="0093305B" w:rsidRDefault="00A06F82" w:rsidP="0093305B">
            <w:pPr>
              <w:jc w:val="center"/>
              <w:rPr>
                <w:rFonts w:ascii="Arial" w:hAnsi="Arial" w:cs="FrankRuehl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5F97D403" w14:textId="77777777" w:rsidR="00A06F82" w:rsidRPr="0058474E" w:rsidRDefault="00A06F82" w:rsidP="00A06F82">
      <w:pPr>
        <w:rPr>
          <w:rFonts w:ascii="Arial" w:hAnsi="Arial" w:cs="FrankRuehl"/>
          <w:sz w:val="28"/>
          <w:szCs w:val="28"/>
          <w:rtl/>
        </w:rPr>
      </w:pPr>
    </w:p>
    <w:p w14:paraId="5EAD5D84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bookmarkStart w:id="5" w:name="ABSTRACT_START"/>
      <w:bookmarkEnd w:id="5"/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במסגרת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הבאות</w:t>
      </w:r>
      <w:r w:rsidRPr="0058474E">
        <w:rPr>
          <w:rFonts w:cs="FrankRuehl"/>
          <w:sz w:val="28"/>
          <w:szCs w:val="28"/>
          <w:rtl/>
        </w:rPr>
        <w:t>:</w:t>
      </w:r>
    </w:p>
    <w:p w14:paraId="3BE97668" w14:textId="77777777" w:rsidR="00A06F82" w:rsidRDefault="00A06F82" w:rsidP="00A06F82">
      <w:pPr>
        <w:spacing w:line="360" w:lineRule="auto"/>
        <w:jc w:val="both"/>
        <w:rPr>
          <w:rFonts w:cs="FrankRuehl"/>
          <w:sz w:val="28"/>
          <w:szCs w:val="28"/>
          <w:u w:val="single"/>
          <w:rtl/>
        </w:rPr>
      </w:pPr>
    </w:p>
    <w:p w14:paraId="06704B60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אישום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ראשון</w:t>
      </w:r>
    </w:p>
    <w:p w14:paraId="1D086251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נשיאת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שלא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כדין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 xml:space="preserve">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17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144(ב)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רישא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18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תשל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ז</w:t>
      </w:r>
      <w:r w:rsidRPr="0058474E">
        <w:rPr>
          <w:rFonts w:cs="FrankRuehl"/>
          <w:sz w:val="28"/>
          <w:szCs w:val="28"/>
          <w:rtl/>
        </w:rPr>
        <w:t>-1977 (</w:t>
      </w:r>
      <w:r w:rsidRPr="0058474E">
        <w:rPr>
          <w:rFonts w:cs="FrankRuehl" w:hint="eastAsia"/>
          <w:sz w:val="28"/>
          <w:szCs w:val="28"/>
          <w:rtl/>
        </w:rPr>
        <w:t>להלן</w:t>
      </w:r>
      <w:r w:rsidRPr="0058474E">
        <w:rPr>
          <w:rFonts w:cs="FrankRuehl"/>
          <w:sz w:val="28"/>
          <w:szCs w:val="28"/>
          <w:rtl/>
        </w:rPr>
        <w:t xml:space="preserve">: </w:t>
      </w:r>
      <w:r w:rsidRPr="0058474E">
        <w:rPr>
          <w:rFonts w:cs="FrankRuehl" w:hint="eastAsia"/>
          <w:sz w:val="28"/>
          <w:szCs w:val="28"/>
          <w:rtl/>
        </w:rPr>
        <w:t>החוק</w:t>
      </w:r>
      <w:r w:rsidRPr="0058474E">
        <w:rPr>
          <w:rFonts w:cs="FrankRuehl"/>
          <w:sz w:val="28"/>
          <w:szCs w:val="28"/>
          <w:rtl/>
        </w:rPr>
        <w:t xml:space="preserve">), </w:t>
      </w:r>
      <w:r w:rsidRPr="0058474E">
        <w:rPr>
          <w:rFonts w:cs="FrankRuehl" w:hint="eastAsia"/>
          <w:b/>
          <w:bCs/>
          <w:sz w:val="28"/>
          <w:szCs w:val="28"/>
          <w:rtl/>
        </w:rPr>
        <w:t>נשיאת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אביזר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שלא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19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144(ב)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סיפא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b/>
          <w:bCs/>
          <w:sz w:val="28"/>
          <w:szCs w:val="28"/>
          <w:rtl/>
        </w:rPr>
        <w:t>והחזקת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אביזר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20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144(א)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סיפא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>.</w:t>
      </w:r>
    </w:p>
    <w:p w14:paraId="65B078FE" w14:textId="77777777" w:rsidR="00A06F82" w:rsidRPr="00292BBA" w:rsidRDefault="00A06F82" w:rsidP="00A06F82">
      <w:pPr>
        <w:spacing w:line="360" w:lineRule="auto"/>
        <w:jc w:val="both"/>
        <w:rPr>
          <w:rFonts w:cs="FrankRuehl"/>
          <w:sz w:val="16"/>
          <w:szCs w:val="16"/>
          <w:rtl/>
        </w:rPr>
      </w:pPr>
    </w:p>
    <w:p w14:paraId="3E1E91A0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עובדות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המתוקן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ביום</w:t>
      </w:r>
      <w:r w:rsidRPr="0058474E">
        <w:rPr>
          <w:rFonts w:cs="FrankRuehl"/>
          <w:sz w:val="28"/>
          <w:szCs w:val="28"/>
          <w:rtl/>
        </w:rPr>
        <w:t xml:space="preserve"> 27.2.2017 </w:t>
      </w:r>
      <w:r w:rsidRPr="0058474E">
        <w:rPr>
          <w:rFonts w:cs="FrankRuehl" w:hint="eastAsia"/>
          <w:sz w:val="28"/>
          <w:szCs w:val="28"/>
          <w:rtl/>
        </w:rPr>
        <w:t>הכניס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מאולתרת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ושתי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צינות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צינה</w:t>
      </w:r>
      <w:r w:rsidRPr="0058474E">
        <w:rPr>
          <w:rFonts w:cs="FrankRuehl"/>
          <w:sz w:val="28"/>
          <w:szCs w:val="28"/>
          <w:rtl/>
        </w:rPr>
        <w:t xml:space="preserve"> = </w:t>
      </w:r>
      <w:r w:rsidRPr="0058474E">
        <w:rPr>
          <w:rFonts w:cs="FrankRuehl" w:hint="eastAsia"/>
          <w:sz w:val="28"/>
          <w:szCs w:val="28"/>
          <w:rtl/>
        </w:rPr>
        <w:t>מחלק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באקדחים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חצי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אוטומטיים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החלק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לאחור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ולפנים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גבי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האקדח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ד</w:t>
      </w:r>
      <w:r w:rsidRPr="0058474E">
        <w:rPr>
          <w:rFonts w:cs="FrankRuehl"/>
          <w:sz w:val="28"/>
          <w:szCs w:val="28"/>
          <w:rtl/>
        </w:rPr>
        <w:t>.</w:t>
      </w:r>
      <w:r w:rsidRPr="0058474E">
        <w:rPr>
          <w:rFonts w:cs="FrankRuehl" w:hint="eastAsia"/>
          <w:sz w:val="28"/>
          <w:szCs w:val="28"/>
          <w:rtl/>
        </w:rPr>
        <w:t>ט</w:t>
      </w:r>
      <w:r w:rsidRPr="0058474E">
        <w:rPr>
          <w:rFonts w:cs="FrankRuehl"/>
          <w:sz w:val="28"/>
          <w:szCs w:val="28"/>
          <w:rtl/>
        </w:rPr>
        <w:t xml:space="preserve">.).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החביא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בשימושו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סמוך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לשעה</w:t>
      </w:r>
      <w:r w:rsidRPr="0058474E">
        <w:rPr>
          <w:rFonts w:cs="FrankRuehl"/>
          <w:sz w:val="28"/>
          <w:szCs w:val="28"/>
          <w:rtl/>
        </w:rPr>
        <w:t xml:space="preserve"> 14:00 </w:t>
      </w:r>
      <w:r w:rsidRPr="0058474E">
        <w:rPr>
          <w:rFonts w:cs="FrankRuehl" w:hint="eastAsia"/>
          <w:sz w:val="28"/>
          <w:szCs w:val="28"/>
          <w:rtl/>
        </w:rPr>
        <w:t>באותו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היום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נסע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מכפר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נקובה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לכיכר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מחלף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חמד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ונעצר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מוסתרת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במצב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אוטומט</w:t>
      </w:r>
      <w:r w:rsidRPr="0058474E">
        <w:rPr>
          <w:rFonts w:cs="FrankRuehl"/>
          <w:sz w:val="28"/>
          <w:szCs w:val="28"/>
          <w:rtl/>
        </w:rPr>
        <w:t xml:space="preserve">", </w:t>
      </w:r>
      <w:r w:rsidRPr="0058474E">
        <w:rPr>
          <w:rFonts w:cs="FrankRuehl" w:hint="eastAsia"/>
          <w:sz w:val="28"/>
          <w:szCs w:val="28"/>
          <w:rtl/>
        </w:rPr>
        <w:t>ויש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לדרוך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בנפרד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ירי</w:t>
      </w:r>
      <w:r w:rsidRPr="0058474E">
        <w:rPr>
          <w:rFonts w:cs="FrankRuehl"/>
          <w:sz w:val="28"/>
          <w:szCs w:val="28"/>
          <w:rtl/>
        </w:rPr>
        <w:t xml:space="preserve">. </w:t>
      </w:r>
    </w:p>
    <w:p w14:paraId="35C56970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lastRenderedPageBreak/>
        <w:t>בנוסף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עובר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ליום</w:t>
      </w:r>
      <w:r w:rsidRPr="0058474E">
        <w:rPr>
          <w:rFonts w:cs="FrankRuehl"/>
          <w:sz w:val="28"/>
          <w:szCs w:val="28"/>
          <w:rtl/>
        </w:rPr>
        <w:t xml:space="preserve"> 1.3.2017, </w:t>
      </w:r>
      <w:r w:rsidRPr="0058474E">
        <w:rPr>
          <w:rFonts w:cs="FrankRuehl" w:hint="eastAsia"/>
          <w:sz w:val="28"/>
          <w:szCs w:val="28"/>
          <w:rtl/>
        </w:rPr>
        <w:t>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מחסנית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</w:rPr>
        <w:t>M16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ברווח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הקיר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לסככת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חצר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>.</w:t>
      </w:r>
    </w:p>
    <w:p w14:paraId="716ABE02" w14:textId="77777777" w:rsidR="00A06F82" w:rsidRPr="00292BBA" w:rsidRDefault="00A06F82" w:rsidP="00A06F82">
      <w:pPr>
        <w:spacing w:line="360" w:lineRule="auto"/>
        <w:jc w:val="both"/>
        <w:rPr>
          <w:rFonts w:cs="FrankRuehl"/>
          <w:sz w:val="16"/>
          <w:szCs w:val="16"/>
          <w:u w:val="single"/>
          <w:rtl/>
        </w:rPr>
      </w:pPr>
      <w:bookmarkStart w:id="6" w:name="ABSTRACT_END"/>
      <w:bookmarkEnd w:id="6"/>
    </w:p>
    <w:p w14:paraId="27084824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אישום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שני</w:t>
      </w:r>
    </w:p>
    <w:p w14:paraId="03C458D6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השמדת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ראיה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לפי</w:t>
      </w:r>
      <w:r w:rsidRPr="0058474E">
        <w:rPr>
          <w:rFonts w:cs="FrankRuehl"/>
          <w:sz w:val="28"/>
          <w:szCs w:val="28"/>
          <w:rtl/>
        </w:rPr>
        <w:t xml:space="preserve"> </w:t>
      </w:r>
      <w:hyperlink r:id="rId21" w:history="1">
        <w:r w:rsidR="00F56D97" w:rsidRPr="00F56D97">
          <w:rPr>
            <w:rFonts w:cs="FrankRuehl"/>
            <w:color w:val="0000FF"/>
            <w:sz w:val="28"/>
            <w:szCs w:val="28"/>
            <w:u w:val="single"/>
            <w:rtl/>
          </w:rPr>
          <w:t>סעיף 242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לחוק</w:t>
      </w:r>
      <w:r w:rsidRPr="0058474E">
        <w:rPr>
          <w:rFonts w:cs="FrankRuehl"/>
          <w:sz w:val="28"/>
          <w:szCs w:val="28"/>
          <w:rtl/>
        </w:rPr>
        <w:t>.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עובדות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המתוקן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הוכנס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ביום</w:t>
      </w:r>
      <w:r w:rsidRPr="0058474E">
        <w:rPr>
          <w:rFonts w:cs="FrankRuehl"/>
          <w:sz w:val="28"/>
          <w:szCs w:val="28"/>
          <w:rtl/>
        </w:rPr>
        <w:t xml:space="preserve"> 8.3.2017 </w:t>
      </w:r>
      <w:r w:rsidRPr="0058474E">
        <w:rPr>
          <w:rFonts w:cs="FrankRuehl" w:hint="eastAsia"/>
          <w:sz w:val="28"/>
          <w:szCs w:val="28"/>
          <w:rtl/>
        </w:rPr>
        <w:t>לחדר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חקירות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כשעל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השולחן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מונחים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שלושה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סלולאריים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שנתפסו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המשטרה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ביקשה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להטיח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מצויות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ראיות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המפלילות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ניצל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הזדמנות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החוקר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בחדר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תפס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הטלפונים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ושבר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באופן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שמנע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>.</w:t>
      </w:r>
    </w:p>
    <w:p w14:paraId="1E90AF5C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במעשיו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הטלפון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עשוי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לראיה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בהליך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שיפוטי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במזיד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משמידו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בלתי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לפענוח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לזיהוי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במטרה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כראיה</w:t>
      </w:r>
      <w:r w:rsidRPr="0058474E">
        <w:rPr>
          <w:rFonts w:cs="FrankRuehl"/>
          <w:sz w:val="28"/>
          <w:szCs w:val="28"/>
          <w:rtl/>
        </w:rPr>
        <w:t>.</w:t>
      </w:r>
    </w:p>
    <w:p w14:paraId="2FA416F1" w14:textId="77777777" w:rsidR="00A06F82" w:rsidRPr="00292BBA" w:rsidRDefault="00A06F82" w:rsidP="00A06F82">
      <w:pPr>
        <w:spacing w:after="120" w:line="360" w:lineRule="auto"/>
        <w:jc w:val="both"/>
        <w:rPr>
          <w:rFonts w:cs="FrankRuehl"/>
          <w:sz w:val="8"/>
          <w:szCs w:val="8"/>
          <w:rtl/>
        </w:rPr>
      </w:pPr>
    </w:p>
    <w:p w14:paraId="4510F012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במסגרת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הגבילה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עצמה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בטיעוניה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ההגנה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חופשית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בטיעוניה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לעונש</w:t>
      </w:r>
      <w:r w:rsidRPr="0058474E">
        <w:rPr>
          <w:rFonts w:cs="FrankRuehl"/>
          <w:sz w:val="28"/>
          <w:szCs w:val="28"/>
          <w:rtl/>
        </w:rPr>
        <w:t>.</w:t>
      </w:r>
    </w:p>
    <w:p w14:paraId="35D6B82F" w14:textId="77777777" w:rsidR="00A06F82" w:rsidRPr="00292BBA" w:rsidRDefault="00A06F82" w:rsidP="00A06F82">
      <w:pPr>
        <w:pStyle w:val="1"/>
        <w:rPr>
          <w:rFonts w:cs="FrankRuehl"/>
          <w:sz w:val="2"/>
          <w:szCs w:val="2"/>
          <w:u w:val="single"/>
          <w:rtl/>
        </w:rPr>
      </w:pPr>
    </w:p>
    <w:p w14:paraId="0964AE28" w14:textId="77777777" w:rsidR="00A06F82" w:rsidRPr="0058474E" w:rsidRDefault="00A06F82" w:rsidP="00A06F82">
      <w:pPr>
        <w:pStyle w:val="1"/>
        <w:rPr>
          <w:rFonts w:cs="FrankRuehl"/>
          <w:b w:val="0"/>
          <w:bCs w:val="0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טיעוני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המאשימה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לעונש</w:t>
      </w:r>
    </w:p>
    <w:p w14:paraId="7679E827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למעשי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קדם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תכנון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הכולל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הטמנת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בשקית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והסלקת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השקית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הרכב</w:t>
      </w:r>
      <w:r w:rsidRPr="0058474E">
        <w:rPr>
          <w:rFonts w:cs="FrankRuehl"/>
          <w:sz w:val="28"/>
          <w:szCs w:val="28"/>
          <w:rtl/>
        </w:rPr>
        <w:t>.</w:t>
      </w:r>
    </w:p>
    <w:p w14:paraId="3DCC2624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הנעשות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חוקי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חמורות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המניע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– </w:t>
      </w:r>
      <w:r w:rsidRPr="0058474E">
        <w:rPr>
          <w:rFonts w:cs="FrankRuehl" w:hint="eastAsia"/>
          <w:sz w:val="28"/>
          <w:szCs w:val="28"/>
          <w:rtl/>
        </w:rPr>
        <w:t>אינו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ידוע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ועלול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מגולמת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תעוזה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רבה</w:t>
      </w:r>
      <w:r w:rsidRPr="0058474E">
        <w:rPr>
          <w:rFonts w:cs="FrankRuehl"/>
          <w:sz w:val="28"/>
          <w:szCs w:val="28"/>
          <w:rtl/>
        </w:rPr>
        <w:t>.</w:t>
      </w:r>
    </w:p>
    <w:p w14:paraId="5BE00439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הזיקה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האישומים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בנפרד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נוכח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הערכים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המוגנים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השונים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הנפגעים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כתוצאה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>.</w:t>
      </w:r>
    </w:p>
    <w:p w14:paraId="3C0EF40C" w14:textId="77777777" w:rsidR="00A06F82" w:rsidRPr="00292BBA" w:rsidRDefault="00A06F82" w:rsidP="00A06F82">
      <w:pPr>
        <w:spacing w:after="120" w:line="360" w:lineRule="auto"/>
        <w:jc w:val="both"/>
        <w:rPr>
          <w:rFonts w:cs="FrankRuehl"/>
          <w:sz w:val="12"/>
          <w:szCs w:val="12"/>
          <w:rtl/>
        </w:rPr>
      </w:pPr>
    </w:p>
    <w:p w14:paraId="24B53512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למדיניות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הענישה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הנוהגת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הפנתה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22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4329/10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פלוני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>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25.10.2010),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, 16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עוד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הפנתה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</w:t>
      </w:r>
      <w:hyperlink r:id="rId23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9373/10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ותד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14.9.2011 </w:t>
      </w:r>
      <w:r w:rsidRPr="0058474E">
        <w:rPr>
          <w:rFonts w:cs="FrankRuehl" w:hint="eastAsia"/>
          <w:sz w:val="28"/>
          <w:szCs w:val="28"/>
          <w:rtl/>
        </w:rPr>
        <w:t>להלן</w:t>
      </w:r>
      <w:r w:rsidRPr="0058474E">
        <w:rPr>
          <w:rFonts w:cs="FrankRuehl"/>
          <w:sz w:val="28"/>
          <w:szCs w:val="28"/>
          <w:rtl/>
        </w:rPr>
        <w:t xml:space="preserve">: </w:t>
      </w:r>
      <w:r w:rsidRPr="0058474E">
        <w:rPr>
          <w:rFonts w:cs="FrankRuehl" w:hint="eastAsia"/>
          <w:sz w:val="28"/>
          <w:szCs w:val="28"/>
          <w:rtl/>
        </w:rPr>
        <w:t>עניין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ותד</w:t>
      </w:r>
      <w:r w:rsidRPr="0058474E">
        <w:rPr>
          <w:rFonts w:cs="FrankRuehl"/>
          <w:sz w:val="28"/>
          <w:szCs w:val="28"/>
          <w:rtl/>
        </w:rPr>
        <w:t xml:space="preserve">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lastRenderedPageBreak/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שהחזיק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אקדח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וכדורים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נוספת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התומכת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לגישתה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>.</w:t>
      </w:r>
    </w:p>
    <w:p w14:paraId="56C1BCAB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סוף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דבר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לקביעת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20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-40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הראשון</w:t>
      </w:r>
      <w:r w:rsidRPr="0058474E">
        <w:rPr>
          <w:rFonts w:cs="FrankRuehl"/>
          <w:sz w:val="28"/>
          <w:szCs w:val="28"/>
          <w:rtl/>
        </w:rPr>
        <w:t>.</w:t>
      </w:r>
    </w:p>
    <w:p w14:paraId="616FD0C0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השני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לקביעת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6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-15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בהדגישה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חומרת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>.</w:t>
      </w:r>
    </w:p>
    <w:p w14:paraId="19A82D6B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בהתאם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הטיעון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לגזור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25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ובנוסף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>.</w:t>
      </w:r>
    </w:p>
    <w:p w14:paraId="63E32947" w14:textId="77777777" w:rsidR="00A06F82" w:rsidRPr="00B76FB9" w:rsidRDefault="00A06F82" w:rsidP="00A06F82">
      <w:pPr>
        <w:spacing w:after="120" w:line="360" w:lineRule="auto"/>
        <w:jc w:val="both"/>
        <w:rPr>
          <w:rFonts w:cs="FrankRuehl"/>
          <w:b/>
          <w:bCs/>
          <w:sz w:val="2"/>
          <w:szCs w:val="2"/>
          <w:u w:val="single"/>
          <w:rtl/>
        </w:rPr>
      </w:pPr>
    </w:p>
    <w:p w14:paraId="1CB3669B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b/>
          <w:bCs/>
          <w:sz w:val="28"/>
          <w:szCs w:val="28"/>
          <w:u w:val="single"/>
          <w:rtl/>
        </w:rPr>
      </w:pP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טיעוני</w:t>
      </w:r>
      <w:r w:rsidRPr="0058474E">
        <w:rPr>
          <w:rFonts w:cs="FrankRuehl"/>
          <w:b/>
          <w:bCs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הנאשם</w:t>
      </w:r>
      <w:r w:rsidRPr="0058474E">
        <w:rPr>
          <w:rFonts w:cs="FrankRuehl"/>
          <w:b/>
          <w:bCs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u w:val="single"/>
          <w:rtl/>
        </w:rPr>
        <w:t>לעונש</w:t>
      </w:r>
    </w:p>
    <w:p w14:paraId="29740BAC" w14:textId="77777777"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הדגיש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הוביל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לאור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העובדה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לדורכו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לפני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ירי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בנוסף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ברכב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נתפסה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תחמושת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סוג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עניין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מפחית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שבכוח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לגרום</w:t>
      </w:r>
      <w:r w:rsidRPr="0058474E">
        <w:rPr>
          <w:rFonts w:cs="FrankRuehl"/>
          <w:sz w:val="28"/>
          <w:szCs w:val="28"/>
          <w:rtl/>
        </w:rPr>
        <w:t>.</w:t>
      </w:r>
    </w:p>
    <w:p w14:paraId="63F08446" w14:textId="77777777" w:rsidR="00A06F82" w:rsidRPr="00F945F6" w:rsidRDefault="00A06F82" w:rsidP="00A06F82">
      <w:pPr>
        <w:spacing w:after="120" w:line="360" w:lineRule="auto"/>
        <w:jc w:val="both"/>
        <w:rPr>
          <w:rFonts w:cs="FrankRuehl"/>
          <w:sz w:val="6"/>
          <w:szCs w:val="6"/>
          <w:rtl/>
        </w:rPr>
      </w:pPr>
    </w:p>
    <w:p w14:paraId="1D0F5383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תחכום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כאשר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ברכבו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נושא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עימו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תעודת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זהות</w:t>
      </w:r>
      <w:r w:rsidRPr="0058474E">
        <w:rPr>
          <w:rFonts w:cs="FrankRuehl"/>
          <w:sz w:val="28"/>
          <w:szCs w:val="28"/>
          <w:rtl/>
        </w:rPr>
        <w:t>.</w:t>
      </w:r>
    </w:p>
    <w:p w14:paraId="70039983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אותה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המאשימה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להקיש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לתיק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דנן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בפסיקה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עסקינן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חמורות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בהרבה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שנתפס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בגין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שאינן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רלוונטיות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לענייננו</w:t>
      </w:r>
      <w:r w:rsidRPr="0058474E">
        <w:rPr>
          <w:rFonts w:cs="FrankRuehl"/>
          <w:sz w:val="28"/>
          <w:szCs w:val="28"/>
          <w:rtl/>
        </w:rPr>
        <w:t>.</w:t>
      </w:r>
    </w:p>
    <w:p w14:paraId="55251706" w14:textId="77777777"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הוזכר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בהזדמנות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שהייתה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</w:t>
      </w:r>
      <w:r w:rsidRPr="0058474E">
        <w:rPr>
          <w:rFonts w:cs="FrankRuehl"/>
          <w:sz w:val="28"/>
          <w:szCs w:val="28"/>
          <w:rtl/>
        </w:rPr>
        <w:t>.</w:t>
      </w:r>
    </w:p>
    <w:p w14:paraId="0AF11255" w14:textId="77777777" w:rsidR="00A06F82" w:rsidRPr="00F945F6" w:rsidRDefault="00A06F82" w:rsidP="00A06F82">
      <w:pPr>
        <w:spacing w:after="120" w:line="360" w:lineRule="auto"/>
        <w:jc w:val="both"/>
        <w:rPr>
          <w:rFonts w:cs="FrankRuehl"/>
          <w:sz w:val="8"/>
          <w:szCs w:val="8"/>
          <w:rtl/>
        </w:rPr>
      </w:pPr>
    </w:p>
    <w:p w14:paraId="5D58EF7D" w14:textId="77777777"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הגיש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פסיקה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רבה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התומכת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לגישתו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כך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היתר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פסק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hyperlink r:id="rId24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ע"פ 8846/15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דראז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 xml:space="preserve">(13.3.2016),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אישר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העליון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7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הודאתו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בהחזקת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ובהפרעה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לשוטר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במילוי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תפקידו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עוד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צוין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hyperlink r:id="rId25" w:history="1">
        <w:r w:rsidR="0093305B" w:rsidRPr="0093305B">
          <w:rPr>
            <w:rFonts w:cs="FrankRuehl"/>
            <w:color w:val="0000FF"/>
            <w:sz w:val="28"/>
            <w:szCs w:val="28"/>
            <w:u w:val="single"/>
            <w:rtl/>
          </w:rPr>
          <w:t>ת"פ (מחוזי נצרת) 35007-04-13</w:t>
        </w:r>
      </w:hyperlink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נ</w:t>
      </w:r>
      <w:r w:rsidRPr="0058474E">
        <w:rPr>
          <w:rFonts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cs="FrankRuehl" w:hint="eastAsia"/>
          <w:b/>
          <w:bCs/>
          <w:sz w:val="28"/>
          <w:szCs w:val="28"/>
          <w:rtl/>
        </w:rPr>
        <w:t>עזאיזה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/>
          <w:sz w:val="28"/>
          <w:szCs w:val="28"/>
          <w:rtl/>
        </w:rPr>
        <w:t>(</w:t>
      </w:r>
      <w:r w:rsidRPr="0058474E">
        <w:rPr>
          <w:rFonts w:cs="FrankRuehl" w:hint="eastAsia"/>
          <w:sz w:val="28"/>
          <w:szCs w:val="28"/>
          <w:rtl/>
        </w:rPr>
        <w:t>פורסם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בנבו</w:t>
      </w:r>
      <w:r w:rsidRPr="0058474E">
        <w:rPr>
          <w:rFonts w:cs="FrankRuehl"/>
          <w:sz w:val="28"/>
          <w:szCs w:val="28"/>
          <w:rtl/>
        </w:rPr>
        <w:t xml:space="preserve">, 8.1.2015), </w:t>
      </w:r>
      <w:r w:rsidRPr="0058474E">
        <w:rPr>
          <w:rFonts w:cs="FrankRuehl" w:hint="eastAsia"/>
          <w:sz w:val="28"/>
          <w:szCs w:val="28"/>
          <w:rtl/>
        </w:rPr>
        <w:t>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גזר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9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וקנס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שהורשע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נשיאת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והחזקתו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. </w:t>
      </w:r>
    </w:p>
    <w:p w14:paraId="37E8797C" w14:textId="77777777" w:rsidR="00A06F82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 xml:space="preserve">ב"כ הנאשם </w:t>
      </w:r>
      <w:r w:rsidRPr="0058474E">
        <w:rPr>
          <w:rFonts w:cs="FrankRuehl" w:hint="eastAsia"/>
          <w:sz w:val="28"/>
          <w:szCs w:val="28"/>
          <w:rtl/>
        </w:rPr>
        <w:t>עתר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לקבוע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שבין</w:t>
      </w:r>
      <w:r w:rsidRPr="0058474E">
        <w:rPr>
          <w:rFonts w:cs="FrankRuehl"/>
          <w:sz w:val="28"/>
          <w:szCs w:val="28"/>
          <w:rtl/>
        </w:rPr>
        <w:t xml:space="preserve"> 9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בנוגע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לאישום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הראשון</w:t>
      </w:r>
      <w:r w:rsidRPr="0058474E">
        <w:rPr>
          <w:rFonts w:cs="FrankRuehl"/>
          <w:sz w:val="28"/>
          <w:szCs w:val="28"/>
          <w:rtl/>
        </w:rPr>
        <w:t>.</w:t>
      </w:r>
    </w:p>
    <w:p w14:paraId="6C89532D" w14:textId="77777777" w:rsidR="00A06F82" w:rsidRPr="00F945F6" w:rsidRDefault="00A06F82" w:rsidP="00A06F82">
      <w:pPr>
        <w:spacing w:after="120" w:line="360" w:lineRule="auto"/>
        <w:jc w:val="both"/>
        <w:rPr>
          <w:rFonts w:cs="FrankRuehl"/>
          <w:sz w:val="6"/>
          <w:szCs w:val="6"/>
          <w:rtl/>
        </w:rPr>
      </w:pPr>
    </w:p>
    <w:p w14:paraId="6B48C9F9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בהתייחס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השמדת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הראיה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ציין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בסופו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ממצא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מפליל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בטלפון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הסלולארי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מדובר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הנבלעת</w:t>
      </w:r>
      <w:r w:rsidRPr="0058474E">
        <w:rPr>
          <w:rFonts w:cs="FrankRuehl"/>
          <w:sz w:val="28"/>
          <w:szCs w:val="28"/>
          <w:rtl/>
        </w:rPr>
        <w:t xml:space="preserve">" </w:t>
      </w:r>
      <w:r w:rsidRPr="0058474E">
        <w:rPr>
          <w:rFonts w:cs="FrankRuehl" w:hint="eastAsia"/>
          <w:sz w:val="28"/>
          <w:szCs w:val="28"/>
          <w:rtl/>
        </w:rPr>
        <w:t>בעבירה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הראשית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מיוחדת</w:t>
      </w:r>
      <w:r w:rsidRPr="0058474E">
        <w:rPr>
          <w:rFonts w:cs="FrankRuehl"/>
          <w:sz w:val="28"/>
          <w:szCs w:val="28"/>
          <w:rtl/>
        </w:rPr>
        <w:t>.</w:t>
      </w:r>
    </w:p>
    <w:p w14:paraId="6279538F" w14:textId="77777777" w:rsidR="00A06F82" w:rsidRPr="0058474E" w:rsidRDefault="00A06F82" w:rsidP="00A06F82">
      <w:pPr>
        <w:spacing w:after="120"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נוכח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טיב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בענייננו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הודאת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והעובדה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נעדר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עתר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</w:t>
      </w:r>
      <w:r w:rsidRPr="0058474E">
        <w:rPr>
          <w:rFonts w:cs="FrankRuehl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כ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להסתפק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בתקופת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מעצרו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כה</w:t>
      </w:r>
      <w:r w:rsidRPr="0058474E">
        <w:rPr>
          <w:rFonts w:cs="FrankRuehl"/>
          <w:sz w:val="28"/>
          <w:szCs w:val="28"/>
          <w:rtl/>
        </w:rPr>
        <w:t xml:space="preserve"> (</w:t>
      </w:r>
      <w:r w:rsidRPr="0058474E">
        <w:rPr>
          <w:rFonts w:cs="FrankRuehl" w:hint="eastAsia"/>
          <w:sz w:val="28"/>
          <w:szCs w:val="28"/>
          <w:rtl/>
        </w:rPr>
        <w:t>עשרה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).  </w:t>
      </w:r>
      <w:r w:rsidRPr="0058474E">
        <w:rPr>
          <w:rFonts w:cs="FrankRuehl" w:hint="eastAsia"/>
          <w:sz w:val="28"/>
          <w:szCs w:val="28"/>
          <w:rtl/>
        </w:rPr>
        <w:t>לבית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אף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הוצגו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מסמכים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הנוגעים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למצבו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המשפחתי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שאינו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פשוט</w:t>
      </w:r>
      <w:r w:rsidRPr="0058474E">
        <w:rPr>
          <w:rFonts w:cs="FrankRuehl"/>
          <w:sz w:val="28"/>
          <w:szCs w:val="28"/>
          <w:rtl/>
        </w:rPr>
        <w:t>.</w:t>
      </w:r>
    </w:p>
    <w:p w14:paraId="638789C3" w14:textId="77777777" w:rsidR="00A06F82" w:rsidRPr="0058474E" w:rsidRDefault="00A06F82" w:rsidP="00A06F82">
      <w:pPr>
        <w:pStyle w:val="1"/>
        <w:rPr>
          <w:rFonts w:cs="FrankRuehl"/>
          <w:sz w:val="28"/>
          <w:szCs w:val="28"/>
          <w:u w:val="single"/>
          <w:rtl/>
        </w:rPr>
      </w:pPr>
      <w:r w:rsidRPr="0058474E">
        <w:rPr>
          <w:rFonts w:cs="FrankRuehl" w:hint="eastAsia"/>
          <w:sz w:val="28"/>
          <w:szCs w:val="28"/>
          <w:u w:val="single"/>
          <w:rtl/>
        </w:rPr>
        <w:t>דיון</w:t>
      </w:r>
      <w:r w:rsidRPr="0058474E">
        <w:rPr>
          <w:rFonts w:cs="FrankRuehl"/>
          <w:sz w:val="28"/>
          <w:szCs w:val="28"/>
          <w:u w:val="single"/>
          <w:rtl/>
        </w:rPr>
        <w:t xml:space="preserve"> </w:t>
      </w:r>
      <w:r w:rsidRPr="0058474E">
        <w:rPr>
          <w:rFonts w:cs="FrankRuehl" w:hint="eastAsia"/>
          <w:sz w:val="28"/>
          <w:szCs w:val="28"/>
          <w:u w:val="single"/>
          <w:rtl/>
        </w:rPr>
        <w:t>והכרעה</w:t>
      </w:r>
    </w:p>
    <w:p w14:paraId="61BCDE7F" w14:textId="77777777" w:rsidR="00A06F82" w:rsidRPr="0058474E" w:rsidRDefault="00F56D97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hyperlink r:id="rId26" w:history="1">
        <w:r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סימן א1</w:t>
        </w:r>
      </w:hyperlink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מנחה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לגזור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המבטא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יחס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הולם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בין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חומרת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מעשה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העברה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בנסיבותיו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ומידת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אשמו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של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="00A06F82" w:rsidRPr="00B76FB9">
        <w:rPr>
          <w:rFonts w:ascii="David" w:hAnsi="David" w:cs="FrankRuehl" w:hint="eastAsia"/>
          <w:b/>
          <w:bCs/>
          <w:sz w:val="28"/>
          <w:szCs w:val="28"/>
          <w:rtl/>
        </w:rPr>
        <w:t>הנאשם</w:t>
      </w:r>
      <w:r w:rsidR="00A06F82"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7" w:history="1">
        <w:r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40ב</w:t>
        </w:r>
      </w:hyperlink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).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לשם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כך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'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הולם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',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המבוסס</w:t>
      </w:r>
      <w:r w:rsidR="00A06F82"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="00A06F82"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="00A06F82" w:rsidRPr="0058474E">
        <w:rPr>
          <w:rFonts w:ascii="David" w:hAnsi="David" w:cs="FrankRuehl"/>
          <w:sz w:val="28"/>
          <w:szCs w:val="28"/>
          <w:rtl/>
        </w:rPr>
        <w:t>:</w:t>
      </w:r>
    </w:p>
    <w:p w14:paraId="25B0941E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(1) </w:t>
      </w:r>
      <w:r w:rsidRPr="0058474E">
        <w:rPr>
          <w:rFonts w:ascii="David" w:hAnsi="David" w:cs="FrankRuehl" w:hint="eastAsia"/>
          <w:sz w:val="28"/>
          <w:szCs w:val="28"/>
          <w:rtl/>
        </w:rPr>
        <w:t>הערך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החברתי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שנפגע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העברה</w:t>
      </w:r>
      <w:r w:rsidRPr="0058474E">
        <w:rPr>
          <w:rFonts w:ascii="David" w:hAnsi="David" w:cs="FrankRuehl"/>
          <w:sz w:val="28"/>
          <w:szCs w:val="28"/>
          <w:rtl/>
        </w:rPr>
        <w:t>;</w:t>
      </w:r>
    </w:p>
    <w:p w14:paraId="022EFE8C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(2) </w:t>
      </w:r>
      <w:r w:rsidRPr="0058474E">
        <w:rPr>
          <w:rFonts w:ascii="David" w:hAnsi="David" w:cs="FrankRuehl" w:hint="eastAsia"/>
          <w:sz w:val="28"/>
          <w:szCs w:val="28"/>
          <w:rtl/>
        </w:rPr>
        <w:t>מידת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החברתי</w:t>
      </w:r>
      <w:r w:rsidRPr="0058474E">
        <w:rPr>
          <w:rFonts w:ascii="David" w:hAnsi="David" w:cs="FrankRuehl"/>
          <w:sz w:val="28"/>
          <w:szCs w:val="28"/>
          <w:rtl/>
        </w:rPr>
        <w:t xml:space="preserve">; </w:t>
      </w:r>
    </w:p>
    <w:p w14:paraId="5FE7E473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(3) </w:t>
      </w:r>
      <w:r w:rsidRPr="0058474E">
        <w:rPr>
          <w:rFonts w:ascii="David" w:hAnsi="David" w:cs="FrankRuehl" w:hint="eastAsia"/>
          <w:sz w:val="28"/>
          <w:szCs w:val="28"/>
          <w:rtl/>
        </w:rPr>
        <w:t>מדיניות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הענישה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הנהוגה</w:t>
      </w:r>
      <w:r w:rsidRPr="0058474E">
        <w:rPr>
          <w:rFonts w:ascii="David" w:hAnsi="David" w:cs="FrankRuehl"/>
          <w:sz w:val="28"/>
          <w:szCs w:val="28"/>
          <w:rtl/>
        </w:rPr>
        <w:t>;</w:t>
      </w:r>
    </w:p>
    <w:p w14:paraId="5E33F455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(4) </w:t>
      </w:r>
      <w:r w:rsidRPr="0058474E">
        <w:rPr>
          <w:rFonts w:ascii="David" w:hAnsi="David" w:cs="FrankRuehl" w:hint="eastAsia"/>
          <w:sz w:val="28"/>
          <w:szCs w:val="28"/>
          <w:rtl/>
        </w:rPr>
        <w:t>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העברה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8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40ג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>).</w:t>
      </w:r>
    </w:p>
    <w:p w14:paraId="0A314895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בשלב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הבא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ההולם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29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40ג(ב)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). </w:t>
      </w:r>
    </w:p>
    <w:p w14:paraId="1FBA3E98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כשמדובר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בריבוי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הליך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cs"/>
          <w:sz w:val="28"/>
          <w:szCs w:val="28"/>
          <w:rtl/>
        </w:rPr>
        <w:t>מספר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שלבים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4700051D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10"/>
          <w:szCs w:val="10"/>
          <w:rtl/>
        </w:rPr>
      </w:pPr>
    </w:p>
    <w:p w14:paraId="66D116B4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cs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לקבוע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בהתאם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0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לסעיף 40יג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אלה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מהוות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Pr="00B76FB9">
        <w:rPr>
          <w:rFonts w:ascii="David" w:hAnsi="David" w:cs="FrankRuehl" w:hint="eastAsia"/>
          <w:b/>
          <w:bCs/>
          <w:sz w:val="28"/>
          <w:szCs w:val="28"/>
          <w:rtl/>
        </w:rPr>
        <w:t>הקשר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B76FB9">
        <w:rPr>
          <w:rFonts w:ascii="David" w:hAnsi="David" w:cs="FrankRuehl" w:hint="eastAsia"/>
          <w:b/>
          <w:bCs/>
          <w:sz w:val="28"/>
          <w:szCs w:val="28"/>
          <w:rtl/>
        </w:rPr>
        <w:t>ההדוק</w:t>
      </w:r>
      <w:r w:rsidRPr="00B76FB9">
        <w:rPr>
          <w:rFonts w:ascii="David" w:hAnsi="David" w:cs="FrankRuehl"/>
          <w:b/>
          <w:bCs/>
          <w:sz w:val="28"/>
          <w:szCs w:val="28"/>
          <w:rtl/>
        </w:rPr>
        <w:t>"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שהתפתח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בפסיקה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hyperlink r:id="rId31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4910/13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>'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אבר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>, 29.10.2014) (</w:t>
      </w:r>
      <w:r w:rsidRPr="0058474E">
        <w:rPr>
          <w:rFonts w:ascii="David" w:hAnsi="David" w:cs="FrankRuehl" w:hint="eastAsia"/>
          <w:sz w:val="28"/>
          <w:szCs w:val="28"/>
          <w:rtl/>
        </w:rPr>
        <w:t>להלן</w:t>
      </w:r>
      <w:r w:rsidRPr="0058474E">
        <w:rPr>
          <w:rFonts w:ascii="David" w:hAnsi="David" w:cs="FrankRuehl"/>
          <w:sz w:val="28"/>
          <w:szCs w:val="28"/>
          <w:rtl/>
        </w:rPr>
        <w:t xml:space="preserve">: </w:t>
      </w:r>
      <w:r w:rsidRPr="0058474E">
        <w:rPr>
          <w:rFonts w:ascii="David" w:hAnsi="David" w:cs="FrankRuehl" w:hint="eastAsia"/>
          <w:sz w:val="28"/>
          <w:szCs w:val="28"/>
          <w:rtl/>
        </w:rPr>
        <w:t>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>'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אבר</w:t>
      </w:r>
      <w:r w:rsidRPr="0058474E">
        <w:rPr>
          <w:rFonts w:ascii="David" w:hAnsi="David" w:cs="FrankRuehl"/>
          <w:sz w:val="28"/>
          <w:szCs w:val="28"/>
          <w:rtl/>
        </w:rPr>
        <w:t xml:space="preserve">); </w:t>
      </w:r>
      <w:r w:rsidRPr="0058474E">
        <w:rPr>
          <w:rFonts w:ascii="David" w:hAnsi="David" w:cs="FrankRuehl" w:hint="eastAsia"/>
          <w:sz w:val="28"/>
          <w:szCs w:val="28"/>
          <w:rtl/>
        </w:rPr>
        <w:t>וכן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2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1127/13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גברזגיי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15.1.2014) </w:t>
      </w:r>
      <w:r w:rsidRPr="0058474E">
        <w:rPr>
          <w:rFonts w:ascii="David" w:hAnsi="David" w:cs="FrankRuehl" w:hint="eastAsia"/>
          <w:sz w:val="28"/>
          <w:szCs w:val="28"/>
          <w:rtl/>
        </w:rPr>
        <w:t>ו</w:t>
      </w:r>
      <w:hyperlink r:id="rId33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4702/15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עביד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20.4.2016)). </w:t>
      </w:r>
      <w:r w:rsidRPr="0058474E">
        <w:rPr>
          <w:rFonts w:ascii="David" w:hAnsi="David" w:cs="FrankRuehl" w:hint="eastAsia"/>
          <w:sz w:val="28"/>
          <w:szCs w:val="28"/>
          <w:rtl/>
        </w:rPr>
        <w:t>אם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מדובר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בכמה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המהוות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יקבע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הולם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ויגזור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כולל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אירוע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7E60EA2D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14:paraId="6704CB0A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טומנות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בחובן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פוטנציאל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בגוף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וברכוש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בביטחון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אזרחים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תמימים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העלולים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להיקלע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למצבים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ייעשה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שימוש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הערכים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אפוא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ביטחון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הציבור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3DEE20DD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ארבל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ציינה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4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5120/11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שתיווי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18.12.2011)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14:paraId="736F9D24" w14:textId="77777777" w:rsidR="00A06F82" w:rsidRPr="0058474E" w:rsidRDefault="00A06F82" w:rsidP="00A06F82">
      <w:pPr>
        <w:pStyle w:val="ae"/>
        <w:rPr>
          <w:rFonts w:cs="FrankRuehl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עמד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משפט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החומרה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היתרה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הנודעת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לעבירות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החזקת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בפרט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המקימה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סיכון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ממשי</w:t>
      </w:r>
      <w:r w:rsidRPr="0058474E">
        <w:rPr>
          <w:rFonts w:cs="FrankRuehl"/>
          <w:sz w:val="28"/>
          <w:szCs w:val="28"/>
          <w:rtl/>
        </w:rPr>
        <w:t xml:space="preserve"> </w:t>
      </w:r>
      <w:r>
        <w:rPr>
          <w:rFonts w:cs="FrankRuehl" w:hint="cs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וחמור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לציבור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ויוצרת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פוטנציאל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להסלמה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עבריינית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ולפיכך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מחייבת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ליתן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ביטוי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עונשי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הולם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ומרתיע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באמצעות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הרחקת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מבצעי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לתקופת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ממשית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לריצוי</w:t>
      </w:r>
      <w:r w:rsidRPr="0058474E">
        <w:rPr>
          <w:rFonts w:cs="FrankRuehl"/>
          <w:sz w:val="28"/>
          <w:szCs w:val="28"/>
          <w:rtl/>
        </w:rPr>
        <w:t xml:space="preserve">  </w:t>
      </w:r>
      <w:r w:rsidRPr="0058474E">
        <w:rPr>
          <w:rFonts w:cs="FrankRuehl" w:hint="eastAsia"/>
          <w:sz w:val="28"/>
          <w:szCs w:val="28"/>
          <w:rtl/>
        </w:rPr>
        <w:t>בפועל</w:t>
      </w: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/>
          <w:sz w:val="28"/>
          <w:szCs w:val="28"/>
          <w:rtl/>
        </w:rPr>
        <w:t>.</w:t>
      </w:r>
    </w:p>
    <w:p w14:paraId="1BEC6CA2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ובעניין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לוי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14:paraId="581054BF" w14:textId="77777777" w:rsidR="00A06F82" w:rsidRPr="0058474E" w:rsidRDefault="00A06F82" w:rsidP="00A06F82">
      <w:pPr>
        <w:pStyle w:val="ae"/>
        <w:rPr>
          <w:rFonts w:cs="FrankRuehl"/>
          <w:b w:val="0"/>
          <w:bCs w:val="0"/>
          <w:sz w:val="28"/>
          <w:szCs w:val="28"/>
          <w:rtl/>
        </w:rPr>
      </w:pPr>
      <w:r>
        <w:rPr>
          <w:rFonts w:cs="FrankRuehl" w:hint="cs"/>
          <w:sz w:val="28"/>
          <w:szCs w:val="28"/>
          <w:rtl/>
        </w:rPr>
        <w:t>"</w:t>
      </w:r>
      <w:r w:rsidRPr="0058474E">
        <w:rPr>
          <w:rFonts w:cs="FrankRuehl" w:hint="eastAsia"/>
          <w:sz w:val="28"/>
          <w:szCs w:val="28"/>
          <w:rtl/>
        </w:rPr>
        <w:t>ניסיון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השנים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האחרונות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מלמד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שנשק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המוחזק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כדין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מוצא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דרכו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לעתים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לידיים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עוינות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ולעתים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נעשה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שימוש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למטרות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פליליות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כבר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גרמו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אחת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לאובדן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חיי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אדם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ולפגיעה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בחפים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מפשע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שכל</w:t>
      </w:r>
      <w:r w:rsidRPr="0058474E">
        <w:rPr>
          <w:rFonts w:cs="FrankRuehl"/>
          <w:sz w:val="28"/>
          <w:szCs w:val="28"/>
          <w:rtl/>
        </w:rPr>
        <w:t xml:space="preserve"> "</w:t>
      </w:r>
      <w:r w:rsidRPr="0058474E">
        <w:rPr>
          <w:rFonts w:cs="FrankRuehl" w:hint="eastAsia"/>
          <w:sz w:val="28"/>
          <w:szCs w:val="28"/>
          <w:rtl/>
        </w:rPr>
        <w:t>חטאם</w:t>
      </w:r>
      <w:r w:rsidRPr="0058474E">
        <w:rPr>
          <w:rFonts w:cs="FrankRuehl"/>
          <w:sz w:val="28"/>
          <w:szCs w:val="28"/>
          <w:rtl/>
        </w:rPr>
        <w:t xml:space="preserve">" </w:t>
      </w:r>
      <w:r w:rsidRPr="0058474E">
        <w:rPr>
          <w:rFonts w:cs="FrankRuehl" w:hint="eastAsia"/>
          <w:sz w:val="28"/>
          <w:szCs w:val="28"/>
          <w:rtl/>
        </w:rPr>
        <w:t>נבע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מכך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שהם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נקלעו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בדרך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מקרה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לזירת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הפשע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כדי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להלחם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צריך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לבטא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סלידתה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ודעתה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הנחרצת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להשלים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עבריינות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בכלל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זה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בפרט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>
        <w:rPr>
          <w:rFonts w:cs="FrankRuehl" w:hint="cs"/>
          <w:b w:val="0"/>
          <w:bCs w:val="0"/>
          <w:sz w:val="28"/>
          <w:szCs w:val="28"/>
          <w:rtl/>
        </w:rPr>
        <w:t xml:space="preserve">" </w:t>
      </w:r>
      <w:r w:rsidRPr="0058474E">
        <w:rPr>
          <w:rFonts w:cs="FrankRuehl"/>
          <w:b w:val="0"/>
          <w:bCs w:val="0"/>
          <w:sz w:val="28"/>
          <w:szCs w:val="28"/>
          <w:rtl/>
        </w:rPr>
        <w:t>(</w:t>
      </w:r>
      <w:hyperlink r:id="rId35" w:history="1">
        <w:r w:rsidR="0093305B" w:rsidRPr="0093305B">
          <w:rPr>
            <w:rFonts w:cs="FrankRuehl"/>
            <w:b w:val="0"/>
            <w:bCs w:val="0"/>
            <w:color w:val="0000FF"/>
            <w:sz w:val="28"/>
            <w:szCs w:val="28"/>
            <w:u w:val="single"/>
            <w:rtl/>
          </w:rPr>
          <w:t>ע"פ 761/07</w:t>
        </w:r>
      </w:hyperlink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מדינת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ישראל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</w:t>
      </w:r>
      <w:r w:rsidRPr="0058474E">
        <w:rPr>
          <w:rFonts w:cs="FrankRuehl"/>
          <w:sz w:val="28"/>
          <w:szCs w:val="28"/>
          <w:rtl/>
        </w:rPr>
        <w:t xml:space="preserve">' </w:t>
      </w:r>
      <w:r w:rsidRPr="0058474E">
        <w:rPr>
          <w:rFonts w:cs="FrankRuehl" w:hint="eastAsia"/>
          <w:sz w:val="28"/>
          <w:szCs w:val="28"/>
          <w:rtl/>
        </w:rPr>
        <w:t>אדרי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(</w:t>
      </w:r>
      <w:r w:rsidRPr="0058474E">
        <w:rPr>
          <w:rFonts w:cs="FrankRuehl" w:hint="eastAsia"/>
          <w:b w:val="0"/>
          <w:bCs w:val="0"/>
          <w:sz w:val="28"/>
          <w:szCs w:val="28"/>
          <w:rtl/>
        </w:rPr>
        <w:t>פורסם</w:t>
      </w:r>
      <w:r w:rsidRPr="0058474E">
        <w:rPr>
          <w:rFonts w:cs="FrankRuehl"/>
          <w:b w:val="0"/>
          <w:bCs w:val="0"/>
          <w:sz w:val="28"/>
          <w:szCs w:val="28"/>
          <w:rtl/>
        </w:rPr>
        <w:t xml:space="preserve"> </w:t>
      </w:r>
      <w:r w:rsidRPr="0058474E">
        <w:rPr>
          <w:rFonts w:cs="FrankRuehl" w:hint="eastAsia"/>
          <w:b w:val="0"/>
          <w:bCs w:val="0"/>
          <w:sz w:val="28"/>
          <w:szCs w:val="28"/>
          <w:rtl/>
        </w:rPr>
        <w:t>בנבו</w:t>
      </w:r>
      <w:r w:rsidRPr="0058474E">
        <w:rPr>
          <w:rFonts w:cs="FrankRuehl"/>
          <w:b w:val="0"/>
          <w:bCs w:val="0"/>
          <w:sz w:val="28"/>
          <w:szCs w:val="28"/>
          <w:rtl/>
        </w:rPr>
        <w:t>, 22.2.2007)).</w:t>
      </w:r>
    </w:p>
    <w:p w14:paraId="059011AF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רמת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היא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בדרגה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בינונית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03032871" w14:textId="77777777" w:rsidR="00A06F82" w:rsidRPr="00B76FB9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14:paraId="2B331D91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בנוגע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למדיניות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הענישה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הנוהגת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אציין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בעניין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ותד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כאמור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העליון</w:t>
      </w:r>
      <w:r w:rsidRPr="0058474E">
        <w:rPr>
          <w:rFonts w:ascii="David" w:hAnsi="David" w:cs="FrankRuehl"/>
          <w:sz w:val="28"/>
          <w:szCs w:val="28"/>
          <w:rtl/>
        </w:rPr>
        <w:t xml:space="preserve"> 30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שנמצא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מחזיק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למזרון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המיטה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ומחסנית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היו</w:t>
      </w:r>
      <w:r w:rsidRPr="0058474E">
        <w:rPr>
          <w:rFonts w:ascii="David" w:hAnsi="David" w:cs="FrankRuehl"/>
          <w:sz w:val="28"/>
          <w:szCs w:val="28"/>
          <w:rtl/>
        </w:rPr>
        <w:t xml:space="preserve"> 9 </w:t>
      </w:r>
      <w:r w:rsidRPr="0058474E">
        <w:rPr>
          <w:rFonts w:ascii="David" w:hAnsi="David" w:cs="FrankRuehl" w:hint="eastAsia"/>
          <w:sz w:val="28"/>
          <w:szCs w:val="28"/>
          <w:rtl/>
        </w:rPr>
        <w:t>כדורים</w:t>
      </w:r>
      <w:r w:rsidRPr="0058474E">
        <w:rPr>
          <w:rFonts w:ascii="David" w:hAnsi="David" w:cs="FrankRuehl"/>
          <w:sz w:val="28"/>
          <w:szCs w:val="28"/>
          <w:rtl/>
        </w:rPr>
        <w:t xml:space="preserve">. 63 </w:t>
      </w:r>
      <w:r w:rsidRPr="0058474E">
        <w:rPr>
          <w:rFonts w:ascii="David" w:hAnsi="David" w:cs="FrankRuehl" w:hint="eastAsia"/>
          <w:sz w:val="28"/>
          <w:szCs w:val="28"/>
          <w:rtl/>
        </w:rPr>
        <w:t>כדורים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נוספים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נמצאו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מוטמנים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בחצר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63020517" w14:textId="77777777" w:rsidR="00A06F82" w:rsidRPr="00B76FB9" w:rsidRDefault="00A06F82" w:rsidP="00A06F82">
      <w:pPr>
        <w:spacing w:after="120" w:line="360" w:lineRule="auto"/>
        <w:jc w:val="both"/>
        <w:rPr>
          <w:rFonts w:ascii="David" w:hAnsi="David" w:cs="FrankRuehl"/>
          <w:sz w:val="10"/>
          <w:szCs w:val="10"/>
          <w:rtl/>
        </w:rPr>
      </w:pPr>
    </w:p>
    <w:p w14:paraId="5F8A23C9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6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ע"פ 4329/10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פלוני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25.10.2010), </w:t>
      </w:r>
      <w:r w:rsidRPr="0058474E">
        <w:rPr>
          <w:rFonts w:ascii="David" w:hAnsi="David" w:cs="FrankRuehl" w:hint="eastAsia"/>
          <w:sz w:val="28"/>
          <w:szCs w:val="28"/>
          <w:rtl/>
        </w:rPr>
        <w:t>נדחה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ערעורו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שנתפס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ברכבו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מבלי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מורשה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לכך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שהוטל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המחוזי</w:t>
      </w:r>
      <w:r w:rsidRPr="0058474E">
        <w:rPr>
          <w:rFonts w:ascii="David" w:hAnsi="David" w:cs="FrankRuehl"/>
          <w:sz w:val="28"/>
          <w:szCs w:val="28"/>
          <w:rtl/>
        </w:rPr>
        <w:t xml:space="preserve">, 20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</w:t>
      </w:r>
      <w:r w:rsidRPr="0058474E">
        <w:rPr>
          <w:rFonts w:ascii="David" w:hAnsi="David" w:cs="FrankRuehl"/>
          <w:sz w:val="28"/>
          <w:szCs w:val="28"/>
          <w:rtl/>
        </w:rPr>
        <w:t xml:space="preserve">-16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תנאי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נותר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כנו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518BCD74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12"/>
          <w:szCs w:val="12"/>
          <w:rtl/>
        </w:rPr>
      </w:pPr>
    </w:p>
    <w:p w14:paraId="7B55C982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7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ת"פ 12109-06-15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גראדאת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/>
          <w:sz w:val="28"/>
          <w:szCs w:val="28"/>
          <w:rtl/>
        </w:rPr>
        <w:t>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27.9.2016), </w:t>
      </w:r>
      <w:r w:rsidRPr="0058474E">
        <w:rPr>
          <w:rFonts w:ascii="David" w:hAnsi="David" w:cs="FrankRuehl" w:hint="eastAsia"/>
          <w:sz w:val="28"/>
          <w:szCs w:val="28"/>
          <w:rtl/>
        </w:rPr>
        <w:t>דן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כב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כהן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הודאתו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בנשיאת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נשק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כדין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9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בפועל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תנאי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למשך</w:t>
      </w:r>
      <w:r w:rsidRPr="0058474E">
        <w:rPr>
          <w:rFonts w:ascii="David" w:hAnsi="David" w:cs="FrankRuehl"/>
          <w:sz w:val="28"/>
          <w:szCs w:val="28"/>
          <w:rtl/>
        </w:rPr>
        <w:t xml:space="preserve"> 12 </w:t>
      </w:r>
      <w:r w:rsidRPr="0058474E">
        <w:rPr>
          <w:rFonts w:ascii="David" w:hAnsi="David" w:cs="FrankRuehl" w:hint="eastAsia"/>
          <w:sz w:val="28"/>
          <w:szCs w:val="28"/>
          <w:rtl/>
        </w:rPr>
        <w:t>חודשים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ב</w:t>
      </w:r>
      <w:hyperlink r:id="rId38" w:history="1">
        <w:r w:rsidR="0093305B" w:rsidRPr="0093305B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ת"פ (מחוזי י-ם) 53169-10-13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מדינת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ישראל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נ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עבדו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אל</w:t>
      </w:r>
      <w:r w:rsidRPr="0058474E">
        <w:rPr>
          <w:rFonts w:ascii="David" w:hAnsi="David" w:cs="FrankRuehl"/>
          <w:b/>
          <w:bCs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b/>
          <w:bCs/>
          <w:sz w:val="28"/>
          <w:szCs w:val="28"/>
          <w:rtl/>
        </w:rPr>
        <w:t>רחמן</w:t>
      </w:r>
      <w:r w:rsidRPr="0058474E">
        <w:rPr>
          <w:rFonts w:ascii="David" w:hAnsi="David" w:cs="FrankRuehl"/>
          <w:sz w:val="28"/>
          <w:szCs w:val="28"/>
          <w:rtl/>
        </w:rPr>
        <w:t xml:space="preserve"> (</w:t>
      </w:r>
      <w:r w:rsidRPr="0058474E">
        <w:rPr>
          <w:rFonts w:ascii="David" w:hAnsi="David" w:cs="FrankRuehl" w:hint="eastAsia"/>
          <w:sz w:val="28"/>
          <w:szCs w:val="28"/>
          <w:rtl/>
        </w:rPr>
        <w:t>פורסם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בנבו</w:t>
      </w:r>
      <w:r w:rsidRPr="0058474E">
        <w:rPr>
          <w:rFonts w:ascii="David" w:hAnsi="David" w:cs="FrankRuehl"/>
          <w:sz w:val="28"/>
          <w:szCs w:val="28"/>
          <w:rtl/>
        </w:rPr>
        <w:t xml:space="preserve">, 13.7.2014), </w:t>
      </w:r>
      <w:r w:rsidRPr="0058474E">
        <w:rPr>
          <w:rFonts w:ascii="David" w:hAnsi="David" w:cs="FrankRuehl" w:hint="eastAsia"/>
          <w:sz w:val="28"/>
          <w:szCs w:val="28"/>
          <w:rtl/>
        </w:rPr>
        <w:t>גזר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השופט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</w:t>
      </w:r>
      <w:r w:rsidRPr="0058474E">
        <w:rPr>
          <w:rFonts w:ascii="David" w:hAnsi="David" w:cs="FrankRuehl"/>
          <w:sz w:val="28"/>
          <w:szCs w:val="28"/>
          <w:rtl/>
        </w:rPr>
        <w:t xml:space="preserve">' </w:t>
      </w:r>
      <w:r w:rsidRPr="0058474E">
        <w:rPr>
          <w:rFonts w:ascii="David" w:hAnsi="David" w:cs="FrankRuehl" w:hint="eastAsia"/>
          <w:sz w:val="28"/>
          <w:szCs w:val="28"/>
          <w:rtl/>
        </w:rPr>
        <w:t>כהן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חודשי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מאסר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שירוצו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בעבודות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שירות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נשא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במחסנית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ריקה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כאשר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זמן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קודם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באקדח</w:t>
      </w:r>
      <w:r w:rsidRPr="0058474E">
        <w:rPr>
          <w:rFonts w:ascii="David" w:hAnsi="David" w:cs="FrankRuehl"/>
          <w:sz w:val="28"/>
          <w:szCs w:val="28"/>
          <w:rtl/>
        </w:rPr>
        <w:t xml:space="preserve"> 15 </w:t>
      </w:r>
      <w:r w:rsidRPr="0058474E">
        <w:rPr>
          <w:rFonts w:ascii="David" w:hAnsi="David" w:cs="FrankRuehl" w:hint="eastAsia"/>
          <w:sz w:val="28"/>
          <w:szCs w:val="28"/>
          <w:rtl/>
        </w:rPr>
        <w:t>יריות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לכיוון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ידוע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25206F6C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עינינו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הרואות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הפסיקה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מגוונת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מקרה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נסיבותיו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685F4AFD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8"/>
          <w:szCs w:val="8"/>
          <w:rtl/>
        </w:rPr>
      </w:pPr>
    </w:p>
    <w:p w14:paraId="2ACCB410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בנוגע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נתתי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לכך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שלמעשהו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קדם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תכנון</w:t>
      </w:r>
      <w:r w:rsidRPr="0058474E">
        <w:rPr>
          <w:rFonts w:ascii="David" w:hAnsi="David" w:cs="FrankRuehl"/>
          <w:sz w:val="28"/>
          <w:szCs w:val="28"/>
          <w:rtl/>
        </w:rPr>
        <w:t xml:space="preserve">,  </w:t>
      </w:r>
      <w:r w:rsidRPr="0058474E">
        <w:rPr>
          <w:rFonts w:ascii="David" w:hAnsi="David" w:cs="FrankRuehl" w:hint="eastAsia"/>
          <w:sz w:val="28"/>
          <w:szCs w:val="28"/>
          <w:rtl/>
        </w:rPr>
        <w:t>כאשר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הטמין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הנשק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בשקית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ולאחר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הסליק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השקית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ברכבו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0A248FB9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4"/>
          <w:szCs w:val="4"/>
          <w:rtl/>
        </w:rPr>
      </w:pPr>
    </w:p>
    <w:p w14:paraId="37AA71BE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עבירת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קשורה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לטעמי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הדוק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הנשק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והיא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נובעת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ממנה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ייקבע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אחד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לשתי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העבירות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20DA4F15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72188FEC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תמים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אני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טענת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המאשימה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לפיה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עבירת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מגלמת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בתוכה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תעוזה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ומלמדת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היעדר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מורא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הערכים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הנפגעים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כתוצאה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ממעשה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השמדת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הראיה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הם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שלטון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ויכולת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רשויות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לרדת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לחקר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האמת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ולאכוף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הדין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335652E3" w14:textId="77777777" w:rsidR="00A06F82" w:rsidRPr="000945AB" w:rsidRDefault="00A06F82" w:rsidP="00A06F82">
      <w:pPr>
        <w:spacing w:line="360" w:lineRule="auto"/>
        <w:jc w:val="both"/>
        <w:rPr>
          <w:rFonts w:cs="FrankRuehl"/>
          <w:sz w:val="6"/>
          <w:szCs w:val="6"/>
          <w:rtl/>
        </w:rPr>
      </w:pPr>
    </w:p>
    <w:p w14:paraId="11B69593" w14:textId="77777777" w:rsidR="00A06F82" w:rsidRPr="0058474E" w:rsidRDefault="00A06F82" w:rsidP="00A06F82">
      <w:pPr>
        <w:spacing w:line="360" w:lineRule="auto"/>
        <w:jc w:val="both"/>
        <w:rPr>
          <w:rFonts w:cs="FrankRuehl"/>
          <w:sz w:val="28"/>
          <w:szCs w:val="28"/>
          <w:rtl/>
        </w:rPr>
      </w:pP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יסוד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האמור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לעיל</w:t>
      </w:r>
      <w:r w:rsidRPr="0058474E">
        <w:rPr>
          <w:rFonts w:cs="FrankRuehl"/>
          <w:sz w:val="28"/>
          <w:szCs w:val="28"/>
          <w:rtl/>
        </w:rPr>
        <w:t xml:space="preserve">; </w:t>
      </w:r>
      <w:r w:rsidRPr="0058474E">
        <w:rPr>
          <w:rFonts w:cs="FrankRuehl" w:hint="eastAsia"/>
          <w:sz w:val="28"/>
          <w:szCs w:val="28"/>
          <w:rtl/>
        </w:rPr>
        <w:t>הערכים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החברתיים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שנפגעו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כתוצאה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ממעשי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מידת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הפגיעה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בהם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מדיניות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הענישה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הנהוגה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והנסיבות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הקשורות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בביצוע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העבירות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באתי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לכלל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מסקנה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מתחם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העונש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באירוע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נסיבותיו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נע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בין</w:t>
      </w:r>
      <w:r w:rsidRPr="0058474E">
        <w:rPr>
          <w:rFonts w:cs="FrankRuehl"/>
          <w:sz w:val="28"/>
          <w:szCs w:val="28"/>
          <w:rtl/>
        </w:rPr>
        <w:t xml:space="preserve"> 15 </w:t>
      </w:r>
      <w:r w:rsidRPr="0058474E">
        <w:rPr>
          <w:rFonts w:cs="FrankRuehl" w:hint="eastAsia"/>
          <w:sz w:val="28"/>
          <w:szCs w:val="28"/>
          <w:rtl/>
        </w:rPr>
        <w:t>ל</w:t>
      </w:r>
      <w:r w:rsidRPr="0058474E">
        <w:rPr>
          <w:rFonts w:cs="FrankRuehl"/>
          <w:sz w:val="28"/>
          <w:szCs w:val="28"/>
          <w:rtl/>
        </w:rPr>
        <w:t xml:space="preserve">-30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>.</w:t>
      </w:r>
    </w:p>
    <w:p w14:paraId="2494EA57" w14:textId="77777777" w:rsidR="00A06F82" w:rsidRPr="00B76FB9" w:rsidRDefault="00A06F82" w:rsidP="00A06F82">
      <w:pPr>
        <w:pStyle w:val="2"/>
        <w:rPr>
          <w:rFonts w:cs="FrankRuehl"/>
          <w:b/>
          <w:bCs/>
          <w:sz w:val="14"/>
          <w:szCs w:val="14"/>
          <w:rtl/>
        </w:rPr>
      </w:pPr>
    </w:p>
    <w:p w14:paraId="7FEEDF72" w14:textId="77777777" w:rsidR="00A06F82" w:rsidRPr="0058474E" w:rsidRDefault="00A06F82" w:rsidP="00A06F82">
      <w:pPr>
        <w:pStyle w:val="2"/>
        <w:rPr>
          <w:rFonts w:cs="FrankRuehl"/>
          <w:b/>
          <w:bCs/>
          <w:sz w:val="28"/>
          <w:szCs w:val="28"/>
          <w:rtl/>
        </w:rPr>
      </w:pPr>
      <w:r w:rsidRPr="0058474E">
        <w:rPr>
          <w:rFonts w:cs="FrankRuehl" w:hint="eastAsia"/>
          <w:b/>
          <w:bCs/>
          <w:sz w:val="28"/>
          <w:szCs w:val="28"/>
          <w:rtl/>
        </w:rPr>
        <w:t>בחינת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הנסיבות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שאינן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קשורות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בביצוע</w:t>
      </w:r>
      <w:r w:rsidRPr="0058474E">
        <w:rPr>
          <w:rFonts w:cs="FrankRuehl"/>
          <w:b/>
          <w:bCs/>
          <w:sz w:val="28"/>
          <w:szCs w:val="28"/>
          <w:rtl/>
        </w:rPr>
        <w:t xml:space="preserve"> </w:t>
      </w:r>
      <w:r w:rsidRPr="0058474E">
        <w:rPr>
          <w:rFonts w:cs="FrankRuehl" w:hint="eastAsia"/>
          <w:b/>
          <w:bCs/>
          <w:sz w:val="28"/>
          <w:szCs w:val="28"/>
          <w:rtl/>
        </w:rPr>
        <w:t>העבירה</w:t>
      </w:r>
    </w:p>
    <w:p w14:paraId="09FF2270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כמצוות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hyperlink r:id="rId39" w:history="1">
        <w:r w:rsidR="00F56D97" w:rsidRPr="00F56D97">
          <w:rPr>
            <w:rFonts w:ascii="David" w:hAnsi="David" w:cs="FrankRuehl"/>
            <w:color w:val="0000FF"/>
            <w:sz w:val="28"/>
            <w:szCs w:val="28"/>
            <w:u w:val="single"/>
            <w:rtl/>
          </w:rPr>
          <w:t>סעיף 40יא</w:t>
        </w:r>
      </w:hyperlink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אבחן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שאינן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לצורך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קביעת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המתחם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1BD8C648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663B7658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הודה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המיוחס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ובכך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חסך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זמן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שיפוטי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יקר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נסיבה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זו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בהכרח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תיזקף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לזכותו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>.</w:t>
      </w:r>
    </w:p>
    <w:p w14:paraId="12380508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0A25CF70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נעדר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עבר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פלילי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זו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הסתבכותו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הראשונה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החוק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ומעצרו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הראשון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מאחורי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סורג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ובריח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6793B2C2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283DA9B9" w14:textId="77777777" w:rsidR="00A06F82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הפגיעה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במשפחת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כתוצאה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ממעשיו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אינה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פשוטה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  <w:r w:rsidRPr="0058474E">
        <w:rPr>
          <w:rFonts w:ascii="David" w:hAnsi="David" w:cs="FrankRuehl" w:hint="eastAsia"/>
          <w:sz w:val="28"/>
          <w:szCs w:val="28"/>
          <w:rtl/>
        </w:rPr>
        <w:t>לבית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המשפט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הוצגו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מסמכים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בנושא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ומפאת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צנעת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הפרט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אפרט</w:t>
      </w:r>
      <w:r w:rsidRPr="0058474E">
        <w:rPr>
          <w:rFonts w:ascii="David" w:hAnsi="David" w:cs="FrankRuehl"/>
          <w:sz w:val="28"/>
          <w:szCs w:val="28"/>
          <w:rtl/>
        </w:rPr>
        <w:t xml:space="preserve">.  </w:t>
      </w:r>
    </w:p>
    <w:p w14:paraId="60A4F19A" w14:textId="77777777" w:rsidR="00A06F82" w:rsidRPr="000945AB" w:rsidRDefault="00A06F82" w:rsidP="00A06F82">
      <w:pPr>
        <w:spacing w:after="120" w:line="360" w:lineRule="auto"/>
        <w:jc w:val="both"/>
        <w:rPr>
          <w:rFonts w:ascii="David" w:hAnsi="David" w:cs="FrankRuehl"/>
          <w:sz w:val="2"/>
          <w:szCs w:val="2"/>
          <w:rtl/>
        </w:rPr>
      </w:pPr>
    </w:p>
    <w:p w14:paraId="32D58128" w14:textId="77777777" w:rsidR="00A06F82" w:rsidRPr="0058474E" w:rsidRDefault="00A06F82" w:rsidP="00A06F82">
      <w:pPr>
        <w:spacing w:after="12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בשקלול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הנתונים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והאיזונים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ותוך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שנתתי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דעתי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לאופי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האירוע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בגינו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לעבירות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שהורשע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בהן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ולנסיבות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שאינן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קשורות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בביצוע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העבירה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מצאתי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יש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לגזור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>
        <w:rPr>
          <w:rFonts w:ascii="David" w:hAnsi="David" w:cs="FrankRuehl" w:hint="cs"/>
          <w:sz w:val="28"/>
          <w:szCs w:val="28"/>
          <w:rtl/>
        </w:rPr>
        <w:t xml:space="preserve">בחלקו התחתון של </w:t>
      </w:r>
      <w:r w:rsidRPr="0058474E">
        <w:rPr>
          <w:rFonts w:ascii="David" w:hAnsi="David" w:cs="FrankRuehl" w:hint="eastAsia"/>
          <w:sz w:val="28"/>
          <w:szCs w:val="28"/>
          <w:rtl/>
        </w:rPr>
        <w:t>מתחם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העונש</w:t>
      </w:r>
      <w:r w:rsidRPr="0058474E">
        <w:rPr>
          <w:rFonts w:ascii="David" w:hAnsi="David" w:cs="FrankRuehl"/>
          <w:sz w:val="28"/>
          <w:szCs w:val="28"/>
          <w:rtl/>
        </w:rPr>
        <w:t xml:space="preserve">. </w:t>
      </w:r>
    </w:p>
    <w:p w14:paraId="43C897B3" w14:textId="77777777" w:rsidR="00A06F82" w:rsidRPr="0058474E" w:rsidRDefault="00A06F82" w:rsidP="00A06F82">
      <w:pPr>
        <w:pStyle w:val="yiv3591405368msonormal"/>
        <w:bidi/>
        <w:spacing w:after="120" w:afterAutospacing="0" w:line="360" w:lineRule="auto"/>
        <w:jc w:val="both"/>
        <w:rPr>
          <w:rFonts w:ascii="David" w:hAnsi="David" w:cs="FrankRuehl"/>
          <w:sz w:val="28"/>
          <w:szCs w:val="28"/>
          <w:rtl/>
        </w:rPr>
      </w:pPr>
      <w:r w:rsidRPr="0058474E">
        <w:rPr>
          <w:rFonts w:ascii="David" w:hAnsi="David" w:cs="FrankRuehl" w:hint="eastAsia"/>
          <w:sz w:val="28"/>
          <w:szCs w:val="28"/>
          <w:rtl/>
        </w:rPr>
        <w:t>על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יסוד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כל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האמור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לעיל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אני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גוזר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את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עונשו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של</w:t>
      </w:r>
      <w:r w:rsidRPr="0058474E">
        <w:rPr>
          <w:rFonts w:ascii="David" w:hAnsi="David" w:cs="FrankRuehl"/>
          <w:sz w:val="28"/>
          <w:szCs w:val="28"/>
          <w:rtl/>
        </w:rPr>
        <w:t xml:space="preserve"> </w:t>
      </w:r>
      <w:r w:rsidRPr="0058474E">
        <w:rPr>
          <w:rFonts w:ascii="David" w:hAnsi="David" w:cs="FrankRuehl" w:hint="eastAsia"/>
          <w:sz w:val="28"/>
          <w:szCs w:val="28"/>
          <w:rtl/>
        </w:rPr>
        <w:t>הנאשם</w:t>
      </w:r>
      <w:r w:rsidRPr="0058474E">
        <w:rPr>
          <w:rFonts w:ascii="David" w:hAnsi="David" w:cs="FrankRuehl"/>
          <w:sz w:val="28"/>
          <w:szCs w:val="28"/>
          <w:rtl/>
        </w:rPr>
        <w:t xml:space="preserve">, </w:t>
      </w:r>
      <w:r w:rsidRPr="0058474E">
        <w:rPr>
          <w:rFonts w:ascii="David" w:hAnsi="David" w:cs="FrankRuehl" w:hint="eastAsia"/>
          <w:sz w:val="28"/>
          <w:szCs w:val="28"/>
          <w:rtl/>
        </w:rPr>
        <w:t>כדלקמן</w:t>
      </w:r>
      <w:r w:rsidRPr="0058474E">
        <w:rPr>
          <w:rFonts w:ascii="David" w:hAnsi="David" w:cs="FrankRuehl"/>
          <w:sz w:val="28"/>
          <w:szCs w:val="28"/>
          <w:rtl/>
        </w:rPr>
        <w:t>:</w:t>
      </w:r>
    </w:p>
    <w:p w14:paraId="01708267" w14:textId="77777777" w:rsidR="00A06F82" w:rsidRPr="0058474E" w:rsidRDefault="00A06F82" w:rsidP="00A06F82">
      <w:pPr>
        <w:numPr>
          <w:ilvl w:val="0"/>
          <w:numId w:val="3"/>
        </w:numPr>
        <w:spacing w:after="200" w:line="360" w:lineRule="auto"/>
        <w:jc w:val="both"/>
        <w:rPr>
          <w:rFonts w:cs="FrankRuehl"/>
          <w:sz w:val="28"/>
          <w:szCs w:val="28"/>
        </w:rPr>
      </w:pPr>
      <w:r w:rsidRPr="0058474E">
        <w:rPr>
          <w:rFonts w:cs="FrankRuehl"/>
          <w:sz w:val="28"/>
          <w:szCs w:val="28"/>
          <w:rtl/>
        </w:rPr>
        <w:t xml:space="preserve">18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בפועל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בניכוי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ימי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מעצרו</w:t>
      </w:r>
      <w:r w:rsidRPr="0058474E">
        <w:rPr>
          <w:rFonts w:cs="FrankRuehl"/>
          <w:sz w:val="28"/>
          <w:szCs w:val="28"/>
          <w:rtl/>
        </w:rPr>
        <w:t xml:space="preserve">.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עצור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מיום</w:t>
      </w:r>
      <w:r w:rsidRPr="0058474E">
        <w:rPr>
          <w:rFonts w:cs="FrankRuehl"/>
          <w:sz w:val="28"/>
          <w:szCs w:val="28"/>
          <w:rtl/>
        </w:rPr>
        <w:t xml:space="preserve"> 27.2.2017.</w:t>
      </w:r>
    </w:p>
    <w:p w14:paraId="54474AC3" w14:textId="77777777" w:rsidR="00A06F82" w:rsidRPr="0058474E" w:rsidRDefault="00A06F82" w:rsidP="00A06F82">
      <w:pPr>
        <w:numPr>
          <w:ilvl w:val="0"/>
          <w:numId w:val="3"/>
        </w:numPr>
        <w:spacing w:after="120" w:line="360" w:lineRule="auto"/>
        <w:jc w:val="both"/>
        <w:rPr>
          <w:rFonts w:cs="FrankRuehl"/>
          <w:sz w:val="28"/>
          <w:szCs w:val="28"/>
        </w:rPr>
      </w:pPr>
      <w:r w:rsidRPr="0058474E">
        <w:rPr>
          <w:rFonts w:cs="FrankRuehl"/>
          <w:sz w:val="28"/>
          <w:szCs w:val="28"/>
          <w:rtl/>
        </w:rPr>
        <w:t xml:space="preserve">12 </w:t>
      </w:r>
      <w:r w:rsidRPr="0058474E">
        <w:rPr>
          <w:rFonts w:cs="FrankRuehl" w:hint="eastAsia"/>
          <w:sz w:val="28"/>
          <w:szCs w:val="28"/>
          <w:rtl/>
        </w:rPr>
        <w:t>חודשי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מאסר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תנאי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והתנאי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שלא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יעבור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הנאשם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בה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הורשע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או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כל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עבירת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אלימות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מסוג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פשע</w:t>
      </w:r>
      <w:r w:rsidRPr="0058474E">
        <w:rPr>
          <w:rFonts w:cs="FrankRuehl"/>
          <w:sz w:val="28"/>
          <w:szCs w:val="28"/>
          <w:rtl/>
        </w:rPr>
        <w:t xml:space="preserve">, </w:t>
      </w:r>
      <w:r w:rsidRPr="0058474E">
        <w:rPr>
          <w:rFonts w:cs="FrankRuehl" w:hint="eastAsia"/>
          <w:sz w:val="28"/>
          <w:szCs w:val="28"/>
          <w:rtl/>
        </w:rPr>
        <w:t>במשך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שנתיים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מיום</w:t>
      </w:r>
      <w:r w:rsidRPr="0058474E">
        <w:rPr>
          <w:rFonts w:cs="FrankRuehl"/>
          <w:sz w:val="28"/>
          <w:szCs w:val="28"/>
          <w:rtl/>
        </w:rPr>
        <w:t xml:space="preserve"> </w:t>
      </w:r>
      <w:r w:rsidRPr="0058474E">
        <w:rPr>
          <w:rFonts w:cs="FrankRuehl" w:hint="eastAsia"/>
          <w:sz w:val="28"/>
          <w:szCs w:val="28"/>
          <w:rtl/>
        </w:rPr>
        <w:t>שחרורו</w:t>
      </w:r>
      <w:r w:rsidRPr="0058474E">
        <w:rPr>
          <w:rFonts w:cs="FrankRuehl"/>
          <w:sz w:val="28"/>
          <w:szCs w:val="28"/>
          <w:rtl/>
        </w:rPr>
        <w:t>.</w:t>
      </w:r>
    </w:p>
    <w:p w14:paraId="4E0BEE29" w14:textId="77777777" w:rsidR="00A06F82" w:rsidRPr="0058474E" w:rsidRDefault="00A06F82" w:rsidP="00A06F82">
      <w:pPr>
        <w:rPr>
          <w:rFonts w:cs="FrankRuehl"/>
          <w:sz w:val="28"/>
          <w:szCs w:val="28"/>
          <w:rtl/>
        </w:rPr>
      </w:pPr>
    </w:p>
    <w:p w14:paraId="3ABC7F99" w14:textId="77777777" w:rsidR="00A06F82" w:rsidRPr="0058474E" w:rsidRDefault="00A06F82" w:rsidP="00A06F82">
      <w:pPr>
        <w:rPr>
          <w:rFonts w:cs="FrankRuehl"/>
          <w:b/>
          <w:bCs/>
          <w:sz w:val="28"/>
          <w:szCs w:val="28"/>
          <w:rtl/>
        </w:rPr>
      </w:pPr>
      <w:r>
        <w:rPr>
          <w:rFonts w:cs="FrankRuehl" w:hint="cs"/>
          <w:b/>
          <w:bCs/>
          <w:sz w:val="28"/>
          <w:szCs w:val="28"/>
          <w:rtl/>
        </w:rPr>
        <w:t xml:space="preserve">זכות ערעור לבית המשפט העליון בתוך 45 יום מהיום. </w:t>
      </w:r>
    </w:p>
    <w:p w14:paraId="6C77EF37" w14:textId="77777777" w:rsidR="00A06F82" w:rsidRPr="0093305B" w:rsidRDefault="0093305B" w:rsidP="00A06F82">
      <w:pPr>
        <w:spacing w:line="360" w:lineRule="auto"/>
        <w:jc w:val="both"/>
        <w:rPr>
          <w:rFonts w:ascii="Arial" w:hAnsi="Arial" w:cs="FrankRuehl"/>
          <w:color w:val="FFFFFF"/>
          <w:sz w:val="2"/>
          <w:szCs w:val="2"/>
          <w:rtl/>
        </w:rPr>
      </w:pPr>
      <w:r w:rsidRPr="0093305B">
        <w:rPr>
          <w:rFonts w:ascii="Arial" w:hAnsi="Arial" w:cs="FrankRuehl"/>
          <w:color w:val="FFFFFF"/>
          <w:sz w:val="2"/>
          <w:szCs w:val="2"/>
          <w:rtl/>
        </w:rPr>
        <w:t>5129371</w:t>
      </w:r>
    </w:p>
    <w:p w14:paraId="5020FAA1" w14:textId="77777777" w:rsidR="00A06F82" w:rsidRPr="0058474E" w:rsidRDefault="0093305B" w:rsidP="00A06F82">
      <w:pPr>
        <w:rPr>
          <w:rFonts w:cs="FrankRuehl"/>
          <w:sz w:val="28"/>
          <w:szCs w:val="28"/>
          <w:rtl/>
        </w:rPr>
      </w:pPr>
      <w:r w:rsidRPr="0093305B">
        <w:rPr>
          <w:rFonts w:ascii="Arial" w:hAnsi="Arial" w:cs="FrankRueh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 w:cs="FrankRuehl"/>
          <w:b/>
          <w:bCs/>
          <w:sz w:val="28"/>
          <w:szCs w:val="28"/>
          <w:rtl/>
        </w:rPr>
        <w:t xml:space="preserve">ניתן היום,    ח' בשבט תשע"ח,  24.1.2018 במעמד הצדדים.  </w:t>
      </w:r>
    </w:p>
    <w:p w14:paraId="1C3BD0D3" w14:textId="77777777" w:rsidR="00A06F82" w:rsidRPr="0058474E" w:rsidRDefault="00A06F82" w:rsidP="00A06F82">
      <w:pPr>
        <w:jc w:val="center"/>
      </w:pPr>
      <w:r w:rsidRPr="0058474E">
        <w:rPr>
          <w:rFonts w:cs="FrankRuehl" w:hint="cs"/>
          <w:sz w:val="28"/>
          <w:szCs w:val="28"/>
          <w:rtl/>
        </w:rPr>
        <w:t xml:space="preserve">   </w:t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 w:rsidRPr="0058474E">
        <w:rPr>
          <w:rFonts w:cs="FrankRuehl" w:hint="cs"/>
          <w:sz w:val="28"/>
          <w:szCs w:val="28"/>
          <w:rtl/>
        </w:rPr>
        <w:tab/>
      </w:r>
      <w:r>
        <w:rPr>
          <w:rtl/>
        </w:rPr>
        <w:t xml:space="preserve">     </w:t>
      </w:r>
    </w:p>
    <w:p w14:paraId="3DC6FC6E" w14:textId="77777777" w:rsidR="00A06F82" w:rsidRPr="0058474E" w:rsidRDefault="00A06F82" w:rsidP="00A06F82">
      <w:pPr>
        <w:jc w:val="center"/>
        <w:rPr>
          <w:rFonts w:ascii="Arial" w:hAnsi="Arial" w:cs="FrankRuehl"/>
          <w:sz w:val="28"/>
          <w:szCs w:val="28"/>
          <w:rtl/>
        </w:rPr>
      </w:pPr>
    </w:p>
    <w:p w14:paraId="15CED045" w14:textId="77777777" w:rsidR="00A06F82" w:rsidRPr="0058474E" w:rsidRDefault="00A06F82" w:rsidP="00A06F82">
      <w:pPr>
        <w:rPr>
          <w:rFonts w:cs="FrankRuehl"/>
          <w:sz w:val="28"/>
          <w:szCs w:val="28"/>
          <w:rtl/>
        </w:rPr>
      </w:pPr>
    </w:p>
    <w:p w14:paraId="3A18A568" w14:textId="77777777" w:rsidR="00A06F82" w:rsidRPr="00F56D97" w:rsidRDefault="00F56D97" w:rsidP="00A06F82">
      <w:pPr>
        <w:pStyle w:val="a3"/>
        <w:jc w:val="center"/>
        <w:rPr>
          <w:rFonts w:cs="FrankRuehl"/>
          <w:color w:val="FFFFFF"/>
          <w:sz w:val="2"/>
          <w:szCs w:val="2"/>
          <w:rtl/>
        </w:rPr>
      </w:pPr>
      <w:r w:rsidRPr="00F56D97">
        <w:rPr>
          <w:rFonts w:cs="FrankRuehl"/>
          <w:color w:val="FFFFFF"/>
          <w:sz w:val="2"/>
          <w:szCs w:val="2"/>
          <w:rtl/>
        </w:rPr>
        <w:t>5129371</w:t>
      </w:r>
    </w:p>
    <w:p w14:paraId="5E8E656A" w14:textId="77777777" w:rsidR="002D7B2F" w:rsidRPr="00F56D97" w:rsidRDefault="00F56D97" w:rsidP="0093305B">
      <w:pPr>
        <w:keepNext/>
        <w:rPr>
          <w:rFonts w:ascii="David" w:hAnsi="David"/>
          <w:color w:val="FFFFFF"/>
          <w:sz w:val="2"/>
          <w:szCs w:val="2"/>
          <w:rtl/>
        </w:rPr>
      </w:pPr>
      <w:r w:rsidRPr="00F56D97">
        <w:rPr>
          <w:rFonts w:ascii="David" w:hAnsi="David"/>
          <w:color w:val="FFFFFF"/>
          <w:sz w:val="2"/>
          <w:szCs w:val="2"/>
          <w:rtl/>
        </w:rPr>
        <w:t>54678313</w:t>
      </w:r>
    </w:p>
    <w:p w14:paraId="17D57D29" w14:textId="77777777" w:rsidR="0093305B" w:rsidRPr="0093305B" w:rsidRDefault="0093305B" w:rsidP="0093305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93305B">
        <w:rPr>
          <w:rFonts w:ascii="David" w:hAnsi="David"/>
          <w:color w:val="000000"/>
          <w:sz w:val="22"/>
          <w:szCs w:val="22"/>
          <w:rtl/>
        </w:rPr>
        <w:t>בית המשפט המחוזי בירושלים 54678313</w:t>
      </w:r>
    </w:p>
    <w:p w14:paraId="742F45B7" w14:textId="77777777" w:rsidR="0093305B" w:rsidRDefault="0093305B" w:rsidP="0093305B">
      <w:r w:rsidRPr="0093305B">
        <w:rPr>
          <w:color w:val="000000"/>
          <w:rtl/>
        </w:rPr>
        <w:t>נוסח מסמך זה כפוף לשינויי ניסוח ועריכה</w:t>
      </w:r>
    </w:p>
    <w:p w14:paraId="549263AF" w14:textId="77777777" w:rsidR="0093305B" w:rsidRDefault="0093305B" w:rsidP="0093305B">
      <w:pPr>
        <w:rPr>
          <w:rtl/>
        </w:rPr>
      </w:pPr>
    </w:p>
    <w:p w14:paraId="0F070120" w14:textId="77777777" w:rsidR="0093305B" w:rsidRDefault="0093305B" w:rsidP="0093305B">
      <w:pPr>
        <w:jc w:val="center"/>
        <w:rPr>
          <w:color w:val="0000FF"/>
          <w:u w:val="single"/>
        </w:rPr>
      </w:pPr>
      <w:hyperlink r:id="rId4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AC2E638" w14:textId="77777777" w:rsidR="00F56D97" w:rsidRPr="00F56D97" w:rsidRDefault="00F56D97" w:rsidP="00F56D9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206B1A9" w14:textId="77777777" w:rsidR="0093305B" w:rsidRPr="0093305B" w:rsidRDefault="0093305B" w:rsidP="00F56D97">
      <w:pPr>
        <w:rPr>
          <w:color w:val="0000FF"/>
          <w:u w:val="single"/>
        </w:rPr>
      </w:pPr>
    </w:p>
    <w:sectPr w:rsidR="0093305B" w:rsidRPr="0093305B" w:rsidSect="00F56D97">
      <w:headerReference w:type="even" r:id="rId41"/>
      <w:headerReference w:type="default" r:id="rId42"/>
      <w:footerReference w:type="even" r:id="rId43"/>
      <w:footerReference w:type="default" r:id="rId4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945F0" w14:textId="77777777" w:rsidR="000602A3" w:rsidRDefault="000602A3" w:rsidP="00A80CAA">
      <w:r>
        <w:separator/>
      </w:r>
    </w:p>
  </w:endnote>
  <w:endnote w:type="continuationSeparator" w:id="0">
    <w:p w14:paraId="3ABBC04A" w14:textId="77777777" w:rsidR="000602A3" w:rsidRDefault="000602A3" w:rsidP="00A8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5B7A0" w14:textId="77777777" w:rsidR="000602A3" w:rsidRDefault="000602A3" w:rsidP="00F56D9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4E924D77" w14:textId="77777777" w:rsidR="000602A3" w:rsidRPr="00F56D97" w:rsidRDefault="000602A3" w:rsidP="00F56D9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56D9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9A1FF" w14:textId="77777777" w:rsidR="000602A3" w:rsidRDefault="000602A3" w:rsidP="00F56D9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21D0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4587A5F" w14:textId="77777777" w:rsidR="000602A3" w:rsidRPr="00F56D97" w:rsidRDefault="000602A3" w:rsidP="00F56D9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56D97">
      <w:rPr>
        <w:rFonts w:ascii="FrankRuehl" w:hAnsi="FrankRuehl" w:cs="FrankRuehl"/>
        <w:color w:val="000000"/>
      </w:rPr>
      <w:pict w14:anchorId="74F96B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C237A" w14:textId="77777777" w:rsidR="000602A3" w:rsidRDefault="000602A3" w:rsidP="00A80CAA">
      <w:r>
        <w:separator/>
      </w:r>
    </w:p>
  </w:footnote>
  <w:footnote w:type="continuationSeparator" w:id="0">
    <w:p w14:paraId="1EFE1999" w14:textId="77777777" w:rsidR="000602A3" w:rsidRDefault="000602A3" w:rsidP="00A8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E133F" w14:textId="77777777" w:rsidR="000602A3" w:rsidRPr="00F56D97" w:rsidRDefault="000602A3" w:rsidP="00F56D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26417-03-17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עמאר ברהום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EB32D" w14:textId="77777777" w:rsidR="000602A3" w:rsidRPr="00F56D97" w:rsidRDefault="000602A3" w:rsidP="00F56D9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26417-03-17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עמאר ברהום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472919"/>
    <w:multiLevelType w:val="hybridMultilevel"/>
    <w:tmpl w:val="B350791C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4381794">
    <w:abstractNumId w:val="2"/>
  </w:num>
  <w:num w:numId="2" w16cid:durableId="1527017481">
    <w:abstractNumId w:val="0"/>
  </w:num>
  <w:num w:numId="3" w16cid:durableId="1512528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06F82"/>
    <w:rsid w:val="000266C2"/>
    <w:rsid w:val="000602A3"/>
    <w:rsid w:val="002A04DE"/>
    <w:rsid w:val="002D7B2F"/>
    <w:rsid w:val="004234C0"/>
    <w:rsid w:val="007A6F72"/>
    <w:rsid w:val="0093305B"/>
    <w:rsid w:val="00A06F82"/>
    <w:rsid w:val="00A461D3"/>
    <w:rsid w:val="00A80CAA"/>
    <w:rsid w:val="00BA16A0"/>
    <w:rsid w:val="00E21D0F"/>
    <w:rsid w:val="00F5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04BE1CF"/>
  <w15:chartTrackingRefBased/>
  <w15:docId w15:val="{1F0192EE-BB0A-45E5-94FB-B7488D22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6F82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A06F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A06F82"/>
    <w:pPr>
      <w:spacing w:after="120" w:line="360" w:lineRule="auto"/>
      <w:jc w:val="both"/>
      <w:outlineLvl w:val="1"/>
    </w:pPr>
    <w:rPr>
      <w:rFonts w:ascii="David" w:hAnsi="David"/>
      <w:u w:val="single"/>
    </w:rPr>
  </w:style>
  <w:style w:type="paragraph" w:styleId="4">
    <w:name w:val="heading 4"/>
    <w:basedOn w:val="a"/>
    <w:next w:val="a"/>
    <w:link w:val="40"/>
    <w:qFormat/>
    <w:rsid w:val="00A06F82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A06F8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כותרת 2 תו"/>
    <w:link w:val="2"/>
    <w:rsid w:val="00A06F82"/>
    <w:rPr>
      <w:rFonts w:ascii="David" w:eastAsia="Times New Roman" w:hAnsi="David" w:cs="David"/>
      <w:sz w:val="24"/>
      <w:szCs w:val="24"/>
      <w:u w:val="single"/>
    </w:rPr>
  </w:style>
  <w:style w:type="character" w:customStyle="1" w:styleId="40">
    <w:name w:val="כותרת 4 תו"/>
    <w:link w:val="4"/>
    <w:rsid w:val="00A06F82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A06F82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A06F82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A06F8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A06F82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A06F82"/>
    <w:rPr>
      <w:sz w:val="16"/>
      <w:szCs w:val="16"/>
    </w:rPr>
  </w:style>
  <w:style w:type="paragraph" w:styleId="a8">
    <w:name w:val="annotation text"/>
    <w:basedOn w:val="a"/>
    <w:link w:val="a9"/>
    <w:rsid w:val="00A06F82"/>
    <w:rPr>
      <w:rFonts w:cs="Times New Roman"/>
      <w:lang w:eastAsia="he-IL"/>
    </w:rPr>
  </w:style>
  <w:style w:type="character" w:customStyle="1" w:styleId="a9">
    <w:name w:val="טקסט הערה תו"/>
    <w:link w:val="a8"/>
    <w:rsid w:val="00A06F82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A06F82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A06F82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A06F8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A06F82"/>
  </w:style>
  <w:style w:type="paragraph" w:styleId="ae">
    <w:name w:val="Quote"/>
    <w:basedOn w:val="a"/>
    <w:next w:val="a"/>
    <w:link w:val="af"/>
    <w:qFormat/>
    <w:rsid w:val="00A06F82"/>
    <w:pPr>
      <w:spacing w:after="120" w:line="360" w:lineRule="auto"/>
      <w:ind w:left="1134" w:right="1134"/>
      <w:jc w:val="both"/>
    </w:pPr>
    <w:rPr>
      <w:rFonts w:ascii="David" w:hAnsi="David"/>
      <w:b/>
      <w:bCs/>
    </w:rPr>
  </w:style>
  <w:style w:type="character" w:customStyle="1" w:styleId="af">
    <w:name w:val="ציטוט תו"/>
    <w:link w:val="ae"/>
    <w:rsid w:val="00A06F82"/>
    <w:rPr>
      <w:rFonts w:ascii="David" w:eastAsia="Times New Roman" w:hAnsi="David" w:cs="David"/>
      <w:b/>
      <w:bCs/>
      <w:sz w:val="24"/>
      <w:szCs w:val="24"/>
    </w:rPr>
  </w:style>
  <w:style w:type="paragraph" w:customStyle="1" w:styleId="yiv3591405368msonormal">
    <w:name w:val="yiv3591405368msonormal"/>
    <w:basedOn w:val="a"/>
    <w:rsid w:val="00A06F82"/>
    <w:pPr>
      <w:bidi w:val="0"/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rsid w:val="0093305B"/>
    <w:rPr>
      <w:color w:val="0563C1"/>
      <w:u w:val="single"/>
    </w:rPr>
  </w:style>
  <w:style w:type="character" w:styleId="af0">
    <w:name w:val="Unresolved Mention"/>
    <w:rsid w:val="009330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24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a1S" TargetMode="External"/><Relationship Id="rId39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242" TargetMode="External"/><Relationship Id="rId34" Type="http://schemas.openxmlformats.org/officeDocument/2006/relationships/hyperlink" Target="http://www.nevo.co.il/case/5995135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a1S" TargetMode="External"/><Relationship Id="rId29" Type="http://schemas.openxmlformats.org/officeDocument/2006/relationships/hyperlink" Target="http://www.nevo.co.il/law/70301/40c.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20817891" TargetMode="External"/><Relationship Id="rId32" Type="http://schemas.openxmlformats.org/officeDocument/2006/relationships/hyperlink" Target="http://www.nevo.co.il/case/6018516" TargetMode="External"/><Relationship Id="rId37" Type="http://schemas.openxmlformats.org/officeDocument/2006/relationships/hyperlink" Target="http://www.nevo.co.il/case/20334652" TargetMode="External"/><Relationship Id="rId40" Type="http://schemas.openxmlformats.org/officeDocument/2006/relationships/hyperlink" Target="http://www.nevo.co.il/advertisements/nevo-100.do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case/6151556" TargetMode="External"/><Relationship Id="rId28" Type="http://schemas.openxmlformats.org/officeDocument/2006/relationships/hyperlink" Target="http://www.nevo.co.il/law/70301/40c" TargetMode="External"/><Relationship Id="rId36" Type="http://schemas.openxmlformats.org/officeDocument/2006/relationships/hyperlink" Target="http://www.nevo.co.il/case/5950172" TargetMode="External"/><Relationship Id="rId10" Type="http://schemas.openxmlformats.org/officeDocument/2006/relationships/hyperlink" Target="http://www.nevo.co.il/law/70301/40c.b" TargetMode="External"/><Relationship Id="rId19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case/13093721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5950172" TargetMode="External"/><Relationship Id="rId27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law/70301/40jc" TargetMode="External"/><Relationship Id="rId35" Type="http://schemas.openxmlformats.org/officeDocument/2006/relationships/hyperlink" Target="http://www.nevo.co.il/case/5724364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/70301/40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case/7878510" TargetMode="External"/><Relationship Id="rId33" Type="http://schemas.openxmlformats.org/officeDocument/2006/relationships/hyperlink" Target="http://www.nevo.co.il/case/20420489" TargetMode="External"/><Relationship Id="rId38" Type="http://schemas.openxmlformats.org/officeDocument/2006/relationships/hyperlink" Target="http://www.nevo.co.il/case/8465630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law/70301/144.a" TargetMode="External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1888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11307</CharactersWithSpaces>
  <SharedDoc>false</SharedDoc>
  <HLinks>
    <vt:vector size="204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3670134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http://www.nevo.co.il/case/8465630</vt:lpwstr>
      </vt:variant>
      <vt:variant>
        <vt:lpwstr/>
      </vt:variant>
      <vt:variant>
        <vt:i4>3145841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http://www.nevo.co.il/case/20334652</vt:lpwstr>
      </vt:variant>
      <vt:variant>
        <vt:lpwstr/>
      </vt:variant>
      <vt:variant>
        <vt:i4>3342458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3145841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3670139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http://www.nevo.co.il/case/5995135</vt:lpwstr>
      </vt:variant>
      <vt:variant>
        <vt:lpwstr/>
      </vt:variant>
      <vt:variant>
        <vt:i4>4063346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http://www.nevo.co.il/case/20420489</vt:lpwstr>
      </vt:variant>
      <vt:variant>
        <vt:lpwstr/>
      </vt:variant>
      <vt:variant>
        <vt:i4>3407997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3145849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393227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4915202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6553652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3473525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http://www.nevo.co.il/case/7878510</vt:lpwstr>
      </vt:variant>
      <vt:variant>
        <vt:lpwstr/>
      </vt:variant>
      <vt:variant>
        <vt:i4>3407997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http://www.nevo.co.il/case/20817891</vt:lpwstr>
      </vt:variant>
      <vt:variant>
        <vt:lpwstr/>
      </vt:variant>
      <vt:variant>
        <vt:i4>3145841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3342458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http://www.nevo.co.il/case/5950172</vt:lpwstr>
      </vt:variant>
      <vt:variant>
        <vt:lpwstr/>
      </vt:variant>
      <vt:variant>
        <vt:i4>6357095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6553652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393227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6357095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http://www.nevo.co.il/law/70301/242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2025-01-19T16:15:00Z</dcterms:created>
  <dcterms:modified xsi:type="dcterms:W3CDTF">2025-01-19T16:15:00Z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26417</vt:lpwstr>
  </property>
  <property fmtid="{D5CDD505-2E9C-101B-9397-08002B2CF9AE}" pid="6" name="NEWPARTB">
    <vt:lpwstr>03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עמאר ברהום</vt:lpwstr>
  </property>
  <property fmtid="{D5CDD505-2E9C-101B-9397-08002B2CF9AE}" pid="10" name="LAWYER">
    <vt:lpwstr>מוריה ביינה;ירון גיגי</vt:lpwstr>
  </property>
  <property fmtid="{D5CDD505-2E9C-101B-9397-08002B2CF9AE}" pid="11" name="JUDGE">
    <vt:lpwstr>דניאל טפרברג</vt:lpwstr>
  </property>
  <property fmtid="{D5CDD505-2E9C-101B-9397-08002B2CF9AE}" pid="12" name="CITY">
    <vt:lpwstr>י-ם</vt:lpwstr>
  </property>
  <property fmtid="{D5CDD505-2E9C-101B-9397-08002B2CF9AE}" pid="13" name="DATE">
    <vt:lpwstr>20180124</vt:lpwstr>
  </property>
  <property fmtid="{D5CDD505-2E9C-101B-9397-08002B2CF9AE}" pid="14" name="TYPE_N_DATE">
    <vt:lpwstr>39020180124</vt:lpwstr>
  </property>
  <property fmtid="{D5CDD505-2E9C-101B-9397-08002B2CF9AE}" pid="15" name="CASESLISTTMP1">
    <vt:lpwstr>5950172:2;6151556;20817891;7878510;13093721;6018516;20420489;5995135;5724364;20334652;8465630</vt:lpwstr>
  </property>
  <property fmtid="{D5CDD505-2E9C-101B-9397-08002B2CF9AE}" pid="16" name="WORDNUMPAGES">
    <vt:lpwstr>7</vt:lpwstr>
  </property>
  <property fmtid="{D5CDD505-2E9C-101B-9397-08002B2CF9AE}" pid="17" name="TYPE_ABS_DATE">
    <vt:lpwstr>390020180124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70301/144.b:2;144.a;242;a1S;040b;040c;040c.b;40jc;40ja</vt:lpwstr>
  </property>
</Properties>
</file>