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053E6A" w:rsidRPr="0066726C" w14:paraId="679457E8" w14:textId="77777777" w:rsidTr="00E05668">
        <w:trPr>
          <w:trHeight w:hRule="exact" w:val="418"/>
          <w:jc w:val="center"/>
        </w:trPr>
        <w:tc>
          <w:tcPr>
            <w:tcW w:w="8721" w:type="dxa"/>
            <w:gridSpan w:val="2"/>
          </w:tcPr>
          <w:p w14:paraId="2855330E" w14:textId="77777777" w:rsidR="00053E6A" w:rsidRPr="0066726C" w:rsidRDefault="00053E6A" w:rsidP="005C4303">
            <w:pPr>
              <w:pStyle w:val="a3"/>
              <w:jc w:val="center"/>
              <w:rPr>
                <w:rFonts w:ascii="Tahoma" w:hAnsi="Tahoma" w:cs="Tahoma"/>
                <w:color w:val="000080"/>
                <w:rtl/>
              </w:rPr>
            </w:pPr>
            <w:r w:rsidRPr="0066726C">
              <w:rPr>
                <w:rFonts w:ascii="Tahoma" w:hAnsi="Tahoma" w:cs="Tahoma"/>
                <w:b/>
                <w:bCs/>
                <w:color w:val="000080"/>
                <w:rtl/>
              </w:rPr>
              <w:t>בית המשפט המחוזי בבאר שבע</w:t>
            </w:r>
          </w:p>
        </w:tc>
      </w:tr>
      <w:tr w:rsidR="00053E6A" w:rsidRPr="00C96767" w14:paraId="187C42AA" w14:textId="77777777" w:rsidTr="00E05668">
        <w:trPr>
          <w:trHeight w:val="337"/>
          <w:jc w:val="center"/>
        </w:trPr>
        <w:tc>
          <w:tcPr>
            <w:tcW w:w="5057" w:type="dxa"/>
          </w:tcPr>
          <w:p w14:paraId="40FD457C" w14:textId="77777777" w:rsidR="00053E6A" w:rsidRPr="00C96767" w:rsidRDefault="00053E6A" w:rsidP="005C4303">
            <w:pPr>
              <w:rPr>
                <w:b/>
                <w:bCs/>
                <w:sz w:val="26"/>
                <w:szCs w:val="26"/>
                <w:rtl/>
              </w:rPr>
            </w:pPr>
            <w:r w:rsidRPr="00C96767">
              <w:rPr>
                <w:b/>
                <w:bCs/>
                <w:sz w:val="26"/>
                <w:szCs w:val="26"/>
                <w:rtl/>
              </w:rPr>
              <w:t>ת"פ</w:t>
            </w:r>
            <w:r w:rsidRPr="00C96767">
              <w:rPr>
                <w:rFonts w:hint="cs"/>
                <w:b/>
                <w:bCs/>
                <w:sz w:val="26"/>
                <w:szCs w:val="26"/>
                <w:rtl/>
              </w:rPr>
              <w:t xml:space="preserve"> </w:t>
            </w:r>
            <w:r w:rsidRPr="00C96767">
              <w:rPr>
                <w:b/>
                <w:bCs/>
                <w:sz w:val="26"/>
                <w:szCs w:val="26"/>
                <w:rtl/>
              </w:rPr>
              <w:t>21139-04-17</w:t>
            </w:r>
            <w:r w:rsidRPr="00C96767">
              <w:rPr>
                <w:rFonts w:hint="cs"/>
                <w:b/>
                <w:bCs/>
                <w:sz w:val="26"/>
                <w:szCs w:val="26"/>
                <w:rtl/>
              </w:rPr>
              <w:t xml:space="preserve"> </w:t>
            </w:r>
            <w:r w:rsidRPr="00C96767">
              <w:rPr>
                <w:b/>
                <w:bCs/>
                <w:sz w:val="26"/>
                <w:szCs w:val="26"/>
                <w:rtl/>
              </w:rPr>
              <w:t>מדינת ישראל נ' יעקב</w:t>
            </w:r>
            <w:r w:rsidR="00C96767" w:rsidRPr="00C96767">
              <w:rPr>
                <w:rFonts w:hint="cs"/>
                <w:b/>
                <w:bCs/>
                <w:sz w:val="26"/>
                <w:szCs w:val="26"/>
                <w:rtl/>
              </w:rPr>
              <w:t xml:space="preserve"> </w:t>
            </w:r>
            <w:r w:rsidRPr="00C96767">
              <w:rPr>
                <w:b/>
                <w:bCs/>
                <w:sz w:val="26"/>
                <w:szCs w:val="26"/>
                <w:rtl/>
              </w:rPr>
              <w:t>(עציר)</w:t>
            </w:r>
          </w:p>
          <w:p w14:paraId="4F5F7698" w14:textId="77777777" w:rsidR="00053E6A" w:rsidRPr="00C96767" w:rsidRDefault="00053E6A" w:rsidP="005C4303">
            <w:pPr>
              <w:pStyle w:val="a3"/>
              <w:rPr>
                <w:rFonts w:cs="FrankRuehl"/>
                <w:sz w:val="26"/>
                <w:szCs w:val="26"/>
                <w:rtl/>
              </w:rPr>
            </w:pPr>
          </w:p>
        </w:tc>
        <w:tc>
          <w:tcPr>
            <w:tcW w:w="3664" w:type="dxa"/>
          </w:tcPr>
          <w:p w14:paraId="1C55892D" w14:textId="77777777" w:rsidR="00053E6A" w:rsidRPr="00C96767" w:rsidRDefault="00053E6A" w:rsidP="005C4303">
            <w:pPr>
              <w:pStyle w:val="a3"/>
              <w:jc w:val="right"/>
              <w:rPr>
                <w:rFonts w:cs="FrankRuehl"/>
                <w:sz w:val="26"/>
                <w:szCs w:val="26"/>
                <w:rtl/>
              </w:rPr>
            </w:pPr>
          </w:p>
        </w:tc>
      </w:tr>
    </w:tbl>
    <w:p w14:paraId="721639E3" w14:textId="77777777" w:rsidR="00053E6A" w:rsidRPr="00C96767" w:rsidRDefault="00053E6A" w:rsidP="00C96767">
      <w:pPr>
        <w:pStyle w:val="a3"/>
        <w:rPr>
          <w:rFonts w:ascii="Arial" w:hAnsi="Arial"/>
          <w:sz w:val="26"/>
          <w:szCs w:val="26"/>
          <w:rtl/>
        </w:rPr>
      </w:pPr>
      <w:r w:rsidRPr="00C96767">
        <w:rPr>
          <w:rFonts w:hint="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3"/>
        <w:gridCol w:w="3416"/>
        <w:gridCol w:w="3544"/>
        <w:gridCol w:w="37"/>
      </w:tblGrid>
      <w:tr w:rsidR="005C4303" w:rsidRPr="00C96767" w14:paraId="7871A5D5" w14:textId="77777777" w:rsidTr="00CA1A63">
        <w:trPr>
          <w:gridAfter w:val="1"/>
          <w:wAfter w:w="37" w:type="dxa"/>
          <w:trHeight w:val="295"/>
          <w:jc w:val="center"/>
        </w:trPr>
        <w:tc>
          <w:tcPr>
            <w:tcW w:w="8783" w:type="dxa"/>
            <w:gridSpan w:val="3"/>
            <w:tcBorders>
              <w:top w:val="nil"/>
              <w:left w:val="nil"/>
              <w:bottom w:val="nil"/>
              <w:right w:val="nil"/>
            </w:tcBorders>
            <w:shd w:val="clear" w:color="auto" w:fill="auto"/>
          </w:tcPr>
          <w:p w14:paraId="59B7BA44" w14:textId="77777777" w:rsidR="00053E6A" w:rsidRPr="00C96767" w:rsidRDefault="00053E6A" w:rsidP="00053E6A">
            <w:pPr>
              <w:spacing w:line="360" w:lineRule="auto"/>
              <w:rPr>
                <w:rFonts w:ascii="Arial" w:hAnsi="Arial"/>
                <w:b/>
                <w:bCs/>
                <w:sz w:val="26"/>
                <w:szCs w:val="26"/>
              </w:rPr>
            </w:pPr>
            <w:r w:rsidRPr="00C96767">
              <w:rPr>
                <w:rFonts w:ascii="Arial" w:hAnsi="Arial" w:hint="cs"/>
                <w:b/>
                <w:bCs/>
                <w:sz w:val="26"/>
                <w:szCs w:val="26"/>
                <w:rtl/>
              </w:rPr>
              <w:t>בפני כב' סגן הנשיאה, השופט אליהו ביתן</w:t>
            </w:r>
          </w:p>
        </w:tc>
      </w:tr>
      <w:tr w:rsidR="005C4303" w:rsidRPr="00C96767" w14:paraId="1C662EB8" w14:textId="77777777" w:rsidTr="00CA1A63">
        <w:trPr>
          <w:trHeight w:val="355"/>
          <w:jc w:val="center"/>
        </w:trPr>
        <w:tc>
          <w:tcPr>
            <w:tcW w:w="1823" w:type="dxa"/>
            <w:tcBorders>
              <w:top w:val="nil"/>
              <w:left w:val="nil"/>
              <w:bottom w:val="nil"/>
              <w:right w:val="nil"/>
            </w:tcBorders>
            <w:shd w:val="clear" w:color="auto" w:fill="auto"/>
          </w:tcPr>
          <w:p w14:paraId="3AF3C222" w14:textId="77777777" w:rsidR="00053E6A" w:rsidRPr="00C96767" w:rsidRDefault="00053E6A" w:rsidP="00053E6A">
            <w:pPr>
              <w:spacing w:line="360" w:lineRule="auto"/>
              <w:jc w:val="both"/>
              <w:rPr>
                <w:rFonts w:ascii="Arial" w:hAnsi="Arial"/>
                <w:b/>
                <w:bCs/>
                <w:sz w:val="26"/>
                <w:szCs w:val="26"/>
              </w:rPr>
            </w:pPr>
            <w:bookmarkStart w:id="0" w:name="LastJudge"/>
            <w:bookmarkEnd w:id="0"/>
            <w:r w:rsidRPr="00C96767">
              <w:rPr>
                <w:rFonts w:ascii="Arial" w:hAnsi="Arial" w:hint="cs"/>
                <w:b/>
                <w:bCs/>
                <w:sz w:val="26"/>
                <w:szCs w:val="26"/>
                <w:rtl/>
              </w:rPr>
              <w:t>בעניין:</w:t>
            </w:r>
          </w:p>
        </w:tc>
        <w:tc>
          <w:tcPr>
            <w:tcW w:w="3416" w:type="dxa"/>
            <w:tcBorders>
              <w:top w:val="nil"/>
              <w:left w:val="nil"/>
              <w:bottom w:val="nil"/>
              <w:right w:val="nil"/>
            </w:tcBorders>
            <w:shd w:val="clear" w:color="auto" w:fill="auto"/>
          </w:tcPr>
          <w:p w14:paraId="346B5F9B" w14:textId="77777777" w:rsidR="00053E6A" w:rsidRPr="00C96767" w:rsidRDefault="00053E6A" w:rsidP="00053E6A">
            <w:pPr>
              <w:spacing w:line="360" w:lineRule="auto"/>
              <w:rPr>
                <w:rFonts w:ascii="Arial" w:hAnsi="Arial"/>
                <w:b/>
                <w:bCs/>
                <w:sz w:val="26"/>
                <w:szCs w:val="26"/>
              </w:rPr>
            </w:pPr>
            <w:r w:rsidRPr="00C96767">
              <w:rPr>
                <w:rFonts w:ascii="Arial" w:hAnsi="Arial"/>
                <w:b/>
                <w:bCs/>
                <w:sz w:val="26"/>
                <w:szCs w:val="26"/>
                <w:rtl/>
              </w:rPr>
              <w:t xml:space="preserve">     </w:t>
            </w:r>
          </w:p>
        </w:tc>
        <w:tc>
          <w:tcPr>
            <w:tcW w:w="3581" w:type="dxa"/>
            <w:gridSpan w:val="2"/>
            <w:tcBorders>
              <w:top w:val="nil"/>
              <w:left w:val="nil"/>
              <w:bottom w:val="nil"/>
              <w:right w:val="nil"/>
            </w:tcBorders>
            <w:shd w:val="clear" w:color="auto" w:fill="auto"/>
          </w:tcPr>
          <w:p w14:paraId="163F7B34" w14:textId="77777777" w:rsidR="00053E6A" w:rsidRPr="00C96767" w:rsidRDefault="00053E6A" w:rsidP="00053E6A">
            <w:pPr>
              <w:spacing w:line="360" w:lineRule="auto"/>
              <w:jc w:val="both"/>
              <w:rPr>
                <w:rFonts w:ascii="Arial" w:hAnsi="Arial"/>
                <w:b/>
                <w:bCs/>
                <w:sz w:val="26"/>
                <w:szCs w:val="26"/>
              </w:rPr>
            </w:pPr>
          </w:p>
        </w:tc>
      </w:tr>
      <w:tr w:rsidR="005C4303" w:rsidRPr="00C96767" w14:paraId="0E0F4F16" w14:textId="77777777" w:rsidTr="00CA1A63">
        <w:trPr>
          <w:trHeight w:val="355"/>
          <w:jc w:val="center"/>
        </w:trPr>
        <w:tc>
          <w:tcPr>
            <w:tcW w:w="1823" w:type="dxa"/>
            <w:tcBorders>
              <w:top w:val="nil"/>
              <w:left w:val="nil"/>
              <w:bottom w:val="nil"/>
              <w:right w:val="nil"/>
            </w:tcBorders>
            <w:shd w:val="clear" w:color="auto" w:fill="auto"/>
          </w:tcPr>
          <w:p w14:paraId="171AFE7F" w14:textId="77777777" w:rsidR="00053E6A" w:rsidRPr="00C96767" w:rsidRDefault="00053E6A" w:rsidP="00053E6A">
            <w:pPr>
              <w:spacing w:line="360" w:lineRule="auto"/>
              <w:jc w:val="both"/>
              <w:rPr>
                <w:rFonts w:ascii="Arial" w:hAnsi="Arial"/>
                <w:b/>
                <w:bCs/>
                <w:sz w:val="26"/>
                <w:szCs w:val="26"/>
                <w:rtl/>
              </w:rPr>
            </w:pPr>
            <w:bookmarkStart w:id="1" w:name="FirstAppellant"/>
            <w:r w:rsidRPr="00C96767">
              <w:rPr>
                <w:rFonts w:ascii="Arial" w:hAnsi="Arial" w:hint="cs"/>
                <w:b/>
                <w:bCs/>
                <w:sz w:val="26"/>
                <w:szCs w:val="26"/>
                <w:rtl/>
              </w:rPr>
              <w:t>המאשימה:</w:t>
            </w:r>
          </w:p>
        </w:tc>
        <w:tc>
          <w:tcPr>
            <w:tcW w:w="3416" w:type="dxa"/>
            <w:tcBorders>
              <w:top w:val="nil"/>
              <w:left w:val="nil"/>
              <w:bottom w:val="nil"/>
              <w:right w:val="nil"/>
            </w:tcBorders>
            <w:shd w:val="clear" w:color="auto" w:fill="auto"/>
          </w:tcPr>
          <w:p w14:paraId="01A203B7" w14:textId="77777777" w:rsidR="00053E6A" w:rsidRPr="00C96767" w:rsidRDefault="00053E6A" w:rsidP="00053E6A">
            <w:pPr>
              <w:spacing w:line="360" w:lineRule="auto"/>
              <w:jc w:val="both"/>
              <w:rPr>
                <w:rFonts w:ascii="Arial" w:hAnsi="Arial"/>
                <w:b/>
                <w:bCs/>
                <w:sz w:val="26"/>
                <w:szCs w:val="26"/>
                <w:rtl/>
              </w:rPr>
            </w:pPr>
            <w:r w:rsidRPr="00C96767">
              <w:rPr>
                <w:rFonts w:ascii="Arial" w:hAnsi="Arial" w:hint="cs"/>
                <w:b/>
                <w:bCs/>
                <w:sz w:val="26"/>
                <w:szCs w:val="26"/>
                <w:rtl/>
              </w:rPr>
              <w:t xml:space="preserve">מדינת ישראל </w:t>
            </w:r>
          </w:p>
        </w:tc>
        <w:tc>
          <w:tcPr>
            <w:tcW w:w="3581" w:type="dxa"/>
            <w:gridSpan w:val="2"/>
            <w:tcBorders>
              <w:top w:val="nil"/>
              <w:left w:val="nil"/>
              <w:bottom w:val="nil"/>
              <w:right w:val="nil"/>
            </w:tcBorders>
            <w:shd w:val="clear" w:color="auto" w:fill="auto"/>
          </w:tcPr>
          <w:p w14:paraId="3F753216" w14:textId="77777777" w:rsidR="00053E6A" w:rsidRPr="00C96767" w:rsidRDefault="00053E6A" w:rsidP="00053E6A">
            <w:pPr>
              <w:spacing w:line="360" w:lineRule="auto"/>
              <w:jc w:val="right"/>
              <w:rPr>
                <w:rFonts w:ascii="Arial" w:hAnsi="Arial"/>
                <w:b/>
                <w:bCs/>
                <w:sz w:val="26"/>
                <w:szCs w:val="26"/>
                <w:rtl/>
              </w:rPr>
            </w:pPr>
          </w:p>
        </w:tc>
      </w:tr>
      <w:bookmarkEnd w:id="1"/>
      <w:tr w:rsidR="00C96767" w:rsidRPr="00C96767" w14:paraId="19AD256C" w14:textId="77777777" w:rsidTr="00C96767">
        <w:trPr>
          <w:trHeight w:val="355"/>
          <w:jc w:val="center"/>
        </w:trPr>
        <w:tc>
          <w:tcPr>
            <w:tcW w:w="8820" w:type="dxa"/>
            <w:gridSpan w:val="4"/>
            <w:tcBorders>
              <w:top w:val="nil"/>
              <w:left w:val="nil"/>
              <w:bottom w:val="nil"/>
              <w:right w:val="nil"/>
            </w:tcBorders>
            <w:shd w:val="clear" w:color="auto" w:fill="auto"/>
          </w:tcPr>
          <w:p w14:paraId="7C59BCCE" w14:textId="77777777" w:rsidR="00C96767" w:rsidRPr="00C96767" w:rsidRDefault="00C96767" w:rsidP="00CA1A63">
            <w:pPr>
              <w:spacing w:before="240" w:after="240" w:line="360" w:lineRule="auto"/>
              <w:jc w:val="center"/>
              <w:rPr>
                <w:rFonts w:ascii="Arial" w:hAnsi="Arial"/>
                <w:b/>
                <w:bCs/>
                <w:sz w:val="26"/>
                <w:szCs w:val="26"/>
              </w:rPr>
            </w:pPr>
            <w:r w:rsidRPr="00C96767">
              <w:rPr>
                <w:rFonts w:ascii="Arial" w:hAnsi="Arial"/>
                <w:b/>
                <w:bCs/>
                <w:sz w:val="26"/>
                <w:szCs w:val="26"/>
                <w:rtl/>
              </w:rPr>
              <w:t>נגד</w:t>
            </w:r>
          </w:p>
        </w:tc>
      </w:tr>
      <w:tr w:rsidR="005C4303" w:rsidRPr="00C96767" w14:paraId="28265F30" w14:textId="77777777" w:rsidTr="00CA1A63">
        <w:trPr>
          <w:trHeight w:val="355"/>
          <w:jc w:val="center"/>
        </w:trPr>
        <w:tc>
          <w:tcPr>
            <w:tcW w:w="1823" w:type="dxa"/>
            <w:tcBorders>
              <w:top w:val="nil"/>
              <w:left w:val="nil"/>
              <w:bottom w:val="nil"/>
              <w:right w:val="nil"/>
            </w:tcBorders>
            <w:shd w:val="clear" w:color="auto" w:fill="auto"/>
          </w:tcPr>
          <w:p w14:paraId="22815A02" w14:textId="77777777" w:rsidR="00053E6A" w:rsidRPr="00C96767" w:rsidRDefault="00053E6A" w:rsidP="00053E6A">
            <w:pPr>
              <w:spacing w:line="360" w:lineRule="auto"/>
              <w:rPr>
                <w:rFonts w:ascii="Arial" w:hAnsi="Arial"/>
                <w:b/>
                <w:bCs/>
                <w:sz w:val="26"/>
                <w:szCs w:val="26"/>
                <w:rtl/>
              </w:rPr>
            </w:pPr>
            <w:r w:rsidRPr="00C96767">
              <w:rPr>
                <w:rFonts w:ascii="Arial" w:hAnsi="Arial" w:hint="cs"/>
                <w:b/>
                <w:bCs/>
                <w:sz w:val="26"/>
                <w:szCs w:val="26"/>
                <w:rtl/>
              </w:rPr>
              <w:t>הנאשם:</w:t>
            </w:r>
          </w:p>
        </w:tc>
        <w:tc>
          <w:tcPr>
            <w:tcW w:w="3416" w:type="dxa"/>
            <w:tcBorders>
              <w:top w:val="nil"/>
              <w:left w:val="nil"/>
              <w:bottom w:val="nil"/>
              <w:right w:val="nil"/>
            </w:tcBorders>
            <w:shd w:val="clear" w:color="auto" w:fill="auto"/>
          </w:tcPr>
          <w:p w14:paraId="5766B3ED" w14:textId="77777777" w:rsidR="00053E6A" w:rsidRPr="00C96767" w:rsidRDefault="00053E6A" w:rsidP="00053E6A">
            <w:pPr>
              <w:spacing w:line="360" w:lineRule="auto"/>
              <w:rPr>
                <w:rFonts w:ascii="Arial" w:hAnsi="Arial"/>
                <w:b/>
                <w:bCs/>
                <w:sz w:val="26"/>
                <w:szCs w:val="26"/>
                <w:rtl/>
              </w:rPr>
            </w:pPr>
            <w:r w:rsidRPr="00C96767">
              <w:rPr>
                <w:rFonts w:ascii="Arial" w:hAnsi="Arial"/>
                <w:b/>
                <w:bCs/>
                <w:sz w:val="26"/>
                <w:szCs w:val="26"/>
                <w:rtl/>
              </w:rPr>
              <w:t>שמואל יעקב (עציר)</w:t>
            </w:r>
          </w:p>
        </w:tc>
        <w:tc>
          <w:tcPr>
            <w:tcW w:w="3581" w:type="dxa"/>
            <w:gridSpan w:val="2"/>
            <w:tcBorders>
              <w:top w:val="nil"/>
              <w:left w:val="nil"/>
              <w:bottom w:val="nil"/>
              <w:right w:val="nil"/>
            </w:tcBorders>
            <w:shd w:val="clear" w:color="auto" w:fill="auto"/>
          </w:tcPr>
          <w:p w14:paraId="1A116397" w14:textId="77777777" w:rsidR="00053E6A" w:rsidRPr="00C96767" w:rsidRDefault="00053E6A" w:rsidP="00053E6A">
            <w:pPr>
              <w:spacing w:line="360" w:lineRule="auto"/>
              <w:jc w:val="right"/>
              <w:rPr>
                <w:rFonts w:ascii="Arial" w:hAnsi="Arial"/>
                <w:b/>
                <w:bCs/>
                <w:sz w:val="26"/>
                <w:szCs w:val="26"/>
              </w:rPr>
            </w:pPr>
          </w:p>
        </w:tc>
      </w:tr>
    </w:tbl>
    <w:p w14:paraId="631E8B47" w14:textId="77777777" w:rsidR="00E05668" w:rsidRDefault="00E05668" w:rsidP="00053E6A">
      <w:pPr>
        <w:spacing w:line="360" w:lineRule="auto"/>
        <w:rPr>
          <w:rFonts w:ascii="Arial" w:hAnsi="Arial"/>
          <w:rtl/>
        </w:rPr>
      </w:pPr>
    </w:p>
    <w:p w14:paraId="25D210A4" w14:textId="77777777" w:rsidR="00CA1A63" w:rsidRPr="00CA1A63" w:rsidRDefault="00CA1A63" w:rsidP="00CA1A63">
      <w:pPr>
        <w:spacing w:after="120" w:line="240" w:lineRule="exact"/>
        <w:ind w:left="283" w:hanging="283"/>
        <w:jc w:val="both"/>
        <w:rPr>
          <w:rFonts w:ascii="FrankRuehl" w:hAnsi="FrankRuehl" w:cs="FrankRuehl"/>
          <w:rtl/>
        </w:rPr>
      </w:pPr>
      <w:r w:rsidRPr="00CA1A63">
        <w:rPr>
          <w:rFonts w:ascii="FrankRuehl" w:hAnsi="FrankRuehl" w:cs="FrankRuehl"/>
          <w:rtl/>
        </w:rPr>
        <w:t xml:space="preserve">חקיקה שאוזכרה: </w:t>
      </w:r>
    </w:p>
    <w:p w14:paraId="06D521FF" w14:textId="77777777" w:rsidR="00CA1A63" w:rsidRPr="00CA1A63" w:rsidRDefault="00CA1A63" w:rsidP="00CA1A63">
      <w:pPr>
        <w:spacing w:after="120" w:line="240" w:lineRule="exact"/>
        <w:ind w:left="283" w:hanging="283"/>
        <w:jc w:val="both"/>
        <w:rPr>
          <w:rFonts w:ascii="FrankRuehl" w:hAnsi="FrankRuehl" w:cs="FrankRuehl"/>
          <w:rtl/>
        </w:rPr>
      </w:pPr>
      <w:hyperlink r:id="rId6" w:history="1">
        <w:r w:rsidRPr="00CA1A63">
          <w:rPr>
            <w:rFonts w:ascii="FrankRuehl" w:hAnsi="FrankRuehl" w:cs="FrankRuehl"/>
            <w:color w:val="0000FF"/>
            <w:u w:val="single"/>
            <w:rtl/>
          </w:rPr>
          <w:t>חוק העונשין, תשל"ז-1977</w:t>
        </w:r>
      </w:hyperlink>
      <w:r w:rsidRPr="00CA1A63">
        <w:rPr>
          <w:rFonts w:ascii="FrankRuehl" w:hAnsi="FrankRuehl" w:cs="FrankRuehl"/>
          <w:rtl/>
        </w:rPr>
        <w:t xml:space="preserve">: סע'  </w:t>
      </w:r>
      <w:hyperlink r:id="rId7" w:history="1">
        <w:r w:rsidRPr="00CA1A63">
          <w:rPr>
            <w:rFonts w:ascii="FrankRuehl" w:hAnsi="FrankRuehl" w:cs="FrankRuehl"/>
            <w:color w:val="0000FF"/>
            <w:u w:val="single"/>
            <w:rtl/>
          </w:rPr>
          <w:t>144(א)</w:t>
        </w:r>
      </w:hyperlink>
      <w:r w:rsidRPr="00CA1A63">
        <w:rPr>
          <w:rFonts w:ascii="FrankRuehl" w:hAnsi="FrankRuehl" w:cs="FrankRuehl"/>
          <w:rtl/>
        </w:rPr>
        <w:t xml:space="preserve">, </w:t>
      </w:r>
      <w:hyperlink r:id="rId8" w:history="1">
        <w:r w:rsidRPr="00CA1A63">
          <w:rPr>
            <w:rFonts w:ascii="FrankRuehl" w:hAnsi="FrankRuehl" w:cs="FrankRuehl"/>
            <w:color w:val="0000FF"/>
            <w:u w:val="single"/>
            <w:rtl/>
          </w:rPr>
          <w:t>192</w:t>
        </w:r>
      </w:hyperlink>
      <w:r w:rsidRPr="00CA1A63">
        <w:rPr>
          <w:rFonts w:ascii="FrankRuehl" w:hAnsi="FrankRuehl" w:cs="FrankRuehl"/>
          <w:rtl/>
        </w:rPr>
        <w:t xml:space="preserve">, </w:t>
      </w:r>
      <w:hyperlink r:id="rId9" w:history="1">
        <w:r w:rsidRPr="00CA1A63">
          <w:rPr>
            <w:rFonts w:ascii="FrankRuehl" w:hAnsi="FrankRuehl" w:cs="FrankRuehl"/>
            <w:color w:val="0000FF"/>
            <w:u w:val="single"/>
            <w:rtl/>
          </w:rPr>
          <w:t>275</w:t>
        </w:r>
      </w:hyperlink>
      <w:r w:rsidRPr="00CA1A63">
        <w:rPr>
          <w:rFonts w:ascii="FrankRuehl" w:hAnsi="FrankRuehl" w:cs="FrankRuehl"/>
          <w:rtl/>
        </w:rPr>
        <w:t xml:space="preserve">, </w:t>
      </w:r>
      <w:hyperlink r:id="rId10" w:history="1">
        <w:r w:rsidRPr="00CA1A63">
          <w:rPr>
            <w:rFonts w:ascii="FrankRuehl" w:hAnsi="FrankRuehl" w:cs="FrankRuehl"/>
            <w:color w:val="0000FF"/>
            <w:u w:val="single"/>
            <w:rtl/>
          </w:rPr>
          <w:t>428</w:t>
        </w:r>
      </w:hyperlink>
    </w:p>
    <w:p w14:paraId="3985F2E0" w14:textId="77777777" w:rsidR="00CA1A63" w:rsidRPr="00CA1A63" w:rsidRDefault="00CA1A63" w:rsidP="00CA1A63">
      <w:pPr>
        <w:spacing w:after="120" w:line="240" w:lineRule="exact"/>
        <w:ind w:left="283" w:hanging="283"/>
        <w:jc w:val="both"/>
        <w:rPr>
          <w:rFonts w:ascii="FrankRuehl" w:hAnsi="FrankRuehl" w:cs="FrankRuehl"/>
          <w:rtl/>
        </w:rPr>
      </w:pPr>
    </w:p>
    <w:p w14:paraId="62C360E7" w14:textId="77777777" w:rsidR="00CA1A63" w:rsidRDefault="00CA1A63" w:rsidP="00CA1A63">
      <w:pPr>
        <w:pBdr>
          <w:top w:val="single" w:sz="4" w:space="1" w:color="auto"/>
          <w:bottom w:val="single" w:sz="4" w:space="1" w:color="auto"/>
        </w:pBdr>
        <w:spacing w:after="120" w:line="320" w:lineRule="exact"/>
        <w:jc w:val="both"/>
        <w:rPr>
          <w:rFonts w:cs="FrankRuehl" w:hint="cs"/>
          <w:szCs w:val="26"/>
          <w:rtl/>
        </w:rPr>
      </w:pPr>
      <w:bookmarkStart w:id="2" w:name="LawTable_End"/>
      <w:bookmarkStart w:id="3" w:name="ABSTRACT_START"/>
      <w:bookmarkEnd w:id="2"/>
      <w:bookmarkEnd w:id="3"/>
      <w:r>
        <w:rPr>
          <w:rFonts w:cs="FrankRuehl"/>
          <w:szCs w:val="26"/>
          <w:rtl/>
        </w:rPr>
        <w:t>מיני-רציו:</w:t>
      </w:r>
    </w:p>
    <w:p w14:paraId="7C695C79" w14:textId="77777777" w:rsidR="00CA1A63" w:rsidRPr="00CA1A63" w:rsidRDefault="00CA1A63" w:rsidP="00CA1A63">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CA1A63">
        <w:rPr>
          <w:rFonts w:cs="FrankRuehl"/>
          <w:szCs w:val="26"/>
          <w:rtl/>
        </w:rPr>
        <w:t>בית המשפט גזר על הנאשם שהורשע, במסגרת הסדר טיעון, על יסוד הודאתו, בביצוע עבירת נשק, איומים (4 עבירות) והפרעה לשוטר במילוי תפקידו עונש של 32 חודשי מאסר בפועל.</w:t>
      </w:r>
    </w:p>
    <w:p w14:paraId="710D9700" w14:textId="77777777" w:rsidR="00CA1A63" w:rsidRDefault="00CA1A63" w:rsidP="00CA1A63">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איומים</w:t>
      </w:r>
    </w:p>
    <w:p w14:paraId="3166BD62" w14:textId="77777777" w:rsidR="00CA1A63" w:rsidRDefault="00CA1A63" w:rsidP="00CA1A63">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נשק</w:t>
      </w:r>
    </w:p>
    <w:p w14:paraId="4D7C1F1C" w14:textId="77777777" w:rsidR="00CA1A63" w:rsidRDefault="00CA1A63" w:rsidP="00CA1A63">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DC24C17" w14:textId="77777777" w:rsidR="00CA1A63" w:rsidRPr="00CA1A63" w:rsidRDefault="00CA1A63" w:rsidP="00CA1A63">
      <w:pPr>
        <w:pBdr>
          <w:top w:val="single" w:sz="4" w:space="1" w:color="auto"/>
          <w:bottom w:val="single" w:sz="4" w:space="1" w:color="auto"/>
        </w:pBdr>
        <w:spacing w:after="120" w:line="320" w:lineRule="exact"/>
        <w:jc w:val="both"/>
        <w:rPr>
          <w:rFonts w:cs="FrankRuehl"/>
          <w:szCs w:val="26"/>
          <w:rtl/>
        </w:rPr>
      </w:pPr>
      <w:r w:rsidRPr="00CA1A63">
        <w:rPr>
          <w:rFonts w:cs="FrankRuehl"/>
          <w:szCs w:val="26"/>
          <w:rtl/>
        </w:rPr>
        <w:t xml:space="preserve">הנאשם הודה על יסוד הודאתו בעובדות כתב האישום המתוקן והוא הורשע בעבירה של החזקת נשק. על פי כתב האישום המתוקן, הנאשם החזיק, בסמוך לביתו, מטען צינור מאולתר אשר בכוחו להמית אדם, ובמועד מסוים הוא מסר את המטען לסוכן משטרתי. בנוסף לכך, הנאשם צירף שלושה תיקים של בית משפט השלום התלויים ועומדים נגדו. על יסוד הודאת הנאשם בעובדות כתבי האישום שצורפו, הוא הורשע ב- 4 עבירות איומים, ובעבירה של הפרעה לשוטר במילוי תפקידו. </w:t>
      </w:r>
    </w:p>
    <w:p w14:paraId="11EDDCCF" w14:textId="77777777" w:rsidR="00CA1A63" w:rsidRPr="00CA1A63" w:rsidRDefault="00CA1A63" w:rsidP="00CA1A63">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D3CAB7E" w14:textId="77777777" w:rsidR="00CA1A63" w:rsidRPr="00CA1A63" w:rsidRDefault="00CA1A63" w:rsidP="00CA1A63">
      <w:pPr>
        <w:pBdr>
          <w:top w:val="single" w:sz="4" w:space="1" w:color="auto"/>
          <w:bottom w:val="single" w:sz="4" w:space="1" w:color="auto"/>
        </w:pBdr>
        <w:spacing w:after="120" w:line="320" w:lineRule="exact"/>
        <w:jc w:val="both"/>
        <w:rPr>
          <w:rFonts w:cs="FrankRuehl"/>
          <w:szCs w:val="26"/>
          <w:rtl/>
        </w:rPr>
      </w:pPr>
      <w:r w:rsidRPr="00CA1A63">
        <w:rPr>
          <w:rFonts w:cs="FrankRuehl"/>
          <w:szCs w:val="26"/>
          <w:rtl/>
        </w:rPr>
        <w:t>בית המשפט פסק כלהלן:</w:t>
      </w:r>
    </w:p>
    <w:p w14:paraId="4B8BE6C0" w14:textId="77777777" w:rsidR="00CA1A63" w:rsidRPr="00CA1A63" w:rsidRDefault="00CA1A63" w:rsidP="00CA1A63">
      <w:pPr>
        <w:pBdr>
          <w:top w:val="single" w:sz="4" w:space="1" w:color="auto"/>
          <w:bottom w:val="single" w:sz="4" w:space="1" w:color="auto"/>
        </w:pBdr>
        <w:spacing w:after="120" w:line="320" w:lineRule="exact"/>
        <w:jc w:val="both"/>
        <w:rPr>
          <w:rFonts w:cs="FrankRuehl"/>
          <w:szCs w:val="26"/>
          <w:rtl/>
        </w:rPr>
      </w:pPr>
      <w:r w:rsidRPr="00CA1A63">
        <w:rPr>
          <w:rFonts w:cs="FrankRuehl"/>
          <w:szCs w:val="26"/>
          <w:rtl/>
        </w:rPr>
        <w:t xml:space="preserve">הערכים החברתיים שנפגעו מביצוע עבירת הנשק, הם בין היתר, שמירת החיים והגוף ושמירת שלום הציבור ובטחונו. בהתחשב בסוג הנשק, בטיבו והמטרה שלשמה הוחזק, מידת הפגיעה בערכים אלה היא משמעותית. </w:t>
      </w:r>
      <w:r w:rsidRPr="00CA1A63">
        <w:rPr>
          <w:rFonts w:cs="FrankRuehl"/>
          <w:szCs w:val="26"/>
          <w:rtl/>
          <w:lang w:eastAsia="he-IL"/>
        </w:rPr>
        <w:t>בשנים האחרונות ישנה מגמת החמרה מוצהרת בענישת עבירות אלה.</w:t>
      </w:r>
    </w:p>
    <w:p w14:paraId="512035D5" w14:textId="77777777" w:rsidR="00CA1A63" w:rsidRPr="00CA1A63" w:rsidRDefault="00CA1A63" w:rsidP="00CA1A63">
      <w:pPr>
        <w:pBdr>
          <w:top w:val="single" w:sz="4" w:space="1" w:color="auto"/>
          <w:bottom w:val="single" w:sz="4" w:space="1" w:color="auto"/>
        </w:pBdr>
        <w:spacing w:after="120" w:line="320" w:lineRule="exact"/>
        <w:jc w:val="both"/>
        <w:rPr>
          <w:rFonts w:cs="FrankRuehl"/>
          <w:szCs w:val="26"/>
          <w:rtl/>
        </w:rPr>
      </w:pPr>
      <w:r w:rsidRPr="00CA1A63">
        <w:rPr>
          <w:rFonts w:cs="FrankRuehl"/>
          <w:szCs w:val="26"/>
          <w:rtl/>
        </w:rPr>
        <w:t>בנסיבותיו של מקרה זה, נראה כי מתחם העונש ההולם למעשי הנאשם, בכל הקשור לעבירת הנשק, נע בין 18 ל-36 חודשי מאסר בפועל.</w:t>
      </w:r>
    </w:p>
    <w:p w14:paraId="5BBDFD4D" w14:textId="77777777" w:rsidR="00CA1A63" w:rsidRPr="00CA1A63" w:rsidRDefault="00CA1A63" w:rsidP="00CA1A63">
      <w:pPr>
        <w:pBdr>
          <w:top w:val="single" w:sz="4" w:space="1" w:color="auto"/>
          <w:bottom w:val="single" w:sz="4" w:space="1" w:color="auto"/>
        </w:pBdr>
        <w:spacing w:after="120" w:line="320" w:lineRule="exact"/>
        <w:jc w:val="both"/>
        <w:rPr>
          <w:rFonts w:cs="FrankRuehl"/>
          <w:szCs w:val="26"/>
          <w:rtl/>
        </w:rPr>
      </w:pPr>
      <w:r w:rsidRPr="00CA1A63">
        <w:rPr>
          <w:rFonts w:cs="FrankRuehl"/>
          <w:szCs w:val="26"/>
          <w:rtl/>
          <w:lang w:eastAsia="he-IL"/>
        </w:rPr>
        <w:lastRenderedPageBreak/>
        <w:t xml:space="preserve">מדיניות הענישה הנוהגת בעבירת איומים נעה ממאסר על תנאי ועד לשנת מאסר בפועל. אשר לעבירה של הפרעה לשוטר במילוי תפקידו, </w:t>
      </w:r>
      <w:r w:rsidRPr="00CA1A63">
        <w:rPr>
          <w:rFonts w:cs="FrankRuehl"/>
          <w:szCs w:val="26"/>
          <w:rtl/>
        </w:rPr>
        <w:t>החוק קובע עונש מינימום של שבועיים מאסר למי שהורשע בעבירה זו.</w:t>
      </w:r>
      <w:r w:rsidRPr="00CA1A63">
        <w:rPr>
          <w:rFonts w:cs="FrankRuehl"/>
          <w:szCs w:val="26"/>
          <w:rtl/>
          <w:lang w:eastAsia="he-IL"/>
        </w:rPr>
        <w:t xml:space="preserve"> הלכה למעשה, העונשים על עבירה זו נעים בין</w:t>
      </w:r>
      <w:r>
        <w:rPr>
          <w:rFonts w:cs="FrankRuehl"/>
          <w:szCs w:val="26"/>
          <w:rtl/>
          <w:lang w:eastAsia="he-IL"/>
        </w:rPr>
        <w:t xml:space="preserve"> </w:t>
      </w:r>
      <w:r w:rsidRPr="00CA1A63">
        <w:rPr>
          <w:rFonts w:cs="FrankRuehl"/>
          <w:szCs w:val="26"/>
          <w:rtl/>
          <w:lang w:eastAsia="he-IL"/>
        </w:rPr>
        <w:t>מאסר על תנאי ועד מספר חודשי מאסר בפועל.</w:t>
      </w:r>
      <w:r w:rsidRPr="00CA1A63">
        <w:rPr>
          <w:rFonts w:cs="FrankRuehl"/>
          <w:szCs w:val="26"/>
          <w:rtl/>
        </w:rPr>
        <w:t xml:space="preserve"> </w:t>
      </w:r>
    </w:p>
    <w:p w14:paraId="22AB5368" w14:textId="77777777" w:rsidR="00CA1A63" w:rsidRPr="00CA1A63" w:rsidRDefault="00CA1A63" w:rsidP="00CA1A63">
      <w:pPr>
        <w:pBdr>
          <w:top w:val="single" w:sz="4" w:space="1" w:color="auto"/>
          <w:bottom w:val="single" w:sz="4" w:space="1" w:color="auto"/>
        </w:pBdr>
        <w:spacing w:after="120" w:line="320" w:lineRule="exact"/>
        <w:jc w:val="both"/>
        <w:rPr>
          <w:rFonts w:cs="FrankRuehl"/>
          <w:szCs w:val="26"/>
          <w:rtl/>
        </w:rPr>
      </w:pPr>
      <w:r w:rsidRPr="00CA1A63">
        <w:rPr>
          <w:rFonts w:cs="FrankRuehl"/>
          <w:szCs w:val="26"/>
          <w:rtl/>
        </w:rPr>
        <w:t>מתחם העונש ההולם לכל אחת מעבירות האיומים שביצע הנאשם, נע בין מספר חודשי מאסר בעבודות שירות ועד שנת מאסר בפועל. ומתחם העונש ההולם כאן לעבירת ההפרעה לשוטר במילוי תפקידו נע בין מאסר על תנאי למספר חודשי מאסר בפועל.</w:t>
      </w:r>
      <w:r>
        <w:rPr>
          <w:rFonts w:cs="FrankRuehl"/>
          <w:szCs w:val="26"/>
          <w:rtl/>
        </w:rPr>
        <w:t xml:space="preserve"> </w:t>
      </w:r>
    </w:p>
    <w:p w14:paraId="21AB8DDB" w14:textId="77777777" w:rsidR="003A5568" w:rsidRPr="0066726C" w:rsidRDefault="003A5568" w:rsidP="00053E6A">
      <w:pPr>
        <w:spacing w:line="360" w:lineRule="auto"/>
        <w:rPr>
          <w:rFonts w:ascii="Arial" w:hAnsi="Arial" w:hint="cs"/>
          <w:sz w:val="28"/>
          <w:szCs w:val="28"/>
          <w:rtl/>
        </w:rPr>
      </w:pPr>
      <w:bookmarkStart w:id="4" w:name="ABSTRACT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C4303" w:rsidRPr="006166BD" w14:paraId="0933CD82" w14:textId="77777777" w:rsidTr="00053E6A">
        <w:trPr>
          <w:trHeight w:val="355"/>
          <w:jc w:val="center"/>
        </w:trPr>
        <w:tc>
          <w:tcPr>
            <w:tcW w:w="8820" w:type="dxa"/>
            <w:tcBorders>
              <w:top w:val="nil"/>
              <w:left w:val="nil"/>
              <w:bottom w:val="nil"/>
              <w:right w:val="nil"/>
            </w:tcBorders>
            <w:shd w:val="clear" w:color="auto" w:fill="auto"/>
          </w:tcPr>
          <w:p w14:paraId="4D6DD290" w14:textId="77777777" w:rsidR="00053E6A" w:rsidRPr="0066726C" w:rsidRDefault="0066726C" w:rsidP="0066726C">
            <w:pPr>
              <w:spacing w:line="360" w:lineRule="auto"/>
              <w:jc w:val="center"/>
              <w:rPr>
                <w:rFonts w:ascii="Arial" w:hAnsi="Arial"/>
                <w:b/>
                <w:bCs/>
                <w:sz w:val="28"/>
                <w:szCs w:val="28"/>
                <w:u w:val="single"/>
                <w:rtl/>
              </w:rPr>
            </w:pPr>
            <w:bookmarkStart w:id="5" w:name="PsakDin" w:colFirst="0" w:colLast="0"/>
            <w:r w:rsidRPr="0066726C">
              <w:rPr>
                <w:rFonts w:ascii="Arial" w:hAnsi="Arial"/>
                <w:b/>
                <w:bCs/>
                <w:sz w:val="28"/>
                <w:szCs w:val="28"/>
                <w:u w:val="single"/>
                <w:rtl/>
              </w:rPr>
              <w:t>גזר דין</w:t>
            </w:r>
          </w:p>
        </w:tc>
      </w:tr>
      <w:bookmarkEnd w:id="5"/>
    </w:tbl>
    <w:p w14:paraId="235FBCFC" w14:textId="77777777" w:rsidR="00053E6A" w:rsidRPr="006166BD" w:rsidRDefault="00053E6A" w:rsidP="00053E6A">
      <w:pPr>
        <w:spacing w:line="360" w:lineRule="auto"/>
        <w:rPr>
          <w:rFonts w:ascii="Arial" w:hAnsi="Arial"/>
          <w:sz w:val="28"/>
          <w:szCs w:val="28"/>
          <w:rtl/>
        </w:rPr>
      </w:pPr>
    </w:p>
    <w:p w14:paraId="2AE1D156" w14:textId="77777777" w:rsidR="00053E6A" w:rsidRPr="006166BD" w:rsidRDefault="00053E6A" w:rsidP="00053E6A">
      <w:pPr>
        <w:spacing w:line="360" w:lineRule="auto"/>
        <w:ind w:left="720" w:hanging="720"/>
        <w:jc w:val="both"/>
      </w:pPr>
      <w:r w:rsidRPr="006166BD">
        <w:rPr>
          <w:rFonts w:hint="cs"/>
          <w:rtl/>
        </w:rPr>
        <w:t>1.</w:t>
      </w:r>
      <w:r w:rsidRPr="006166BD">
        <w:rPr>
          <w:rFonts w:hint="cs"/>
          <w:rtl/>
        </w:rPr>
        <w:tab/>
        <w:t>בטרם שמיעת ההוכחות הגיעו הצדדים להסדר דיוני, במסגרתו, הוגש נגד הנאשם כתב אישום מתוקן והנאשם הודה בעובדותיו, שאלה עיקריהן:</w:t>
      </w:r>
    </w:p>
    <w:p w14:paraId="34289627" w14:textId="77777777" w:rsidR="00053E6A" w:rsidRPr="006166BD" w:rsidRDefault="00053E6A" w:rsidP="00053E6A">
      <w:pPr>
        <w:spacing w:line="360" w:lineRule="auto"/>
        <w:ind w:left="720"/>
        <w:jc w:val="both"/>
        <w:rPr>
          <w:rtl/>
        </w:rPr>
      </w:pPr>
    </w:p>
    <w:p w14:paraId="14151BB4" w14:textId="77777777" w:rsidR="00053E6A" w:rsidRPr="006166BD" w:rsidRDefault="00053E6A" w:rsidP="00053E6A">
      <w:pPr>
        <w:spacing w:line="360" w:lineRule="auto"/>
        <w:ind w:left="720"/>
        <w:jc w:val="both"/>
        <w:rPr>
          <w:rtl/>
        </w:rPr>
      </w:pPr>
      <w:r w:rsidRPr="006166BD">
        <w:rPr>
          <w:rFonts w:hint="cs"/>
          <w:rtl/>
        </w:rPr>
        <w:t>במהלך החודשים דצמבר 2016 ועד אפריל 2017 במסגרת הפעלתו של סוכן משטרתי, נודע לסוכן כי הנאשם מחזיק, יחד עם אחרים, במטען צינור מאולתר על רקע סכסוך פעיל עם אחר. לבקשת הסוכן, בתאריך 22.03.17 בסמוך לשעה 18:20, הנאשם נפגש עם הסוכן בחנייה הסמוכה לבית הנאשם בקריית גת כדי למסור לסוכן את מטען הצינור המאולתר, ואכן, הנאשם מסר לסוכן מטען צינור מאולתר, שבכוחו להמית.</w:t>
      </w:r>
    </w:p>
    <w:p w14:paraId="08D49173" w14:textId="77777777" w:rsidR="00053E6A" w:rsidRPr="006166BD" w:rsidRDefault="00053E6A" w:rsidP="00053E6A">
      <w:pPr>
        <w:spacing w:line="360" w:lineRule="auto"/>
        <w:ind w:left="720"/>
        <w:jc w:val="both"/>
        <w:rPr>
          <w:rtl/>
        </w:rPr>
      </w:pPr>
      <w:r w:rsidRPr="006166BD">
        <w:rPr>
          <w:rFonts w:hint="cs"/>
          <w:rtl/>
        </w:rPr>
        <w:t xml:space="preserve"> </w:t>
      </w:r>
    </w:p>
    <w:p w14:paraId="5DDCA013" w14:textId="77777777" w:rsidR="00053E6A" w:rsidRPr="006166BD" w:rsidRDefault="00053E6A" w:rsidP="00053E6A">
      <w:pPr>
        <w:spacing w:line="360" w:lineRule="auto"/>
        <w:ind w:left="720" w:hanging="720"/>
        <w:jc w:val="both"/>
        <w:rPr>
          <w:rtl/>
          <w:lang w:eastAsia="he-IL"/>
        </w:rPr>
      </w:pPr>
      <w:r w:rsidRPr="006166BD">
        <w:rPr>
          <w:rFonts w:hint="cs"/>
          <w:rtl/>
        </w:rPr>
        <w:t>2.</w:t>
      </w:r>
      <w:r w:rsidRPr="006166BD">
        <w:rPr>
          <w:rFonts w:hint="cs"/>
          <w:rtl/>
        </w:rPr>
        <w:tab/>
        <w:t xml:space="preserve">על יסוד הודאת הנאשם בעובדות כתב האישום המתוקן, כאמור, הוא הורשע בעבירה של החזקת נשק, </w:t>
      </w:r>
      <w:r w:rsidRPr="006166BD">
        <w:rPr>
          <w:rFonts w:hint="cs"/>
          <w:rtl/>
          <w:lang w:eastAsia="he-IL"/>
        </w:rPr>
        <w:t xml:space="preserve">לפי </w:t>
      </w:r>
      <w:hyperlink r:id="rId11" w:history="1">
        <w:r w:rsidR="00E05668" w:rsidRPr="00E05668">
          <w:rPr>
            <w:color w:val="0000FF"/>
            <w:u w:val="single"/>
            <w:rtl/>
            <w:lang w:eastAsia="he-IL"/>
          </w:rPr>
          <w:t>סעיף 144(א)</w:t>
        </w:r>
      </w:hyperlink>
      <w:r w:rsidRPr="006166BD">
        <w:rPr>
          <w:rFonts w:hint="cs"/>
          <w:rtl/>
          <w:lang w:eastAsia="he-IL"/>
        </w:rPr>
        <w:t xml:space="preserve"> רישא ב</w:t>
      </w:r>
      <w:hyperlink r:id="rId12" w:history="1">
        <w:r w:rsidR="0066726C" w:rsidRPr="0066726C">
          <w:rPr>
            <w:color w:val="0000FF"/>
            <w:u w:val="single"/>
            <w:rtl/>
            <w:lang w:eastAsia="he-IL"/>
          </w:rPr>
          <w:t>חוק העונשין</w:t>
        </w:r>
      </w:hyperlink>
      <w:r w:rsidRPr="006166BD">
        <w:rPr>
          <w:rFonts w:hint="cs"/>
          <w:rtl/>
          <w:lang w:eastAsia="he-IL"/>
        </w:rPr>
        <w:t xml:space="preserve"> תשל"ז-1977.</w:t>
      </w:r>
    </w:p>
    <w:p w14:paraId="73F5D4B0" w14:textId="77777777" w:rsidR="00053E6A" w:rsidRPr="006166BD" w:rsidRDefault="00053E6A" w:rsidP="00053E6A">
      <w:pPr>
        <w:spacing w:line="360" w:lineRule="auto"/>
        <w:ind w:left="720" w:hanging="720"/>
        <w:jc w:val="both"/>
        <w:rPr>
          <w:rtl/>
        </w:rPr>
      </w:pPr>
    </w:p>
    <w:p w14:paraId="38ED5155" w14:textId="77777777" w:rsidR="00053E6A" w:rsidRPr="006166BD" w:rsidRDefault="00053E6A" w:rsidP="00053E6A">
      <w:pPr>
        <w:spacing w:line="360" w:lineRule="auto"/>
        <w:ind w:left="720" w:hanging="720"/>
        <w:jc w:val="both"/>
        <w:rPr>
          <w:rtl/>
        </w:rPr>
      </w:pPr>
      <w:r w:rsidRPr="006166BD">
        <w:rPr>
          <w:rFonts w:hint="cs"/>
          <w:rtl/>
        </w:rPr>
        <w:t>3.</w:t>
      </w:r>
      <w:r w:rsidRPr="006166BD">
        <w:rPr>
          <w:rFonts w:hint="cs"/>
          <w:rtl/>
        </w:rPr>
        <w:tab/>
        <w:t xml:space="preserve">הסדר הטיעון לא כלל הסכמה לעניין העונש, אך הוסכם ששירות המבחן יגיש תסקיר על הנאשם. </w:t>
      </w:r>
    </w:p>
    <w:p w14:paraId="03560B37" w14:textId="77777777" w:rsidR="00053E6A" w:rsidRPr="006166BD" w:rsidRDefault="00053E6A" w:rsidP="00053E6A">
      <w:pPr>
        <w:spacing w:line="360" w:lineRule="auto"/>
        <w:ind w:left="720" w:hanging="720"/>
        <w:jc w:val="both"/>
        <w:rPr>
          <w:rtl/>
        </w:rPr>
      </w:pPr>
    </w:p>
    <w:p w14:paraId="16F8EE96" w14:textId="77777777" w:rsidR="00053E6A" w:rsidRPr="006166BD" w:rsidRDefault="00053E6A" w:rsidP="00053E6A">
      <w:pPr>
        <w:spacing w:line="360" w:lineRule="auto"/>
        <w:ind w:left="720" w:hanging="720"/>
        <w:jc w:val="both"/>
        <w:rPr>
          <w:rtl/>
        </w:rPr>
      </w:pPr>
      <w:r w:rsidRPr="006166BD">
        <w:rPr>
          <w:rFonts w:hint="cs"/>
          <w:rtl/>
        </w:rPr>
        <w:t>4.</w:t>
      </w:r>
      <w:r w:rsidRPr="006166BD">
        <w:rPr>
          <w:rFonts w:hint="cs"/>
          <w:rtl/>
        </w:rPr>
        <w:tab/>
        <w:t xml:space="preserve">בפתח ישיבת הטיעונים לעונש, הנאשם ביקש לצרף שלושה תיקים של בית משפט השלום התלויים ועומדים נגדו - </w:t>
      </w:r>
      <w:hyperlink r:id="rId13" w:history="1">
        <w:r w:rsidR="0066726C" w:rsidRPr="0066726C">
          <w:rPr>
            <w:color w:val="0000FF"/>
            <w:u w:val="single"/>
            <w:rtl/>
          </w:rPr>
          <w:t>ת"פ 40107</w:t>
        </w:r>
        <w:r w:rsidR="0066726C" w:rsidRPr="0066726C">
          <w:rPr>
            <w:color w:val="0000FF"/>
            <w:u w:val="single"/>
            <w:rtl/>
          </w:rPr>
          <w:t>-</w:t>
        </w:r>
        <w:r w:rsidR="0066726C" w:rsidRPr="0066726C">
          <w:rPr>
            <w:color w:val="0000FF"/>
            <w:u w:val="single"/>
            <w:rtl/>
          </w:rPr>
          <w:t>01-16</w:t>
        </w:r>
      </w:hyperlink>
      <w:r w:rsidRPr="006166BD">
        <w:rPr>
          <w:rFonts w:hint="cs"/>
          <w:rtl/>
        </w:rPr>
        <w:t xml:space="preserve"> של בית משפט השלום קרית גת; </w:t>
      </w:r>
      <w:hyperlink r:id="rId14" w:history="1">
        <w:r w:rsidR="0066726C" w:rsidRPr="0066726C">
          <w:rPr>
            <w:color w:val="0000FF"/>
            <w:u w:val="single"/>
            <w:rtl/>
          </w:rPr>
          <w:t>ת"פ 196</w:t>
        </w:r>
        <w:r w:rsidR="0066726C" w:rsidRPr="0066726C">
          <w:rPr>
            <w:color w:val="0000FF"/>
            <w:u w:val="single"/>
            <w:rtl/>
          </w:rPr>
          <w:t>1</w:t>
        </w:r>
        <w:r w:rsidR="0066726C" w:rsidRPr="0066726C">
          <w:rPr>
            <w:color w:val="0000FF"/>
            <w:u w:val="single"/>
            <w:rtl/>
          </w:rPr>
          <w:t>2-03-18</w:t>
        </w:r>
      </w:hyperlink>
      <w:r w:rsidRPr="006166BD">
        <w:rPr>
          <w:rFonts w:hint="cs"/>
          <w:rtl/>
        </w:rPr>
        <w:t xml:space="preserve"> של בית משפט השלום קרית גת; ו</w:t>
      </w:r>
      <w:hyperlink r:id="rId15" w:history="1">
        <w:r w:rsidR="0066726C" w:rsidRPr="0066726C">
          <w:rPr>
            <w:color w:val="0000FF"/>
            <w:u w:val="single"/>
            <w:rtl/>
          </w:rPr>
          <w:t>ת"פ 23</w:t>
        </w:r>
        <w:r w:rsidR="0066726C" w:rsidRPr="0066726C">
          <w:rPr>
            <w:color w:val="0000FF"/>
            <w:u w:val="single"/>
            <w:rtl/>
          </w:rPr>
          <w:t>3</w:t>
        </w:r>
        <w:r w:rsidR="0066726C" w:rsidRPr="0066726C">
          <w:rPr>
            <w:color w:val="0000FF"/>
            <w:u w:val="single"/>
            <w:rtl/>
          </w:rPr>
          <w:t>40-04</w:t>
        </w:r>
        <w:r w:rsidR="0066726C" w:rsidRPr="0066726C">
          <w:rPr>
            <w:color w:val="0000FF"/>
            <w:u w:val="single"/>
            <w:rtl/>
          </w:rPr>
          <w:t>-</w:t>
        </w:r>
        <w:r w:rsidR="0066726C" w:rsidRPr="0066726C">
          <w:rPr>
            <w:color w:val="0000FF"/>
            <w:u w:val="single"/>
            <w:rtl/>
          </w:rPr>
          <w:t>18</w:t>
        </w:r>
      </w:hyperlink>
      <w:r w:rsidRPr="006166BD">
        <w:rPr>
          <w:rFonts w:hint="cs"/>
          <w:rtl/>
        </w:rPr>
        <w:t xml:space="preserve"> </w:t>
      </w:r>
      <w:r w:rsidR="00C96767" w:rsidRPr="00C96767">
        <w:rPr>
          <w:sz w:val="22"/>
          <w:rtl/>
        </w:rPr>
        <w:t xml:space="preserve">[פורסם בנבו] </w:t>
      </w:r>
      <w:r w:rsidRPr="006166BD">
        <w:rPr>
          <w:rFonts w:hint="cs"/>
          <w:rtl/>
        </w:rPr>
        <w:t>של בית משפט השלום אשקלון - ולהודות בעובדותיהם, והדבר ניתן לו.</w:t>
      </w:r>
    </w:p>
    <w:p w14:paraId="66E5AD68" w14:textId="77777777" w:rsidR="00053E6A" w:rsidRPr="006166BD" w:rsidRDefault="00053E6A" w:rsidP="00053E6A">
      <w:pPr>
        <w:spacing w:line="360" w:lineRule="auto"/>
        <w:ind w:left="720" w:hanging="720"/>
        <w:jc w:val="both"/>
        <w:rPr>
          <w:rtl/>
        </w:rPr>
      </w:pPr>
    </w:p>
    <w:p w14:paraId="143A6279" w14:textId="77777777" w:rsidR="00053E6A" w:rsidRPr="006166BD" w:rsidRDefault="00053E6A" w:rsidP="00053E6A">
      <w:pPr>
        <w:spacing w:line="360" w:lineRule="auto"/>
        <w:ind w:left="720" w:hanging="720"/>
        <w:jc w:val="both"/>
        <w:rPr>
          <w:rtl/>
        </w:rPr>
      </w:pPr>
      <w:r w:rsidRPr="006166BD">
        <w:rPr>
          <w:rFonts w:hint="cs"/>
          <w:rtl/>
        </w:rPr>
        <w:tab/>
        <w:t>ב</w:t>
      </w:r>
      <w:hyperlink r:id="rId16" w:history="1">
        <w:r w:rsidR="0066726C" w:rsidRPr="0066726C">
          <w:rPr>
            <w:color w:val="0000FF"/>
            <w:u w:val="single"/>
            <w:rtl/>
          </w:rPr>
          <w:t>ת"פ 40107-01-18</w:t>
        </w:r>
      </w:hyperlink>
      <w:r w:rsidRPr="006166BD">
        <w:rPr>
          <w:rFonts w:hint="cs"/>
          <w:rtl/>
        </w:rPr>
        <w:t xml:space="preserve"> הנ"ל, נטען כי ביום 02.10.15 בקרית גת, שוטרים מסרו לנאשם כי הוא מעוכב לתחנת המשטרה לצורך זיהוי ורישום דו"ח תעבורה. הנאשם התנגד לעיכובו, סירב למסור פרטים ואמר כי אינו עולה לניידת וכי אין לשוטרים הוכחות. בהמשך, בתחנת המשטרה, הנאשם היכה את עצמו ואיים על אחד השוטרים בפגיעה בו ובבנו. לאחר מכן הוא החל להשתולל, דפק על השולחן בכח ושבר את שעונו. ובהמשך, איים על שוטר נוסף, בפגיעה בו ובאחיו. </w:t>
      </w:r>
    </w:p>
    <w:p w14:paraId="1EE080D2" w14:textId="77777777" w:rsidR="00053E6A" w:rsidRPr="006166BD" w:rsidRDefault="00053E6A" w:rsidP="00053E6A">
      <w:pPr>
        <w:spacing w:line="360" w:lineRule="auto"/>
        <w:ind w:left="720" w:hanging="720"/>
        <w:jc w:val="both"/>
        <w:rPr>
          <w:rtl/>
        </w:rPr>
      </w:pPr>
    </w:p>
    <w:p w14:paraId="25BAA8FF" w14:textId="77777777" w:rsidR="00053E6A" w:rsidRPr="006166BD" w:rsidRDefault="00053E6A" w:rsidP="00053E6A">
      <w:pPr>
        <w:spacing w:line="360" w:lineRule="auto"/>
        <w:ind w:left="720" w:hanging="720"/>
        <w:jc w:val="both"/>
        <w:rPr>
          <w:rtl/>
        </w:rPr>
      </w:pPr>
      <w:r w:rsidRPr="006166BD">
        <w:rPr>
          <w:rFonts w:hint="cs"/>
          <w:rtl/>
        </w:rPr>
        <w:tab/>
        <w:t>ב</w:t>
      </w:r>
      <w:hyperlink r:id="rId17" w:history="1">
        <w:r w:rsidR="0066726C" w:rsidRPr="0066726C">
          <w:rPr>
            <w:color w:val="0000FF"/>
            <w:u w:val="single"/>
            <w:rtl/>
          </w:rPr>
          <w:t>ת"פ 19612-03-18</w:t>
        </w:r>
      </w:hyperlink>
      <w:r w:rsidRPr="006166BD">
        <w:rPr>
          <w:rFonts w:hint="cs"/>
          <w:rtl/>
        </w:rPr>
        <w:t xml:space="preserve"> הנ"ל, נטען כי הנאשם הגיע יחד עם אחרים סמוך לביתו של סוכן משטרתי, המשמש כעד תביעה במשפטו, ואיים בפגיעה בו. </w:t>
      </w:r>
    </w:p>
    <w:p w14:paraId="04F1F4AA" w14:textId="77777777" w:rsidR="00053E6A" w:rsidRPr="006166BD" w:rsidRDefault="00053E6A" w:rsidP="00053E6A">
      <w:pPr>
        <w:spacing w:line="360" w:lineRule="auto"/>
        <w:ind w:left="720" w:hanging="720"/>
        <w:jc w:val="both"/>
        <w:rPr>
          <w:rtl/>
        </w:rPr>
      </w:pPr>
    </w:p>
    <w:p w14:paraId="5143CFCF" w14:textId="77777777" w:rsidR="00053E6A" w:rsidRPr="006166BD" w:rsidRDefault="00053E6A" w:rsidP="00053E6A">
      <w:pPr>
        <w:spacing w:line="360" w:lineRule="auto"/>
        <w:ind w:left="720" w:hanging="720"/>
        <w:jc w:val="both"/>
        <w:rPr>
          <w:rtl/>
        </w:rPr>
      </w:pPr>
      <w:r w:rsidRPr="006166BD">
        <w:rPr>
          <w:rFonts w:hint="cs"/>
          <w:rtl/>
        </w:rPr>
        <w:tab/>
        <w:t>ב</w:t>
      </w:r>
      <w:hyperlink r:id="rId18" w:history="1">
        <w:r w:rsidR="0066726C" w:rsidRPr="0066726C">
          <w:rPr>
            <w:color w:val="0000FF"/>
            <w:u w:val="single"/>
            <w:rtl/>
          </w:rPr>
          <w:t>ת"פ 23340-04-18</w:t>
        </w:r>
      </w:hyperlink>
      <w:r w:rsidRPr="006166BD">
        <w:rPr>
          <w:rFonts w:hint="cs"/>
          <w:rtl/>
        </w:rPr>
        <w:t xml:space="preserve"> הנ"ל, </w:t>
      </w:r>
      <w:r w:rsidR="00C96767" w:rsidRPr="00C96767">
        <w:rPr>
          <w:sz w:val="22"/>
          <w:rtl/>
        </w:rPr>
        <w:t xml:space="preserve">[פורסם בנבו] </w:t>
      </w:r>
      <w:r w:rsidRPr="006166BD">
        <w:rPr>
          <w:rFonts w:hint="cs"/>
          <w:rtl/>
        </w:rPr>
        <w:t xml:space="preserve">נטען כי ביום 07.04.18 הנאשם, יחד עם אחרים, הבחינו במתלונן והחלו לרדוף אחריו רגלית, ולאחר מכן באמצעות רכב, ומשלא מצאו אותו עזבו את המקום. </w:t>
      </w:r>
    </w:p>
    <w:p w14:paraId="31881EED" w14:textId="77777777" w:rsidR="00053E6A" w:rsidRPr="006166BD" w:rsidRDefault="00053E6A" w:rsidP="00053E6A">
      <w:pPr>
        <w:spacing w:line="360" w:lineRule="auto"/>
        <w:ind w:left="720" w:hanging="720"/>
        <w:jc w:val="both"/>
        <w:rPr>
          <w:rtl/>
        </w:rPr>
      </w:pPr>
    </w:p>
    <w:p w14:paraId="4E17450F" w14:textId="77777777" w:rsidR="00053E6A" w:rsidRPr="006166BD" w:rsidRDefault="00053E6A" w:rsidP="00053E6A">
      <w:pPr>
        <w:spacing w:line="360" w:lineRule="auto"/>
        <w:ind w:left="720" w:hanging="720"/>
        <w:jc w:val="both"/>
        <w:rPr>
          <w:rtl/>
        </w:rPr>
      </w:pPr>
      <w:r w:rsidRPr="006166BD">
        <w:rPr>
          <w:rFonts w:hint="cs"/>
          <w:rtl/>
        </w:rPr>
        <w:tab/>
        <w:t xml:space="preserve">על יסוד הודאת הנאשם בעובדות כתבי האישום שצורפו, כאמור, הנאשם הורשע ב- 4 עבירות איומים, לפי </w:t>
      </w:r>
      <w:hyperlink r:id="rId19" w:history="1">
        <w:r w:rsidR="00E05668" w:rsidRPr="00E05668">
          <w:rPr>
            <w:color w:val="0000FF"/>
            <w:u w:val="single"/>
            <w:rtl/>
          </w:rPr>
          <w:t>סעיף 192</w:t>
        </w:r>
      </w:hyperlink>
      <w:r w:rsidRPr="006166BD">
        <w:rPr>
          <w:rFonts w:hint="cs"/>
          <w:rtl/>
        </w:rPr>
        <w:t xml:space="preserve"> ל</w:t>
      </w:r>
      <w:hyperlink r:id="rId20" w:history="1">
        <w:r w:rsidR="0066726C" w:rsidRPr="0066726C">
          <w:rPr>
            <w:color w:val="0000FF"/>
            <w:u w:val="single"/>
            <w:rtl/>
          </w:rPr>
          <w:t>חוק העונשין</w:t>
        </w:r>
      </w:hyperlink>
      <w:r w:rsidRPr="006166BD">
        <w:rPr>
          <w:rFonts w:hint="cs"/>
          <w:rtl/>
        </w:rPr>
        <w:t xml:space="preserve"> תשל"ז-1977 ובעבירה של הפרעה לשוטר במילוי תפקידו, לפי </w:t>
      </w:r>
      <w:hyperlink r:id="rId21" w:history="1">
        <w:r w:rsidR="00E05668" w:rsidRPr="00E05668">
          <w:rPr>
            <w:color w:val="0000FF"/>
            <w:u w:val="single"/>
            <w:rtl/>
          </w:rPr>
          <w:t>סעיף 275</w:t>
        </w:r>
      </w:hyperlink>
      <w:r w:rsidRPr="006166BD">
        <w:rPr>
          <w:rFonts w:hint="cs"/>
          <w:rtl/>
        </w:rPr>
        <w:t xml:space="preserve"> לחוק העונשין תשל"ז-1977. </w:t>
      </w:r>
    </w:p>
    <w:p w14:paraId="6DC13DEB" w14:textId="77777777" w:rsidR="00053E6A" w:rsidRPr="006166BD" w:rsidRDefault="00053E6A" w:rsidP="00053E6A">
      <w:pPr>
        <w:spacing w:line="360" w:lineRule="auto"/>
        <w:ind w:left="720" w:hanging="720"/>
        <w:jc w:val="both"/>
        <w:rPr>
          <w:rtl/>
        </w:rPr>
      </w:pPr>
    </w:p>
    <w:p w14:paraId="297148AC" w14:textId="77777777" w:rsidR="00053E6A" w:rsidRPr="006166BD" w:rsidRDefault="00053E6A" w:rsidP="00053E6A">
      <w:pPr>
        <w:spacing w:line="360" w:lineRule="auto"/>
        <w:jc w:val="both"/>
        <w:rPr>
          <w:b/>
          <w:bCs/>
          <w:u w:val="single"/>
          <w:rtl/>
        </w:rPr>
      </w:pPr>
      <w:r w:rsidRPr="006166BD">
        <w:rPr>
          <w:rFonts w:hint="cs"/>
          <w:b/>
          <w:bCs/>
          <w:u w:val="single"/>
          <w:rtl/>
        </w:rPr>
        <w:t>תסקיר שירות המבחן</w:t>
      </w:r>
    </w:p>
    <w:p w14:paraId="79FDC253" w14:textId="77777777" w:rsidR="00053E6A" w:rsidRPr="006166BD" w:rsidRDefault="00053E6A" w:rsidP="00053E6A">
      <w:pPr>
        <w:spacing w:line="360" w:lineRule="auto"/>
        <w:jc w:val="both"/>
        <w:rPr>
          <w:b/>
          <w:bCs/>
          <w:u w:val="single"/>
          <w:rtl/>
        </w:rPr>
      </w:pPr>
    </w:p>
    <w:p w14:paraId="1714F42C" w14:textId="77777777" w:rsidR="00053E6A" w:rsidRPr="006166BD" w:rsidRDefault="00053E6A" w:rsidP="00053E6A">
      <w:pPr>
        <w:spacing w:line="360" w:lineRule="auto"/>
        <w:ind w:left="720"/>
        <w:jc w:val="both"/>
        <w:rPr>
          <w:rtl/>
        </w:rPr>
      </w:pPr>
      <w:r w:rsidRPr="006166BD">
        <w:rPr>
          <w:rFonts w:hint="cs"/>
          <w:rtl/>
        </w:rPr>
        <w:t>שירות המבחן ערך תסקיר על הנאשם, בו צוינו בין היתר הדברים הבאים-</w:t>
      </w:r>
    </w:p>
    <w:p w14:paraId="19E805F1" w14:textId="77777777" w:rsidR="00053E6A" w:rsidRPr="006166BD" w:rsidRDefault="00053E6A" w:rsidP="00053E6A">
      <w:pPr>
        <w:spacing w:line="360" w:lineRule="auto"/>
        <w:ind w:left="720"/>
        <w:jc w:val="both"/>
        <w:rPr>
          <w:rtl/>
        </w:rPr>
      </w:pPr>
    </w:p>
    <w:p w14:paraId="7538ACBD" w14:textId="77777777" w:rsidR="00053E6A" w:rsidRPr="006166BD" w:rsidRDefault="00053E6A" w:rsidP="00053E6A">
      <w:pPr>
        <w:spacing w:line="360" w:lineRule="auto"/>
        <w:ind w:left="720"/>
        <w:jc w:val="both"/>
        <w:rPr>
          <w:rtl/>
        </w:rPr>
      </w:pPr>
      <w:r w:rsidRPr="006166BD">
        <w:rPr>
          <w:rFonts w:hint="cs"/>
          <w:rtl/>
        </w:rPr>
        <w:t xml:space="preserve">הנאשם בן 22, רווק. גדל במשפחה המונה זוג הורים גרושים ו- 8 ילדים. תיאר כי בני משפחתו מנהלים אורח חיים נורמטיבי. האב אינו תומך כלכלית במשפחה. האם תיארה כי בילדותו התקשה הנאשם לשהות במסגרות והפגין בעיות התנהגות, אך בשנים האחרונות חל שינוי בהתנהגותו והוא מכבד אותה ואת אחיו הגדולים. </w:t>
      </w:r>
    </w:p>
    <w:p w14:paraId="1A47C5B9" w14:textId="77777777" w:rsidR="00053E6A" w:rsidRPr="006166BD" w:rsidRDefault="00053E6A" w:rsidP="00053E6A">
      <w:pPr>
        <w:spacing w:line="360" w:lineRule="auto"/>
        <w:ind w:left="720"/>
        <w:jc w:val="both"/>
        <w:rPr>
          <w:rtl/>
        </w:rPr>
      </w:pPr>
    </w:p>
    <w:p w14:paraId="4E7915CF" w14:textId="77777777" w:rsidR="00053E6A" w:rsidRPr="006166BD" w:rsidRDefault="00053E6A" w:rsidP="00053E6A">
      <w:pPr>
        <w:spacing w:line="360" w:lineRule="auto"/>
        <w:ind w:left="720"/>
        <w:jc w:val="both"/>
        <w:rPr>
          <w:rtl/>
        </w:rPr>
      </w:pPr>
      <w:r w:rsidRPr="006166BD">
        <w:rPr>
          <w:rFonts w:hint="cs"/>
          <w:rtl/>
        </w:rPr>
        <w:t xml:space="preserve">הנאשם מסר כי בילדותו התקשה להשתלב במסגרות החינוך השונות, אובחן כבעל הפרעות קשב וריכוז עם היפר אקטיביות ותיאר קשיים לימודיים והתנהגותיים, בעטיים הועבר למסגרות חינוכיות חוץ ביתיות, שם סיים 12 שנות לימוד. לא גויס לצה"ל עקב בעיה רפואית. לאחר סיום לימודיו השתלב בתעסוקה בעבודות מזדמנות. תיאר כי מנערותו נהג להתרועע בחברה אותה מתאר כיום כשלילית ונהג לצרוך אלכוהול במקומות ציבוריים ולשוטט בלילות עד שעבר למסגרות חוץ ביתיות. </w:t>
      </w:r>
    </w:p>
    <w:p w14:paraId="16468A9B" w14:textId="77777777" w:rsidR="00053E6A" w:rsidRPr="006166BD" w:rsidRDefault="00053E6A" w:rsidP="00053E6A">
      <w:pPr>
        <w:spacing w:line="360" w:lineRule="auto"/>
        <w:ind w:left="720"/>
        <w:jc w:val="both"/>
        <w:rPr>
          <w:rtl/>
        </w:rPr>
      </w:pPr>
      <w:r w:rsidRPr="006166BD">
        <w:rPr>
          <w:rFonts w:hint="cs"/>
          <w:rtl/>
        </w:rPr>
        <w:t xml:space="preserve">שיתף כי בנערותו נפגע בידו בעימות שהתפתח בינו לבין פקחים ושוטרים ונזקק להתערבות רפואית בה הוכנסו לידו תומכות פלטינה. תיאר כי מתמודד עם קשיים פיזיים אשר מקשים עליו להשתלב בתעסוקה וקושי לתת אמון בגורמי אכיפת החוק. </w:t>
      </w:r>
    </w:p>
    <w:p w14:paraId="2B401F12" w14:textId="77777777" w:rsidR="00053E6A" w:rsidRPr="006166BD" w:rsidRDefault="00053E6A" w:rsidP="00053E6A">
      <w:pPr>
        <w:spacing w:line="360" w:lineRule="auto"/>
        <w:ind w:left="720"/>
        <w:jc w:val="both"/>
        <w:rPr>
          <w:rtl/>
        </w:rPr>
      </w:pPr>
    </w:p>
    <w:p w14:paraId="55F4C94F" w14:textId="77777777" w:rsidR="00053E6A" w:rsidRPr="006166BD" w:rsidRDefault="00053E6A" w:rsidP="00053E6A">
      <w:pPr>
        <w:spacing w:line="360" w:lineRule="auto"/>
        <w:ind w:left="720"/>
        <w:jc w:val="both"/>
        <w:rPr>
          <w:rtl/>
        </w:rPr>
      </w:pPr>
      <w:r w:rsidRPr="006166BD">
        <w:rPr>
          <w:rFonts w:hint="cs"/>
          <w:rtl/>
        </w:rPr>
        <w:t xml:space="preserve">בשנת 2008 הופנה לראשונה לשירות המבחן. שולב בפרויקט טיפולי, אך בפועל הגיע למפגש אחד, ובטיולים מטעם הפרויקט היווה גורם מתסיס ומפריע והשתתפותו בפרויקט הופסקה. עוד צוין כי הנאשם לא שיתף פעולה עם אפשרויות טיפוליות נוספות שהוצעו לו. </w:t>
      </w:r>
    </w:p>
    <w:p w14:paraId="2ADBB863" w14:textId="77777777" w:rsidR="00053E6A" w:rsidRPr="006166BD" w:rsidRDefault="00053E6A" w:rsidP="00053E6A">
      <w:pPr>
        <w:spacing w:line="360" w:lineRule="auto"/>
        <w:ind w:left="720"/>
        <w:jc w:val="both"/>
        <w:rPr>
          <w:rtl/>
        </w:rPr>
      </w:pPr>
    </w:p>
    <w:p w14:paraId="4A3D7BE4" w14:textId="77777777" w:rsidR="00053E6A" w:rsidRPr="006166BD" w:rsidRDefault="00053E6A" w:rsidP="00053E6A">
      <w:pPr>
        <w:spacing w:line="360" w:lineRule="auto"/>
        <w:ind w:left="720"/>
        <w:jc w:val="both"/>
        <w:rPr>
          <w:rtl/>
        </w:rPr>
      </w:pPr>
      <w:r w:rsidRPr="006166BD">
        <w:rPr>
          <w:rFonts w:hint="cs"/>
          <w:rtl/>
        </w:rPr>
        <w:t>הנאשם מסר כי לא התנסה כלל בסמים, אך כבר בנערותו החל לצרוך אלכוהול בנסיבות חברתיות. שלל צורך בהתערבות טיפולית.</w:t>
      </w:r>
    </w:p>
    <w:p w14:paraId="33C6B012" w14:textId="77777777" w:rsidR="00053E6A" w:rsidRPr="006166BD" w:rsidRDefault="00053E6A" w:rsidP="00053E6A">
      <w:pPr>
        <w:spacing w:line="360" w:lineRule="auto"/>
        <w:ind w:left="720"/>
        <w:jc w:val="both"/>
        <w:rPr>
          <w:rtl/>
        </w:rPr>
      </w:pPr>
    </w:p>
    <w:p w14:paraId="685D7F00" w14:textId="77777777" w:rsidR="00053E6A" w:rsidRPr="006166BD" w:rsidRDefault="00053E6A" w:rsidP="00053E6A">
      <w:pPr>
        <w:spacing w:line="360" w:lineRule="auto"/>
        <w:ind w:left="720"/>
        <w:jc w:val="both"/>
        <w:rPr>
          <w:rtl/>
        </w:rPr>
      </w:pPr>
      <w:r w:rsidRPr="006166BD">
        <w:rPr>
          <w:rFonts w:hint="cs"/>
          <w:rtl/>
        </w:rPr>
        <w:t xml:space="preserve">אשר לעבירה, הוא אינו מודה בביצועה. מסר כי הודה מתוך הבנה שאין ביכולתו להילחם על צדקתו והעדיף לסיים את ההליך המשפטי. דחה אפשרות לבחינה מתבוננת על בחירותיו וקשריו החברתיים, ולא הגיע לפגישה שנקבע עמו. בבירור טלפוני עלה כי הוא נעצר. </w:t>
      </w:r>
    </w:p>
    <w:p w14:paraId="65DE0262" w14:textId="77777777" w:rsidR="00053E6A" w:rsidRPr="006166BD" w:rsidRDefault="00053E6A" w:rsidP="00053E6A">
      <w:pPr>
        <w:spacing w:line="360" w:lineRule="auto"/>
        <w:ind w:left="720"/>
        <w:jc w:val="both"/>
        <w:rPr>
          <w:rtl/>
        </w:rPr>
      </w:pPr>
    </w:p>
    <w:p w14:paraId="110E4C36" w14:textId="77777777" w:rsidR="00053E6A" w:rsidRPr="006166BD" w:rsidRDefault="00053E6A" w:rsidP="00053E6A">
      <w:pPr>
        <w:spacing w:line="360" w:lineRule="auto"/>
        <w:ind w:left="720"/>
        <w:jc w:val="both"/>
        <w:rPr>
          <w:rtl/>
        </w:rPr>
      </w:pPr>
      <w:r w:rsidRPr="006166BD">
        <w:rPr>
          <w:rFonts w:hint="cs"/>
          <w:rtl/>
        </w:rPr>
        <w:t xml:space="preserve">במסגרת צו פיקוח מעצרים שולב הנאשם בקבוצה טיפולית לעצורי בית והגיע באופן קבוע לכל המפגשים. הציג תדמית חיובית, כמי שמנהל אורח חיים נורמטיבי ואינו מעורה בחברה שולית. </w:t>
      </w:r>
    </w:p>
    <w:p w14:paraId="6C8E6897" w14:textId="77777777" w:rsidR="00053E6A" w:rsidRPr="006166BD" w:rsidRDefault="00053E6A" w:rsidP="00053E6A">
      <w:pPr>
        <w:spacing w:line="360" w:lineRule="auto"/>
        <w:ind w:left="720"/>
        <w:jc w:val="both"/>
        <w:rPr>
          <w:rtl/>
        </w:rPr>
      </w:pPr>
    </w:p>
    <w:p w14:paraId="2E4F52CE" w14:textId="77777777" w:rsidR="00053E6A" w:rsidRPr="006166BD" w:rsidRDefault="00053E6A" w:rsidP="00053E6A">
      <w:pPr>
        <w:spacing w:line="360" w:lineRule="auto"/>
        <w:ind w:left="720"/>
        <w:jc w:val="both"/>
        <w:rPr>
          <w:rtl/>
        </w:rPr>
      </w:pPr>
      <w:r w:rsidRPr="006166BD">
        <w:rPr>
          <w:rFonts w:hint="cs"/>
          <w:rtl/>
        </w:rPr>
        <w:t xml:space="preserve">שירות המבחן שקל את גורמי הסיכוי והסיכון של הנאשם והתרשם כי קיים סיכון גבוה להישנות התנהגות עוברת חוק. צוין כי הנאשם מתקשה לגייס כוחות לטיפול ומתקשה לשאת גבולות. בעל מאפייני חשיבה נוקשים ועמדות הנותנות לגיטימציה להתנהגות עוברת חוק אלימה. עוד צוין כי הנאשם מציג עמדות קורבניות, מתקשה לבחון מאפייני חשיבה והתנהגות מכשילים ומייחס מצבו לגורמים חיצוניים. </w:t>
      </w:r>
    </w:p>
    <w:p w14:paraId="34287CAF" w14:textId="77777777" w:rsidR="00053E6A" w:rsidRPr="006166BD" w:rsidRDefault="00053E6A" w:rsidP="00053E6A">
      <w:pPr>
        <w:spacing w:line="360" w:lineRule="auto"/>
        <w:ind w:left="720"/>
        <w:jc w:val="both"/>
        <w:rPr>
          <w:rtl/>
        </w:rPr>
      </w:pPr>
    </w:p>
    <w:p w14:paraId="104402DE" w14:textId="77777777" w:rsidR="00053E6A" w:rsidRPr="006166BD" w:rsidRDefault="00053E6A" w:rsidP="00053E6A">
      <w:pPr>
        <w:spacing w:line="360" w:lineRule="auto"/>
        <w:ind w:left="720"/>
        <w:jc w:val="both"/>
        <w:rPr>
          <w:rtl/>
        </w:rPr>
      </w:pPr>
      <w:r w:rsidRPr="006166BD">
        <w:rPr>
          <w:rFonts w:hint="cs"/>
          <w:rtl/>
        </w:rPr>
        <w:t xml:space="preserve">לאור האמור, המליץ שירות המבחן לדחות את הדיון בעניינו של הנאשם על מנת לבדוק את עמדתו ביחס לעבירה ואת מחויבותו לטיפול. </w:t>
      </w:r>
    </w:p>
    <w:p w14:paraId="1C2EC875" w14:textId="77777777" w:rsidR="00053E6A" w:rsidRPr="006166BD" w:rsidRDefault="00053E6A" w:rsidP="00053E6A">
      <w:pPr>
        <w:spacing w:line="360" w:lineRule="auto"/>
        <w:ind w:left="720"/>
        <w:jc w:val="both"/>
        <w:rPr>
          <w:rtl/>
        </w:rPr>
      </w:pPr>
    </w:p>
    <w:p w14:paraId="49CCE0C2" w14:textId="77777777" w:rsidR="00053E6A" w:rsidRPr="006166BD" w:rsidRDefault="00053E6A" w:rsidP="00053E6A">
      <w:pPr>
        <w:spacing w:line="360" w:lineRule="auto"/>
        <w:ind w:left="720"/>
        <w:jc w:val="both"/>
        <w:rPr>
          <w:rtl/>
        </w:rPr>
      </w:pPr>
      <w:r w:rsidRPr="006166BD">
        <w:rPr>
          <w:rFonts w:hint="cs"/>
          <w:rtl/>
        </w:rPr>
        <w:t xml:space="preserve">בתסקיר משלים צוין כי במהלך תקופת הדחייה, מלבד שיחה אחת שקוימה עם הנאשם, הוא לא הגיע לשאר הפגישות שנקבעו עמו. שירות המבחן ציין כי בשיחה שנערכה התחזקה התרשמותו כי הנאשם מביע מחד רצון לערוך שינוי בחייו, אולם מאידך גיסא, מביע עמדה ההודפת התייחסות לדפוסי התנהגות וחשיבה העומדים בבסיס התנהגותו. צוין כי הנאשם מסר הסברים אובייקטיביים לאי הגעתו למפגשים שנקבעו עמו, והביע עמדה לפיה הוא סבור שעמדת שירות המבחן לגביו שלילית והוא אינו רואה בשירות המבחן מסגרת אשר יכולה לסייע לו. </w:t>
      </w:r>
    </w:p>
    <w:p w14:paraId="53D74B6A" w14:textId="77777777" w:rsidR="00053E6A" w:rsidRPr="006166BD" w:rsidRDefault="00053E6A" w:rsidP="00053E6A">
      <w:pPr>
        <w:spacing w:line="360" w:lineRule="auto"/>
        <w:ind w:left="720"/>
        <w:jc w:val="both"/>
        <w:rPr>
          <w:rtl/>
        </w:rPr>
      </w:pPr>
    </w:p>
    <w:p w14:paraId="057512A7" w14:textId="77777777" w:rsidR="00053E6A" w:rsidRPr="006166BD" w:rsidRDefault="00053E6A" w:rsidP="00053E6A">
      <w:pPr>
        <w:spacing w:line="360" w:lineRule="auto"/>
        <w:ind w:left="720"/>
        <w:jc w:val="both"/>
        <w:rPr>
          <w:rtl/>
        </w:rPr>
      </w:pPr>
      <w:r w:rsidRPr="006166BD">
        <w:rPr>
          <w:rFonts w:hint="cs"/>
          <w:rtl/>
        </w:rPr>
        <w:t xml:space="preserve">שירות המבחן התרשם כי עמדותיו של הנאשם אינן מאפשרות לפתח עמו שיח על מצבו, נמנע מלתת המלצה טיפולית בעניינו והמליץ להטיל עליו ענישה מוחשית בדמות מאסר, ענישה מותנית משמעותית וקנס. </w:t>
      </w:r>
    </w:p>
    <w:p w14:paraId="77594EC8" w14:textId="77777777" w:rsidR="00053E6A" w:rsidRPr="006166BD" w:rsidRDefault="00053E6A" w:rsidP="00053E6A">
      <w:pPr>
        <w:spacing w:line="360" w:lineRule="auto"/>
        <w:jc w:val="both"/>
        <w:rPr>
          <w:b/>
          <w:bCs/>
          <w:u w:val="single"/>
          <w:rtl/>
        </w:rPr>
      </w:pPr>
    </w:p>
    <w:p w14:paraId="38303EC0" w14:textId="77777777" w:rsidR="00053E6A" w:rsidRPr="006166BD" w:rsidRDefault="00053E6A" w:rsidP="00053E6A">
      <w:pPr>
        <w:spacing w:line="360" w:lineRule="auto"/>
        <w:jc w:val="both"/>
        <w:rPr>
          <w:b/>
          <w:bCs/>
          <w:u w:val="single"/>
          <w:rtl/>
        </w:rPr>
      </w:pPr>
    </w:p>
    <w:p w14:paraId="2DE41B66" w14:textId="77777777" w:rsidR="00053E6A" w:rsidRPr="006166BD" w:rsidRDefault="00053E6A" w:rsidP="00053E6A">
      <w:pPr>
        <w:spacing w:line="360" w:lineRule="auto"/>
        <w:jc w:val="both"/>
        <w:rPr>
          <w:b/>
          <w:bCs/>
          <w:u w:val="single"/>
          <w:rtl/>
        </w:rPr>
      </w:pPr>
      <w:r w:rsidRPr="006166BD">
        <w:rPr>
          <w:rFonts w:hint="cs"/>
          <w:b/>
          <w:bCs/>
          <w:u w:val="single"/>
          <w:rtl/>
        </w:rPr>
        <w:t>טענות הצדדים</w:t>
      </w:r>
    </w:p>
    <w:p w14:paraId="22FBF51E" w14:textId="77777777" w:rsidR="00053E6A" w:rsidRPr="006166BD" w:rsidRDefault="00053E6A" w:rsidP="00053E6A">
      <w:pPr>
        <w:spacing w:line="360" w:lineRule="auto"/>
        <w:jc w:val="both"/>
        <w:rPr>
          <w:b/>
          <w:bCs/>
          <w:u w:val="single"/>
          <w:rtl/>
        </w:rPr>
      </w:pPr>
    </w:p>
    <w:p w14:paraId="36F74A4E" w14:textId="77777777" w:rsidR="00053E6A" w:rsidRPr="006166BD" w:rsidRDefault="00053E6A" w:rsidP="00053E6A">
      <w:pPr>
        <w:spacing w:line="360" w:lineRule="auto"/>
        <w:ind w:left="720" w:hanging="720"/>
        <w:jc w:val="both"/>
        <w:rPr>
          <w:rtl/>
        </w:rPr>
      </w:pPr>
      <w:r w:rsidRPr="006166BD">
        <w:rPr>
          <w:rFonts w:hint="cs"/>
          <w:rtl/>
        </w:rPr>
        <w:t>1.</w:t>
      </w:r>
      <w:r w:rsidRPr="006166BD">
        <w:rPr>
          <w:rFonts w:hint="cs"/>
          <w:rtl/>
        </w:rPr>
        <w:tab/>
        <w:t xml:space="preserve">ב"כ התביעה עמדה על הערכים המוגנים בעבירות החזקת הנשק, האיומים וההפרעה לשוטר במילוי תפקידו, בהן הורשע הנאשם, ועל מידת הפגיעה בהם; אשר לעבירת הנשק, טענה, כי הפגיעה בערכים המוגנים חמורה שכן החזקת נשק שביכולתו להמית אדם ע"י מי שאינו מורשה בהחזקתו, מקימה סיכון משמעותי לציבור והעובדה כי הנשק הוחזק על ידי הנאשם על רקע סכסוך עם אחר, מעצימה את חומרת הסיכון והפגיעה בערכים המוגנים. אשר לעבירת האיומים, טענה, כי הנאשם איים על שוטרים ועל סוכן משטרתי בהזדמנויות שונות, וציינה כי האיום שאיים הנאשם על הסוכן המשטרתי נעשה בהקשר לעסקת הנשק מושא תיק זה. אשר לעבירת ההפרעה לשוטר במילוי תפקידו, טענה, כי הפגיעה בערכים המוגנים קלה. </w:t>
      </w:r>
    </w:p>
    <w:p w14:paraId="47EA53F9" w14:textId="77777777" w:rsidR="00053E6A" w:rsidRPr="006166BD" w:rsidRDefault="00053E6A" w:rsidP="00053E6A">
      <w:pPr>
        <w:spacing w:line="360" w:lineRule="auto"/>
        <w:ind w:left="720"/>
        <w:jc w:val="both"/>
        <w:rPr>
          <w:rtl/>
        </w:rPr>
      </w:pPr>
      <w:r w:rsidRPr="006166BD">
        <w:rPr>
          <w:rFonts w:hint="cs"/>
          <w:rtl/>
        </w:rPr>
        <w:t>טענה, כי מגמת הפסיקה היא של החמרה בעונש המוטל על עבירות נשק, ולרוב מוטל עונש מאסר ממושך. הפנתה לפסיקה.</w:t>
      </w:r>
      <w:r w:rsidRPr="006166BD">
        <w:t xml:space="preserve"> </w:t>
      </w:r>
      <w:r w:rsidRPr="006166BD">
        <w:rPr>
          <w:rFonts w:hint="cs"/>
          <w:rtl/>
        </w:rPr>
        <w:t xml:space="preserve">ציינה כי תופעת עבירות הנשק הביאה לכך שהוצאו בעניין הנחיות פרקליט המדינה בהן נקבעו מתחמי מוצא מתוך כוונה להעלות את רמת הענישה. אשר לעבירת האיומים, טענה, כי מנעד הענישה רחב. הפנתה לפסיקה במקרים הדומים לענייננו בהם הוטלו מאסרים בפועל לתקופה של מספר חודשים. אשר לעבירת הפרעה לשוטר במילוי תפקידו, הפנתה לפסיקה המלמדת על מתחם עונש הנע ממאסר מותנה ועד למאסר בעבודות שירות. </w:t>
      </w:r>
    </w:p>
    <w:p w14:paraId="03A455CC" w14:textId="77777777" w:rsidR="00053E6A" w:rsidRPr="006166BD" w:rsidRDefault="00053E6A" w:rsidP="00053E6A">
      <w:pPr>
        <w:spacing w:line="360" w:lineRule="auto"/>
        <w:ind w:left="720"/>
        <w:jc w:val="both"/>
        <w:rPr>
          <w:rtl/>
        </w:rPr>
      </w:pPr>
    </w:p>
    <w:p w14:paraId="527C1A85" w14:textId="77777777" w:rsidR="00053E6A" w:rsidRPr="006166BD" w:rsidRDefault="00053E6A" w:rsidP="00053E6A">
      <w:pPr>
        <w:spacing w:line="360" w:lineRule="auto"/>
        <w:ind w:left="720"/>
        <w:jc w:val="both"/>
        <w:rPr>
          <w:rtl/>
        </w:rPr>
      </w:pPr>
      <w:r w:rsidRPr="006166BD">
        <w:rPr>
          <w:rFonts w:hint="cs"/>
          <w:rtl/>
        </w:rPr>
        <w:t xml:space="preserve">טענה, כי מתחם העונש ההולם לעבירת הנשק נע בין 3 ל- 7 שנות מאסר, ומתחם העונש ההולם לעבירות האיומים וההפרעה לשוטר במילוי תפקידו, נע בין מספר חודשי מאסר בעבודות שירות לשנת מאסר בפועל. </w:t>
      </w:r>
    </w:p>
    <w:p w14:paraId="7E124EFB" w14:textId="77777777" w:rsidR="00053E6A" w:rsidRPr="006166BD" w:rsidRDefault="00053E6A" w:rsidP="00053E6A">
      <w:pPr>
        <w:spacing w:line="360" w:lineRule="auto"/>
        <w:ind w:left="720"/>
        <w:jc w:val="both"/>
        <w:rPr>
          <w:rtl/>
        </w:rPr>
      </w:pPr>
    </w:p>
    <w:p w14:paraId="1F6CFE41" w14:textId="77777777" w:rsidR="00053E6A" w:rsidRPr="006166BD" w:rsidRDefault="00053E6A" w:rsidP="00053E6A">
      <w:pPr>
        <w:spacing w:line="360" w:lineRule="auto"/>
        <w:ind w:left="720"/>
        <w:jc w:val="both"/>
        <w:rPr>
          <w:rtl/>
        </w:rPr>
      </w:pPr>
      <w:r w:rsidRPr="006166BD">
        <w:rPr>
          <w:rFonts w:hint="cs"/>
          <w:rtl/>
        </w:rPr>
        <w:t xml:space="preserve">אשר לעונש שראוי לגזור על הנאשם, טענה, כי הנאשם צעיר, נעדר עבר פלילי, אך הוסיפה, כי בעבירות נשק, שיקולי הרתעת הנאשמים ועבריינים פוטנציאלים אחרים מקבלים משנה תוקף ומצדיקים החמרה בענישה. הפנתה לאמור בתסקיר שירות מבחן ולהמלצתו, ועתרה להטיל על הנאשם 4 שנות מאסר בפועל, מאסר על תנאי וקנס. </w:t>
      </w:r>
    </w:p>
    <w:p w14:paraId="3362BBE3" w14:textId="77777777" w:rsidR="00053E6A" w:rsidRPr="006166BD" w:rsidRDefault="00053E6A" w:rsidP="00053E6A">
      <w:pPr>
        <w:spacing w:line="360" w:lineRule="auto"/>
        <w:ind w:left="720"/>
        <w:jc w:val="both"/>
        <w:rPr>
          <w:rtl/>
        </w:rPr>
      </w:pPr>
    </w:p>
    <w:p w14:paraId="6DCEB6BF" w14:textId="77777777" w:rsidR="00053E6A" w:rsidRPr="006166BD" w:rsidRDefault="00053E6A" w:rsidP="00053E6A">
      <w:pPr>
        <w:spacing w:line="360" w:lineRule="auto"/>
        <w:ind w:left="720"/>
        <w:jc w:val="both"/>
        <w:rPr>
          <w:rtl/>
        </w:rPr>
      </w:pPr>
    </w:p>
    <w:p w14:paraId="2E45C1F0" w14:textId="77777777" w:rsidR="00053E6A" w:rsidRPr="006166BD" w:rsidRDefault="00053E6A" w:rsidP="00053E6A">
      <w:pPr>
        <w:spacing w:line="360" w:lineRule="auto"/>
        <w:ind w:left="720"/>
        <w:jc w:val="both"/>
        <w:rPr>
          <w:rtl/>
        </w:rPr>
      </w:pPr>
    </w:p>
    <w:p w14:paraId="452DD41A" w14:textId="77777777" w:rsidR="00053E6A" w:rsidRPr="006166BD" w:rsidRDefault="00053E6A" w:rsidP="00053E6A">
      <w:pPr>
        <w:spacing w:line="360" w:lineRule="auto"/>
        <w:ind w:left="720" w:hanging="720"/>
        <w:jc w:val="both"/>
        <w:rPr>
          <w:rtl/>
        </w:rPr>
      </w:pPr>
      <w:r w:rsidRPr="006166BD">
        <w:rPr>
          <w:rFonts w:hint="cs"/>
          <w:rtl/>
        </w:rPr>
        <w:t>2.</w:t>
      </w:r>
      <w:r w:rsidRPr="006166BD">
        <w:rPr>
          <w:rFonts w:hint="cs"/>
          <w:rtl/>
        </w:rPr>
        <w:tab/>
        <w:t>ב"כ הנאשם ציין כי הנאשם צעיר, בן 23, ללא עבר פלילי. טען, כי הנאשם חבר לאנשים לא נכונים וכיום הוא רוצה לחזור לחיים נורמטיביים. הוא הודה במיוחס לו, לקח אחריות על מעשיו וביקש לצרף ולהודות בכל התיקים שפתוחים נגדו. הוסיף כי מתחם העונש ההולם בנסיבות בענייננו נע בין מספר חודשי מאסר ל- 30 חודשי מאסר. ציין כי לא יוחסה לנאשם עבירה של ייצור נשק או סחר בו, אלא נטען כי הוא החזיק, יחד עם אחרים, במטען צינור מאולתר. עוד הוסיף כי לא ידוע למשטרה מי הם האחרים, ולמעשה הנאשם הוא היחיד שהובא לדין. ציין כי המטען שהוחזק אינו מטען המוכן להפעלה וכי מעשיו של הנאשם ממוקמים ברף התחתון של המתחם שהוצע. אשר לעבירות האיומים, טען כי מתחם העונש ההולם נע בין אי הרשעה למאסר על תנאי. הגיש פסיקה.</w:t>
      </w:r>
    </w:p>
    <w:p w14:paraId="0A2EC0F7" w14:textId="77777777" w:rsidR="00053E6A" w:rsidRPr="006166BD" w:rsidRDefault="00053E6A" w:rsidP="00053E6A">
      <w:pPr>
        <w:spacing w:line="360" w:lineRule="auto"/>
        <w:ind w:left="720" w:hanging="720"/>
        <w:jc w:val="both"/>
        <w:rPr>
          <w:rtl/>
        </w:rPr>
      </w:pPr>
    </w:p>
    <w:p w14:paraId="3EAD7D33" w14:textId="77777777" w:rsidR="00053E6A" w:rsidRPr="006166BD" w:rsidRDefault="00053E6A" w:rsidP="00053E6A">
      <w:pPr>
        <w:spacing w:line="360" w:lineRule="auto"/>
        <w:ind w:left="720" w:hanging="720"/>
        <w:jc w:val="both"/>
        <w:rPr>
          <w:rtl/>
        </w:rPr>
      </w:pPr>
      <w:r w:rsidRPr="006166BD">
        <w:rPr>
          <w:rFonts w:hint="cs"/>
          <w:rtl/>
        </w:rPr>
        <w:t>3.</w:t>
      </w:r>
      <w:r w:rsidRPr="006166BD">
        <w:rPr>
          <w:rFonts w:hint="cs"/>
          <w:rtl/>
        </w:rPr>
        <w:tab/>
        <w:t>הנאשם שיתף כי חווה טראומה מהמעצר והפיק לקחים. סיפר כי משתתף בכלא בסדנא לשליטה בכעסים.</w:t>
      </w:r>
    </w:p>
    <w:p w14:paraId="20A8F395" w14:textId="77777777" w:rsidR="00053E6A" w:rsidRPr="006166BD" w:rsidRDefault="00053E6A" w:rsidP="00053E6A">
      <w:pPr>
        <w:spacing w:line="360" w:lineRule="auto"/>
        <w:jc w:val="both"/>
        <w:rPr>
          <w:b/>
          <w:bCs/>
          <w:u w:val="single"/>
          <w:rtl/>
        </w:rPr>
      </w:pPr>
    </w:p>
    <w:p w14:paraId="0C955DBE" w14:textId="77777777" w:rsidR="00053E6A" w:rsidRPr="006166BD" w:rsidRDefault="00053E6A" w:rsidP="00053E6A">
      <w:pPr>
        <w:spacing w:line="360" w:lineRule="auto"/>
        <w:jc w:val="both"/>
        <w:rPr>
          <w:b/>
          <w:bCs/>
          <w:u w:val="single"/>
          <w:rtl/>
        </w:rPr>
      </w:pPr>
      <w:r w:rsidRPr="006166BD">
        <w:rPr>
          <w:rFonts w:hint="cs"/>
          <w:b/>
          <w:bCs/>
          <w:u w:val="single"/>
          <w:rtl/>
        </w:rPr>
        <w:t>דיון והכרעה</w:t>
      </w:r>
    </w:p>
    <w:p w14:paraId="593A07DB" w14:textId="77777777" w:rsidR="00053E6A" w:rsidRPr="006166BD" w:rsidRDefault="00053E6A" w:rsidP="00053E6A">
      <w:pPr>
        <w:spacing w:line="360" w:lineRule="auto"/>
        <w:ind w:left="720" w:hanging="720"/>
        <w:jc w:val="both"/>
        <w:rPr>
          <w:rtl/>
        </w:rPr>
      </w:pPr>
      <w:r w:rsidRPr="006166BD">
        <w:rPr>
          <w:rFonts w:hint="cs"/>
          <w:rtl/>
        </w:rPr>
        <w:t>1.</w:t>
      </w:r>
      <w:r w:rsidRPr="006166BD">
        <w:rPr>
          <w:rFonts w:hint="cs"/>
          <w:rtl/>
        </w:rPr>
        <w:tab/>
        <w:t xml:space="preserve">הנאשם הורשע במספר עבירות - החזקת נשק, איומים, והפרעה לשוטר במילוי תפקידו. העבירות בוצעו במועדים שונים ובהקשרים שונים, ועל כן יש לקבוע לכל עבירה מתחם עונש הולם משלה. </w:t>
      </w:r>
    </w:p>
    <w:p w14:paraId="224C417D" w14:textId="77777777" w:rsidR="00053E6A" w:rsidRPr="006166BD" w:rsidRDefault="00053E6A" w:rsidP="00053E6A">
      <w:pPr>
        <w:spacing w:line="360" w:lineRule="auto"/>
        <w:ind w:left="720" w:hanging="720"/>
        <w:jc w:val="both"/>
        <w:rPr>
          <w:rtl/>
        </w:rPr>
      </w:pPr>
    </w:p>
    <w:p w14:paraId="62792596" w14:textId="77777777" w:rsidR="00053E6A" w:rsidRPr="006166BD" w:rsidRDefault="00053E6A" w:rsidP="00053E6A">
      <w:pPr>
        <w:spacing w:line="360" w:lineRule="auto"/>
        <w:ind w:left="720" w:hanging="720"/>
        <w:jc w:val="both"/>
        <w:rPr>
          <w:b/>
          <w:bCs/>
          <w:u w:val="single"/>
          <w:rtl/>
        </w:rPr>
      </w:pPr>
      <w:r w:rsidRPr="006166BD">
        <w:rPr>
          <w:rFonts w:hint="cs"/>
          <w:b/>
          <w:bCs/>
          <w:u w:val="single"/>
          <w:rtl/>
        </w:rPr>
        <w:t>עבירת הנשק</w:t>
      </w:r>
    </w:p>
    <w:p w14:paraId="5CA3C8C7" w14:textId="77777777" w:rsidR="00053E6A" w:rsidRPr="006166BD" w:rsidRDefault="00053E6A" w:rsidP="00053E6A">
      <w:pPr>
        <w:spacing w:line="360" w:lineRule="auto"/>
        <w:ind w:left="720" w:hanging="720"/>
        <w:jc w:val="both"/>
        <w:rPr>
          <w:rtl/>
        </w:rPr>
      </w:pPr>
      <w:r w:rsidRPr="006166BD">
        <w:rPr>
          <w:rFonts w:hint="cs"/>
          <w:rtl/>
        </w:rPr>
        <w:t>1.</w:t>
      </w:r>
      <w:r w:rsidRPr="006166BD">
        <w:rPr>
          <w:rFonts w:hint="cs"/>
          <w:rtl/>
        </w:rPr>
        <w:tab/>
        <w:t xml:space="preserve">הנאשם החזיק, יחד עם אחרים, בסמוך לביתו, מטען צינור מאולתר אשר בכוחו להמית אדם, ובמועד מסוים הוא מסר את המטען לסוכן משטרתי.  </w:t>
      </w:r>
    </w:p>
    <w:p w14:paraId="125A599B" w14:textId="77777777" w:rsidR="00053E6A" w:rsidRPr="006166BD" w:rsidRDefault="00053E6A" w:rsidP="00053E6A">
      <w:pPr>
        <w:spacing w:line="360" w:lineRule="auto"/>
        <w:ind w:left="720" w:hanging="720"/>
        <w:jc w:val="both"/>
        <w:rPr>
          <w:rtl/>
        </w:rPr>
      </w:pPr>
    </w:p>
    <w:p w14:paraId="2F2C4495" w14:textId="77777777" w:rsidR="00053E6A" w:rsidRPr="006166BD" w:rsidRDefault="00053E6A" w:rsidP="00053E6A">
      <w:pPr>
        <w:spacing w:line="360" w:lineRule="auto"/>
        <w:ind w:left="720" w:hanging="720"/>
        <w:jc w:val="both"/>
        <w:rPr>
          <w:rtl/>
        </w:rPr>
      </w:pPr>
      <w:r w:rsidRPr="006166BD">
        <w:rPr>
          <w:rFonts w:hint="cs"/>
          <w:rtl/>
        </w:rPr>
        <w:t>2.</w:t>
      </w:r>
      <w:r w:rsidRPr="006166BD">
        <w:rPr>
          <w:rFonts w:hint="cs"/>
          <w:rtl/>
        </w:rPr>
        <w:tab/>
        <w:t xml:space="preserve">מטען החבלה היה בנוי מצינור מתכתי באורך של כ- 9 ס"מ ובקוטר של 1/2 צול, שקצותיו נאטמו בכיפות מתכת תואמות שהוברגו אליו. הצינור הכיל כ- 11.8 גרם חומר נפץ - אבק שריפה ללא עשן וניטרוגליצירין –  וחובר אליו פתיל ייזום, שעליו גרגירי חומר נפץ. </w:t>
      </w:r>
    </w:p>
    <w:p w14:paraId="504FE796" w14:textId="77777777" w:rsidR="00053E6A" w:rsidRPr="006166BD" w:rsidRDefault="00053E6A" w:rsidP="00053E6A">
      <w:pPr>
        <w:spacing w:line="360" w:lineRule="auto"/>
        <w:ind w:left="720" w:hanging="720"/>
        <w:jc w:val="both"/>
        <w:rPr>
          <w:rtl/>
        </w:rPr>
      </w:pPr>
      <w:r w:rsidRPr="006166BD">
        <w:rPr>
          <w:rFonts w:hint="cs"/>
          <w:rtl/>
        </w:rPr>
        <w:tab/>
        <w:t xml:space="preserve">מטען החבלה מופעל על ידי הצתת פתיל הייזום, הגורמת למעבר הלהבה אל תוך הצינור, הצתת חומר הנפץ והתפוצצות המטען תוך העפת חלקיו ורסיסיו לכל עבר. </w:t>
      </w:r>
    </w:p>
    <w:p w14:paraId="24744F11" w14:textId="77777777" w:rsidR="00053E6A" w:rsidRPr="006166BD" w:rsidRDefault="00053E6A" w:rsidP="00053E6A">
      <w:pPr>
        <w:spacing w:line="360" w:lineRule="auto"/>
        <w:ind w:left="720" w:hanging="720"/>
        <w:jc w:val="both"/>
        <w:rPr>
          <w:rtl/>
        </w:rPr>
      </w:pPr>
      <w:r w:rsidRPr="006166BD">
        <w:rPr>
          <w:rFonts w:hint="cs"/>
          <w:rtl/>
        </w:rPr>
        <w:t xml:space="preserve"> </w:t>
      </w:r>
    </w:p>
    <w:p w14:paraId="1D0A1665" w14:textId="77777777" w:rsidR="00053E6A" w:rsidRPr="006166BD" w:rsidRDefault="00053E6A" w:rsidP="00053E6A">
      <w:pPr>
        <w:spacing w:line="360" w:lineRule="auto"/>
        <w:ind w:left="720" w:hanging="720"/>
        <w:jc w:val="both"/>
        <w:rPr>
          <w:rFonts w:ascii="Arial" w:hAnsi="Arial"/>
          <w:rtl/>
          <w:lang w:eastAsia="he-IL"/>
        </w:rPr>
      </w:pPr>
      <w:r w:rsidRPr="006166BD">
        <w:rPr>
          <w:rFonts w:hint="cs"/>
          <w:rtl/>
        </w:rPr>
        <w:t>3.</w:t>
      </w:r>
      <w:r w:rsidRPr="006166BD">
        <w:rPr>
          <w:rFonts w:hint="cs"/>
          <w:rtl/>
        </w:rPr>
        <w:tab/>
        <w:t xml:space="preserve">השימוש העיקרי הבא בחשבון בנסיבות למטען הצינור המדובר, הינו שימוש עברייני, תוקפני ופוגעני, כלפי אדם או רכוש. הסיכון הכרוך בהחזקה ובשימוש במטען כזה, למי שמחזיק במטען, למי שמתעסק בו, למי שנגדו הוא מופעל ולמי שנמצא בסביבתם של אלה, חמור. </w:t>
      </w:r>
    </w:p>
    <w:p w14:paraId="2709E4A7" w14:textId="77777777" w:rsidR="00053E6A" w:rsidRPr="006166BD" w:rsidRDefault="00053E6A" w:rsidP="00053E6A">
      <w:pPr>
        <w:spacing w:line="360" w:lineRule="auto"/>
        <w:jc w:val="both"/>
        <w:rPr>
          <w:rtl/>
          <w:lang w:eastAsia="he-IL"/>
        </w:rPr>
      </w:pPr>
    </w:p>
    <w:p w14:paraId="4195AAD7" w14:textId="77777777" w:rsidR="00053E6A" w:rsidRPr="006166BD" w:rsidRDefault="00053E6A" w:rsidP="00053E6A">
      <w:pPr>
        <w:spacing w:line="360" w:lineRule="auto"/>
        <w:ind w:left="720" w:hanging="720"/>
        <w:jc w:val="both"/>
        <w:rPr>
          <w:rtl/>
        </w:rPr>
      </w:pPr>
      <w:r w:rsidRPr="006166BD">
        <w:rPr>
          <w:rFonts w:hint="cs"/>
          <w:rtl/>
        </w:rPr>
        <w:t>4.</w:t>
      </w:r>
      <w:r w:rsidRPr="006166BD">
        <w:rPr>
          <w:rFonts w:hint="cs"/>
          <w:rtl/>
        </w:rPr>
        <w:tab/>
        <w:t xml:space="preserve">הערכים החברתיים שנפגעו מביצוע העבירה כאן, הם בין היתר, שמירת החיים והגוף ושמירת שלום הציבור ובטחונו. בהתחשב בסוג הנשק, בטיבו והמטרה שלשמה הוחזק, מידת הפגיעה בערכים אלה היא משמעותית. </w:t>
      </w:r>
    </w:p>
    <w:p w14:paraId="25C7E195" w14:textId="77777777" w:rsidR="00053E6A" w:rsidRPr="006166BD" w:rsidRDefault="00053E6A" w:rsidP="00053E6A">
      <w:pPr>
        <w:spacing w:line="360" w:lineRule="auto"/>
        <w:ind w:left="720" w:hanging="720"/>
        <w:jc w:val="both"/>
        <w:rPr>
          <w:rtl/>
        </w:rPr>
      </w:pPr>
    </w:p>
    <w:p w14:paraId="0025E50E" w14:textId="77777777" w:rsidR="00053E6A" w:rsidRPr="006166BD" w:rsidRDefault="00053E6A" w:rsidP="00053E6A">
      <w:pPr>
        <w:spacing w:line="360" w:lineRule="auto"/>
        <w:ind w:left="720" w:hanging="720"/>
        <w:jc w:val="both"/>
        <w:rPr>
          <w:rtl/>
          <w:lang w:eastAsia="he-IL"/>
        </w:rPr>
      </w:pPr>
      <w:r w:rsidRPr="006166BD">
        <w:rPr>
          <w:rFonts w:hint="cs"/>
          <w:rtl/>
        </w:rPr>
        <w:t>5.</w:t>
      </w:r>
      <w:r w:rsidRPr="006166BD">
        <w:rPr>
          <w:rFonts w:hint="cs"/>
          <w:rtl/>
        </w:rPr>
        <w:tab/>
      </w:r>
      <w:r w:rsidRPr="006166BD">
        <w:rPr>
          <w:rFonts w:hint="cs"/>
          <w:rtl/>
          <w:lang w:eastAsia="he-IL"/>
        </w:rPr>
        <w:t>בעבירות הנשק כמו ברוב העבירות, ניתן למצוא קשת רחבה של עונשים, המושפעת מנתונים ומרכיבים שונים ובהם, סוג הנשק וטיבו, כמותו, נסיבות המעשה, מיהות העושה, ועוד. עם זאת, בשנים האחרונות ישנה מגמת החמרה מוצהרת בענישת עבירות אלה -</w:t>
      </w:r>
    </w:p>
    <w:p w14:paraId="48D0E7FB" w14:textId="77777777" w:rsidR="00053E6A" w:rsidRPr="006166BD" w:rsidRDefault="00053E6A" w:rsidP="00053E6A">
      <w:pPr>
        <w:spacing w:line="360" w:lineRule="auto"/>
        <w:ind w:left="1440"/>
        <w:jc w:val="both"/>
        <w:rPr>
          <w:rtl/>
          <w:lang w:eastAsia="he-IL"/>
        </w:rPr>
      </w:pPr>
    </w:p>
    <w:p w14:paraId="1160743C" w14:textId="77777777" w:rsidR="00053E6A" w:rsidRPr="006166BD" w:rsidRDefault="00053E6A" w:rsidP="00053E6A">
      <w:pPr>
        <w:spacing w:line="360" w:lineRule="auto"/>
        <w:ind w:left="1440"/>
        <w:jc w:val="both"/>
        <w:rPr>
          <w:rtl/>
        </w:rPr>
      </w:pPr>
      <w:r w:rsidRPr="006166BD">
        <w:rPr>
          <w:rFonts w:hint="cs"/>
          <w:rtl/>
          <w:lang w:eastAsia="he-IL"/>
        </w:rPr>
        <w:t xml:space="preserve">"נוכח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עלולה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w:t>
      </w:r>
      <w:r w:rsidRPr="006166BD">
        <w:rPr>
          <w:rFonts w:hint="cs"/>
          <w:b/>
          <w:bCs/>
          <w:rtl/>
          <w:lang w:eastAsia="he-IL"/>
        </w:rPr>
        <w:t>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r w:rsidRPr="006166BD">
        <w:rPr>
          <w:rFonts w:hint="cs"/>
          <w:rtl/>
          <w:lang w:eastAsia="he-IL"/>
        </w:rPr>
        <w:t xml:space="preserve">. </w:t>
      </w:r>
      <w:hyperlink r:id="rId22" w:history="1">
        <w:r w:rsidR="0066726C" w:rsidRPr="0066726C">
          <w:rPr>
            <w:color w:val="0000FF"/>
            <w:u w:val="single"/>
            <w:rtl/>
            <w:lang w:eastAsia="he-IL"/>
          </w:rPr>
          <w:t>ע"פ 1323/13</w:t>
        </w:r>
      </w:hyperlink>
      <w:r w:rsidRPr="006166BD">
        <w:rPr>
          <w:rFonts w:hint="cs"/>
          <w:rtl/>
          <w:lang w:eastAsia="he-IL"/>
        </w:rPr>
        <w:t xml:space="preserve"> </w:t>
      </w:r>
      <w:r w:rsidRPr="006166BD">
        <w:rPr>
          <w:rFonts w:hint="cs"/>
          <w:b/>
          <w:bCs/>
          <w:rtl/>
        </w:rPr>
        <w:t>רך חסן</w:t>
      </w:r>
      <w:r w:rsidRPr="006166BD">
        <w:rPr>
          <w:rFonts w:hint="cs"/>
          <w:rtl/>
        </w:rPr>
        <w:t xml:space="preserve"> נ' </w:t>
      </w:r>
      <w:r w:rsidRPr="006166BD">
        <w:rPr>
          <w:rFonts w:hint="cs"/>
          <w:b/>
          <w:bCs/>
          <w:rtl/>
        </w:rPr>
        <w:t>מדינת ישראל</w:t>
      </w:r>
      <w:r w:rsidRPr="006166BD">
        <w:rPr>
          <w:rFonts w:hint="cs"/>
          <w:rtl/>
        </w:rPr>
        <w:t xml:space="preserve"> (פורסם בנבו, 05.06.13)</w:t>
      </w:r>
    </w:p>
    <w:p w14:paraId="3C57E0D0" w14:textId="77777777" w:rsidR="00053E6A" w:rsidRPr="006166BD" w:rsidRDefault="00053E6A" w:rsidP="00053E6A">
      <w:pPr>
        <w:spacing w:line="360" w:lineRule="auto"/>
        <w:ind w:left="1440"/>
        <w:jc w:val="both"/>
        <w:rPr>
          <w:rtl/>
        </w:rPr>
      </w:pPr>
    </w:p>
    <w:p w14:paraId="12585C30" w14:textId="77777777" w:rsidR="00053E6A" w:rsidRPr="006166BD" w:rsidRDefault="00053E6A" w:rsidP="00053E6A">
      <w:pPr>
        <w:spacing w:line="360" w:lineRule="auto"/>
        <w:ind w:left="1440"/>
        <w:jc w:val="both"/>
        <w:rPr>
          <w:rtl/>
          <w:lang w:eastAsia="he-IL"/>
        </w:rPr>
      </w:pPr>
    </w:p>
    <w:p w14:paraId="62D561FF" w14:textId="77777777" w:rsidR="00053E6A" w:rsidRPr="006166BD" w:rsidRDefault="00053E6A" w:rsidP="00053E6A">
      <w:pPr>
        <w:spacing w:line="360" w:lineRule="auto"/>
        <w:ind w:left="1440"/>
        <w:jc w:val="both"/>
        <w:rPr>
          <w:b/>
          <w:rtl/>
          <w:lang w:eastAsia="he-IL"/>
        </w:rPr>
      </w:pPr>
      <w:r w:rsidRPr="006166BD">
        <w:rPr>
          <w:rFonts w:hint="cs"/>
          <w:rtl/>
          <w:lang w:eastAsia="he-IL"/>
        </w:rPr>
        <w:t xml:space="preserve">"בית משפט זה עמד לא אחת על חומרתן של עבירות הנשק השונות, הסכנות הנשקפות מהן ותוצאותיהן הקשות (ראו למשל, </w:t>
      </w:r>
      <w:hyperlink r:id="rId23" w:history="1">
        <w:r w:rsidR="0066726C" w:rsidRPr="0066726C">
          <w:rPr>
            <w:color w:val="0000FF"/>
            <w:u w:val="single"/>
            <w:rtl/>
            <w:lang w:eastAsia="he-IL"/>
          </w:rPr>
          <w:t>ע"פ 5833/07</w:t>
        </w:r>
      </w:hyperlink>
      <w:r w:rsidRPr="006166BD">
        <w:rPr>
          <w:rFonts w:hint="cs"/>
          <w:rtl/>
          <w:lang w:eastAsia="he-IL"/>
        </w:rPr>
        <w:t xml:space="preserve"> ח'ורי נ' מדינת ישראל ([פורסם בנבו], 18.11.2007)). </w:t>
      </w:r>
      <w:r w:rsidRPr="006166BD">
        <w:rPr>
          <w:rFonts w:hint="cs"/>
          <w:b/>
          <w:bCs/>
          <w:rtl/>
          <w:lang w:eastAsia="he-IL"/>
        </w:rPr>
        <w:t>לאחרונה ניכרת מגמת החמרה בעונשי המאסר הנגזרים על נאשמים בעבירות אלו, נוכח היקפן המתרחב והצורך בבלימתן</w:t>
      </w:r>
      <w:r w:rsidRPr="006166BD">
        <w:rPr>
          <w:rFonts w:hint="cs"/>
          <w:rtl/>
          <w:lang w:eastAsia="he-IL"/>
        </w:rPr>
        <w:t>... ב</w:t>
      </w:r>
      <w:hyperlink r:id="rId24" w:history="1">
        <w:r w:rsidR="0066726C" w:rsidRPr="0066726C">
          <w:rPr>
            <w:color w:val="0000FF"/>
            <w:u w:val="single"/>
            <w:rtl/>
            <w:lang w:eastAsia="he-IL"/>
          </w:rPr>
          <w:t>ע"פ 2251/11</w:t>
        </w:r>
      </w:hyperlink>
      <w:r w:rsidRPr="006166BD">
        <w:rPr>
          <w:rFonts w:hint="cs"/>
          <w:rtl/>
          <w:lang w:eastAsia="he-IL"/>
        </w:rPr>
        <w:t xml:space="preserve"> נפאע נ' מדינת ישראל ([פורסם בנבו], 4.12.2011) (להלן - עניין נפאע) </w:t>
      </w:r>
      <w:r w:rsidRPr="006166BD">
        <w:rPr>
          <w:rFonts w:hint="cs"/>
          <w:b/>
          <w:bCs/>
          <w:rtl/>
          <w:lang w:eastAsia="he-IL"/>
        </w:rPr>
        <w:t>נקבע כי</w:t>
      </w:r>
      <w:r w:rsidRPr="006166BD">
        <w:rPr>
          <w:rFonts w:hint="cs"/>
          <w:rtl/>
          <w:lang w:eastAsia="he-IL"/>
        </w:rPr>
        <w:t xml:space="preserve"> </w:t>
      </w:r>
      <w:r w:rsidRPr="006166BD">
        <w:rPr>
          <w:rFonts w:hint="cs"/>
          <w:b/>
          <w:bCs/>
          <w:rtl/>
          <w:lang w:eastAsia="he-IL"/>
        </w:rPr>
        <w:t>הגיעה העת להחמיר בעונשיהם של נאשמים המורשעים בעבירות נשק בכלל ובעבירות סחר בנשק בפרט...</w:t>
      </w:r>
      <w:r w:rsidRPr="006166BD">
        <w:rPr>
          <w:rFonts w:hint="cs"/>
          <w:rtl/>
          <w:lang w:eastAsia="he-IL"/>
        </w:rPr>
        <w:t xml:space="preserve"> (ראו </w:t>
      </w:r>
      <w:hyperlink r:id="rId25" w:history="1">
        <w:r w:rsidR="0066726C" w:rsidRPr="0066726C">
          <w:rPr>
            <w:color w:val="0000FF"/>
            <w:u w:val="single"/>
            <w:rtl/>
            <w:lang w:eastAsia="he-IL"/>
          </w:rPr>
          <w:t>ע"פ 319/11</w:t>
        </w:r>
      </w:hyperlink>
      <w:r w:rsidRPr="006166BD">
        <w:rPr>
          <w:rFonts w:hint="cs"/>
          <w:rtl/>
          <w:lang w:eastAsia="he-IL"/>
        </w:rPr>
        <w:t xml:space="preserve"> מדינת ישראל נ' יאסין ([פורסם בנבו], 5.12.2011), </w:t>
      </w:r>
      <w:hyperlink r:id="rId26" w:history="1">
        <w:r w:rsidR="0066726C" w:rsidRPr="0066726C">
          <w:rPr>
            <w:color w:val="0000FF"/>
            <w:u w:val="single"/>
            <w:rtl/>
            <w:lang w:eastAsia="he-IL"/>
          </w:rPr>
          <w:t>ע"פ 3663/11</w:t>
        </w:r>
      </w:hyperlink>
      <w:r w:rsidRPr="006166BD">
        <w:rPr>
          <w:rFonts w:hint="cs"/>
          <w:rtl/>
          <w:lang w:eastAsia="he-IL"/>
        </w:rPr>
        <w:t xml:space="preserve"> מדינת ישראל נ' סח ([פורסם בנבו], 5.12.2011), </w:t>
      </w:r>
      <w:hyperlink r:id="rId27" w:history="1">
        <w:r w:rsidR="0066726C" w:rsidRPr="0066726C">
          <w:rPr>
            <w:color w:val="0000FF"/>
            <w:u w:val="single"/>
            <w:rtl/>
            <w:lang w:eastAsia="he-IL"/>
          </w:rPr>
          <w:t>ע"פ 318/11</w:t>
        </w:r>
      </w:hyperlink>
      <w:r w:rsidRPr="006166BD">
        <w:rPr>
          <w:rFonts w:hint="cs"/>
          <w:rtl/>
          <w:lang w:eastAsia="he-IL"/>
        </w:rPr>
        <w:t xml:space="preserve"> מדינת ישראל נ' אבו ערב ([פורסם בנבו], 5.12.2011), </w:t>
      </w:r>
      <w:hyperlink r:id="rId28" w:history="1">
        <w:r w:rsidR="0066726C" w:rsidRPr="0066726C">
          <w:rPr>
            <w:color w:val="0000FF"/>
            <w:u w:val="single"/>
            <w:rtl/>
            <w:lang w:eastAsia="he-IL"/>
          </w:rPr>
          <w:t>ע"פ 5234/11</w:t>
        </w:r>
      </w:hyperlink>
      <w:r w:rsidRPr="006166BD">
        <w:rPr>
          <w:rFonts w:hint="cs"/>
          <w:rtl/>
          <w:lang w:eastAsia="he-IL"/>
        </w:rPr>
        <w:t xml:space="preserve"> מדינת ישראל נ' מנסור ([פורסם בנבו], 5.12.2011), </w:t>
      </w:r>
      <w:hyperlink r:id="rId29" w:history="1">
        <w:r w:rsidR="0066726C" w:rsidRPr="0066726C">
          <w:rPr>
            <w:color w:val="0000FF"/>
            <w:u w:val="single"/>
            <w:rtl/>
            <w:lang w:eastAsia="he-IL"/>
          </w:rPr>
          <w:t>ע"פ 6371/11</w:t>
        </w:r>
      </w:hyperlink>
      <w:r w:rsidRPr="006166BD">
        <w:rPr>
          <w:rFonts w:hint="cs"/>
          <w:rtl/>
          <w:lang w:eastAsia="he-IL"/>
        </w:rPr>
        <w:t xml:space="preserve"> מדינת ישראל נ' הייבי ([פורסם בנבו], 18.12.2011)).." – </w:t>
      </w:r>
      <w:hyperlink r:id="rId30" w:history="1">
        <w:r w:rsidR="0066726C" w:rsidRPr="0066726C">
          <w:rPr>
            <w:b/>
            <w:color w:val="0000FF"/>
            <w:u w:val="single"/>
            <w:rtl/>
            <w:lang w:eastAsia="he-IL"/>
          </w:rPr>
          <w:t>ע"פ 4450/11</w:t>
        </w:r>
      </w:hyperlink>
      <w:r w:rsidRPr="006166BD">
        <w:rPr>
          <w:rFonts w:hint="cs"/>
          <w:b/>
          <w:rtl/>
          <w:lang w:eastAsia="he-IL"/>
        </w:rPr>
        <w:t xml:space="preserve"> </w:t>
      </w:r>
      <w:r w:rsidRPr="006166BD">
        <w:rPr>
          <w:rFonts w:hint="cs"/>
          <w:bCs/>
          <w:rtl/>
          <w:lang w:eastAsia="he-IL"/>
        </w:rPr>
        <w:t>חאלד עספור</w:t>
      </w:r>
      <w:r w:rsidRPr="006166BD">
        <w:rPr>
          <w:rFonts w:hint="cs"/>
          <w:b/>
          <w:rtl/>
          <w:lang w:eastAsia="he-IL"/>
        </w:rPr>
        <w:t xml:space="preserve"> ואח' נ' </w:t>
      </w:r>
      <w:r w:rsidRPr="006166BD">
        <w:rPr>
          <w:rFonts w:hint="cs"/>
          <w:bCs/>
          <w:rtl/>
          <w:lang w:eastAsia="he-IL"/>
        </w:rPr>
        <w:t>מדינת ישראל</w:t>
      </w:r>
      <w:r w:rsidRPr="006166BD">
        <w:rPr>
          <w:rFonts w:hint="cs"/>
          <w:b/>
          <w:rtl/>
          <w:lang w:eastAsia="he-IL"/>
        </w:rPr>
        <w:t xml:space="preserve"> (פורסם בנבו). </w:t>
      </w:r>
    </w:p>
    <w:p w14:paraId="2F1D5532" w14:textId="77777777" w:rsidR="00053E6A" w:rsidRPr="006166BD" w:rsidRDefault="00053E6A" w:rsidP="00053E6A">
      <w:pPr>
        <w:spacing w:line="360" w:lineRule="auto"/>
        <w:ind w:left="1440"/>
        <w:jc w:val="both"/>
        <w:rPr>
          <w:rtl/>
          <w:lang w:eastAsia="he-IL"/>
        </w:rPr>
      </w:pPr>
    </w:p>
    <w:p w14:paraId="135A25AD" w14:textId="77777777" w:rsidR="00053E6A" w:rsidRPr="006166BD" w:rsidRDefault="00053E6A" w:rsidP="00053E6A">
      <w:pPr>
        <w:spacing w:line="360" w:lineRule="auto"/>
        <w:ind w:left="720" w:hanging="720"/>
        <w:jc w:val="both"/>
        <w:rPr>
          <w:rtl/>
          <w:lang w:eastAsia="he-IL"/>
        </w:rPr>
      </w:pPr>
      <w:r w:rsidRPr="006166BD">
        <w:rPr>
          <w:rFonts w:hint="cs"/>
          <w:rtl/>
          <w:lang w:eastAsia="he-IL"/>
        </w:rPr>
        <w:t>6.</w:t>
      </w:r>
      <w:r w:rsidRPr="006166BD">
        <w:rPr>
          <w:rFonts w:hint="cs"/>
          <w:rtl/>
          <w:lang w:eastAsia="he-IL"/>
        </w:rPr>
        <w:tab/>
        <w:t xml:space="preserve">המטען כאן הוא מטען מאולתר. נתון זה פועל לכיוונים מנוגדים. מחד, יש להניח שהאפקטיביות של מטען תקני גדולה מזו של מטען מאולתר, הן לעצם הסתברות הפיצוץ והן לעוצמתו. ומנגד, הדעת נותנת כי מטען מאולתר מסוכן יותר להחזקה ולנשיאה, מבחינת יציבותו ובטיחותו. </w:t>
      </w:r>
    </w:p>
    <w:p w14:paraId="04640E68" w14:textId="77777777" w:rsidR="00053E6A" w:rsidRPr="006166BD" w:rsidRDefault="00053E6A" w:rsidP="00053E6A">
      <w:pPr>
        <w:spacing w:line="360" w:lineRule="auto"/>
        <w:ind w:left="720" w:hanging="720"/>
        <w:jc w:val="both"/>
        <w:rPr>
          <w:rtl/>
          <w:lang w:eastAsia="he-IL"/>
        </w:rPr>
      </w:pPr>
    </w:p>
    <w:p w14:paraId="0D8953DF" w14:textId="77777777" w:rsidR="00053E6A" w:rsidRPr="006166BD" w:rsidRDefault="00053E6A" w:rsidP="00053E6A">
      <w:pPr>
        <w:spacing w:line="360" w:lineRule="auto"/>
        <w:ind w:left="720" w:hanging="720"/>
        <w:jc w:val="both"/>
        <w:rPr>
          <w:rtl/>
          <w:lang w:eastAsia="he-IL"/>
        </w:rPr>
      </w:pPr>
      <w:r w:rsidRPr="006166BD">
        <w:rPr>
          <w:rFonts w:hint="cs"/>
          <w:rtl/>
          <w:lang w:eastAsia="he-IL"/>
        </w:rPr>
        <w:t>7.</w:t>
      </w:r>
      <w:r w:rsidRPr="006166BD">
        <w:rPr>
          <w:rFonts w:hint="cs"/>
          <w:rtl/>
          <w:lang w:eastAsia="he-IL"/>
        </w:rPr>
        <w:tab/>
        <w:t xml:space="preserve">על פני הדברים, ומבלי לפגוע בקביעת המומחה כי בכוחו של המטען כאן להמית, הרי שמאפייני המטען – חומר נפץ הודף, בכמות קטנה יחסית, בתוך צינור מתכתי, שמנגנון ההפעלה שלו הוא הצתת פתיל באורך של כ- 10 ס"מ – מתונים יחסית. </w:t>
      </w:r>
    </w:p>
    <w:p w14:paraId="68634C4E" w14:textId="77777777" w:rsidR="00053E6A" w:rsidRPr="006166BD" w:rsidRDefault="00053E6A" w:rsidP="00053E6A">
      <w:pPr>
        <w:spacing w:line="360" w:lineRule="auto"/>
        <w:ind w:left="720"/>
        <w:jc w:val="both"/>
        <w:rPr>
          <w:rtl/>
          <w:lang w:eastAsia="he-IL"/>
        </w:rPr>
      </w:pPr>
      <w:r w:rsidRPr="006166BD">
        <w:rPr>
          <w:rFonts w:hint="cs"/>
          <w:rtl/>
          <w:lang w:eastAsia="he-IL"/>
        </w:rPr>
        <w:t xml:space="preserve">לסיבור האוזן יצוין, כי באתר מחלקת החבלה של משטרת ישראל, במסמך שכותרתו "אופיון חומרי נפץ", מצוין, כי משקל חומר הנפץ בלבנת חבלה מס' 4 הוא 250 גרם, ומשקל חומר הנפץ בלבנות חבלה 3 ו- 10 הוא 500 ו- 560 גרם, בהתאמה. במטען שהנאשם החזיק, חומר הנפץ היה במשקל של פחות מ- 12 גרם.  </w:t>
      </w:r>
    </w:p>
    <w:p w14:paraId="44733250" w14:textId="77777777" w:rsidR="00053E6A" w:rsidRPr="006166BD" w:rsidRDefault="00053E6A" w:rsidP="00053E6A">
      <w:pPr>
        <w:spacing w:line="360" w:lineRule="auto"/>
        <w:ind w:left="720" w:hanging="720"/>
        <w:jc w:val="both"/>
        <w:rPr>
          <w:rtl/>
          <w:lang w:eastAsia="he-IL"/>
        </w:rPr>
      </w:pPr>
    </w:p>
    <w:p w14:paraId="125E0912" w14:textId="77777777" w:rsidR="00053E6A" w:rsidRPr="006166BD" w:rsidRDefault="00053E6A" w:rsidP="00053E6A">
      <w:pPr>
        <w:spacing w:line="360" w:lineRule="auto"/>
        <w:ind w:left="720" w:hanging="720"/>
        <w:jc w:val="both"/>
        <w:rPr>
          <w:rtl/>
          <w:lang w:eastAsia="he-IL"/>
        </w:rPr>
      </w:pPr>
      <w:r w:rsidRPr="006166BD">
        <w:rPr>
          <w:rFonts w:hint="cs"/>
          <w:rtl/>
          <w:lang w:eastAsia="he-IL"/>
        </w:rPr>
        <w:t>8.</w:t>
      </w:r>
      <w:r w:rsidRPr="006166BD">
        <w:rPr>
          <w:rFonts w:hint="cs"/>
          <w:rtl/>
          <w:lang w:eastAsia="he-IL"/>
        </w:rPr>
        <w:tab/>
        <w:t>ב</w:t>
      </w:r>
      <w:hyperlink r:id="rId31" w:history="1">
        <w:r w:rsidR="00C96767" w:rsidRPr="00C96767">
          <w:rPr>
            <w:rStyle w:val="Hyperlink"/>
            <w:rtl/>
            <w:lang w:eastAsia="he-IL"/>
          </w:rPr>
          <w:t>ע"פ 1332/04</w:t>
        </w:r>
      </w:hyperlink>
      <w:r w:rsidRPr="0066726C">
        <w:rPr>
          <w:rStyle w:val="Hyperlink"/>
          <w:rFonts w:hint="cs"/>
          <w:color w:val="000000"/>
          <w:u w:val="none"/>
          <w:rtl/>
          <w:lang w:eastAsia="he-IL"/>
        </w:rPr>
        <w:t xml:space="preserve"> </w:t>
      </w:r>
      <w:r w:rsidRPr="0066726C">
        <w:rPr>
          <w:rStyle w:val="Hyperlink"/>
          <w:rFonts w:hint="cs"/>
          <w:b/>
          <w:bCs/>
          <w:color w:val="000000"/>
          <w:u w:val="none"/>
          <w:rtl/>
          <w:lang w:eastAsia="he-IL"/>
        </w:rPr>
        <w:t>מדינת ישראל</w:t>
      </w:r>
      <w:r w:rsidRPr="0066726C">
        <w:rPr>
          <w:rStyle w:val="Hyperlink"/>
          <w:rFonts w:hint="cs"/>
          <w:color w:val="000000"/>
          <w:u w:val="none"/>
          <w:rtl/>
          <w:lang w:eastAsia="he-IL"/>
        </w:rPr>
        <w:t xml:space="preserve"> נ' </w:t>
      </w:r>
      <w:r w:rsidRPr="0066726C">
        <w:rPr>
          <w:rStyle w:val="Hyperlink"/>
          <w:rFonts w:hint="cs"/>
          <w:b/>
          <w:bCs/>
          <w:color w:val="000000"/>
          <w:u w:val="none"/>
          <w:rtl/>
          <w:lang w:eastAsia="he-IL"/>
        </w:rPr>
        <w:t>יצחק רפאל פס</w:t>
      </w:r>
      <w:r w:rsidRPr="0066726C">
        <w:rPr>
          <w:rStyle w:val="Hyperlink"/>
          <w:rFonts w:hint="cs"/>
          <w:color w:val="000000"/>
          <w:u w:val="none"/>
          <w:rtl/>
          <w:lang w:eastAsia="he-IL"/>
        </w:rPr>
        <w:t xml:space="preserve"> (פורסם בנבו, 19.04.04)</w:t>
      </w:r>
      <w:r w:rsidRPr="006166BD">
        <w:rPr>
          <w:rFonts w:hint="cs"/>
          <w:rtl/>
          <w:lang w:eastAsia="he-IL"/>
        </w:rPr>
        <w:t xml:space="preserve"> הורשעו המשיבים בהחזקת שמונה לבנות חבלה שנגנבו מצה"ל ובהובלתן במכונית בה היו.</w:t>
      </w:r>
      <w:r w:rsidRPr="006166BD">
        <w:rPr>
          <w:lang w:eastAsia="he-IL"/>
        </w:rPr>
        <w:t xml:space="preserve"> </w:t>
      </w:r>
    </w:p>
    <w:p w14:paraId="3C8EC17E" w14:textId="77777777" w:rsidR="00053E6A" w:rsidRPr="006166BD" w:rsidRDefault="00053E6A" w:rsidP="00053E6A">
      <w:pPr>
        <w:spacing w:line="360" w:lineRule="auto"/>
        <w:ind w:left="720"/>
        <w:jc w:val="both"/>
        <w:rPr>
          <w:rtl/>
        </w:rPr>
      </w:pPr>
      <w:r w:rsidRPr="006166BD">
        <w:rPr>
          <w:rFonts w:hint="cs"/>
          <w:rtl/>
          <w:lang w:eastAsia="he-IL"/>
        </w:rPr>
        <w:t xml:space="preserve">בית המשפט המחוזי גזר עליהם </w:t>
      </w:r>
      <w:r w:rsidRPr="006166BD">
        <w:rPr>
          <w:rFonts w:hint="cs"/>
          <w:b/>
          <w:bCs/>
          <w:rtl/>
          <w:lang w:eastAsia="he-IL"/>
        </w:rPr>
        <w:t>15 חודשי מאסר בפועל</w:t>
      </w:r>
      <w:r w:rsidRPr="006166BD">
        <w:rPr>
          <w:rFonts w:hint="cs"/>
          <w:rtl/>
          <w:lang w:eastAsia="he-IL"/>
        </w:rPr>
        <w:t xml:space="preserve"> ומאסר על תנאי.</w:t>
      </w:r>
      <w:r w:rsidRPr="006166BD">
        <w:rPr>
          <w:rFonts w:hint="cs"/>
          <w:rtl/>
          <w:lang w:eastAsia="he-IL"/>
        </w:rPr>
        <w:br/>
      </w:r>
    </w:p>
    <w:p w14:paraId="4BA1E354" w14:textId="77777777" w:rsidR="00053E6A" w:rsidRPr="006166BD" w:rsidRDefault="00053E6A" w:rsidP="00053E6A">
      <w:pPr>
        <w:spacing w:line="360" w:lineRule="auto"/>
        <w:ind w:left="720"/>
        <w:jc w:val="both"/>
        <w:rPr>
          <w:rtl/>
          <w:lang w:eastAsia="he-IL"/>
        </w:rPr>
      </w:pPr>
      <w:r w:rsidRPr="006166BD">
        <w:rPr>
          <w:rFonts w:hint="cs"/>
          <w:rtl/>
        </w:rPr>
        <w:t xml:space="preserve">בית המשפט העליון החמיר בעונשם והטיל עליהם </w:t>
      </w:r>
      <w:r w:rsidRPr="006166BD">
        <w:rPr>
          <w:rFonts w:hint="cs"/>
          <w:b/>
          <w:bCs/>
          <w:rtl/>
        </w:rPr>
        <w:t>24 חודשי מאסר בפועל</w:t>
      </w:r>
      <w:r w:rsidRPr="006166BD">
        <w:rPr>
          <w:rFonts w:hint="cs"/>
          <w:rtl/>
        </w:rPr>
        <w:t>, תוך אמירת הדברים הבאים-</w:t>
      </w:r>
    </w:p>
    <w:p w14:paraId="1C9ADE37" w14:textId="77777777" w:rsidR="00053E6A" w:rsidRPr="006166BD" w:rsidRDefault="00053E6A" w:rsidP="00C96767">
      <w:pPr>
        <w:spacing w:line="360" w:lineRule="auto"/>
        <w:ind w:left="1440"/>
        <w:jc w:val="both"/>
        <w:rPr>
          <w:lang w:eastAsia="he-IL"/>
        </w:rPr>
      </w:pPr>
      <w:r w:rsidRPr="006166BD">
        <w:rPr>
          <w:rFonts w:hint="cs"/>
          <w:rtl/>
          <w:lang w:eastAsia="he-IL"/>
        </w:rPr>
        <w:t xml:space="preserve">"העונש שהושת על המשיבים מקל עמם במידה ניכרת ואינו נותן משקל הולם לחומרה המיוחדת שיש בהחזקה ובנשיאה של לבנות חבלה מן הסוג שנתפס ברכבם. כבר נאמר לא אחת בפסיקתנו כי מידת העונש המוטל בגין עבירות המבוצעות בנשק מושפעת מפוטנציאל הסיכון הרב הטמון בנשק המוחזק שלא כדין, ומהעברתו מיד ליד ללא פיקוח. </w:t>
      </w:r>
      <w:r w:rsidRPr="006166BD">
        <w:rPr>
          <w:rFonts w:hint="cs"/>
          <w:b/>
          <w:bCs/>
          <w:rtl/>
          <w:lang w:eastAsia="he-IL"/>
        </w:rPr>
        <w:t>בבוא בית המשפט לגזור את הדין בעבירה של החזקה ונשיאה של נשק, עליו להתחשב בנסיבות בהן באה לידי ביטוי החומרה המיוחדת שבעבירה. בין היתר, יתן בית המשפט דעתו לסוג הנשק המוחזק שלא כדין, לכמותו, לתכלית שלשמה הוא מוחזק ולסכנה המוחשית שיעשה בו שימוש</w:t>
      </w:r>
      <w:r w:rsidRPr="006166BD">
        <w:rPr>
          <w:rFonts w:hint="cs"/>
          <w:rtl/>
          <w:lang w:eastAsia="he-IL"/>
        </w:rPr>
        <w:t xml:space="preserve"> (השוו: </w:t>
      </w:r>
      <w:hyperlink r:id="rId32" w:history="1">
        <w:r w:rsidR="0066726C" w:rsidRPr="0066726C">
          <w:rPr>
            <w:color w:val="0000FF"/>
            <w:u w:val="single"/>
            <w:rtl/>
            <w:lang w:eastAsia="he-IL"/>
          </w:rPr>
          <w:t>ב"ש 625/82</w:t>
        </w:r>
      </w:hyperlink>
      <w:r w:rsidRPr="006166BD">
        <w:rPr>
          <w:rFonts w:hint="cs"/>
          <w:rtl/>
          <w:lang w:eastAsia="he-IL"/>
        </w:rPr>
        <w:t xml:space="preserve"> חלמי אבו מוך נ' מדינת ישראל (לא פורסם)</w:t>
      </w:r>
      <w:r w:rsidR="00C96767">
        <w:rPr>
          <w:rFonts w:hint="cs"/>
          <w:rtl/>
          <w:lang w:eastAsia="he-IL"/>
        </w:rPr>
        <w:t xml:space="preserve"> </w:t>
      </w:r>
      <w:r w:rsidR="00C96767" w:rsidRPr="00C96767">
        <w:rPr>
          <w:sz w:val="22"/>
          <w:rtl/>
          <w:lang w:eastAsia="he-IL"/>
        </w:rPr>
        <w:t>[פורסם בנבו]</w:t>
      </w:r>
      <w:r w:rsidRPr="006166BD">
        <w:rPr>
          <w:rFonts w:hint="cs"/>
          <w:rtl/>
          <w:lang w:eastAsia="he-IL"/>
        </w:rPr>
        <w:t xml:space="preserve">). כאשר מדובר בנשק שעל-פי טיבו אינו מיועד להגנה עצמית וכל כולו נשק התקפי רב עוצמה אשר השימוש בו יכול להביא להרג ללא הבחנה, יש בעבירת ההחזקה והנשיאה של אותו נשק חומרה מיוחדת..." </w:t>
      </w:r>
    </w:p>
    <w:p w14:paraId="7C4BAF81" w14:textId="77777777" w:rsidR="00053E6A" w:rsidRPr="006166BD" w:rsidRDefault="00053E6A" w:rsidP="00053E6A">
      <w:pPr>
        <w:spacing w:line="360" w:lineRule="auto"/>
        <w:ind w:left="1440"/>
        <w:jc w:val="both"/>
        <w:rPr>
          <w:rtl/>
        </w:rPr>
      </w:pPr>
    </w:p>
    <w:p w14:paraId="7E98EBA9" w14:textId="77777777" w:rsidR="00053E6A" w:rsidRPr="006166BD" w:rsidRDefault="00053E6A" w:rsidP="00053E6A">
      <w:pPr>
        <w:spacing w:line="360" w:lineRule="auto"/>
        <w:ind w:left="720"/>
        <w:jc w:val="both"/>
        <w:rPr>
          <w:rtl/>
        </w:rPr>
      </w:pPr>
      <w:r w:rsidRPr="006166BD">
        <w:rPr>
          <w:rFonts w:hint="cs"/>
          <w:rtl/>
        </w:rPr>
        <w:t>ב</w:t>
      </w:r>
      <w:hyperlink r:id="rId33" w:history="1">
        <w:r w:rsidR="0066726C" w:rsidRPr="0066726C">
          <w:rPr>
            <w:rStyle w:val="Hyperlink"/>
            <w:rtl/>
            <w:lang w:eastAsia="he-IL"/>
          </w:rPr>
          <w:t>ת"פ 65-12-09</w:t>
        </w:r>
      </w:hyperlink>
      <w:r w:rsidRPr="0066726C">
        <w:rPr>
          <w:rStyle w:val="Hyperlink"/>
          <w:rFonts w:hint="cs"/>
          <w:color w:val="000000"/>
          <w:u w:val="none"/>
          <w:rtl/>
          <w:lang w:eastAsia="he-IL"/>
        </w:rPr>
        <w:t xml:space="preserve"> (מרכז) </w:t>
      </w:r>
      <w:r w:rsidRPr="0066726C">
        <w:rPr>
          <w:rStyle w:val="Hyperlink"/>
          <w:rFonts w:hint="cs"/>
          <w:b/>
          <w:bCs/>
          <w:color w:val="000000"/>
          <w:u w:val="none"/>
          <w:rtl/>
          <w:lang w:eastAsia="he-IL"/>
        </w:rPr>
        <w:t xml:space="preserve">מדינת ישראל </w:t>
      </w:r>
      <w:r w:rsidRPr="0066726C">
        <w:rPr>
          <w:rStyle w:val="Hyperlink"/>
          <w:rFonts w:hint="cs"/>
          <w:color w:val="000000"/>
          <w:u w:val="none"/>
          <w:rtl/>
          <w:lang w:eastAsia="he-IL"/>
        </w:rPr>
        <w:t>נ'</w:t>
      </w:r>
      <w:r w:rsidRPr="0066726C">
        <w:rPr>
          <w:rStyle w:val="Hyperlink"/>
          <w:rFonts w:hint="cs"/>
          <w:b/>
          <w:bCs/>
          <w:color w:val="000000"/>
          <w:u w:val="none"/>
          <w:rtl/>
          <w:lang w:eastAsia="he-IL"/>
        </w:rPr>
        <w:t xml:space="preserve"> שלומי בשרן</w:t>
      </w:r>
      <w:r w:rsidRPr="0066726C">
        <w:rPr>
          <w:rStyle w:val="Hyperlink"/>
          <w:rFonts w:hint="cs"/>
          <w:color w:val="000000"/>
          <w:u w:val="none"/>
          <w:rtl/>
          <w:lang w:eastAsia="he-IL"/>
        </w:rPr>
        <w:t xml:space="preserve"> (פורסם בנבו, 26.04.10)</w:t>
      </w:r>
      <w:r w:rsidRPr="006166BD">
        <w:rPr>
          <w:rFonts w:hint="cs"/>
          <w:rtl/>
          <w:lang w:eastAsia="he-IL"/>
        </w:rPr>
        <w:t xml:space="preserve"> הורשע הנאשם בעבירה של החזקת נשק, לאחר שהודה במסגרת הסדר טיעון כי במשך תקופה מסוימת, אחר החזיק בדירתו לבנת חבלה המכילה חצי קילוגרם חומר נפץ מרסק המחוברת למערכת המיועדת להצמדתה לחפצים אחרים.  ובנוסף, החזיק אצבע חבלה המכילה כ- 100 גרם חומר נפץ מרסק מסוג </w:t>
      </w:r>
      <w:r w:rsidRPr="006166BD">
        <w:rPr>
          <w:lang w:eastAsia="he-IL"/>
        </w:rPr>
        <w:t>C-4</w:t>
      </w:r>
      <w:r w:rsidRPr="006166BD">
        <w:rPr>
          <w:rFonts w:hint="cs"/>
          <w:rtl/>
          <w:lang w:eastAsia="he-IL"/>
        </w:rPr>
        <w:t xml:space="preserve">. ובמועד מסוים הנאשם קיבל מהאחר את המטען ואת אצבע החבלה והובילם ברכבו. בית המשפט גזר על הנאשם </w:t>
      </w:r>
      <w:r w:rsidRPr="006166BD">
        <w:rPr>
          <w:rFonts w:hint="cs"/>
          <w:b/>
          <w:bCs/>
          <w:rtl/>
          <w:lang w:eastAsia="he-IL"/>
        </w:rPr>
        <w:t>20 חודשי מאסר בפועל</w:t>
      </w:r>
      <w:r w:rsidRPr="006166BD">
        <w:rPr>
          <w:rFonts w:hint="cs"/>
          <w:rtl/>
          <w:lang w:eastAsia="he-IL"/>
        </w:rPr>
        <w:t>.</w:t>
      </w:r>
    </w:p>
    <w:p w14:paraId="4B959FB7" w14:textId="77777777" w:rsidR="00053E6A" w:rsidRPr="006166BD" w:rsidRDefault="00053E6A" w:rsidP="00053E6A">
      <w:pPr>
        <w:spacing w:line="360" w:lineRule="auto"/>
        <w:jc w:val="both"/>
        <w:rPr>
          <w:rtl/>
        </w:rPr>
      </w:pPr>
    </w:p>
    <w:p w14:paraId="461D09EB" w14:textId="77777777" w:rsidR="00C96767" w:rsidRDefault="00053E6A" w:rsidP="00053E6A">
      <w:pPr>
        <w:spacing w:line="360" w:lineRule="auto"/>
        <w:ind w:left="720"/>
        <w:jc w:val="both"/>
        <w:rPr>
          <w:rFonts w:hint="cs"/>
          <w:rtl/>
          <w:lang w:eastAsia="he-IL"/>
        </w:rPr>
      </w:pPr>
      <w:r w:rsidRPr="006166BD">
        <w:rPr>
          <w:rFonts w:hint="cs"/>
          <w:rtl/>
        </w:rPr>
        <w:t>ב</w:t>
      </w:r>
      <w:hyperlink r:id="rId34" w:history="1">
        <w:r w:rsidR="0066726C" w:rsidRPr="0066726C">
          <w:rPr>
            <w:rStyle w:val="Hyperlink"/>
            <w:rtl/>
            <w:lang w:eastAsia="he-IL"/>
          </w:rPr>
          <w:t>ת"פ (ת"א) 40083/08</w:t>
        </w:r>
      </w:hyperlink>
      <w:r w:rsidRPr="0066726C">
        <w:rPr>
          <w:rStyle w:val="Hyperlink"/>
          <w:rFonts w:hint="cs"/>
          <w:color w:val="000000"/>
          <w:u w:val="none"/>
          <w:rtl/>
          <w:lang w:eastAsia="he-IL"/>
        </w:rPr>
        <w:t xml:space="preserve"> </w:t>
      </w:r>
      <w:r w:rsidRPr="0066726C">
        <w:rPr>
          <w:rStyle w:val="Hyperlink"/>
          <w:rFonts w:hint="cs"/>
          <w:b/>
          <w:bCs/>
          <w:color w:val="000000"/>
          <w:u w:val="none"/>
          <w:rtl/>
          <w:lang w:eastAsia="he-IL"/>
        </w:rPr>
        <w:t>מדינת ישראל נ' לסקר משה</w:t>
      </w:r>
      <w:r w:rsidRPr="0066726C">
        <w:rPr>
          <w:rStyle w:val="Hyperlink"/>
          <w:rFonts w:hint="cs"/>
          <w:color w:val="000000"/>
          <w:u w:val="none"/>
          <w:rtl/>
          <w:lang w:eastAsia="he-IL"/>
        </w:rPr>
        <w:t xml:space="preserve"> (פורסם בנבו, 30.06.08)</w:t>
      </w:r>
      <w:r w:rsidRPr="006166BD">
        <w:rPr>
          <w:rFonts w:hint="cs"/>
          <w:rtl/>
          <w:lang w:eastAsia="he-IL"/>
        </w:rPr>
        <w:t xml:space="preserve"> הורשע הנאשם במסגרת הסדר טיעון בביצוע עבירה של ייצור וסחר בנשק, בכך שמכר לסוכן משטרתי מטען חבלה מוכן להפעלה, תמורת 7,500 ש"ח. המאשימה עתרה לעונש של 36 חודשי מאסר וההגנה עתרה לעונש של 12 חודשי מאסר, ובית המשפט המחוזי גזר על הנאשם</w:t>
      </w:r>
      <w:r w:rsidRPr="006166BD">
        <w:rPr>
          <w:rFonts w:hint="cs"/>
          <w:b/>
          <w:bCs/>
          <w:rtl/>
          <w:lang w:eastAsia="he-IL"/>
        </w:rPr>
        <w:t xml:space="preserve"> 30 חודשי מאסר בפועל</w:t>
      </w:r>
      <w:r w:rsidRPr="006166BD">
        <w:rPr>
          <w:rFonts w:hint="cs"/>
          <w:rtl/>
          <w:lang w:eastAsia="he-IL"/>
        </w:rPr>
        <w:t>.</w:t>
      </w:r>
    </w:p>
    <w:p w14:paraId="63125F6D" w14:textId="77777777" w:rsidR="00053E6A" w:rsidRPr="006166BD" w:rsidRDefault="00053E6A" w:rsidP="00C96767">
      <w:pPr>
        <w:spacing w:line="360" w:lineRule="auto"/>
        <w:ind w:left="720"/>
        <w:jc w:val="both"/>
        <w:rPr>
          <w:rtl/>
        </w:rPr>
      </w:pPr>
      <w:r w:rsidRPr="006166BD">
        <w:rPr>
          <w:rFonts w:hint="cs"/>
          <w:rtl/>
          <w:lang w:eastAsia="he-IL"/>
        </w:rPr>
        <w:br/>
        <w:t>ב</w:t>
      </w:r>
      <w:hyperlink r:id="rId35" w:history="1">
        <w:r w:rsidR="0066726C" w:rsidRPr="0066726C">
          <w:rPr>
            <w:rStyle w:val="Hyperlink"/>
            <w:rtl/>
            <w:lang w:eastAsia="he-IL"/>
          </w:rPr>
          <w:t>ת"פ (ת"א) 18402-08-13</w:t>
        </w:r>
      </w:hyperlink>
      <w:r w:rsidRPr="0066726C">
        <w:rPr>
          <w:rStyle w:val="Hyperlink"/>
          <w:rFonts w:hint="cs"/>
          <w:b/>
          <w:bCs/>
          <w:color w:val="000000"/>
          <w:u w:val="none"/>
          <w:rtl/>
          <w:lang w:eastAsia="he-IL"/>
        </w:rPr>
        <w:t xml:space="preserve"> מדינת ישראל נ' ליאור מנשה </w:t>
      </w:r>
      <w:r w:rsidRPr="0066726C">
        <w:rPr>
          <w:rStyle w:val="Hyperlink"/>
          <w:rFonts w:hint="cs"/>
          <w:color w:val="000000"/>
          <w:u w:val="none"/>
          <w:rtl/>
          <w:lang w:eastAsia="he-IL"/>
        </w:rPr>
        <w:t>(פורסם בנבו, 19.02.14)</w:t>
      </w:r>
      <w:r w:rsidRPr="006166BD">
        <w:rPr>
          <w:rFonts w:hint="cs"/>
          <w:rtl/>
          <w:lang w:eastAsia="he-IL"/>
        </w:rPr>
        <w:t xml:space="preserve"> הורשע הנאשם במסגרת הסדר טיעון, בביצוע עבירה של סיוע לעסקה אחרת בנשק, לאחר שהודה שקיבל מחייל צה"ל חומר נפץ המכיל חומר מסוג ציקלוניט והעביר כ-133 גרם ממנו, ביחד עם נפצים וחוט חשמל, לאחר, תמורת 2,000 ₪. הוא נדון, במסגרת הסדר הטיעון, ל-</w:t>
      </w:r>
      <w:r w:rsidRPr="006166BD">
        <w:rPr>
          <w:rFonts w:hint="cs"/>
          <w:b/>
          <w:bCs/>
          <w:rtl/>
          <w:lang w:eastAsia="he-IL"/>
        </w:rPr>
        <w:t xml:space="preserve"> 20 חודשי מאסר</w:t>
      </w:r>
      <w:r w:rsidRPr="006166BD">
        <w:rPr>
          <w:rFonts w:hint="cs"/>
          <w:rtl/>
          <w:lang w:eastAsia="he-IL"/>
        </w:rPr>
        <w:t xml:space="preserve"> </w:t>
      </w:r>
      <w:r w:rsidRPr="006166BD">
        <w:rPr>
          <w:rFonts w:hint="cs"/>
          <w:b/>
          <w:bCs/>
          <w:rtl/>
          <w:lang w:eastAsia="he-IL"/>
        </w:rPr>
        <w:t>בפועל</w:t>
      </w:r>
      <w:r w:rsidRPr="006166BD">
        <w:rPr>
          <w:rFonts w:hint="cs"/>
          <w:rtl/>
          <w:lang w:eastAsia="he-IL"/>
        </w:rPr>
        <w:t>.</w:t>
      </w:r>
    </w:p>
    <w:p w14:paraId="52E3B762" w14:textId="77777777" w:rsidR="00053E6A" w:rsidRPr="006166BD" w:rsidRDefault="00053E6A" w:rsidP="00053E6A">
      <w:pPr>
        <w:spacing w:line="360" w:lineRule="auto"/>
        <w:jc w:val="both"/>
      </w:pPr>
    </w:p>
    <w:p w14:paraId="04FEFBD4" w14:textId="77777777" w:rsidR="00053E6A" w:rsidRPr="006166BD" w:rsidRDefault="00053E6A" w:rsidP="00053E6A">
      <w:pPr>
        <w:spacing w:line="360" w:lineRule="auto"/>
        <w:ind w:left="720"/>
        <w:jc w:val="both"/>
      </w:pPr>
      <w:r w:rsidRPr="006166BD">
        <w:rPr>
          <w:rFonts w:hint="cs"/>
          <w:rtl/>
        </w:rPr>
        <w:t>ב</w:t>
      </w:r>
      <w:hyperlink r:id="rId36" w:history="1">
        <w:r w:rsidR="0066726C" w:rsidRPr="0066726C">
          <w:rPr>
            <w:color w:val="0000FF"/>
            <w:u w:val="single"/>
            <w:rtl/>
          </w:rPr>
          <w:t>ע"פ 1323/13</w:t>
        </w:r>
      </w:hyperlink>
      <w:r w:rsidRPr="006166BD">
        <w:rPr>
          <w:rFonts w:hint="cs"/>
          <w:rtl/>
        </w:rPr>
        <w:t xml:space="preserve"> </w:t>
      </w:r>
      <w:r w:rsidRPr="006166BD">
        <w:rPr>
          <w:rFonts w:hint="cs"/>
          <w:b/>
          <w:bCs/>
          <w:rtl/>
        </w:rPr>
        <w:t>רך חסן ונסים אגבריה נ' מדינת ישראל</w:t>
      </w:r>
      <w:r w:rsidRPr="006166BD">
        <w:rPr>
          <w:rFonts w:hint="cs"/>
          <w:rtl/>
        </w:rPr>
        <w:t xml:space="preserve"> [פורסם בנבו](13.05.13) הורשעו המערערים בעבירת נשק, בכך שמכרו לסוכן משטרתי </w:t>
      </w:r>
      <w:r w:rsidRPr="006166BD">
        <w:rPr>
          <w:rFonts w:hint="cs"/>
          <w:b/>
          <w:bCs/>
          <w:rtl/>
        </w:rPr>
        <w:t xml:space="preserve">רימון הלם </w:t>
      </w:r>
      <w:r w:rsidRPr="006166BD">
        <w:rPr>
          <w:rFonts w:hint="cs"/>
          <w:rtl/>
        </w:rPr>
        <w:t xml:space="preserve">צה"לי תמורת 1,300 ₪. בית המשפט המחוזי קבע מתחם עונש בין שנה ל- 4 שנות מאסר וגזר עליהם </w:t>
      </w:r>
      <w:r w:rsidRPr="006166BD">
        <w:rPr>
          <w:rFonts w:hint="cs"/>
          <w:b/>
          <w:bCs/>
          <w:rtl/>
        </w:rPr>
        <w:t>24 חודשי מאסר בפועל על עבירת הנשק</w:t>
      </w:r>
      <w:r w:rsidRPr="006166BD">
        <w:rPr>
          <w:rFonts w:hint="cs"/>
          <w:rtl/>
        </w:rPr>
        <w:t xml:space="preserve">. בית המשפט העליון דחה את הערעור על חומרת העונש וקבע כי הגם שבהתחשב בסוג הנשק המדובר, מתחם העונש שנקבע מחמיר מעט, הרי שבהתחשב במגמת החמרת הענישה בעבירות נשק, העונש שנגזר על המערערים איננו מצדיק התערבות. </w:t>
      </w:r>
    </w:p>
    <w:p w14:paraId="450FA398" w14:textId="77777777" w:rsidR="00053E6A" w:rsidRPr="006166BD" w:rsidRDefault="00053E6A" w:rsidP="00053E6A">
      <w:pPr>
        <w:spacing w:line="360" w:lineRule="auto"/>
        <w:ind w:left="720"/>
        <w:jc w:val="both"/>
        <w:rPr>
          <w:rtl/>
        </w:rPr>
      </w:pPr>
    </w:p>
    <w:p w14:paraId="0403E52D" w14:textId="77777777" w:rsidR="00053E6A" w:rsidRPr="006166BD" w:rsidRDefault="00053E6A" w:rsidP="00053E6A">
      <w:pPr>
        <w:spacing w:line="360" w:lineRule="auto"/>
        <w:ind w:left="720" w:hanging="718"/>
        <w:jc w:val="both"/>
        <w:rPr>
          <w:rtl/>
        </w:rPr>
      </w:pPr>
      <w:r w:rsidRPr="006166BD">
        <w:rPr>
          <w:rFonts w:hint="cs"/>
          <w:rtl/>
        </w:rPr>
        <w:t>9.</w:t>
      </w:r>
      <w:r w:rsidRPr="006166BD">
        <w:rPr>
          <w:rFonts w:hint="cs"/>
          <w:rtl/>
        </w:rPr>
        <w:tab/>
        <w:t xml:space="preserve">נסיבות פסקי הדין בעבירות הנשק, שהתביעה ביקשה ללמוד מהם על העונש הראוי לנאשם, שונות לחומרה מענייננו. </w:t>
      </w:r>
    </w:p>
    <w:p w14:paraId="247B927E" w14:textId="77777777" w:rsidR="00053E6A" w:rsidRPr="006166BD" w:rsidRDefault="00053E6A" w:rsidP="00053E6A">
      <w:pPr>
        <w:spacing w:line="360" w:lineRule="auto"/>
        <w:ind w:left="720" w:hanging="718"/>
        <w:jc w:val="both"/>
        <w:rPr>
          <w:rtl/>
        </w:rPr>
      </w:pPr>
      <w:r w:rsidRPr="006166BD">
        <w:rPr>
          <w:rFonts w:hint="cs"/>
          <w:rtl/>
        </w:rPr>
        <w:tab/>
        <w:t>ב</w:t>
      </w:r>
      <w:hyperlink r:id="rId37" w:history="1">
        <w:r w:rsidR="0066726C" w:rsidRPr="0066726C">
          <w:rPr>
            <w:color w:val="0000FF"/>
            <w:u w:val="single"/>
            <w:rtl/>
          </w:rPr>
          <w:t>ת.פ. 47022-05-14</w:t>
        </w:r>
      </w:hyperlink>
      <w:r w:rsidRPr="006166BD">
        <w:rPr>
          <w:rFonts w:hint="cs"/>
          <w:rtl/>
        </w:rPr>
        <w:t xml:space="preserve"> </w:t>
      </w:r>
      <w:r w:rsidRPr="006166BD">
        <w:rPr>
          <w:rFonts w:hint="cs"/>
          <w:b/>
          <w:bCs/>
          <w:rtl/>
        </w:rPr>
        <w:t xml:space="preserve">מדינת ישראל </w:t>
      </w:r>
      <w:r w:rsidRPr="006166BD">
        <w:rPr>
          <w:rFonts w:hint="cs"/>
          <w:rtl/>
        </w:rPr>
        <w:t>נ'</w:t>
      </w:r>
      <w:r w:rsidRPr="006166BD">
        <w:rPr>
          <w:rFonts w:hint="cs"/>
          <w:b/>
          <w:bCs/>
          <w:rtl/>
        </w:rPr>
        <w:t xml:space="preserve"> אייל יונגר</w:t>
      </w:r>
      <w:r w:rsidRPr="006166BD">
        <w:rPr>
          <w:rFonts w:hint="cs"/>
          <w:rtl/>
        </w:rPr>
        <w:t xml:space="preserve">, </w:t>
      </w:r>
      <w:r w:rsidR="00C96767" w:rsidRPr="00C96767">
        <w:rPr>
          <w:sz w:val="22"/>
          <w:rtl/>
        </w:rPr>
        <w:t xml:space="preserve">[פורסם בנבו] </w:t>
      </w:r>
      <w:r w:rsidRPr="006166BD">
        <w:rPr>
          <w:rFonts w:hint="cs"/>
          <w:rtl/>
        </w:rPr>
        <w:t xml:space="preserve">דובר במי שהורשע לאחר שמיעת הוכחות, בהחזקת מטען חבלה הכולל מערכת הפעלה מרחוק על ידי מקלט ומשדר אלחוטיים. הנאשם החזיק את המטען במחסן הסמוך למשרדו, הנמצא מתחת ליציע אולם ספורט ששימש בין היתר תלמידי בית ספר וחניכי חוגי ספורט. בנוסף, הנאשם החזיק סם מסוכן מסוג קאנביס במשקל של כ- 8 גרם. </w:t>
      </w:r>
    </w:p>
    <w:p w14:paraId="33AFA685" w14:textId="77777777" w:rsidR="00053E6A" w:rsidRPr="006166BD" w:rsidRDefault="00053E6A" w:rsidP="00053E6A">
      <w:pPr>
        <w:spacing w:line="360" w:lineRule="auto"/>
        <w:ind w:left="720" w:hanging="718"/>
        <w:jc w:val="both"/>
        <w:rPr>
          <w:rtl/>
        </w:rPr>
      </w:pPr>
    </w:p>
    <w:p w14:paraId="7493FF60" w14:textId="77777777" w:rsidR="00053E6A" w:rsidRPr="006166BD" w:rsidRDefault="00053E6A" w:rsidP="00053E6A">
      <w:pPr>
        <w:spacing w:line="360" w:lineRule="auto"/>
        <w:ind w:left="720"/>
        <w:jc w:val="both"/>
        <w:rPr>
          <w:rtl/>
        </w:rPr>
      </w:pPr>
      <w:r w:rsidRPr="006166BD">
        <w:rPr>
          <w:rFonts w:hint="cs"/>
          <w:rtl/>
        </w:rPr>
        <w:t xml:space="preserve">בית המשפט קבע כי הנאשם העמיד בסכנת חיים של ממש ילדים, עוברי אורח ושוטרים, וקבע כי היה במעשה הנאשם משום הפרת אמון בוטה כלפי הורי הילדים והילדים. וראה חומרה מיוחדת למקום הטמנת המטען ולעובדה שניתן להפעיל את המטען מרחוק. </w:t>
      </w:r>
    </w:p>
    <w:p w14:paraId="6CB8F584" w14:textId="77777777" w:rsidR="00053E6A" w:rsidRPr="006166BD" w:rsidRDefault="00053E6A" w:rsidP="00053E6A">
      <w:pPr>
        <w:spacing w:line="360" w:lineRule="auto"/>
        <w:ind w:left="720"/>
        <w:jc w:val="both"/>
        <w:rPr>
          <w:rtl/>
        </w:rPr>
      </w:pPr>
    </w:p>
    <w:p w14:paraId="0EAFBBAC" w14:textId="77777777" w:rsidR="00053E6A" w:rsidRPr="006166BD" w:rsidRDefault="00053E6A" w:rsidP="00053E6A">
      <w:pPr>
        <w:spacing w:line="360" w:lineRule="auto"/>
        <w:ind w:left="720"/>
        <w:jc w:val="both"/>
        <w:rPr>
          <w:rtl/>
        </w:rPr>
      </w:pPr>
      <w:r w:rsidRPr="006166BD">
        <w:rPr>
          <w:rFonts w:hint="cs"/>
          <w:rtl/>
        </w:rPr>
        <w:t>ב</w:t>
      </w:r>
      <w:hyperlink r:id="rId38" w:history="1">
        <w:r w:rsidR="0066726C" w:rsidRPr="0066726C">
          <w:rPr>
            <w:color w:val="0000FF"/>
            <w:u w:val="single"/>
            <w:rtl/>
          </w:rPr>
          <w:t>ת.פ. 56232-12-14</w:t>
        </w:r>
      </w:hyperlink>
      <w:r w:rsidRPr="006166BD">
        <w:rPr>
          <w:rFonts w:hint="cs"/>
          <w:rtl/>
        </w:rPr>
        <w:t xml:space="preserve"> </w:t>
      </w:r>
      <w:r w:rsidRPr="006166BD">
        <w:rPr>
          <w:rFonts w:hint="cs"/>
          <w:b/>
          <w:bCs/>
          <w:rtl/>
        </w:rPr>
        <w:t xml:space="preserve">מדינת ישראל </w:t>
      </w:r>
      <w:r w:rsidRPr="006166BD">
        <w:rPr>
          <w:rFonts w:hint="cs"/>
          <w:rtl/>
        </w:rPr>
        <w:t xml:space="preserve">נ' </w:t>
      </w:r>
      <w:r w:rsidRPr="006166BD">
        <w:rPr>
          <w:rFonts w:hint="cs"/>
          <w:b/>
          <w:bCs/>
          <w:rtl/>
        </w:rPr>
        <w:t>אדי יהודה מכלוף</w:t>
      </w:r>
      <w:r w:rsidRPr="006166BD">
        <w:rPr>
          <w:rFonts w:hint="cs"/>
          <w:rtl/>
        </w:rPr>
        <w:t xml:space="preserve">, </w:t>
      </w:r>
      <w:r w:rsidR="00C96767" w:rsidRPr="00C96767">
        <w:rPr>
          <w:sz w:val="22"/>
          <w:rtl/>
        </w:rPr>
        <w:t xml:space="preserve">[פורסם בנבו] </w:t>
      </w:r>
      <w:r w:rsidRPr="006166BD">
        <w:rPr>
          <w:rFonts w:hint="cs"/>
          <w:rtl/>
        </w:rPr>
        <w:t xml:space="preserve">דובר במי שהחזיק 4 חלקי לבנות חבלה מס' 10, במשקל כולל של כ- 1095 גרם, מאוגדות יחד. לבנות חבלה כאלה מיוצרות מחומר נפץ מרסק ומשמשות כמטען עיקרי במערכות פיצוץ. בנוסף, הוא החזיק נפץ חבלה, הנועד ליזימת מערכות פיצוץ בהפעלה חשמלית וכן מערכת הפעלה אלחוטית ומצבר נטען. במלים אחרות, הנאשם החזיק את מלוא המרכיבים שחיבורם יחד יוצר מטען חבלה משמעותי, המופעל מרחוק בלחיצת כפתור. </w:t>
      </w:r>
    </w:p>
    <w:p w14:paraId="06BF6C8F" w14:textId="77777777" w:rsidR="00053E6A" w:rsidRPr="006166BD" w:rsidRDefault="00053E6A" w:rsidP="00053E6A">
      <w:pPr>
        <w:spacing w:line="360" w:lineRule="auto"/>
        <w:ind w:left="720"/>
        <w:jc w:val="both"/>
        <w:rPr>
          <w:rtl/>
        </w:rPr>
      </w:pPr>
    </w:p>
    <w:p w14:paraId="78B470D4" w14:textId="77777777" w:rsidR="00053E6A" w:rsidRPr="006166BD" w:rsidRDefault="00053E6A" w:rsidP="00053E6A">
      <w:pPr>
        <w:spacing w:line="360" w:lineRule="auto"/>
        <w:ind w:left="720"/>
        <w:jc w:val="both"/>
        <w:rPr>
          <w:rtl/>
        </w:rPr>
      </w:pPr>
      <w:r w:rsidRPr="006166BD">
        <w:rPr>
          <w:rFonts w:hint="cs"/>
          <w:rtl/>
        </w:rPr>
        <w:t xml:space="preserve">הפער בין משקל לבנות החבלה של המטען כאן – 1095 גרם, למשקל חומר הנפץ במטען שהנאשם החזיק – פחות מ- 12 גרם, וההבדל המהותי בטיב המטענים ובעוצמתם, בולט לעין ומדבר בעד עצמו.   </w:t>
      </w:r>
    </w:p>
    <w:p w14:paraId="3D596EC6" w14:textId="77777777" w:rsidR="00053E6A" w:rsidRPr="006166BD" w:rsidRDefault="00053E6A" w:rsidP="00053E6A">
      <w:pPr>
        <w:spacing w:line="360" w:lineRule="auto"/>
        <w:ind w:left="-625" w:firstLine="627"/>
        <w:jc w:val="both"/>
        <w:rPr>
          <w:rtl/>
        </w:rPr>
      </w:pPr>
    </w:p>
    <w:p w14:paraId="2AFB8237" w14:textId="77777777" w:rsidR="00053E6A" w:rsidRPr="006166BD" w:rsidRDefault="00053E6A" w:rsidP="00053E6A">
      <w:pPr>
        <w:spacing w:line="360" w:lineRule="auto"/>
        <w:ind w:left="-625" w:firstLine="627"/>
        <w:jc w:val="both"/>
        <w:rPr>
          <w:rtl/>
        </w:rPr>
      </w:pPr>
      <w:r w:rsidRPr="006166BD">
        <w:rPr>
          <w:rFonts w:hint="cs"/>
          <w:rtl/>
        </w:rPr>
        <w:t>10.</w:t>
      </w:r>
      <w:r w:rsidRPr="006166BD">
        <w:rPr>
          <w:rFonts w:hint="cs"/>
          <w:rtl/>
        </w:rPr>
        <w:tab/>
        <w:t xml:space="preserve">באשר לנסיבות ביצוע העבירה- </w:t>
      </w:r>
    </w:p>
    <w:p w14:paraId="0DBF3B1F" w14:textId="77777777" w:rsidR="00053E6A" w:rsidRPr="006166BD" w:rsidRDefault="00053E6A" w:rsidP="00053E6A">
      <w:pPr>
        <w:spacing w:line="360" w:lineRule="auto"/>
        <w:ind w:left="720"/>
        <w:jc w:val="both"/>
        <w:rPr>
          <w:rtl/>
        </w:rPr>
      </w:pPr>
      <w:r w:rsidRPr="006166BD">
        <w:rPr>
          <w:rFonts w:hint="cs"/>
          <w:rtl/>
        </w:rPr>
        <w:t xml:space="preserve">הנאשם החזיק במטען הצינור יחד עם אנשים נוספים, ואחר כך מסר את המטען לסוכן המשטרתי. אין המדובר בפעולה רגעית, ספונטאנית. בנסיבות, יש לראות במעשי הנאשם כמתוכננים.  </w:t>
      </w:r>
    </w:p>
    <w:p w14:paraId="7C4BBE25" w14:textId="77777777" w:rsidR="00053E6A" w:rsidRPr="006166BD" w:rsidRDefault="00053E6A" w:rsidP="00053E6A">
      <w:pPr>
        <w:spacing w:line="360" w:lineRule="auto"/>
        <w:ind w:left="720"/>
        <w:jc w:val="both"/>
        <w:rPr>
          <w:rtl/>
        </w:rPr>
      </w:pPr>
    </w:p>
    <w:p w14:paraId="00CA7FE4" w14:textId="77777777" w:rsidR="00053E6A" w:rsidRPr="006166BD" w:rsidRDefault="00053E6A" w:rsidP="00053E6A">
      <w:pPr>
        <w:spacing w:line="360" w:lineRule="auto"/>
        <w:ind w:left="720"/>
        <w:jc w:val="both"/>
        <w:rPr>
          <w:rtl/>
        </w:rPr>
      </w:pPr>
      <w:r w:rsidRPr="006166BD">
        <w:rPr>
          <w:rFonts w:hint="cs"/>
          <w:rtl/>
        </w:rPr>
        <w:t xml:space="preserve">הנסיבות המדוייקות של החזקת מטען החבלה, היכולות להבהיר את "מעמדו" של הנאשם בין מחזיקי המטען ואת שאלת קיומה של השפעה של אחרים על התנהגותו, אינן ידועות. העובדה שהנאשם היה בין המחזיקים במטען; העובדה שהנאשם ידע היכן הוסתר המטען; והעובדה שהוא לקח את המטען ממקום הימצאו ומסרו לסוכן המשטרתי; מלמדות שחלקו של הנאשם בביצוע העבירה, משמעותי. </w:t>
      </w:r>
    </w:p>
    <w:p w14:paraId="7398F769" w14:textId="77777777" w:rsidR="00053E6A" w:rsidRPr="006166BD" w:rsidRDefault="00053E6A" w:rsidP="00053E6A">
      <w:pPr>
        <w:spacing w:line="360" w:lineRule="auto"/>
        <w:ind w:left="720"/>
        <w:jc w:val="both"/>
        <w:rPr>
          <w:rtl/>
        </w:rPr>
      </w:pPr>
    </w:p>
    <w:p w14:paraId="4E587014" w14:textId="77777777" w:rsidR="00053E6A" w:rsidRPr="006166BD" w:rsidRDefault="00053E6A" w:rsidP="00053E6A">
      <w:pPr>
        <w:spacing w:line="360" w:lineRule="auto"/>
        <w:ind w:left="720"/>
        <w:jc w:val="both"/>
        <w:rPr>
          <w:rtl/>
        </w:rPr>
      </w:pPr>
      <w:r w:rsidRPr="006166BD">
        <w:rPr>
          <w:rFonts w:hint="cs"/>
          <w:rtl/>
        </w:rPr>
        <w:t xml:space="preserve">הנזק שיכל להיגרם ממעשי הנאשם, הוא פגיעות בגוף ובחיי אדם, שהם מהחמורים שבנזקים. </w:t>
      </w:r>
    </w:p>
    <w:p w14:paraId="31D09B17" w14:textId="77777777" w:rsidR="00053E6A" w:rsidRPr="006166BD" w:rsidRDefault="00053E6A" w:rsidP="00053E6A">
      <w:pPr>
        <w:spacing w:line="360" w:lineRule="auto"/>
        <w:ind w:left="720"/>
        <w:jc w:val="both"/>
        <w:rPr>
          <w:rtl/>
        </w:rPr>
      </w:pPr>
    </w:p>
    <w:p w14:paraId="2ADA8372" w14:textId="77777777" w:rsidR="00053E6A" w:rsidRPr="006166BD" w:rsidRDefault="00053E6A" w:rsidP="00053E6A">
      <w:pPr>
        <w:spacing w:line="360" w:lineRule="auto"/>
        <w:ind w:left="-58" w:firstLine="778"/>
        <w:jc w:val="both"/>
        <w:rPr>
          <w:rtl/>
        </w:rPr>
      </w:pPr>
      <w:r w:rsidRPr="006166BD">
        <w:rPr>
          <w:rFonts w:hint="cs"/>
          <w:rtl/>
        </w:rPr>
        <w:t xml:space="preserve">כידוע, כאן המטען נמסר לידיו של סוכן משטרתי ועל כן פוטנציאל הנזק לא התממש. </w:t>
      </w:r>
    </w:p>
    <w:p w14:paraId="1BF167D6" w14:textId="77777777" w:rsidR="00053E6A" w:rsidRPr="006166BD" w:rsidRDefault="00053E6A" w:rsidP="00053E6A">
      <w:pPr>
        <w:spacing w:line="360" w:lineRule="auto"/>
        <w:ind w:left="-58" w:firstLine="778"/>
        <w:jc w:val="both"/>
        <w:rPr>
          <w:rtl/>
        </w:rPr>
      </w:pPr>
    </w:p>
    <w:p w14:paraId="172931CB" w14:textId="77777777" w:rsidR="00053E6A" w:rsidRPr="006166BD" w:rsidRDefault="00053E6A" w:rsidP="00053E6A">
      <w:pPr>
        <w:spacing w:line="360" w:lineRule="auto"/>
        <w:ind w:left="-58" w:firstLine="778"/>
        <w:jc w:val="both"/>
        <w:rPr>
          <w:rtl/>
        </w:rPr>
      </w:pPr>
      <w:r w:rsidRPr="006166BD">
        <w:rPr>
          <w:rFonts w:hint="cs"/>
          <w:rtl/>
        </w:rPr>
        <w:t xml:space="preserve">הנאשם החזיק במטען כחלק מהתנהלות עבריינית. </w:t>
      </w:r>
    </w:p>
    <w:p w14:paraId="2268034D" w14:textId="77777777" w:rsidR="00053E6A" w:rsidRDefault="00053E6A" w:rsidP="00053E6A">
      <w:pPr>
        <w:spacing w:line="360" w:lineRule="auto"/>
        <w:ind w:left="720" w:hanging="720"/>
        <w:jc w:val="both"/>
        <w:rPr>
          <w:rtl/>
        </w:rPr>
      </w:pPr>
    </w:p>
    <w:p w14:paraId="0B53708D" w14:textId="77777777" w:rsidR="00053E6A" w:rsidRPr="006166BD" w:rsidRDefault="00053E6A" w:rsidP="00053E6A">
      <w:pPr>
        <w:spacing w:line="360" w:lineRule="auto"/>
        <w:ind w:left="720" w:hanging="720"/>
        <w:jc w:val="both"/>
        <w:rPr>
          <w:rtl/>
        </w:rPr>
      </w:pPr>
    </w:p>
    <w:p w14:paraId="1B1180F4" w14:textId="77777777" w:rsidR="00053E6A" w:rsidRPr="006166BD" w:rsidRDefault="00053E6A" w:rsidP="00053E6A">
      <w:pPr>
        <w:spacing w:line="360" w:lineRule="auto"/>
        <w:ind w:left="720" w:hanging="778"/>
        <w:jc w:val="both"/>
        <w:rPr>
          <w:rtl/>
        </w:rPr>
      </w:pPr>
      <w:r w:rsidRPr="006166BD">
        <w:rPr>
          <w:rFonts w:hint="cs"/>
          <w:rtl/>
        </w:rPr>
        <w:t>11.</w:t>
      </w:r>
      <w:r w:rsidRPr="006166BD">
        <w:rPr>
          <w:rFonts w:hint="cs"/>
          <w:rtl/>
        </w:rPr>
        <w:tab/>
        <w:t>בהתחשב בחומרת מעשה עבירת הנשק בנסיבותיו, במידת אשמו של הנאשם, בערכים החברתיים שנפגעו ובמידת הפגיעה בהם, במדיניות הענישה הנהוגה ובנסיבות הקשורות בביצוע העבירה, נראה לי כי מתחם העונש ההולם למעשי הנאשם נע בין 18 ל- 36 חודשי מאסר בפועל.</w:t>
      </w:r>
    </w:p>
    <w:p w14:paraId="098CDF2B" w14:textId="77777777" w:rsidR="00053E6A" w:rsidRPr="006166BD" w:rsidRDefault="00053E6A" w:rsidP="00053E6A">
      <w:pPr>
        <w:spacing w:line="360" w:lineRule="auto"/>
        <w:ind w:left="720" w:hanging="778"/>
        <w:jc w:val="both"/>
        <w:rPr>
          <w:rtl/>
        </w:rPr>
      </w:pPr>
      <w:r w:rsidRPr="006166BD">
        <w:rPr>
          <w:rFonts w:hint="cs"/>
          <w:rtl/>
        </w:rPr>
        <w:t xml:space="preserve"> </w:t>
      </w:r>
    </w:p>
    <w:p w14:paraId="7C5A35E1" w14:textId="77777777" w:rsidR="00053E6A" w:rsidRPr="006166BD" w:rsidRDefault="00053E6A" w:rsidP="00053E6A">
      <w:pPr>
        <w:spacing w:line="360" w:lineRule="auto"/>
        <w:ind w:left="720" w:hanging="720"/>
        <w:jc w:val="both"/>
        <w:rPr>
          <w:b/>
          <w:bCs/>
          <w:u w:val="single"/>
          <w:rtl/>
        </w:rPr>
      </w:pPr>
      <w:r w:rsidRPr="006166BD">
        <w:rPr>
          <w:rFonts w:hint="cs"/>
          <w:b/>
          <w:bCs/>
          <w:u w:val="single"/>
          <w:rtl/>
        </w:rPr>
        <w:t>עבירות האיומים וההפרעה לשוטר במילוי תפקידו</w:t>
      </w:r>
    </w:p>
    <w:p w14:paraId="2BD200F6" w14:textId="77777777" w:rsidR="00053E6A" w:rsidRPr="006166BD" w:rsidRDefault="00053E6A" w:rsidP="00053E6A">
      <w:pPr>
        <w:spacing w:line="360" w:lineRule="auto"/>
        <w:ind w:left="720" w:hanging="720"/>
        <w:jc w:val="both"/>
        <w:rPr>
          <w:b/>
          <w:bCs/>
          <w:u w:val="single"/>
          <w:rtl/>
        </w:rPr>
      </w:pPr>
    </w:p>
    <w:p w14:paraId="327B9989" w14:textId="77777777" w:rsidR="00053E6A" w:rsidRPr="006166BD" w:rsidRDefault="00053E6A" w:rsidP="00053E6A">
      <w:pPr>
        <w:spacing w:line="360" w:lineRule="auto"/>
        <w:ind w:left="720" w:hanging="720"/>
        <w:jc w:val="both"/>
        <w:rPr>
          <w:rtl/>
        </w:rPr>
      </w:pPr>
      <w:r w:rsidRPr="006166BD">
        <w:rPr>
          <w:rFonts w:hint="cs"/>
          <w:rtl/>
        </w:rPr>
        <w:t>1.</w:t>
      </w:r>
      <w:r w:rsidRPr="006166BD">
        <w:rPr>
          <w:rFonts w:hint="cs"/>
          <w:rtl/>
        </w:rPr>
        <w:tab/>
        <w:t>הנאשם הודה במספר עבירות איומים ובעבירה של הפרעה לשוטר במילוי תפקידו. בהזדמנות אחת הוא התנגד לעיכובו על ידי שוטרים, ולאחר שהובא לתחנת המשטרה איים על שוטרים שם, ובהזדמנות אחרת איים על סוכן משטרתי שהיה אמור לשמש עד תביעה נגדו בעבירת החזקת הנשק מושא ענייננו.</w:t>
      </w:r>
    </w:p>
    <w:p w14:paraId="4ABDF123" w14:textId="77777777" w:rsidR="00053E6A" w:rsidRPr="006166BD" w:rsidRDefault="00053E6A" w:rsidP="00053E6A">
      <w:pPr>
        <w:spacing w:line="360" w:lineRule="auto"/>
        <w:ind w:left="720" w:hanging="720"/>
        <w:jc w:val="both"/>
        <w:rPr>
          <w:rtl/>
        </w:rPr>
      </w:pPr>
      <w:r w:rsidRPr="006166BD">
        <w:rPr>
          <w:rFonts w:hint="cs"/>
          <w:rtl/>
        </w:rPr>
        <w:t xml:space="preserve"> </w:t>
      </w:r>
    </w:p>
    <w:p w14:paraId="73D8B9C8" w14:textId="77777777" w:rsidR="00053E6A" w:rsidRPr="006166BD" w:rsidRDefault="00053E6A" w:rsidP="00053E6A">
      <w:pPr>
        <w:spacing w:line="360" w:lineRule="auto"/>
        <w:ind w:left="720" w:hanging="720"/>
        <w:jc w:val="both"/>
        <w:rPr>
          <w:rtl/>
        </w:rPr>
      </w:pPr>
      <w:r w:rsidRPr="006166BD">
        <w:rPr>
          <w:rFonts w:hint="cs"/>
          <w:rtl/>
        </w:rPr>
        <w:t>2.</w:t>
      </w:r>
      <w:r w:rsidRPr="006166BD">
        <w:rPr>
          <w:rFonts w:hint="cs"/>
          <w:rtl/>
        </w:rPr>
        <w:tab/>
        <w:t xml:space="preserve">הערכים החברתיים המוגנים בעבירת האיום הם </w:t>
      </w:r>
      <w:r w:rsidRPr="006166BD">
        <w:rPr>
          <w:rFonts w:ascii="Arial" w:hAnsi="Arial" w:hint="cs"/>
          <w:rtl/>
          <w:lang w:eastAsia="he-IL"/>
        </w:rPr>
        <w:t>ההגנה על שלוות הנפש, שלמות הגוף והביטחון וחופש הפעולה של הפרט.</w:t>
      </w:r>
    </w:p>
    <w:p w14:paraId="5C5C2757" w14:textId="77777777" w:rsidR="00053E6A" w:rsidRPr="006166BD" w:rsidRDefault="00053E6A" w:rsidP="00053E6A">
      <w:pPr>
        <w:spacing w:line="360" w:lineRule="auto"/>
        <w:ind w:left="720" w:hanging="720"/>
        <w:jc w:val="both"/>
        <w:rPr>
          <w:rtl/>
        </w:rPr>
      </w:pPr>
    </w:p>
    <w:p w14:paraId="565E0DD8" w14:textId="77777777" w:rsidR="00053E6A" w:rsidRPr="006166BD" w:rsidRDefault="00053E6A" w:rsidP="00053E6A">
      <w:pPr>
        <w:spacing w:line="360" w:lineRule="auto"/>
        <w:ind w:left="1440"/>
        <w:jc w:val="both"/>
        <w:rPr>
          <w:rtl/>
        </w:rPr>
      </w:pPr>
      <w:r w:rsidRPr="006166BD">
        <w:rPr>
          <w:rFonts w:hint="cs"/>
          <w:rtl/>
        </w:rPr>
        <w:t>"האיום הוא אפוא ביטוי שהמשפט מטיל עליו מגבלות תוך פגיעה בחופש הביטוי, וזאת כדי להגן על ערכים אחרים ובהם שלוות נפשו, ביטחונו וחירות פעולתו של הפרט. האיום מסכן את חירות פעולתו של הפרט שכן פעמים רבות האיום כרוך גם בצפייה להתנהגות מסוימת מצד המאוים שהמאיים מבקש להשיג באמצעות השמעת האיום. עמד על כך השופט גולדברג ב</w:t>
      </w:r>
      <w:hyperlink r:id="rId39" w:history="1">
        <w:r w:rsidR="0066726C" w:rsidRPr="0066726C">
          <w:rPr>
            <w:color w:val="0000FF"/>
            <w:u w:val="single"/>
            <w:rtl/>
          </w:rPr>
          <w:t>ע"פ 103/88</w:t>
        </w:r>
      </w:hyperlink>
      <w:r w:rsidRPr="006166BD">
        <w:rPr>
          <w:rFonts w:hint="cs"/>
          <w:rtl/>
        </w:rPr>
        <w:t xml:space="preserve"> ליכטמן נ' מדינת ישראל </w:t>
      </w:r>
      <w:r w:rsidR="00C96767" w:rsidRPr="00C96767">
        <w:rPr>
          <w:sz w:val="22"/>
          <w:rtl/>
        </w:rPr>
        <w:t xml:space="preserve">[פורסם בנבו] </w:t>
      </w:r>
      <w:r w:rsidRPr="006166BD">
        <w:rPr>
          <w:rFonts w:hint="cs"/>
          <w:rtl/>
        </w:rPr>
        <w:t xml:space="preserve">(להלן – פסק דין ליכטמן [1]), בעמ' 378: "מניעת ההפחדה וההקנטה לשמן היא שעומדת ביסוד האינטרס החברתי המוגן בעבירת האיומים </w:t>
      </w:r>
      <w:hyperlink r:id="rId40" w:history="1">
        <w:r w:rsidR="00E05668" w:rsidRPr="00E05668">
          <w:rPr>
            <w:color w:val="0000FF"/>
            <w:u w:val="single"/>
            <w:rtl/>
          </w:rPr>
          <w:t>שבסעיף 192.</w:t>
        </w:r>
      </w:hyperlink>
      <w:r w:rsidRPr="006166BD">
        <w:rPr>
          <w:rFonts w:hint="cs"/>
          <w:rtl/>
        </w:rPr>
        <w:t xml:space="preserve"> רוצה לומר, אינטרס החברה להגן על שלוות נפשו של הפרט (</w:t>
      </w:r>
      <w:r w:rsidRPr="006166BD">
        <w:t>person’s peace of mind</w:t>
      </w:r>
      <w:r w:rsidRPr="006166BD">
        <w:rPr>
          <w:rFonts w:hint="cs"/>
          <w:rtl/>
        </w:rPr>
        <w:t xml:space="preserve">) מפני מעשי הפחדה והקנטה שלא כדין. אינטרס חברתי נוסף אף הוא מוגן בעקיפין בעבירה זו, והוא נוגע לחופש הפעולה והבחירה של הפרט. כי גם אם אמרנו, שאין </w:t>
      </w:r>
      <w:hyperlink r:id="rId41" w:history="1">
        <w:r w:rsidR="00E05668" w:rsidRPr="00E05668">
          <w:rPr>
            <w:color w:val="0000FF"/>
            <w:u w:val="single"/>
            <w:rtl/>
          </w:rPr>
          <w:t>בסעיף 192</w:t>
        </w:r>
      </w:hyperlink>
      <w:r w:rsidRPr="006166BD">
        <w:rPr>
          <w:rFonts w:hint="cs"/>
          <w:rtl/>
        </w:rPr>
        <w:t xml:space="preserve">, בהבדל </w:t>
      </w:r>
      <w:hyperlink r:id="rId42" w:history="1">
        <w:r w:rsidR="00E05668" w:rsidRPr="00E05668">
          <w:rPr>
            <w:color w:val="0000FF"/>
            <w:u w:val="single"/>
            <w:rtl/>
          </w:rPr>
          <w:t>מסעיף 428</w:t>
        </w:r>
      </w:hyperlink>
      <w:r w:rsidRPr="006166BD">
        <w:rPr>
          <w:rFonts w:hint="cs"/>
          <w:rtl/>
        </w:rPr>
        <w:t xml:space="preserve">, דרישה, שמטרת האיום תהא להניע את המאוים לעשות מעשה או להימנע ממעשה, בידוע הוא, שבמקרים רבים מושמעים איומים </w:t>
      </w:r>
      <w:r w:rsidRPr="006166BD">
        <w:t>per se</w:t>
      </w:r>
      <w:r w:rsidRPr="006166BD">
        <w:rPr>
          <w:rFonts w:hint="cs"/>
          <w:rtl/>
        </w:rPr>
        <w:t xml:space="preserve"> כמסר מוסווה להתנהגות המצופה מן המאוים. נמצא, כי </w:t>
      </w:r>
      <w:hyperlink r:id="rId43" w:history="1">
        <w:r w:rsidR="00E05668" w:rsidRPr="00E05668">
          <w:rPr>
            <w:color w:val="0000FF"/>
            <w:u w:val="single"/>
            <w:rtl/>
          </w:rPr>
          <w:t>סעיף 192</w:t>
        </w:r>
      </w:hyperlink>
      <w:r w:rsidRPr="006166BD">
        <w:rPr>
          <w:rFonts w:hint="cs"/>
          <w:rtl/>
        </w:rPr>
        <w:t xml:space="preserve"> מקדים רפואה למכה ומונע מלכתחילה פגיעה עתידית בחרות הפעולה של הזולת..."."- </w:t>
      </w:r>
      <w:hyperlink r:id="rId44" w:history="1">
        <w:r w:rsidR="0066726C" w:rsidRPr="00C96767">
          <w:rPr>
            <w:rStyle w:val="Hyperlink"/>
            <w:rtl/>
          </w:rPr>
          <w:t>רע"פ 2038/04</w:t>
        </w:r>
        <w:r w:rsidRPr="00C96767">
          <w:rPr>
            <w:rStyle w:val="Hyperlink"/>
            <w:rFonts w:hint="cs"/>
            <w:rtl/>
          </w:rPr>
          <w:t xml:space="preserve"> </w:t>
        </w:r>
        <w:r w:rsidRPr="00C96767">
          <w:rPr>
            <w:rStyle w:val="Hyperlink"/>
            <w:rFonts w:hint="cs"/>
            <w:b/>
            <w:bCs/>
            <w:rtl/>
          </w:rPr>
          <w:t xml:space="preserve">שמואל לם </w:t>
        </w:r>
        <w:r w:rsidRPr="00C96767">
          <w:rPr>
            <w:rStyle w:val="Hyperlink"/>
            <w:rFonts w:hint="cs"/>
            <w:rtl/>
          </w:rPr>
          <w:t>נ'</w:t>
        </w:r>
        <w:r w:rsidRPr="00C96767">
          <w:rPr>
            <w:rStyle w:val="Hyperlink"/>
            <w:rFonts w:hint="cs"/>
            <w:b/>
            <w:bCs/>
            <w:rtl/>
          </w:rPr>
          <w:t xml:space="preserve"> מדינת ישראל</w:t>
        </w:r>
        <w:r w:rsidRPr="00C96767">
          <w:rPr>
            <w:rStyle w:val="Hyperlink"/>
            <w:rFonts w:hint="cs"/>
            <w:rtl/>
          </w:rPr>
          <w:t>, ס</w:t>
        </w:r>
      </w:hyperlink>
      <w:r w:rsidRPr="006166BD">
        <w:rPr>
          <w:rFonts w:hint="cs"/>
          <w:rtl/>
        </w:rPr>
        <w:t>(4) 96 (2006)</w:t>
      </w:r>
    </w:p>
    <w:p w14:paraId="7145FE1E" w14:textId="77777777" w:rsidR="00053E6A" w:rsidRPr="006166BD" w:rsidRDefault="00053E6A" w:rsidP="00053E6A">
      <w:pPr>
        <w:spacing w:line="360" w:lineRule="auto"/>
        <w:ind w:left="720" w:hanging="720"/>
        <w:jc w:val="both"/>
      </w:pPr>
    </w:p>
    <w:p w14:paraId="2532BF42" w14:textId="77777777" w:rsidR="00053E6A" w:rsidRPr="006166BD" w:rsidRDefault="00053E6A" w:rsidP="00053E6A">
      <w:pPr>
        <w:spacing w:line="360" w:lineRule="auto"/>
        <w:ind w:left="720"/>
        <w:jc w:val="both"/>
        <w:rPr>
          <w:rtl/>
        </w:rPr>
      </w:pPr>
      <w:r w:rsidRPr="006166BD">
        <w:rPr>
          <w:rFonts w:hint="cs"/>
          <w:rtl/>
        </w:rPr>
        <w:t xml:space="preserve">בהתחשב בתוכן האיומים, ובכך שהם הושמעו כלפי שוטרים וכלפי סוכן משטרתי שאמור היה להעיד נגד הנאשם, הרי שמידת הפגיעה בערכים אלה הינה משמעותית. </w:t>
      </w:r>
    </w:p>
    <w:p w14:paraId="26E01248" w14:textId="77777777" w:rsidR="00053E6A" w:rsidRPr="006166BD" w:rsidRDefault="00053E6A" w:rsidP="00053E6A">
      <w:pPr>
        <w:spacing w:line="360" w:lineRule="auto"/>
        <w:ind w:left="720"/>
        <w:jc w:val="both"/>
        <w:rPr>
          <w:rtl/>
        </w:rPr>
      </w:pPr>
    </w:p>
    <w:p w14:paraId="7D2A1CAF" w14:textId="77777777" w:rsidR="00053E6A" w:rsidRPr="006166BD" w:rsidRDefault="00053E6A" w:rsidP="00053E6A">
      <w:pPr>
        <w:spacing w:line="360" w:lineRule="auto"/>
        <w:ind w:left="720"/>
        <w:jc w:val="both"/>
        <w:rPr>
          <w:rtl/>
        </w:rPr>
      </w:pPr>
      <w:r w:rsidRPr="006166BD">
        <w:rPr>
          <w:rFonts w:hint="cs"/>
          <w:rtl/>
        </w:rPr>
        <w:t xml:space="preserve">הערכים המוגנים בעבירת ההפרעה לשוטר במילוי תפקידו הם ההגנה על שלטון החוק והסדר הציבורי. בנסיבות, מידת הפגיעה בהם מתונה. </w:t>
      </w:r>
    </w:p>
    <w:p w14:paraId="539B5F2F" w14:textId="77777777" w:rsidR="00053E6A" w:rsidRPr="006166BD" w:rsidRDefault="00053E6A" w:rsidP="00053E6A">
      <w:pPr>
        <w:spacing w:line="360" w:lineRule="auto"/>
        <w:ind w:left="720" w:hanging="720"/>
        <w:jc w:val="both"/>
        <w:rPr>
          <w:rtl/>
        </w:rPr>
      </w:pPr>
    </w:p>
    <w:p w14:paraId="0A9F606D" w14:textId="77777777" w:rsidR="00053E6A" w:rsidRPr="006166BD" w:rsidRDefault="00053E6A" w:rsidP="00053E6A">
      <w:pPr>
        <w:spacing w:line="360" w:lineRule="auto"/>
        <w:ind w:left="720" w:hanging="720"/>
        <w:jc w:val="both"/>
        <w:rPr>
          <w:rtl/>
        </w:rPr>
      </w:pPr>
      <w:r w:rsidRPr="006166BD">
        <w:rPr>
          <w:rFonts w:hint="cs"/>
          <w:rtl/>
        </w:rPr>
        <w:t>3.</w:t>
      </w:r>
      <w:r w:rsidRPr="006166BD">
        <w:rPr>
          <w:rFonts w:hint="cs"/>
          <w:rtl/>
        </w:rPr>
        <w:tab/>
      </w:r>
      <w:r w:rsidRPr="006166BD">
        <w:rPr>
          <w:rFonts w:hint="cs"/>
          <w:rtl/>
          <w:lang w:eastAsia="he-IL"/>
        </w:rPr>
        <w:t xml:space="preserve">מדיניות הענישה הנוהגת בעבירת איומים נעה ממאסר על תנאי ועד לשנת מאסר בפועל. אשר לעבירה של הפרעה לשוטר במילוי תפקידו, </w:t>
      </w:r>
      <w:r w:rsidRPr="006166BD">
        <w:rPr>
          <w:rFonts w:hint="cs"/>
          <w:rtl/>
        </w:rPr>
        <w:t>יצוין, כי החוק קובע עונש מינימום של שבועיים מאסר למי שהורשע בעבירה זו.</w:t>
      </w:r>
      <w:r w:rsidRPr="006166BD">
        <w:rPr>
          <w:rFonts w:hint="cs"/>
          <w:rtl/>
          <w:lang w:eastAsia="he-IL"/>
        </w:rPr>
        <w:t xml:space="preserve"> הלכה למעשה, העונשים על עבירה זו נעים בין  מאסר על תנאי ועד מספר חודשי מאסר בפועל.</w:t>
      </w:r>
      <w:r w:rsidRPr="006166BD">
        <w:rPr>
          <w:rFonts w:hint="cs"/>
          <w:rtl/>
        </w:rPr>
        <w:t xml:space="preserve"> </w:t>
      </w:r>
    </w:p>
    <w:p w14:paraId="1F42DA9D" w14:textId="77777777" w:rsidR="00053E6A" w:rsidRPr="006166BD" w:rsidRDefault="00053E6A" w:rsidP="00053E6A">
      <w:pPr>
        <w:spacing w:line="360" w:lineRule="auto"/>
        <w:ind w:left="720" w:hanging="720"/>
        <w:jc w:val="both"/>
        <w:rPr>
          <w:rtl/>
        </w:rPr>
      </w:pPr>
    </w:p>
    <w:p w14:paraId="62C98888" w14:textId="77777777" w:rsidR="00053E6A" w:rsidRPr="006166BD" w:rsidRDefault="00053E6A" w:rsidP="00053E6A">
      <w:pPr>
        <w:spacing w:line="360" w:lineRule="auto"/>
        <w:ind w:left="-625" w:firstLine="627"/>
        <w:jc w:val="both"/>
        <w:rPr>
          <w:rtl/>
        </w:rPr>
      </w:pPr>
      <w:r w:rsidRPr="006166BD">
        <w:rPr>
          <w:rFonts w:hint="cs"/>
          <w:rtl/>
        </w:rPr>
        <w:t>4.</w:t>
      </w:r>
      <w:r w:rsidRPr="006166BD">
        <w:rPr>
          <w:rFonts w:hint="cs"/>
          <w:rtl/>
        </w:rPr>
        <w:tab/>
        <w:t xml:space="preserve">באשר לנסיבות ביצוע העבירות- </w:t>
      </w:r>
    </w:p>
    <w:p w14:paraId="6887BEE4" w14:textId="77777777" w:rsidR="00053E6A" w:rsidRPr="006166BD" w:rsidRDefault="00053E6A" w:rsidP="00053E6A">
      <w:pPr>
        <w:spacing w:line="360" w:lineRule="auto"/>
        <w:ind w:left="720"/>
        <w:jc w:val="both"/>
        <w:rPr>
          <w:rtl/>
        </w:rPr>
      </w:pPr>
      <w:r w:rsidRPr="006166BD">
        <w:rPr>
          <w:rFonts w:hint="cs"/>
          <w:rtl/>
        </w:rPr>
        <w:t xml:space="preserve">עבירות ההפרעה לשוטר והאיומים שבוצעו נגד השוטרים היו ספונטניות והושמעו לאחר שהנאשם נלקח על יד השוטרים לתחנת המשטרה. עם זאת, עבירת האיומים שבוצעה נגד הסוכן המשטרתי היתה מתוכננת. הנאשם הגיע יחד עם אחרים לביתו של הסוכן, נעמד מחוץ לבית והשמיע את איומיו. </w:t>
      </w:r>
    </w:p>
    <w:p w14:paraId="3AB329D7" w14:textId="77777777" w:rsidR="00053E6A" w:rsidRPr="006166BD" w:rsidRDefault="00053E6A" w:rsidP="00053E6A">
      <w:pPr>
        <w:spacing w:line="360" w:lineRule="auto"/>
        <w:ind w:left="720"/>
        <w:jc w:val="both"/>
        <w:rPr>
          <w:rtl/>
        </w:rPr>
      </w:pPr>
    </w:p>
    <w:p w14:paraId="0658DDFF" w14:textId="77777777" w:rsidR="00053E6A" w:rsidRPr="006166BD" w:rsidRDefault="00053E6A" w:rsidP="00053E6A">
      <w:pPr>
        <w:spacing w:line="360" w:lineRule="auto"/>
        <w:ind w:left="720"/>
        <w:jc w:val="both"/>
        <w:rPr>
          <w:rtl/>
        </w:rPr>
      </w:pPr>
      <w:r w:rsidRPr="006166BD">
        <w:rPr>
          <w:rFonts w:hint="cs"/>
          <w:rtl/>
        </w:rPr>
        <w:t>הנאשם איים על שוטרים בתחנת משטרה, במלים חריפות מאוד, באומרו לאחד מהם-</w:t>
      </w:r>
    </w:p>
    <w:p w14:paraId="1A493EA7" w14:textId="77777777" w:rsidR="00053E6A" w:rsidRPr="006166BD" w:rsidRDefault="00053E6A" w:rsidP="00053E6A">
      <w:pPr>
        <w:spacing w:line="360" w:lineRule="auto"/>
        <w:ind w:left="1440"/>
        <w:jc w:val="both"/>
        <w:rPr>
          <w:rtl/>
        </w:rPr>
      </w:pPr>
      <w:r w:rsidRPr="006166BD">
        <w:rPr>
          <w:rFonts w:hint="cs"/>
          <w:rtl/>
        </w:rPr>
        <w:t xml:space="preserve">"יש לי עורך דין שאני משלם לו 60,000 ₪ וכשהוא יבוא אני אתן לך אגרוף לפנים לידו ואשבור לך את האף. אני פסיכופט ואני אוהב לראות דם.... אני מכיר את הבן שלך ובגלל שאתה עם מדים אני אפגע בו ולא בך. עוד היום כשאשתחרר הבן שלך יהיה דקור...". </w:t>
      </w:r>
    </w:p>
    <w:p w14:paraId="06F55D4B" w14:textId="77777777" w:rsidR="00053E6A" w:rsidRPr="006166BD" w:rsidRDefault="00053E6A" w:rsidP="00053E6A">
      <w:pPr>
        <w:spacing w:line="360" w:lineRule="auto"/>
        <w:ind w:left="720"/>
        <w:jc w:val="both"/>
        <w:rPr>
          <w:rtl/>
        </w:rPr>
      </w:pPr>
    </w:p>
    <w:p w14:paraId="0E08CACF" w14:textId="77777777" w:rsidR="00053E6A" w:rsidRPr="006166BD" w:rsidRDefault="00053E6A" w:rsidP="00053E6A">
      <w:pPr>
        <w:spacing w:line="360" w:lineRule="auto"/>
        <w:ind w:left="720"/>
        <w:jc w:val="both"/>
        <w:rPr>
          <w:rtl/>
        </w:rPr>
      </w:pPr>
      <w:r w:rsidRPr="006166BD">
        <w:rPr>
          <w:rFonts w:hint="cs"/>
          <w:rtl/>
        </w:rPr>
        <w:t xml:space="preserve">לשוטר האחר הנאשם אמר - "לא אתה תבכה, אמא שלך תבכה היום, אתה מכיר את דוד שלי נצח אתם שכנים, אני אביא לאחיך דקירה ליד אמא שלך". </w:t>
      </w:r>
    </w:p>
    <w:p w14:paraId="02592266" w14:textId="77777777" w:rsidR="00053E6A" w:rsidRPr="006166BD" w:rsidRDefault="00053E6A" w:rsidP="00053E6A">
      <w:pPr>
        <w:spacing w:line="360" w:lineRule="auto"/>
        <w:ind w:left="720"/>
        <w:jc w:val="both"/>
        <w:rPr>
          <w:rtl/>
        </w:rPr>
      </w:pPr>
    </w:p>
    <w:p w14:paraId="30894333" w14:textId="77777777" w:rsidR="00053E6A" w:rsidRPr="006166BD" w:rsidRDefault="00053E6A" w:rsidP="00053E6A">
      <w:pPr>
        <w:spacing w:line="360" w:lineRule="auto"/>
        <w:ind w:left="720"/>
        <w:jc w:val="both"/>
        <w:rPr>
          <w:rtl/>
        </w:rPr>
      </w:pPr>
      <w:r w:rsidRPr="006166BD">
        <w:rPr>
          <w:rFonts w:hint="cs"/>
          <w:rtl/>
        </w:rPr>
        <w:t xml:space="preserve">איומי הנאשם כלפי הסוכן המשטרתי שהפליל אותו כללו הגעה לקרבת ביתו של הסוכן וקריאה אל בני הבית בצעקות "אנחנו עוד נמצא אותו", "אנחנו נאכל אותך כמו שאכלת אותנו", כשהכוונה היא לסוכן. </w:t>
      </w:r>
    </w:p>
    <w:p w14:paraId="1CE3D273" w14:textId="77777777" w:rsidR="00053E6A" w:rsidRPr="006166BD" w:rsidRDefault="00053E6A" w:rsidP="00053E6A">
      <w:pPr>
        <w:spacing w:line="360" w:lineRule="auto"/>
        <w:ind w:left="720"/>
        <w:jc w:val="both"/>
        <w:rPr>
          <w:rtl/>
        </w:rPr>
      </w:pPr>
    </w:p>
    <w:p w14:paraId="6B0D44DD" w14:textId="77777777" w:rsidR="00053E6A" w:rsidRPr="006166BD" w:rsidRDefault="00053E6A" w:rsidP="00053E6A">
      <w:pPr>
        <w:spacing w:line="360" w:lineRule="auto"/>
        <w:ind w:left="720"/>
        <w:jc w:val="both"/>
        <w:rPr>
          <w:rtl/>
        </w:rPr>
      </w:pPr>
      <w:r w:rsidRPr="006166BD">
        <w:rPr>
          <w:rFonts w:hint="cs"/>
          <w:rtl/>
        </w:rPr>
        <w:t xml:space="preserve">איומי הנאשם מזעזעים בחומרתם. </w:t>
      </w:r>
    </w:p>
    <w:p w14:paraId="7717D03D" w14:textId="77777777" w:rsidR="00053E6A" w:rsidRPr="006166BD" w:rsidRDefault="00053E6A" w:rsidP="00053E6A">
      <w:pPr>
        <w:spacing w:line="360" w:lineRule="auto"/>
        <w:ind w:left="720"/>
        <w:jc w:val="both"/>
        <w:rPr>
          <w:rtl/>
        </w:rPr>
      </w:pPr>
    </w:p>
    <w:p w14:paraId="679C9B09" w14:textId="77777777" w:rsidR="00053E6A" w:rsidRPr="006166BD" w:rsidRDefault="00053E6A" w:rsidP="00053E6A">
      <w:pPr>
        <w:spacing w:line="360" w:lineRule="auto"/>
        <w:ind w:left="720"/>
        <w:jc w:val="both"/>
        <w:rPr>
          <w:rtl/>
        </w:rPr>
      </w:pPr>
      <w:r w:rsidRPr="006166BD">
        <w:rPr>
          <w:rFonts w:hint="cs"/>
          <w:rtl/>
        </w:rPr>
        <w:t xml:space="preserve">הנאשם ביצע את העבירות בעצמו. בשתי הזדמנויות הוא ביצע את העבירות עם אחרים, אולם הוא היה פעיל מרכזי בהן.  </w:t>
      </w:r>
    </w:p>
    <w:p w14:paraId="7DF4913E" w14:textId="77777777" w:rsidR="00053E6A" w:rsidRPr="006166BD" w:rsidRDefault="00053E6A" w:rsidP="00053E6A">
      <w:pPr>
        <w:spacing w:line="360" w:lineRule="auto"/>
        <w:ind w:left="720" w:hanging="778"/>
        <w:jc w:val="both"/>
        <w:rPr>
          <w:rtl/>
        </w:rPr>
      </w:pPr>
    </w:p>
    <w:p w14:paraId="2A74E3B9" w14:textId="77777777" w:rsidR="00053E6A" w:rsidRPr="006166BD" w:rsidRDefault="00053E6A" w:rsidP="00053E6A">
      <w:pPr>
        <w:spacing w:line="360" w:lineRule="auto"/>
        <w:ind w:left="720" w:hanging="778"/>
        <w:jc w:val="both"/>
        <w:rPr>
          <w:rtl/>
        </w:rPr>
      </w:pPr>
      <w:r w:rsidRPr="006166BD">
        <w:rPr>
          <w:rFonts w:hint="cs"/>
          <w:rtl/>
        </w:rPr>
        <w:t>5.</w:t>
      </w:r>
      <w:r w:rsidRPr="006166BD">
        <w:rPr>
          <w:rFonts w:hint="cs"/>
          <w:rtl/>
        </w:rPr>
        <w:tab/>
        <w:t xml:space="preserve">בהתחשב בחומרת מעשה העבירות בנסיבותיהן, במידת אשמו של הנאשם, בערכים החברתיים שנפגעו ובמידת הפגיעה בהם, במדיניות הענישה הנהוגה ובנסיבות הקשורות בביצוע העבירות, נראה לי כי מתחם העונש ההולם לכל אחת מעבירות האיומים שביצע הנאשם, נע בין מספר חודשי מאסר בעבודות שירות ועד שנת מאסר בפועל. ומתחם העונש ההולם כאן לעבירת ההפרעה לשוטר במילוי תפקידו נע בין מאסר על תנאי למספר חודשי מאסר בפועל.  </w:t>
      </w:r>
    </w:p>
    <w:p w14:paraId="6150EEC5" w14:textId="77777777" w:rsidR="00053E6A" w:rsidRPr="006166BD" w:rsidRDefault="00053E6A" w:rsidP="00053E6A">
      <w:pPr>
        <w:spacing w:line="360" w:lineRule="auto"/>
        <w:ind w:left="-58" w:hanging="720"/>
        <w:jc w:val="both"/>
        <w:rPr>
          <w:rtl/>
        </w:rPr>
      </w:pPr>
    </w:p>
    <w:p w14:paraId="78E4EF1A" w14:textId="77777777" w:rsidR="00053E6A" w:rsidRDefault="00053E6A" w:rsidP="00053E6A">
      <w:pPr>
        <w:spacing w:line="360" w:lineRule="auto"/>
        <w:ind w:left="720" w:hanging="720"/>
        <w:jc w:val="both"/>
        <w:rPr>
          <w:b/>
          <w:bCs/>
          <w:u w:val="single"/>
          <w:rtl/>
        </w:rPr>
      </w:pPr>
    </w:p>
    <w:p w14:paraId="01B5BC19" w14:textId="77777777" w:rsidR="00053E6A" w:rsidRPr="006166BD" w:rsidRDefault="00053E6A" w:rsidP="00053E6A">
      <w:pPr>
        <w:spacing w:line="360" w:lineRule="auto"/>
        <w:ind w:left="720" w:hanging="720"/>
        <w:jc w:val="both"/>
        <w:rPr>
          <w:b/>
          <w:bCs/>
          <w:u w:val="single"/>
          <w:rtl/>
        </w:rPr>
      </w:pPr>
      <w:r w:rsidRPr="006166BD">
        <w:rPr>
          <w:rFonts w:hint="cs"/>
          <w:b/>
          <w:bCs/>
          <w:u w:val="single"/>
          <w:rtl/>
        </w:rPr>
        <w:t>העונש הכולל הראוי לנאשם</w:t>
      </w:r>
    </w:p>
    <w:p w14:paraId="33FDC41B" w14:textId="77777777" w:rsidR="00053E6A" w:rsidRPr="006166BD" w:rsidRDefault="00053E6A" w:rsidP="00053E6A">
      <w:pPr>
        <w:spacing w:line="360" w:lineRule="auto"/>
        <w:ind w:left="720" w:hanging="720"/>
        <w:jc w:val="both"/>
        <w:rPr>
          <w:rtl/>
        </w:rPr>
      </w:pPr>
      <w:r w:rsidRPr="006166BD">
        <w:rPr>
          <w:rFonts w:hint="cs"/>
          <w:rtl/>
        </w:rPr>
        <w:t>1.</w:t>
      </w:r>
      <w:r w:rsidRPr="006166BD">
        <w:rPr>
          <w:rFonts w:hint="cs"/>
          <w:rtl/>
        </w:rPr>
        <w:tab/>
        <w:t xml:space="preserve">שירות המבחן התרשם כי עמדותיו של הנאשם אינן מאפשרות לפתח עמו שיח על מצבו, וכי הסיכון להישנות התנהגות עוברת חוק גבוה, והוא המליץ על ענישה מוחשית בדמות מאסר. התכנים הכלולים בתסקיר מלמדים כי יש צורך בהרתעת הנאשם מפני ביצוע עבירות נוספות. </w:t>
      </w:r>
    </w:p>
    <w:p w14:paraId="2958FC0E" w14:textId="77777777" w:rsidR="00053E6A" w:rsidRPr="006166BD" w:rsidRDefault="00053E6A" w:rsidP="00053E6A">
      <w:pPr>
        <w:spacing w:line="360" w:lineRule="auto"/>
        <w:ind w:left="-58" w:hanging="720"/>
        <w:jc w:val="both"/>
        <w:rPr>
          <w:rtl/>
        </w:rPr>
      </w:pPr>
      <w:r w:rsidRPr="006166BD">
        <w:rPr>
          <w:rFonts w:hint="cs"/>
          <w:rtl/>
        </w:rPr>
        <w:t xml:space="preserve">  </w:t>
      </w:r>
    </w:p>
    <w:p w14:paraId="55CA7110" w14:textId="77777777" w:rsidR="00053E6A" w:rsidRPr="006166BD" w:rsidRDefault="00053E6A" w:rsidP="00053E6A">
      <w:pPr>
        <w:spacing w:line="360" w:lineRule="auto"/>
        <w:ind w:left="720" w:hanging="778"/>
        <w:jc w:val="both"/>
        <w:rPr>
          <w:rtl/>
        </w:rPr>
      </w:pPr>
      <w:r w:rsidRPr="006166BD">
        <w:rPr>
          <w:rFonts w:hint="cs"/>
          <w:rtl/>
        </w:rPr>
        <w:t>2.</w:t>
      </w:r>
      <w:r w:rsidRPr="006166BD">
        <w:rPr>
          <w:rFonts w:hint="cs"/>
          <w:rtl/>
        </w:rPr>
        <w:tab/>
        <w:t xml:space="preserve">השימוש העברייני הגובר במטעני חבלה לאיום ולפגיעה באחרים, הוא מהביטויים החמורים והמסוכנים של עליית רף האלימות העבריינית בישראל, שפגיעתה בציבור והשפעתה על תחושת הבטחון של האזרח ועל איכות החיים שלו, רבה ומשמעותית. </w:t>
      </w:r>
    </w:p>
    <w:p w14:paraId="526053B2" w14:textId="77777777" w:rsidR="00053E6A" w:rsidRPr="006166BD" w:rsidRDefault="00053E6A" w:rsidP="00053E6A">
      <w:pPr>
        <w:spacing w:line="360" w:lineRule="auto"/>
        <w:ind w:left="720"/>
        <w:jc w:val="both"/>
        <w:rPr>
          <w:rtl/>
        </w:rPr>
      </w:pPr>
    </w:p>
    <w:p w14:paraId="5477A82F" w14:textId="77777777" w:rsidR="00053E6A" w:rsidRPr="006166BD" w:rsidRDefault="00053E6A" w:rsidP="00053E6A">
      <w:pPr>
        <w:spacing w:line="360" w:lineRule="auto"/>
        <w:ind w:left="720"/>
        <w:jc w:val="both"/>
        <w:rPr>
          <w:rtl/>
        </w:rPr>
      </w:pPr>
      <w:r w:rsidRPr="006166BD">
        <w:rPr>
          <w:rFonts w:hint="cs"/>
          <w:rtl/>
        </w:rPr>
        <w:t xml:space="preserve">למרות נתוני המטען, עדיין מדובר במטען חבלה המסוגל להמית אדם, המוחזק בידיים עברייניות. </w:t>
      </w:r>
    </w:p>
    <w:p w14:paraId="0D7BE8B8" w14:textId="77777777" w:rsidR="00053E6A" w:rsidRPr="006166BD" w:rsidRDefault="00053E6A" w:rsidP="00053E6A">
      <w:pPr>
        <w:spacing w:line="360" w:lineRule="auto"/>
        <w:ind w:left="720"/>
        <w:jc w:val="both"/>
        <w:rPr>
          <w:rtl/>
        </w:rPr>
      </w:pPr>
    </w:p>
    <w:p w14:paraId="659BA5EC" w14:textId="77777777" w:rsidR="00053E6A" w:rsidRPr="006166BD" w:rsidRDefault="00053E6A" w:rsidP="00053E6A">
      <w:pPr>
        <w:spacing w:line="360" w:lineRule="auto"/>
        <w:ind w:left="720"/>
        <w:jc w:val="both"/>
        <w:rPr>
          <w:rtl/>
        </w:rPr>
      </w:pPr>
      <w:r w:rsidRPr="006166BD">
        <w:rPr>
          <w:rFonts w:hint="cs"/>
          <w:rtl/>
        </w:rPr>
        <w:t>נפש הציבור נקעה מהמצב, והצורך בריסון התופעה ברור מאליו. אחת מדרכי הפעולה המתבקשות היא החמרת הענישה.</w:t>
      </w:r>
    </w:p>
    <w:p w14:paraId="1F3928BA" w14:textId="77777777" w:rsidR="00053E6A" w:rsidRPr="006166BD" w:rsidRDefault="00053E6A" w:rsidP="00053E6A">
      <w:pPr>
        <w:spacing w:line="360" w:lineRule="auto"/>
        <w:ind w:left="-58" w:hanging="720"/>
        <w:jc w:val="both"/>
        <w:rPr>
          <w:rtl/>
        </w:rPr>
      </w:pPr>
      <w:r w:rsidRPr="006166BD">
        <w:rPr>
          <w:rFonts w:hint="cs"/>
          <w:rtl/>
        </w:rPr>
        <w:tab/>
      </w:r>
      <w:r w:rsidRPr="006166BD">
        <w:rPr>
          <w:rFonts w:hint="cs"/>
          <w:rtl/>
        </w:rPr>
        <w:tab/>
      </w:r>
      <w:r w:rsidRPr="006166BD">
        <w:rPr>
          <w:rFonts w:hint="cs"/>
          <w:rtl/>
        </w:rPr>
        <w:tab/>
      </w:r>
    </w:p>
    <w:p w14:paraId="6EDC20D0" w14:textId="77777777" w:rsidR="00053E6A" w:rsidRPr="006166BD" w:rsidRDefault="00053E6A" w:rsidP="00053E6A">
      <w:pPr>
        <w:spacing w:line="360" w:lineRule="auto"/>
        <w:ind w:left="720" w:hanging="720"/>
        <w:jc w:val="both"/>
        <w:rPr>
          <w:rtl/>
        </w:rPr>
      </w:pPr>
      <w:r w:rsidRPr="006166BD">
        <w:rPr>
          <w:rFonts w:hint="cs"/>
          <w:rtl/>
        </w:rPr>
        <w:tab/>
        <w:t xml:space="preserve">איומים משמעותיים כלפי שוטרים ומשפחותיהם, ואיומים כלפי "עדי תביעה", מחייבים תגובה עונשית נחרצת, הכוללת מאסר בפועל. </w:t>
      </w:r>
    </w:p>
    <w:p w14:paraId="0DE3C314" w14:textId="77777777" w:rsidR="00053E6A" w:rsidRPr="006166BD" w:rsidRDefault="00053E6A" w:rsidP="00053E6A">
      <w:pPr>
        <w:spacing w:line="360" w:lineRule="auto"/>
        <w:ind w:left="720" w:hanging="720"/>
        <w:jc w:val="both"/>
        <w:rPr>
          <w:rtl/>
        </w:rPr>
      </w:pPr>
    </w:p>
    <w:p w14:paraId="75BF7EF3" w14:textId="77777777" w:rsidR="00053E6A" w:rsidRPr="006166BD" w:rsidRDefault="00053E6A" w:rsidP="00053E6A">
      <w:pPr>
        <w:spacing w:line="360" w:lineRule="auto"/>
        <w:ind w:left="720" w:hanging="778"/>
        <w:jc w:val="both"/>
        <w:rPr>
          <w:rtl/>
        </w:rPr>
      </w:pPr>
      <w:r w:rsidRPr="006166BD">
        <w:rPr>
          <w:rFonts w:hint="cs"/>
          <w:rtl/>
        </w:rPr>
        <w:t>3.</w:t>
      </w:r>
      <w:r w:rsidRPr="006166BD">
        <w:rPr>
          <w:rFonts w:hint="cs"/>
          <w:rtl/>
        </w:rPr>
        <w:tab/>
        <w:t xml:space="preserve">הנאשם כבן 23. נתוניו האישיים והמשפחתיים מורכבים. הוא אינו עובד באופן מסודר, מתרועע עם חברה שלילית, ודחה הצעות להשתלב בטיפול. אין לו הרשעות קודמות וזהו מאסרו הראשון. </w:t>
      </w:r>
    </w:p>
    <w:p w14:paraId="4E762251" w14:textId="77777777" w:rsidR="00053E6A" w:rsidRPr="006166BD" w:rsidRDefault="00053E6A" w:rsidP="00053E6A">
      <w:pPr>
        <w:spacing w:line="360" w:lineRule="auto"/>
        <w:ind w:left="720"/>
        <w:jc w:val="both"/>
        <w:rPr>
          <w:rtl/>
        </w:rPr>
      </w:pPr>
      <w:r w:rsidRPr="006166BD">
        <w:rPr>
          <w:rFonts w:hint="cs"/>
          <w:rtl/>
        </w:rPr>
        <w:t xml:space="preserve">מאסר יכול לסמן לו גבול וללמדו שיש מחיר לעבריינות, וכן לתת לו הזדמנות להשתלב בטיפול, אך הוא גם טומן בחובו רעות ידועות ובהן הסתגלות למאסר והקהיית הרתיעה ממנו, העמקת הקשרים העברייניים והטמעת דפוסים שליליים. </w:t>
      </w:r>
    </w:p>
    <w:p w14:paraId="250F68F3" w14:textId="77777777" w:rsidR="00053E6A" w:rsidRPr="006166BD" w:rsidRDefault="00053E6A" w:rsidP="00053E6A">
      <w:pPr>
        <w:spacing w:line="360" w:lineRule="auto"/>
        <w:ind w:left="720"/>
        <w:jc w:val="both"/>
        <w:rPr>
          <w:rtl/>
        </w:rPr>
      </w:pPr>
      <w:r w:rsidRPr="006166BD">
        <w:rPr>
          <w:rFonts w:hint="cs"/>
          <w:rtl/>
        </w:rPr>
        <w:t xml:space="preserve">בגזירת דינו של הנאשם אני לוקח בחשבון גם את הודאת הנאשם – הגם שהוא התבטא בפני שירות המבחן כי הודאתו באה רק כדי לסיים את ההליך; את הפגיעה שתיגרם לנאשם ולמשפחתו – ובעיקר לאמו – מהמאסר; את נסיבות חייו; את העדר ההרשעות הקודמות; ואת הצורך בהרתעתו.  </w:t>
      </w:r>
    </w:p>
    <w:p w14:paraId="5B39FEDA" w14:textId="77777777" w:rsidR="00053E6A" w:rsidRPr="006166BD" w:rsidRDefault="00053E6A" w:rsidP="00053E6A">
      <w:pPr>
        <w:spacing w:line="360" w:lineRule="auto"/>
        <w:ind w:left="-58" w:hanging="720"/>
        <w:jc w:val="both"/>
        <w:rPr>
          <w:rtl/>
        </w:rPr>
      </w:pPr>
    </w:p>
    <w:p w14:paraId="5AF2E376" w14:textId="77777777" w:rsidR="00053E6A" w:rsidRPr="006166BD" w:rsidRDefault="00053E6A" w:rsidP="00053E6A">
      <w:pPr>
        <w:spacing w:line="360" w:lineRule="auto"/>
        <w:ind w:left="-58" w:hanging="720"/>
        <w:jc w:val="both"/>
        <w:rPr>
          <w:rtl/>
        </w:rPr>
      </w:pPr>
    </w:p>
    <w:p w14:paraId="330CFFC8" w14:textId="77777777" w:rsidR="00053E6A" w:rsidRPr="006166BD" w:rsidRDefault="00053E6A" w:rsidP="00053E6A">
      <w:pPr>
        <w:spacing w:line="360" w:lineRule="auto"/>
        <w:ind w:left="-58"/>
        <w:jc w:val="both"/>
        <w:rPr>
          <w:rtl/>
        </w:rPr>
      </w:pPr>
      <w:r w:rsidRPr="006166BD">
        <w:rPr>
          <w:rFonts w:hint="cs"/>
          <w:rtl/>
        </w:rPr>
        <w:t>4.</w:t>
      </w:r>
      <w:r w:rsidRPr="006166BD">
        <w:rPr>
          <w:rFonts w:hint="cs"/>
          <w:rtl/>
        </w:rPr>
        <w:tab/>
        <w:t>נוכח כל האמור, אני גוזר על הנאשם את העונשים הבאים:</w:t>
      </w:r>
    </w:p>
    <w:p w14:paraId="14BD744D" w14:textId="77777777" w:rsidR="00053E6A" w:rsidRPr="006166BD" w:rsidRDefault="00053E6A" w:rsidP="00053E6A">
      <w:pPr>
        <w:spacing w:line="360" w:lineRule="auto"/>
        <w:ind w:left="-58" w:hanging="720"/>
        <w:jc w:val="both"/>
        <w:rPr>
          <w:rtl/>
        </w:rPr>
      </w:pPr>
    </w:p>
    <w:p w14:paraId="43235CE1" w14:textId="77777777" w:rsidR="00053E6A" w:rsidRPr="006166BD" w:rsidRDefault="00053E6A" w:rsidP="00053E6A">
      <w:pPr>
        <w:spacing w:line="360" w:lineRule="auto"/>
        <w:ind w:left="1440" w:hanging="720"/>
        <w:jc w:val="both"/>
        <w:rPr>
          <w:rtl/>
        </w:rPr>
      </w:pPr>
      <w:r w:rsidRPr="006166BD">
        <w:rPr>
          <w:rFonts w:hint="cs"/>
          <w:rtl/>
        </w:rPr>
        <w:t>א.</w:t>
      </w:r>
      <w:r w:rsidRPr="006166BD">
        <w:rPr>
          <w:rFonts w:hint="cs"/>
          <w:rtl/>
        </w:rPr>
        <w:tab/>
        <w:t>32 חודשי מאסר בפועל, מיום מעצרו. הנאשם ישא את המאסר במצטבר לכל מאסר שהוא נושא.</w:t>
      </w:r>
    </w:p>
    <w:p w14:paraId="3EAEF257" w14:textId="77777777" w:rsidR="00053E6A" w:rsidRPr="006166BD" w:rsidRDefault="00053E6A" w:rsidP="00053E6A">
      <w:pPr>
        <w:spacing w:line="360" w:lineRule="auto"/>
        <w:ind w:left="1440" w:hanging="720"/>
        <w:jc w:val="both"/>
        <w:rPr>
          <w:rtl/>
        </w:rPr>
      </w:pPr>
      <w:r w:rsidRPr="006166BD">
        <w:rPr>
          <w:rFonts w:hint="cs"/>
          <w:rtl/>
        </w:rPr>
        <w:t>ב.</w:t>
      </w:r>
      <w:r w:rsidRPr="006166BD">
        <w:rPr>
          <w:rFonts w:hint="cs"/>
          <w:rtl/>
        </w:rPr>
        <w:tab/>
        <w:t>12 חודשי מאסר על תנאי למשך 3 שנים מיום שחרורו מהמאסר, שלא יעבור עבירת נשק המסווגת כפשע.</w:t>
      </w:r>
    </w:p>
    <w:p w14:paraId="5893BBD6" w14:textId="77777777" w:rsidR="00053E6A" w:rsidRPr="006166BD" w:rsidRDefault="00053E6A" w:rsidP="00053E6A">
      <w:pPr>
        <w:spacing w:line="360" w:lineRule="auto"/>
        <w:ind w:left="1440" w:hanging="720"/>
        <w:jc w:val="both"/>
        <w:rPr>
          <w:rtl/>
        </w:rPr>
      </w:pPr>
      <w:r w:rsidRPr="006166BD">
        <w:rPr>
          <w:rFonts w:hint="cs"/>
          <w:rtl/>
        </w:rPr>
        <w:t>ג.</w:t>
      </w:r>
      <w:r w:rsidRPr="006166BD">
        <w:rPr>
          <w:rFonts w:hint="cs"/>
          <w:rtl/>
        </w:rPr>
        <w:tab/>
        <w:t xml:space="preserve">4 חודשי מאסר על תנאי למשך שנתיים מיום גזר הדין, שלא יעבור עבירת איומים. </w:t>
      </w:r>
    </w:p>
    <w:p w14:paraId="3699DE7A" w14:textId="77777777" w:rsidR="00053E6A" w:rsidRPr="006166BD" w:rsidRDefault="00053E6A" w:rsidP="00053E6A">
      <w:pPr>
        <w:spacing w:line="360" w:lineRule="auto"/>
        <w:jc w:val="both"/>
        <w:rPr>
          <w:rtl/>
        </w:rPr>
      </w:pPr>
    </w:p>
    <w:p w14:paraId="47F8D113" w14:textId="77777777" w:rsidR="00053E6A" w:rsidRPr="006166BD" w:rsidRDefault="00053E6A" w:rsidP="00053E6A">
      <w:pPr>
        <w:spacing w:line="360" w:lineRule="auto"/>
        <w:jc w:val="both"/>
        <w:rPr>
          <w:rtl/>
        </w:rPr>
      </w:pPr>
    </w:p>
    <w:p w14:paraId="2F79AF2E" w14:textId="77777777" w:rsidR="00053E6A" w:rsidRPr="006166BD" w:rsidRDefault="00053E6A" w:rsidP="00053E6A">
      <w:pPr>
        <w:spacing w:line="360" w:lineRule="auto"/>
        <w:jc w:val="both"/>
        <w:rPr>
          <w:rtl/>
        </w:rPr>
      </w:pPr>
      <w:r w:rsidRPr="006166BD">
        <w:rPr>
          <w:rFonts w:hint="cs"/>
          <w:rtl/>
        </w:rPr>
        <w:t>זכות ערעור בתוך 45 יום.</w:t>
      </w:r>
    </w:p>
    <w:p w14:paraId="6A42330D" w14:textId="77777777" w:rsidR="00053E6A" w:rsidRPr="006166BD" w:rsidRDefault="00053E6A" w:rsidP="00053E6A">
      <w:pPr>
        <w:spacing w:line="360" w:lineRule="auto"/>
        <w:jc w:val="both"/>
        <w:rPr>
          <w:rtl/>
        </w:rPr>
      </w:pPr>
    </w:p>
    <w:p w14:paraId="08AD7489" w14:textId="77777777" w:rsidR="00053E6A" w:rsidRPr="006166BD" w:rsidRDefault="00053E6A" w:rsidP="00053E6A">
      <w:pPr>
        <w:spacing w:line="360" w:lineRule="auto"/>
        <w:rPr>
          <w:rtl/>
        </w:rPr>
      </w:pPr>
    </w:p>
    <w:p w14:paraId="015C5416" w14:textId="77777777" w:rsidR="00053E6A" w:rsidRPr="0066726C" w:rsidRDefault="0066726C" w:rsidP="00053E6A">
      <w:pPr>
        <w:spacing w:line="360" w:lineRule="auto"/>
        <w:rPr>
          <w:color w:val="FFFFFF"/>
          <w:sz w:val="2"/>
          <w:szCs w:val="2"/>
          <w:rtl/>
        </w:rPr>
      </w:pPr>
      <w:r w:rsidRPr="0066726C">
        <w:rPr>
          <w:color w:val="FFFFFF"/>
          <w:sz w:val="2"/>
          <w:szCs w:val="2"/>
          <w:rtl/>
        </w:rPr>
        <w:t>5129371</w:t>
      </w:r>
    </w:p>
    <w:p w14:paraId="4E1278D4" w14:textId="77777777" w:rsidR="00053E6A" w:rsidRPr="00C96767" w:rsidRDefault="0066726C" w:rsidP="00053E6A">
      <w:pPr>
        <w:spacing w:line="360" w:lineRule="auto"/>
        <w:rPr>
          <w:b/>
          <w:bCs/>
          <w:rtl/>
        </w:rPr>
      </w:pPr>
      <w:r w:rsidRPr="00C96767">
        <w:rPr>
          <w:rFonts w:ascii="Arial" w:hAnsi="Arial"/>
          <w:b/>
          <w:bCs/>
          <w:color w:val="FFFFFF"/>
          <w:sz w:val="2"/>
          <w:szCs w:val="2"/>
          <w:rtl/>
        </w:rPr>
        <w:t>54678313</w:t>
      </w:r>
      <w:r w:rsidRPr="00C96767">
        <w:rPr>
          <w:rFonts w:ascii="Arial" w:hAnsi="Arial"/>
          <w:b/>
          <w:bCs/>
          <w:rtl/>
        </w:rPr>
        <w:t xml:space="preserve">ניתן היום,  כ"ה כסלו תשע"ט, 03 דצמבר 2018, בנוכחות  הצדדים. </w:t>
      </w:r>
    </w:p>
    <w:p w14:paraId="35B236A2" w14:textId="77777777" w:rsidR="00053E6A" w:rsidRPr="006166BD" w:rsidRDefault="00053E6A" w:rsidP="00053E6A">
      <w:pPr>
        <w:spacing w:line="360" w:lineRule="auto"/>
        <w:jc w:val="center"/>
      </w:pPr>
      <w:r w:rsidRPr="006166BD">
        <w:rPr>
          <w:rFonts w:hint="cs"/>
          <w:rtl/>
        </w:rPr>
        <w:t xml:space="preserve">   </w:t>
      </w:r>
      <w:r w:rsidRPr="006166BD">
        <w:rPr>
          <w:rFonts w:hint="cs"/>
          <w:rtl/>
        </w:rPr>
        <w:tab/>
      </w:r>
      <w:r w:rsidRPr="006166BD">
        <w:rPr>
          <w:rFonts w:hint="cs"/>
          <w:rtl/>
        </w:rPr>
        <w:tab/>
      </w:r>
      <w:r w:rsidRPr="006166BD">
        <w:rPr>
          <w:rFonts w:hint="cs"/>
          <w:rtl/>
        </w:rPr>
        <w:tab/>
      </w:r>
      <w:r w:rsidRPr="006166BD">
        <w:rPr>
          <w:rFonts w:hint="cs"/>
          <w:rtl/>
        </w:rPr>
        <w:tab/>
      </w:r>
      <w:r w:rsidRPr="006166BD">
        <w:rPr>
          <w:rFonts w:hint="cs"/>
          <w:rtl/>
        </w:rPr>
        <w:tab/>
      </w:r>
      <w:r>
        <w:rPr>
          <w:rtl/>
        </w:rPr>
        <w:t xml:space="preserve">     </w:t>
      </w:r>
    </w:p>
    <w:p w14:paraId="10E6AD16" w14:textId="77777777" w:rsidR="00053E6A" w:rsidRPr="00E05668" w:rsidRDefault="00E05668" w:rsidP="00053E6A">
      <w:pPr>
        <w:pStyle w:val="a3"/>
        <w:spacing w:line="360" w:lineRule="auto"/>
        <w:jc w:val="center"/>
        <w:rPr>
          <w:color w:val="FFFFFF"/>
          <w:sz w:val="2"/>
          <w:szCs w:val="2"/>
          <w:rtl/>
        </w:rPr>
      </w:pPr>
      <w:r w:rsidRPr="00E05668">
        <w:rPr>
          <w:color w:val="FFFFFF"/>
          <w:sz w:val="2"/>
          <w:szCs w:val="2"/>
          <w:rtl/>
        </w:rPr>
        <w:t>5129371</w:t>
      </w:r>
    </w:p>
    <w:p w14:paraId="7C8ADC5C" w14:textId="77777777" w:rsidR="007A064B" w:rsidRPr="00E05668" w:rsidRDefault="00E05668" w:rsidP="0066726C">
      <w:pPr>
        <w:keepNext/>
        <w:rPr>
          <w:rFonts w:ascii="David" w:hAnsi="David"/>
          <w:color w:val="FFFFFF"/>
          <w:sz w:val="2"/>
          <w:szCs w:val="2"/>
          <w:rtl/>
        </w:rPr>
      </w:pPr>
      <w:r w:rsidRPr="00E05668">
        <w:rPr>
          <w:rFonts w:ascii="David" w:hAnsi="David"/>
          <w:color w:val="FFFFFF"/>
          <w:sz w:val="2"/>
          <w:szCs w:val="2"/>
          <w:rtl/>
        </w:rPr>
        <w:t>54678313</w:t>
      </w:r>
    </w:p>
    <w:p w14:paraId="7634BE8A" w14:textId="77777777" w:rsidR="0066726C" w:rsidRPr="0066726C" w:rsidRDefault="0066726C" w:rsidP="0066726C">
      <w:pPr>
        <w:keepNext/>
        <w:rPr>
          <w:rFonts w:ascii="David" w:hAnsi="David"/>
          <w:color w:val="000000"/>
          <w:sz w:val="22"/>
          <w:szCs w:val="22"/>
          <w:rtl/>
        </w:rPr>
      </w:pPr>
      <w:r w:rsidRPr="0066726C">
        <w:rPr>
          <w:rFonts w:ascii="David" w:hAnsi="David"/>
          <w:color w:val="000000"/>
          <w:sz w:val="22"/>
          <w:szCs w:val="22"/>
          <w:rtl/>
        </w:rPr>
        <w:t>אליהו ביתן 54678313</w:t>
      </w:r>
    </w:p>
    <w:p w14:paraId="607E9D8E" w14:textId="77777777" w:rsidR="0066726C" w:rsidRDefault="0066726C" w:rsidP="0066726C">
      <w:r w:rsidRPr="0066726C">
        <w:rPr>
          <w:color w:val="000000"/>
          <w:rtl/>
        </w:rPr>
        <w:t>נוסח מסמך זה כפוף לשינויי ניסוח ועריכה</w:t>
      </w:r>
    </w:p>
    <w:p w14:paraId="746F404D" w14:textId="77777777" w:rsidR="0066726C" w:rsidRDefault="0066726C" w:rsidP="0066726C">
      <w:pPr>
        <w:rPr>
          <w:rtl/>
        </w:rPr>
      </w:pPr>
    </w:p>
    <w:p w14:paraId="6B02C381" w14:textId="77777777" w:rsidR="0066726C" w:rsidRDefault="0066726C" w:rsidP="0066726C">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64131DAD" w14:textId="77777777" w:rsidR="00E05668" w:rsidRPr="00E05668" w:rsidRDefault="00E05668" w:rsidP="00E05668">
      <w:pPr>
        <w:keepNext/>
        <w:rPr>
          <w:rFonts w:ascii="David" w:hAnsi="David"/>
          <w:color w:val="000000"/>
          <w:sz w:val="22"/>
          <w:szCs w:val="22"/>
          <w:rtl/>
        </w:rPr>
      </w:pPr>
    </w:p>
    <w:p w14:paraId="4C6672C1" w14:textId="77777777" w:rsidR="0066726C" w:rsidRPr="0066726C" w:rsidRDefault="0066726C" w:rsidP="00E05668">
      <w:pPr>
        <w:rPr>
          <w:color w:val="0000FF"/>
          <w:u w:val="single"/>
        </w:rPr>
      </w:pPr>
    </w:p>
    <w:sectPr w:rsidR="0066726C" w:rsidRPr="0066726C" w:rsidSect="00E05668">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F18B7" w14:textId="77777777" w:rsidR="00F46CEA" w:rsidRDefault="00F46CEA" w:rsidP="0047019C">
      <w:r>
        <w:separator/>
      </w:r>
    </w:p>
  </w:endnote>
  <w:endnote w:type="continuationSeparator" w:id="0">
    <w:p w14:paraId="5BA65B71" w14:textId="77777777" w:rsidR="00F46CEA" w:rsidRDefault="00F46CEA" w:rsidP="00470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A8E85" w14:textId="77777777" w:rsidR="00CA1A63" w:rsidRDefault="00CA1A63" w:rsidP="00E0566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17A51CA" w14:textId="77777777" w:rsidR="00CA1A63" w:rsidRPr="00E05668" w:rsidRDefault="00CA1A63" w:rsidP="00E05668">
    <w:pPr>
      <w:pStyle w:val="a5"/>
      <w:pBdr>
        <w:top w:val="single" w:sz="4" w:space="1" w:color="auto"/>
        <w:between w:val="single" w:sz="4" w:space="0" w:color="auto"/>
      </w:pBdr>
      <w:spacing w:after="60"/>
      <w:jc w:val="center"/>
      <w:rPr>
        <w:rFonts w:ascii="FrankRuehl" w:hAnsi="FrankRuehl" w:cs="FrankRuehl"/>
        <w:color w:val="000000"/>
      </w:rPr>
    </w:pPr>
    <w:r w:rsidRPr="00E0566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1C265" w14:textId="77777777" w:rsidR="00CA1A63" w:rsidRDefault="00CA1A63" w:rsidP="00E0566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D1E5C">
      <w:rPr>
        <w:rFonts w:ascii="FrankRuehl" w:hAnsi="FrankRuehl" w:cs="FrankRuehl"/>
        <w:noProof/>
        <w:rtl/>
      </w:rPr>
      <w:t>1</w:t>
    </w:r>
    <w:r>
      <w:rPr>
        <w:rFonts w:ascii="FrankRuehl" w:hAnsi="FrankRuehl" w:cs="FrankRuehl"/>
        <w:rtl/>
      </w:rPr>
      <w:fldChar w:fldCharType="end"/>
    </w:r>
  </w:p>
  <w:p w14:paraId="01EB80E0" w14:textId="77777777" w:rsidR="00CA1A63" w:rsidRPr="00E05668" w:rsidRDefault="00CA1A63" w:rsidP="00E05668">
    <w:pPr>
      <w:pStyle w:val="a5"/>
      <w:pBdr>
        <w:top w:val="single" w:sz="4" w:space="1" w:color="auto"/>
        <w:between w:val="single" w:sz="4" w:space="0" w:color="auto"/>
      </w:pBdr>
      <w:spacing w:after="60"/>
      <w:jc w:val="center"/>
      <w:rPr>
        <w:rFonts w:ascii="FrankRuehl" w:hAnsi="FrankRuehl" w:cs="FrankRuehl"/>
        <w:color w:val="000000"/>
      </w:rPr>
    </w:pPr>
    <w:r w:rsidRPr="00E05668">
      <w:rPr>
        <w:rFonts w:ascii="FrankRuehl" w:hAnsi="FrankRuehl" w:cs="FrankRuehl"/>
        <w:color w:val="000000"/>
      </w:rPr>
      <w:pict w14:anchorId="2D9C1F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07A2E4" w14:textId="77777777" w:rsidR="00F46CEA" w:rsidRDefault="00F46CEA" w:rsidP="0047019C">
      <w:r>
        <w:separator/>
      </w:r>
    </w:p>
  </w:footnote>
  <w:footnote w:type="continuationSeparator" w:id="0">
    <w:p w14:paraId="15F4E614" w14:textId="77777777" w:rsidR="00F46CEA" w:rsidRDefault="00F46CEA" w:rsidP="004701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25ADE" w14:textId="77777777" w:rsidR="00CA1A63" w:rsidRPr="00E05668" w:rsidRDefault="00CA1A63" w:rsidP="00E0566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21139-04-17</w:t>
    </w:r>
    <w:r>
      <w:rPr>
        <w:rFonts w:ascii="David" w:hAnsi="David"/>
        <w:color w:val="000000"/>
        <w:sz w:val="22"/>
        <w:szCs w:val="22"/>
        <w:rtl/>
      </w:rPr>
      <w:tab/>
      <w:t xml:space="preserve"> מדינת ישראל נ' שמואל יעקב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D6DC8" w14:textId="77777777" w:rsidR="00CA1A63" w:rsidRPr="00E05668" w:rsidRDefault="00CA1A63" w:rsidP="00E0566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21139-04-17</w:t>
    </w:r>
    <w:r>
      <w:rPr>
        <w:rFonts w:ascii="David" w:hAnsi="David"/>
        <w:color w:val="000000"/>
        <w:sz w:val="22"/>
        <w:szCs w:val="22"/>
        <w:rtl/>
      </w:rPr>
      <w:tab/>
      <w:t xml:space="preserve"> מדינת ישראל נ' שמואל יעקב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53E6A"/>
    <w:rsid w:val="00053E6A"/>
    <w:rsid w:val="000826F1"/>
    <w:rsid w:val="003A5568"/>
    <w:rsid w:val="003D1E5C"/>
    <w:rsid w:val="0044208B"/>
    <w:rsid w:val="0047019C"/>
    <w:rsid w:val="00513E66"/>
    <w:rsid w:val="005C4303"/>
    <w:rsid w:val="0066726C"/>
    <w:rsid w:val="007A064B"/>
    <w:rsid w:val="00A76D0C"/>
    <w:rsid w:val="00C96767"/>
    <w:rsid w:val="00CA1A63"/>
    <w:rsid w:val="00E05668"/>
    <w:rsid w:val="00E850E2"/>
    <w:rsid w:val="00F46C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D659E6E"/>
  <w15:chartTrackingRefBased/>
  <w15:docId w15:val="{6DA5EBAD-7A10-4F02-AF30-E70B33C91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53E6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53E6A"/>
    <w:pPr>
      <w:tabs>
        <w:tab w:val="center" w:pos="4153"/>
        <w:tab w:val="right" w:pos="8306"/>
      </w:tabs>
    </w:pPr>
  </w:style>
  <w:style w:type="character" w:customStyle="1" w:styleId="a4">
    <w:name w:val="כותרת עליונה תו"/>
    <w:link w:val="a3"/>
    <w:rsid w:val="00053E6A"/>
    <w:rPr>
      <w:rFonts w:ascii="Times New Roman" w:eastAsia="Times New Roman" w:hAnsi="Times New Roman" w:cs="David"/>
      <w:sz w:val="24"/>
      <w:szCs w:val="24"/>
    </w:rPr>
  </w:style>
  <w:style w:type="paragraph" w:styleId="a5">
    <w:name w:val="footer"/>
    <w:basedOn w:val="a"/>
    <w:link w:val="a6"/>
    <w:rsid w:val="00053E6A"/>
    <w:pPr>
      <w:tabs>
        <w:tab w:val="center" w:pos="4153"/>
        <w:tab w:val="right" w:pos="8306"/>
      </w:tabs>
    </w:pPr>
  </w:style>
  <w:style w:type="character" w:customStyle="1" w:styleId="a6">
    <w:name w:val="כותרת תחתונה תו"/>
    <w:link w:val="a5"/>
    <w:rsid w:val="00053E6A"/>
    <w:rPr>
      <w:rFonts w:ascii="Times New Roman" w:eastAsia="Times New Roman" w:hAnsi="Times New Roman" w:cs="David"/>
      <w:sz w:val="24"/>
      <w:szCs w:val="24"/>
    </w:rPr>
  </w:style>
  <w:style w:type="table" w:styleId="a7">
    <w:name w:val="Table Grid"/>
    <w:basedOn w:val="a1"/>
    <w:rsid w:val="00053E6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53E6A"/>
  </w:style>
  <w:style w:type="character" w:styleId="Hyperlink">
    <w:name w:val="Hyperlink"/>
    <w:rsid w:val="00053E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0897106" TargetMode="External"/><Relationship Id="rId18" Type="http://schemas.openxmlformats.org/officeDocument/2006/relationships/hyperlink" Target="http://www.nevo.co.il/case/23863776" TargetMode="External"/><Relationship Id="rId26" Type="http://schemas.openxmlformats.org/officeDocument/2006/relationships/hyperlink" Target="http://www.nevo.co.il/case/5610200" TargetMode="External"/><Relationship Id="rId39" Type="http://schemas.openxmlformats.org/officeDocument/2006/relationships/hyperlink" Target="http://www.nevo.co.il/case/17944047" TargetMode="External"/><Relationship Id="rId21" Type="http://schemas.openxmlformats.org/officeDocument/2006/relationships/hyperlink" Target="http://www.nevo.co.il/law/70301/275" TargetMode="External"/><Relationship Id="rId34" Type="http://schemas.openxmlformats.org/officeDocument/2006/relationships/hyperlink" Target="http://www.nevo.co.il/case/2243677" TargetMode="External"/><Relationship Id="rId42" Type="http://schemas.openxmlformats.org/officeDocument/2006/relationships/hyperlink" Target="http://www.nevo.co.il/law/70301/428"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0301/144.a" TargetMode="External"/><Relationship Id="rId2" Type="http://schemas.openxmlformats.org/officeDocument/2006/relationships/settings" Target="settings.xml"/><Relationship Id="rId16" Type="http://schemas.openxmlformats.org/officeDocument/2006/relationships/hyperlink" Target="http://www.nevo.co.il/case/23555085" TargetMode="External"/><Relationship Id="rId29" Type="http://schemas.openxmlformats.org/officeDocument/2006/relationships/hyperlink" Target="http://www.nevo.co.il/case/5594385"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case/5821327" TargetMode="External"/><Relationship Id="rId32" Type="http://schemas.openxmlformats.org/officeDocument/2006/relationships/hyperlink" Target="http://www.nevo.co.il/case/17929065" TargetMode="External"/><Relationship Id="rId37" Type="http://schemas.openxmlformats.org/officeDocument/2006/relationships/hyperlink" Target="http://www.nevo.co.il/case/16956730" TargetMode="External"/><Relationship Id="rId40" Type="http://schemas.openxmlformats.org/officeDocument/2006/relationships/hyperlink" Target="http://www.nevo.co.il/law/70301/192" TargetMode="External"/><Relationship Id="rId45"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case/23863776" TargetMode="External"/><Relationship Id="rId23" Type="http://schemas.openxmlformats.org/officeDocument/2006/relationships/hyperlink" Target="http://www.nevo.co.il/case/6034921" TargetMode="External"/><Relationship Id="rId28" Type="http://schemas.openxmlformats.org/officeDocument/2006/relationships/hyperlink" Target="http://www.nevo.co.il/case/6001644" TargetMode="External"/><Relationship Id="rId36" Type="http://schemas.openxmlformats.org/officeDocument/2006/relationships/hyperlink" Target="http://www.nevo.co.il/case/6473037" TargetMode="External"/><Relationship Id="rId49" Type="http://schemas.openxmlformats.org/officeDocument/2006/relationships/footer" Target="footer2.xml"/><Relationship Id="rId10" Type="http://schemas.openxmlformats.org/officeDocument/2006/relationships/hyperlink" Target="http://www.nevo.co.il/law/70301/428" TargetMode="External"/><Relationship Id="rId19" Type="http://schemas.openxmlformats.org/officeDocument/2006/relationships/hyperlink" Target="http://www.nevo.co.il/law/70301/192" TargetMode="External"/><Relationship Id="rId31" Type="http://schemas.openxmlformats.org/officeDocument/2006/relationships/hyperlink" Target="http://www.nevo.co.il/case/5762686" TargetMode="External"/><Relationship Id="rId44" Type="http://schemas.openxmlformats.org/officeDocument/2006/relationships/hyperlink" Target="http://www.nevo.co.il/case/5808394" TargetMode="External"/><Relationship Id="rId4" Type="http://schemas.openxmlformats.org/officeDocument/2006/relationships/footnotes" Target="footnotes.xml"/><Relationship Id="rId9" Type="http://schemas.openxmlformats.org/officeDocument/2006/relationships/hyperlink" Target="http://www.nevo.co.il/law/70301/275" TargetMode="External"/><Relationship Id="rId14" Type="http://schemas.openxmlformats.org/officeDocument/2006/relationships/hyperlink" Target="http://www.nevo.co.il/case/23775003" TargetMode="External"/><Relationship Id="rId22" Type="http://schemas.openxmlformats.org/officeDocument/2006/relationships/hyperlink" Target="http://www.nevo.co.il/case/6473037" TargetMode="External"/><Relationship Id="rId27" Type="http://schemas.openxmlformats.org/officeDocument/2006/relationships/hyperlink" Target="http://www.nevo.co.il/case/5692319" TargetMode="External"/><Relationship Id="rId30" Type="http://schemas.openxmlformats.org/officeDocument/2006/relationships/hyperlink" Target="http://www.nevo.co.il/case/5703734" TargetMode="External"/><Relationship Id="rId35" Type="http://schemas.openxmlformats.org/officeDocument/2006/relationships/hyperlink" Target="http://www.nevo.co.il/case/7945619" TargetMode="External"/><Relationship Id="rId43" Type="http://schemas.openxmlformats.org/officeDocument/2006/relationships/hyperlink" Target="http://www.nevo.co.il/law/70301/192" TargetMode="External"/><Relationship Id="rId48" Type="http://schemas.openxmlformats.org/officeDocument/2006/relationships/footer" Target="footer1.xml"/><Relationship Id="rId8" Type="http://schemas.openxmlformats.org/officeDocument/2006/relationships/hyperlink" Target="http://www.nevo.co.il/law/70301/192"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70301" TargetMode="External"/><Relationship Id="rId17" Type="http://schemas.openxmlformats.org/officeDocument/2006/relationships/hyperlink" Target="http://www.nevo.co.il/case/23775003" TargetMode="External"/><Relationship Id="rId25" Type="http://schemas.openxmlformats.org/officeDocument/2006/relationships/hyperlink" Target="http://www.nevo.co.il/case/5699080" TargetMode="External"/><Relationship Id="rId33" Type="http://schemas.openxmlformats.org/officeDocument/2006/relationships/hyperlink" Target="http://www.nevo.co.il/case/5120170" TargetMode="External"/><Relationship Id="rId38" Type="http://schemas.openxmlformats.org/officeDocument/2006/relationships/hyperlink" Target="http://www.nevo.co.il/case/18762911" TargetMode="External"/><Relationship Id="rId46" Type="http://schemas.openxmlformats.org/officeDocument/2006/relationships/header" Target="header1.xml"/><Relationship Id="rId20" Type="http://schemas.openxmlformats.org/officeDocument/2006/relationships/hyperlink" Target="http://www.nevo.co.il/law/70301" TargetMode="External"/><Relationship Id="rId41" Type="http://schemas.openxmlformats.org/officeDocument/2006/relationships/hyperlink" Target="http://www.nevo.co.il/law/70301/192" TargetMode="External"/><Relationship Id="rId1" Type="http://schemas.openxmlformats.org/officeDocument/2006/relationships/styles" Target="styles.xml"/><Relationship Id="rId6"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4133</Words>
  <Characters>20667</Characters>
  <Application>Microsoft Office Word</Application>
  <DocSecurity>0</DocSecurity>
  <Lines>172</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24751</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3276925</vt:i4>
      </vt:variant>
      <vt:variant>
        <vt:i4>114</vt:i4>
      </vt:variant>
      <vt:variant>
        <vt:i4>0</vt:i4>
      </vt:variant>
      <vt:variant>
        <vt:i4>5</vt:i4>
      </vt:variant>
      <vt:variant>
        <vt:lpwstr>http://www.nevo.co.il/case/5808394</vt:lpwstr>
      </vt:variant>
      <vt:variant>
        <vt:lpwstr/>
      </vt:variant>
      <vt:variant>
        <vt:i4>7077988</vt:i4>
      </vt:variant>
      <vt:variant>
        <vt:i4>111</vt:i4>
      </vt:variant>
      <vt:variant>
        <vt:i4>0</vt:i4>
      </vt:variant>
      <vt:variant>
        <vt:i4>5</vt:i4>
      </vt:variant>
      <vt:variant>
        <vt:lpwstr>http://www.nevo.co.il/law/70301/192</vt:lpwstr>
      </vt:variant>
      <vt:variant>
        <vt:lpwstr/>
      </vt:variant>
      <vt:variant>
        <vt:i4>6750305</vt:i4>
      </vt:variant>
      <vt:variant>
        <vt:i4>108</vt:i4>
      </vt:variant>
      <vt:variant>
        <vt:i4>0</vt:i4>
      </vt:variant>
      <vt:variant>
        <vt:i4>5</vt:i4>
      </vt:variant>
      <vt:variant>
        <vt:lpwstr>http://www.nevo.co.il/law/70301/428</vt:lpwstr>
      </vt:variant>
      <vt:variant>
        <vt:lpwstr/>
      </vt:variant>
      <vt:variant>
        <vt:i4>7077988</vt:i4>
      </vt:variant>
      <vt:variant>
        <vt:i4>105</vt:i4>
      </vt:variant>
      <vt:variant>
        <vt:i4>0</vt:i4>
      </vt:variant>
      <vt:variant>
        <vt:i4>5</vt:i4>
      </vt:variant>
      <vt:variant>
        <vt:lpwstr>http://www.nevo.co.il/law/70301/192</vt:lpwstr>
      </vt:variant>
      <vt:variant>
        <vt:lpwstr/>
      </vt:variant>
      <vt:variant>
        <vt:i4>7077988</vt:i4>
      </vt:variant>
      <vt:variant>
        <vt:i4>102</vt:i4>
      </vt:variant>
      <vt:variant>
        <vt:i4>0</vt:i4>
      </vt:variant>
      <vt:variant>
        <vt:i4>5</vt:i4>
      </vt:variant>
      <vt:variant>
        <vt:lpwstr>http://www.nevo.co.il/law/70301/192</vt:lpwstr>
      </vt:variant>
      <vt:variant>
        <vt:lpwstr/>
      </vt:variant>
      <vt:variant>
        <vt:i4>3670135</vt:i4>
      </vt:variant>
      <vt:variant>
        <vt:i4>99</vt:i4>
      </vt:variant>
      <vt:variant>
        <vt:i4>0</vt:i4>
      </vt:variant>
      <vt:variant>
        <vt:i4>5</vt:i4>
      </vt:variant>
      <vt:variant>
        <vt:lpwstr>http://www.nevo.co.il/case/17944047</vt:lpwstr>
      </vt:variant>
      <vt:variant>
        <vt:lpwstr/>
      </vt:variant>
      <vt:variant>
        <vt:i4>3473523</vt:i4>
      </vt:variant>
      <vt:variant>
        <vt:i4>96</vt:i4>
      </vt:variant>
      <vt:variant>
        <vt:i4>0</vt:i4>
      </vt:variant>
      <vt:variant>
        <vt:i4>5</vt:i4>
      </vt:variant>
      <vt:variant>
        <vt:lpwstr>http://www.nevo.co.il/case/18762911</vt:lpwstr>
      </vt:variant>
      <vt:variant>
        <vt:lpwstr/>
      </vt:variant>
      <vt:variant>
        <vt:i4>3997808</vt:i4>
      </vt:variant>
      <vt:variant>
        <vt:i4>93</vt:i4>
      </vt:variant>
      <vt:variant>
        <vt:i4>0</vt:i4>
      </vt:variant>
      <vt:variant>
        <vt:i4>5</vt:i4>
      </vt:variant>
      <vt:variant>
        <vt:lpwstr>http://www.nevo.co.il/case/16956730</vt:lpwstr>
      </vt:variant>
      <vt:variant>
        <vt:lpwstr/>
      </vt:variant>
      <vt:variant>
        <vt:i4>3539056</vt:i4>
      </vt:variant>
      <vt:variant>
        <vt:i4>90</vt:i4>
      </vt:variant>
      <vt:variant>
        <vt:i4>0</vt:i4>
      </vt:variant>
      <vt:variant>
        <vt:i4>5</vt:i4>
      </vt:variant>
      <vt:variant>
        <vt:lpwstr>http://www.nevo.co.il/case/6473037</vt:lpwstr>
      </vt:variant>
      <vt:variant>
        <vt:lpwstr/>
      </vt:variant>
      <vt:variant>
        <vt:i4>3932281</vt:i4>
      </vt:variant>
      <vt:variant>
        <vt:i4>87</vt:i4>
      </vt:variant>
      <vt:variant>
        <vt:i4>0</vt:i4>
      </vt:variant>
      <vt:variant>
        <vt:i4>5</vt:i4>
      </vt:variant>
      <vt:variant>
        <vt:lpwstr>http://www.nevo.co.il/case/7945619</vt:lpwstr>
      </vt:variant>
      <vt:variant>
        <vt:lpwstr/>
      </vt:variant>
      <vt:variant>
        <vt:i4>3604594</vt:i4>
      </vt:variant>
      <vt:variant>
        <vt:i4>84</vt:i4>
      </vt:variant>
      <vt:variant>
        <vt:i4>0</vt:i4>
      </vt:variant>
      <vt:variant>
        <vt:i4>5</vt:i4>
      </vt:variant>
      <vt:variant>
        <vt:lpwstr>http://www.nevo.co.il/case/2243677</vt:lpwstr>
      </vt:variant>
      <vt:variant>
        <vt:lpwstr/>
      </vt:variant>
      <vt:variant>
        <vt:i4>3539058</vt:i4>
      </vt:variant>
      <vt:variant>
        <vt:i4>81</vt:i4>
      </vt:variant>
      <vt:variant>
        <vt:i4>0</vt:i4>
      </vt:variant>
      <vt:variant>
        <vt:i4>5</vt:i4>
      </vt:variant>
      <vt:variant>
        <vt:lpwstr>http://www.nevo.co.il/case/5120170</vt:lpwstr>
      </vt:variant>
      <vt:variant>
        <vt:lpwstr/>
      </vt:variant>
      <vt:variant>
        <vt:i4>3604593</vt:i4>
      </vt:variant>
      <vt:variant>
        <vt:i4>78</vt:i4>
      </vt:variant>
      <vt:variant>
        <vt:i4>0</vt:i4>
      </vt:variant>
      <vt:variant>
        <vt:i4>5</vt:i4>
      </vt:variant>
      <vt:variant>
        <vt:lpwstr>http://www.nevo.co.il/case/17929065</vt:lpwstr>
      </vt:variant>
      <vt:variant>
        <vt:lpwstr/>
      </vt:variant>
      <vt:variant>
        <vt:i4>3342457</vt:i4>
      </vt:variant>
      <vt:variant>
        <vt:i4>75</vt:i4>
      </vt:variant>
      <vt:variant>
        <vt:i4>0</vt:i4>
      </vt:variant>
      <vt:variant>
        <vt:i4>5</vt:i4>
      </vt:variant>
      <vt:variant>
        <vt:lpwstr>http://www.nevo.co.il/case/5762686</vt:lpwstr>
      </vt:variant>
      <vt:variant>
        <vt:lpwstr/>
      </vt:variant>
      <vt:variant>
        <vt:i4>3539059</vt:i4>
      </vt:variant>
      <vt:variant>
        <vt:i4>72</vt:i4>
      </vt:variant>
      <vt:variant>
        <vt:i4>0</vt:i4>
      </vt:variant>
      <vt:variant>
        <vt:i4>5</vt:i4>
      </vt:variant>
      <vt:variant>
        <vt:lpwstr>http://www.nevo.co.il/case/5703734</vt:lpwstr>
      </vt:variant>
      <vt:variant>
        <vt:lpwstr/>
      </vt:variant>
      <vt:variant>
        <vt:i4>3801213</vt:i4>
      </vt:variant>
      <vt:variant>
        <vt:i4>69</vt:i4>
      </vt:variant>
      <vt:variant>
        <vt:i4>0</vt:i4>
      </vt:variant>
      <vt:variant>
        <vt:i4>5</vt:i4>
      </vt:variant>
      <vt:variant>
        <vt:lpwstr>http://www.nevo.co.il/case/5594385</vt:lpwstr>
      </vt:variant>
      <vt:variant>
        <vt:lpwstr/>
      </vt:variant>
      <vt:variant>
        <vt:i4>3407985</vt:i4>
      </vt:variant>
      <vt:variant>
        <vt:i4>66</vt:i4>
      </vt:variant>
      <vt:variant>
        <vt:i4>0</vt:i4>
      </vt:variant>
      <vt:variant>
        <vt:i4>5</vt:i4>
      </vt:variant>
      <vt:variant>
        <vt:lpwstr>http://www.nevo.co.il/case/6001644</vt:lpwstr>
      </vt:variant>
      <vt:variant>
        <vt:lpwstr/>
      </vt:variant>
      <vt:variant>
        <vt:i4>3539057</vt:i4>
      </vt:variant>
      <vt:variant>
        <vt:i4>63</vt:i4>
      </vt:variant>
      <vt:variant>
        <vt:i4>0</vt:i4>
      </vt:variant>
      <vt:variant>
        <vt:i4>5</vt:i4>
      </vt:variant>
      <vt:variant>
        <vt:lpwstr>http://www.nevo.co.il/case/5692319</vt:lpwstr>
      </vt:variant>
      <vt:variant>
        <vt:lpwstr/>
      </vt:variant>
      <vt:variant>
        <vt:i4>3539058</vt:i4>
      </vt:variant>
      <vt:variant>
        <vt:i4>60</vt:i4>
      </vt:variant>
      <vt:variant>
        <vt:i4>0</vt:i4>
      </vt:variant>
      <vt:variant>
        <vt:i4>5</vt:i4>
      </vt:variant>
      <vt:variant>
        <vt:lpwstr>http://www.nevo.co.il/case/5610200</vt:lpwstr>
      </vt:variant>
      <vt:variant>
        <vt:lpwstr/>
      </vt:variant>
      <vt:variant>
        <vt:i4>3932275</vt:i4>
      </vt:variant>
      <vt:variant>
        <vt:i4>57</vt:i4>
      </vt:variant>
      <vt:variant>
        <vt:i4>0</vt:i4>
      </vt:variant>
      <vt:variant>
        <vt:i4>5</vt:i4>
      </vt:variant>
      <vt:variant>
        <vt:lpwstr>http://www.nevo.co.il/case/5699080</vt:lpwstr>
      </vt:variant>
      <vt:variant>
        <vt:lpwstr/>
      </vt:variant>
      <vt:variant>
        <vt:i4>3342463</vt:i4>
      </vt:variant>
      <vt:variant>
        <vt:i4>54</vt:i4>
      </vt:variant>
      <vt:variant>
        <vt:i4>0</vt:i4>
      </vt:variant>
      <vt:variant>
        <vt:i4>5</vt:i4>
      </vt:variant>
      <vt:variant>
        <vt:lpwstr>http://www.nevo.co.il/case/5821327</vt:lpwstr>
      </vt:variant>
      <vt:variant>
        <vt:lpwstr/>
      </vt:variant>
      <vt:variant>
        <vt:i4>3997810</vt:i4>
      </vt:variant>
      <vt:variant>
        <vt:i4>51</vt:i4>
      </vt:variant>
      <vt:variant>
        <vt:i4>0</vt:i4>
      </vt:variant>
      <vt:variant>
        <vt:i4>5</vt:i4>
      </vt:variant>
      <vt:variant>
        <vt:lpwstr>http://www.nevo.co.il/case/6034921</vt:lpwstr>
      </vt:variant>
      <vt:variant>
        <vt:lpwstr/>
      </vt:variant>
      <vt:variant>
        <vt:i4>3539056</vt:i4>
      </vt:variant>
      <vt:variant>
        <vt:i4>48</vt:i4>
      </vt:variant>
      <vt:variant>
        <vt:i4>0</vt:i4>
      </vt:variant>
      <vt:variant>
        <vt:i4>5</vt:i4>
      </vt:variant>
      <vt:variant>
        <vt:lpwstr>http://www.nevo.co.il/case/6473037</vt:lpwstr>
      </vt:variant>
      <vt:variant>
        <vt:lpwstr/>
      </vt:variant>
      <vt:variant>
        <vt:i4>6422631</vt:i4>
      </vt:variant>
      <vt:variant>
        <vt:i4>45</vt:i4>
      </vt:variant>
      <vt:variant>
        <vt:i4>0</vt:i4>
      </vt:variant>
      <vt:variant>
        <vt:i4>5</vt:i4>
      </vt:variant>
      <vt:variant>
        <vt:lpwstr>http://www.nevo.co.il/law/70301/275</vt:lpwstr>
      </vt:variant>
      <vt:variant>
        <vt:lpwstr/>
      </vt:variant>
      <vt:variant>
        <vt:i4>7995492</vt:i4>
      </vt:variant>
      <vt:variant>
        <vt:i4>42</vt:i4>
      </vt:variant>
      <vt:variant>
        <vt:i4>0</vt:i4>
      </vt:variant>
      <vt:variant>
        <vt:i4>5</vt:i4>
      </vt:variant>
      <vt:variant>
        <vt:lpwstr>http://www.nevo.co.il/law/70301</vt:lpwstr>
      </vt:variant>
      <vt:variant>
        <vt:lpwstr/>
      </vt:variant>
      <vt:variant>
        <vt:i4>7077988</vt:i4>
      </vt:variant>
      <vt:variant>
        <vt:i4>39</vt:i4>
      </vt:variant>
      <vt:variant>
        <vt:i4>0</vt:i4>
      </vt:variant>
      <vt:variant>
        <vt:i4>5</vt:i4>
      </vt:variant>
      <vt:variant>
        <vt:lpwstr>http://www.nevo.co.il/law/70301/192</vt:lpwstr>
      </vt:variant>
      <vt:variant>
        <vt:lpwstr/>
      </vt:variant>
      <vt:variant>
        <vt:i4>4063350</vt:i4>
      </vt:variant>
      <vt:variant>
        <vt:i4>36</vt:i4>
      </vt:variant>
      <vt:variant>
        <vt:i4>0</vt:i4>
      </vt:variant>
      <vt:variant>
        <vt:i4>5</vt:i4>
      </vt:variant>
      <vt:variant>
        <vt:lpwstr>http://www.nevo.co.il/case/23863776</vt:lpwstr>
      </vt:variant>
      <vt:variant>
        <vt:lpwstr/>
      </vt:variant>
      <vt:variant>
        <vt:i4>3145840</vt:i4>
      </vt:variant>
      <vt:variant>
        <vt:i4>33</vt:i4>
      </vt:variant>
      <vt:variant>
        <vt:i4>0</vt:i4>
      </vt:variant>
      <vt:variant>
        <vt:i4>5</vt:i4>
      </vt:variant>
      <vt:variant>
        <vt:lpwstr>http://www.nevo.co.il/case/23775003</vt:lpwstr>
      </vt:variant>
      <vt:variant>
        <vt:lpwstr/>
      </vt:variant>
      <vt:variant>
        <vt:i4>3801202</vt:i4>
      </vt:variant>
      <vt:variant>
        <vt:i4>30</vt:i4>
      </vt:variant>
      <vt:variant>
        <vt:i4>0</vt:i4>
      </vt:variant>
      <vt:variant>
        <vt:i4>5</vt:i4>
      </vt:variant>
      <vt:variant>
        <vt:lpwstr>http://www.nevo.co.il/case/23555085</vt:lpwstr>
      </vt:variant>
      <vt:variant>
        <vt:lpwstr/>
      </vt:variant>
      <vt:variant>
        <vt:i4>4063350</vt:i4>
      </vt:variant>
      <vt:variant>
        <vt:i4>27</vt:i4>
      </vt:variant>
      <vt:variant>
        <vt:i4>0</vt:i4>
      </vt:variant>
      <vt:variant>
        <vt:i4>5</vt:i4>
      </vt:variant>
      <vt:variant>
        <vt:lpwstr>http://www.nevo.co.il/case/23863776</vt:lpwstr>
      </vt:variant>
      <vt:variant>
        <vt:lpwstr/>
      </vt:variant>
      <vt:variant>
        <vt:i4>3145840</vt:i4>
      </vt:variant>
      <vt:variant>
        <vt:i4>24</vt:i4>
      </vt:variant>
      <vt:variant>
        <vt:i4>0</vt:i4>
      </vt:variant>
      <vt:variant>
        <vt:i4>5</vt:i4>
      </vt:variant>
      <vt:variant>
        <vt:lpwstr>http://www.nevo.co.il/case/23775003</vt:lpwstr>
      </vt:variant>
      <vt:variant>
        <vt:lpwstr/>
      </vt:variant>
      <vt:variant>
        <vt:i4>3997820</vt:i4>
      </vt:variant>
      <vt:variant>
        <vt:i4>21</vt:i4>
      </vt:variant>
      <vt:variant>
        <vt:i4>0</vt:i4>
      </vt:variant>
      <vt:variant>
        <vt:i4>5</vt:i4>
      </vt:variant>
      <vt:variant>
        <vt:lpwstr>http://www.nevo.co.il/case/20897106</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6750305</vt:i4>
      </vt:variant>
      <vt:variant>
        <vt:i4>12</vt:i4>
      </vt:variant>
      <vt:variant>
        <vt:i4>0</vt:i4>
      </vt:variant>
      <vt:variant>
        <vt:i4>5</vt:i4>
      </vt:variant>
      <vt:variant>
        <vt:lpwstr>http://www.nevo.co.il/law/70301/428</vt:lpwstr>
      </vt:variant>
      <vt:variant>
        <vt:lpwstr/>
      </vt:variant>
      <vt:variant>
        <vt:i4>6422631</vt:i4>
      </vt:variant>
      <vt:variant>
        <vt:i4>9</vt:i4>
      </vt:variant>
      <vt:variant>
        <vt:i4>0</vt:i4>
      </vt:variant>
      <vt:variant>
        <vt:i4>5</vt:i4>
      </vt:variant>
      <vt:variant>
        <vt:lpwstr>http://www.nevo.co.il/law/70301/275</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2025-01-19T16:15:00Z</dcterms:created>
  <dcterms:modified xsi:type="dcterms:W3CDTF">2025-01-19T16:15:00Z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21139</vt:lpwstr>
  </property>
  <property fmtid="{D5CDD505-2E9C-101B-9397-08002B2CF9AE}" pid="6" name="NEWPARTB">
    <vt:lpwstr>04</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שמואל יעקב</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20181203</vt:lpwstr>
  </property>
  <property fmtid="{D5CDD505-2E9C-101B-9397-08002B2CF9AE}" pid="13" name="TYPE_N_DATE">
    <vt:lpwstr>39020181203</vt:lpwstr>
  </property>
  <property fmtid="{D5CDD505-2E9C-101B-9397-08002B2CF9AE}" pid="14" name="WORDNUMPAGES">
    <vt:lpwstr>14</vt:lpwstr>
  </property>
  <property fmtid="{D5CDD505-2E9C-101B-9397-08002B2CF9AE}" pid="15" name="TYPE_ABS_DATE">
    <vt:lpwstr>390120181203</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20897106;23775003:2;23863776:2;23555085;6473037:2;6034921;5821327;5699080;5610200;5692319;6001644;5594385;5703734;5762686;17929065;5120170;2243677;7945619;16956730;18762911;17944047;5808394</vt:lpwstr>
  </property>
  <property fmtid="{D5CDD505-2E9C-101B-9397-08002B2CF9AE}" pid="36" name="LAWLISTTMP1">
    <vt:lpwstr>70301/144.a;192:4;275;428</vt:lpwstr>
  </property>
  <property fmtid="{D5CDD505-2E9C-101B-9397-08002B2CF9AE}" pid="37" name="NOSE1ID">
    <vt:lpwstr>77;77</vt:lpwstr>
  </property>
  <property fmtid="{D5CDD505-2E9C-101B-9397-08002B2CF9AE}" pid="38" name="NOSE2ID">
    <vt:lpwstr>1446;1446</vt:lpwstr>
  </property>
  <property fmtid="{D5CDD505-2E9C-101B-9397-08002B2CF9AE}" pid="39" name="NOSE3ID">
    <vt:lpwstr>16460;13800</vt:lpwstr>
  </property>
  <property fmtid="{D5CDD505-2E9C-101B-9397-08002B2CF9AE}" pid="40" name="NOSE11">
    <vt:lpwstr>עונשין</vt:lpwstr>
  </property>
  <property fmtid="{D5CDD505-2E9C-101B-9397-08002B2CF9AE}" pid="41" name="NOSE21">
    <vt:lpwstr>ענישה</vt:lpwstr>
  </property>
  <property fmtid="{D5CDD505-2E9C-101B-9397-08002B2CF9AE}" pid="42" name="NOSE31">
    <vt:lpwstr>מדיניות ענישה: איומים</vt:lpwstr>
  </property>
  <property fmtid="{D5CDD505-2E9C-101B-9397-08002B2CF9AE}" pid="43" name="NOSE12">
    <vt:lpwstr>עונשין</vt:lpwstr>
  </property>
  <property fmtid="{D5CDD505-2E9C-101B-9397-08002B2CF9AE}" pid="44" name="NOSE22">
    <vt:lpwstr>ענישה</vt:lpwstr>
  </property>
  <property fmtid="{D5CDD505-2E9C-101B-9397-08002B2CF9AE}" pid="45" name="NOSE32">
    <vt:lpwstr>מדיניות ענישה: עבירות נשק</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20181216</vt:lpwstr>
  </property>
  <property fmtid="{D5CDD505-2E9C-101B-9397-08002B2CF9AE}" pid="71" name="METAKZER">
    <vt:lpwstr>עומרי</vt:lpwstr>
  </property>
</Properties>
</file>