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079DF" w:rsidRPr="002A3B6C" w14:paraId="6071C8D0" w14:textId="77777777" w:rsidTr="00574D2E">
        <w:trPr>
          <w:trHeight w:hRule="exact" w:val="418"/>
          <w:jc w:val="center"/>
        </w:trPr>
        <w:tc>
          <w:tcPr>
            <w:tcW w:w="8721" w:type="dxa"/>
            <w:gridSpan w:val="2"/>
          </w:tcPr>
          <w:p w14:paraId="093C1156" w14:textId="77777777" w:rsidR="004079DF" w:rsidRPr="002A3B6C" w:rsidRDefault="004079DF" w:rsidP="00F17151">
            <w:pPr>
              <w:pStyle w:val="a3"/>
              <w:jc w:val="center"/>
              <w:rPr>
                <w:rFonts w:ascii="Tahoma" w:hAnsi="Tahoma" w:cs="Tahoma"/>
                <w:color w:val="000080"/>
                <w:rtl/>
              </w:rPr>
            </w:pPr>
            <w:r w:rsidRPr="002A3B6C">
              <w:rPr>
                <w:rFonts w:ascii="Tahoma" w:hAnsi="Tahoma" w:cs="Tahoma"/>
                <w:b/>
                <w:bCs/>
                <w:color w:val="000080"/>
                <w:rtl/>
              </w:rPr>
              <w:t>בית המשפט המחוזי בבאר שבע</w:t>
            </w:r>
          </w:p>
        </w:tc>
      </w:tr>
      <w:tr w:rsidR="004079DF" w:rsidRPr="002A3B6C" w14:paraId="2CA30BFD" w14:textId="77777777" w:rsidTr="00574D2E">
        <w:trPr>
          <w:trHeight w:val="337"/>
          <w:jc w:val="center"/>
        </w:trPr>
        <w:tc>
          <w:tcPr>
            <w:tcW w:w="5055" w:type="dxa"/>
          </w:tcPr>
          <w:p w14:paraId="0831B2BA" w14:textId="77777777" w:rsidR="004079DF" w:rsidRPr="002A3B6C" w:rsidRDefault="004079DF" w:rsidP="00F17151">
            <w:pPr>
              <w:rPr>
                <w:b/>
                <w:bCs/>
                <w:rtl/>
              </w:rPr>
            </w:pPr>
          </w:p>
          <w:p w14:paraId="75A230E8" w14:textId="77777777" w:rsidR="004079DF" w:rsidRPr="002A3B6C" w:rsidRDefault="004079DF" w:rsidP="00F17151">
            <w:pPr>
              <w:rPr>
                <w:b/>
                <w:bCs/>
                <w:sz w:val="26"/>
                <w:szCs w:val="26"/>
                <w:rtl/>
              </w:rPr>
            </w:pPr>
            <w:r w:rsidRPr="002A3B6C">
              <w:rPr>
                <w:b/>
                <w:bCs/>
                <w:sz w:val="26"/>
                <w:szCs w:val="26"/>
                <w:rtl/>
              </w:rPr>
              <w:t>תפ"ח</w:t>
            </w:r>
            <w:r w:rsidRPr="002A3B6C">
              <w:rPr>
                <w:rFonts w:hint="cs"/>
                <w:b/>
                <w:bCs/>
                <w:sz w:val="26"/>
                <w:szCs w:val="26"/>
                <w:rtl/>
              </w:rPr>
              <w:t xml:space="preserve"> </w:t>
            </w:r>
            <w:r w:rsidRPr="002A3B6C">
              <w:rPr>
                <w:b/>
                <w:bCs/>
                <w:sz w:val="26"/>
                <w:szCs w:val="26"/>
                <w:rtl/>
              </w:rPr>
              <w:t>30875-04-17</w:t>
            </w:r>
            <w:r w:rsidRPr="002A3B6C">
              <w:rPr>
                <w:rFonts w:hint="cs"/>
                <w:b/>
                <w:bCs/>
                <w:sz w:val="26"/>
                <w:szCs w:val="26"/>
                <w:rtl/>
              </w:rPr>
              <w:t xml:space="preserve"> </w:t>
            </w:r>
            <w:r w:rsidRPr="002A3B6C">
              <w:rPr>
                <w:b/>
                <w:bCs/>
                <w:sz w:val="26"/>
                <w:szCs w:val="26"/>
                <w:rtl/>
              </w:rPr>
              <w:t>מדינת ישראל נ' אלעומרי</w:t>
            </w:r>
          </w:p>
          <w:p w14:paraId="6A3B1BFB" w14:textId="77777777" w:rsidR="004079DF" w:rsidRPr="002A3B6C" w:rsidRDefault="004079DF" w:rsidP="00F17151">
            <w:pPr>
              <w:pStyle w:val="a3"/>
              <w:rPr>
                <w:sz w:val="28"/>
                <w:szCs w:val="28"/>
                <w:rtl/>
              </w:rPr>
            </w:pPr>
          </w:p>
        </w:tc>
        <w:tc>
          <w:tcPr>
            <w:tcW w:w="3666" w:type="dxa"/>
          </w:tcPr>
          <w:p w14:paraId="78AD5501" w14:textId="77777777" w:rsidR="004079DF" w:rsidRPr="002A3B6C" w:rsidRDefault="004079DF" w:rsidP="00F17151">
            <w:pPr>
              <w:pStyle w:val="a3"/>
              <w:jc w:val="right"/>
              <w:rPr>
                <w:sz w:val="28"/>
                <w:szCs w:val="28"/>
                <w:rtl/>
              </w:rPr>
            </w:pPr>
          </w:p>
        </w:tc>
      </w:tr>
    </w:tbl>
    <w:p w14:paraId="060FAFDF" w14:textId="77777777" w:rsidR="004079DF" w:rsidRPr="002A3B6C" w:rsidRDefault="004079DF" w:rsidP="004079DF">
      <w:pPr>
        <w:pStyle w:val="a3"/>
        <w:rPr>
          <w:rtl/>
        </w:rPr>
      </w:pPr>
      <w:r w:rsidRPr="002A3B6C">
        <w:rPr>
          <w:rFonts w:hint="cs"/>
          <w:rtl/>
        </w:rPr>
        <w:t xml:space="preserve"> </w:t>
      </w:r>
    </w:p>
    <w:p w14:paraId="22DAB204" w14:textId="77777777" w:rsidR="004079DF" w:rsidRPr="002A3B6C" w:rsidRDefault="004079DF" w:rsidP="004079DF">
      <w:pPr>
        <w:spacing w:line="360" w:lineRule="auto"/>
        <w:jc w:val="both"/>
        <w:rPr>
          <w:rFonts w:ascii="KodchiangUPC" w:hAnsi="KodchiangUPC"/>
          <w:b/>
          <w:bCs/>
        </w:rPr>
      </w:pPr>
      <w:r w:rsidRPr="002A3B6C">
        <w:rPr>
          <w:rFonts w:hint="cs"/>
          <w:b/>
          <w:bCs/>
          <w:rtl/>
        </w:rPr>
        <w:t>לפני</w:t>
      </w:r>
      <w:r w:rsidRPr="002A3B6C">
        <w:rPr>
          <w:rFonts w:ascii="KodchiangUPC" w:hAnsi="KodchiangUPC"/>
          <w:b/>
          <w:bCs/>
          <w:rtl/>
        </w:rPr>
        <w:t xml:space="preserve">: </w:t>
      </w:r>
      <w:r w:rsidRPr="002A3B6C">
        <w:rPr>
          <w:rFonts w:hint="cs"/>
          <w:b/>
          <w:bCs/>
          <w:rtl/>
        </w:rPr>
        <w:t>כב</w:t>
      </w:r>
      <w:r w:rsidRPr="002A3B6C">
        <w:rPr>
          <w:rFonts w:ascii="KodchiangUPC" w:hAnsi="KodchiangUPC"/>
          <w:b/>
          <w:bCs/>
          <w:rtl/>
        </w:rPr>
        <w:t xml:space="preserve">' </w:t>
      </w:r>
      <w:r w:rsidRPr="002A3B6C">
        <w:rPr>
          <w:rFonts w:hint="cs"/>
          <w:b/>
          <w:bCs/>
          <w:rtl/>
        </w:rPr>
        <w:t>סגן</w:t>
      </w:r>
      <w:r w:rsidRPr="002A3B6C">
        <w:rPr>
          <w:rFonts w:ascii="KodchiangUPC" w:hAnsi="KodchiangUPC"/>
          <w:b/>
          <w:bCs/>
          <w:rtl/>
        </w:rPr>
        <w:t xml:space="preserve"> </w:t>
      </w:r>
      <w:r w:rsidRPr="002A3B6C">
        <w:rPr>
          <w:rFonts w:hint="cs"/>
          <w:b/>
          <w:bCs/>
          <w:rtl/>
        </w:rPr>
        <w:t>הנשיאה</w:t>
      </w:r>
      <w:r w:rsidRPr="002A3B6C">
        <w:rPr>
          <w:rFonts w:ascii="KodchiangUPC" w:hAnsi="KodchiangUPC"/>
          <w:b/>
          <w:bCs/>
          <w:rtl/>
        </w:rPr>
        <w:t xml:space="preserve">, </w:t>
      </w:r>
      <w:r w:rsidRPr="002A3B6C">
        <w:rPr>
          <w:rFonts w:hint="cs"/>
          <w:b/>
          <w:bCs/>
          <w:rtl/>
        </w:rPr>
        <w:t>השופט</w:t>
      </w:r>
      <w:r w:rsidRPr="002A3B6C">
        <w:rPr>
          <w:rFonts w:ascii="KodchiangUPC" w:hAnsi="KodchiangUPC"/>
          <w:b/>
          <w:bCs/>
          <w:rtl/>
        </w:rPr>
        <w:t xml:space="preserve"> </w:t>
      </w:r>
      <w:r w:rsidRPr="002A3B6C">
        <w:rPr>
          <w:rFonts w:hint="cs"/>
          <w:b/>
          <w:bCs/>
          <w:rtl/>
        </w:rPr>
        <w:t>נתן</w:t>
      </w:r>
      <w:r w:rsidRPr="002A3B6C">
        <w:rPr>
          <w:rFonts w:ascii="KodchiangUPC" w:hAnsi="KodchiangUPC"/>
          <w:b/>
          <w:bCs/>
          <w:rtl/>
        </w:rPr>
        <w:t xml:space="preserve"> </w:t>
      </w:r>
      <w:r w:rsidRPr="002A3B6C">
        <w:rPr>
          <w:rFonts w:hint="cs"/>
          <w:b/>
          <w:bCs/>
          <w:rtl/>
        </w:rPr>
        <w:t>זלוצ</w:t>
      </w:r>
      <w:r w:rsidRPr="002A3B6C">
        <w:rPr>
          <w:rFonts w:ascii="KodchiangUPC" w:hAnsi="KodchiangUPC"/>
          <w:b/>
          <w:bCs/>
          <w:rtl/>
        </w:rPr>
        <w:t>'</w:t>
      </w:r>
      <w:r w:rsidRPr="002A3B6C">
        <w:rPr>
          <w:rFonts w:hint="cs"/>
          <w:b/>
          <w:bCs/>
          <w:rtl/>
        </w:rPr>
        <w:t>ובר</w:t>
      </w:r>
      <w:r w:rsidRPr="002A3B6C">
        <w:rPr>
          <w:rFonts w:ascii="KodchiangUPC" w:hAnsi="KodchiangUPC"/>
          <w:b/>
          <w:bCs/>
          <w:rtl/>
        </w:rPr>
        <w:t xml:space="preserve"> </w:t>
      </w:r>
      <w:r w:rsidRPr="002A3B6C">
        <w:rPr>
          <w:rFonts w:ascii="KodchiangUPC" w:hAnsi="KodchiangUPC" w:hint="cs"/>
          <w:b/>
          <w:bCs/>
          <w:rtl/>
        </w:rPr>
        <w:t>–</w:t>
      </w:r>
      <w:r w:rsidRPr="002A3B6C">
        <w:rPr>
          <w:rFonts w:ascii="KodchiangUPC" w:hAnsi="KodchiangUPC"/>
          <w:b/>
          <w:bCs/>
          <w:rtl/>
        </w:rPr>
        <w:t xml:space="preserve"> </w:t>
      </w:r>
      <w:r w:rsidRPr="002A3B6C">
        <w:rPr>
          <w:rFonts w:hint="cs"/>
          <w:b/>
          <w:bCs/>
          <w:rtl/>
        </w:rPr>
        <w:t>אב</w:t>
      </w:r>
      <w:r w:rsidRPr="002A3B6C">
        <w:rPr>
          <w:rFonts w:ascii="KodchiangUPC" w:hAnsi="KodchiangUPC"/>
          <w:b/>
          <w:bCs/>
          <w:rtl/>
        </w:rPr>
        <w:t>"</w:t>
      </w:r>
      <w:r w:rsidRPr="002A3B6C">
        <w:rPr>
          <w:rFonts w:hint="cs"/>
          <w:b/>
          <w:bCs/>
          <w:rtl/>
        </w:rPr>
        <w:t>ד</w:t>
      </w:r>
    </w:p>
    <w:p w14:paraId="3AEBF92D" w14:textId="77777777" w:rsidR="004079DF" w:rsidRPr="002A3B6C" w:rsidRDefault="004079DF" w:rsidP="004079DF">
      <w:pPr>
        <w:spacing w:line="360" w:lineRule="auto"/>
        <w:rPr>
          <w:rFonts w:ascii="KodchiangUPC" w:hAnsi="KodchiangUPC"/>
          <w:b/>
          <w:bCs/>
          <w:rtl/>
        </w:rPr>
      </w:pPr>
      <w:r w:rsidRPr="002A3B6C">
        <w:rPr>
          <w:rFonts w:ascii="KodchiangUPC" w:hAnsi="KodchiangUPC"/>
          <w:b/>
          <w:bCs/>
          <w:rtl/>
        </w:rPr>
        <w:t xml:space="preserve">          </w:t>
      </w:r>
      <w:r w:rsidRPr="002A3B6C">
        <w:rPr>
          <w:rFonts w:hint="cs"/>
          <w:b/>
          <w:bCs/>
          <w:rtl/>
        </w:rPr>
        <w:t>כב</w:t>
      </w:r>
      <w:r w:rsidRPr="002A3B6C">
        <w:rPr>
          <w:rFonts w:ascii="KodchiangUPC" w:hAnsi="KodchiangUPC"/>
          <w:b/>
          <w:bCs/>
          <w:rtl/>
        </w:rPr>
        <w:t xml:space="preserve">' </w:t>
      </w:r>
      <w:r w:rsidRPr="002A3B6C">
        <w:rPr>
          <w:rFonts w:hint="cs"/>
          <w:b/>
          <w:bCs/>
          <w:rtl/>
        </w:rPr>
        <w:t>השופט</w:t>
      </w:r>
      <w:r w:rsidRPr="002A3B6C">
        <w:rPr>
          <w:rFonts w:ascii="KodchiangUPC" w:hAnsi="KodchiangUPC"/>
          <w:b/>
          <w:bCs/>
          <w:rtl/>
        </w:rPr>
        <w:t xml:space="preserve"> </w:t>
      </w:r>
      <w:r w:rsidRPr="002A3B6C">
        <w:rPr>
          <w:rFonts w:hint="cs"/>
          <w:b/>
          <w:bCs/>
          <w:rtl/>
        </w:rPr>
        <w:t>שלמה</w:t>
      </w:r>
      <w:r w:rsidRPr="002A3B6C">
        <w:rPr>
          <w:rFonts w:ascii="KodchiangUPC" w:hAnsi="KodchiangUPC"/>
          <w:b/>
          <w:bCs/>
          <w:rtl/>
        </w:rPr>
        <w:t xml:space="preserve"> </w:t>
      </w:r>
      <w:r w:rsidRPr="002A3B6C">
        <w:rPr>
          <w:rFonts w:hint="cs"/>
          <w:b/>
          <w:bCs/>
          <w:rtl/>
        </w:rPr>
        <w:t>פרידלנדר</w:t>
      </w:r>
    </w:p>
    <w:p w14:paraId="09C31642" w14:textId="77777777" w:rsidR="004079DF" w:rsidRPr="002A3B6C" w:rsidRDefault="004079DF" w:rsidP="004079DF">
      <w:pPr>
        <w:spacing w:line="360" w:lineRule="auto"/>
        <w:rPr>
          <w:rFonts w:ascii="KodchiangUPC" w:hAnsi="KodchiangUPC"/>
          <w:b/>
          <w:bCs/>
          <w:rtl/>
        </w:rPr>
      </w:pPr>
      <w:r w:rsidRPr="002A3B6C">
        <w:rPr>
          <w:rFonts w:ascii="KodchiangUPC" w:hAnsi="KodchiangUPC"/>
          <w:b/>
          <w:bCs/>
          <w:rtl/>
        </w:rPr>
        <w:t xml:space="preserve">          </w:t>
      </w:r>
      <w:r w:rsidRPr="002A3B6C">
        <w:rPr>
          <w:rFonts w:hint="cs"/>
          <w:b/>
          <w:bCs/>
          <w:rtl/>
        </w:rPr>
        <w:t>כב</w:t>
      </w:r>
      <w:r w:rsidRPr="002A3B6C">
        <w:rPr>
          <w:rFonts w:ascii="KodchiangUPC" w:hAnsi="KodchiangUPC"/>
          <w:b/>
          <w:bCs/>
          <w:rtl/>
        </w:rPr>
        <w:t xml:space="preserve">' </w:t>
      </w:r>
      <w:r w:rsidRPr="002A3B6C">
        <w:rPr>
          <w:rFonts w:hint="cs"/>
          <w:b/>
          <w:bCs/>
          <w:rtl/>
        </w:rPr>
        <w:t>השופטת</w:t>
      </w:r>
      <w:r w:rsidRPr="002A3B6C">
        <w:rPr>
          <w:rFonts w:ascii="KodchiangUPC" w:hAnsi="KodchiangUPC"/>
          <w:b/>
          <w:bCs/>
          <w:rtl/>
        </w:rPr>
        <w:t xml:space="preserve"> </w:t>
      </w:r>
      <w:bookmarkStart w:id="0" w:name="LastJudge"/>
      <w:r w:rsidRPr="002A3B6C">
        <w:rPr>
          <w:rFonts w:hint="cs"/>
          <w:b/>
          <w:bCs/>
          <w:rtl/>
        </w:rPr>
        <w:t>דינה</w:t>
      </w:r>
      <w:r w:rsidRPr="002A3B6C">
        <w:rPr>
          <w:rFonts w:ascii="KodchiangUPC" w:hAnsi="KodchiangUPC"/>
          <w:b/>
          <w:bCs/>
          <w:rtl/>
        </w:rPr>
        <w:t xml:space="preserve"> </w:t>
      </w:r>
      <w:r w:rsidRPr="002A3B6C">
        <w:rPr>
          <w:rFonts w:hint="cs"/>
          <w:b/>
          <w:bCs/>
          <w:rtl/>
        </w:rPr>
        <w:t>כהן</w:t>
      </w:r>
      <w:bookmarkEnd w:id="0"/>
      <w:r w:rsidRPr="002A3B6C">
        <w:rPr>
          <w:rFonts w:ascii="KodchiangUPC" w:hAnsi="KodchiangUPC"/>
          <w:b/>
          <w:bCs/>
          <w:rtl/>
        </w:rPr>
        <w:t xml:space="preserve">  </w:t>
      </w:r>
    </w:p>
    <w:p w14:paraId="1C398C77" w14:textId="77777777" w:rsidR="004079DF" w:rsidRPr="002A3B6C" w:rsidRDefault="004079DF" w:rsidP="004079DF">
      <w:pPr>
        <w:spacing w:line="360" w:lineRule="auto"/>
        <w:rPr>
          <w:rFonts w:ascii="KodchiangUPC" w:hAnsi="KodchiangUPC"/>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3728"/>
        <w:gridCol w:w="3435"/>
      </w:tblGrid>
      <w:tr w:rsidR="004079DF" w:rsidRPr="002A3B6C" w14:paraId="03940A20" w14:textId="77777777" w:rsidTr="004079DF">
        <w:trPr>
          <w:trHeight w:val="355"/>
          <w:jc w:val="center"/>
        </w:trPr>
        <w:tc>
          <w:tcPr>
            <w:tcW w:w="1657" w:type="dxa"/>
            <w:tcBorders>
              <w:top w:val="nil"/>
              <w:left w:val="nil"/>
              <w:bottom w:val="nil"/>
              <w:right w:val="nil"/>
            </w:tcBorders>
            <w:shd w:val="clear" w:color="auto" w:fill="auto"/>
          </w:tcPr>
          <w:p w14:paraId="66CE6454" w14:textId="77777777" w:rsidR="004079DF" w:rsidRPr="002A3B6C" w:rsidRDefault="004079DF" w:rsidP="004079DF">
            <w:pPr>
              <w:jc w:val="both"/>
              <w:rPr>
                <w:rFonts w:ascii="Arial" w:hAnsi="Arial"/>
                <w:b/>
                <w:bCs/>
                <w:sz w:val="28"/>
                <w:szCs w:val="28"/>
              </w:rPr>
            </w:pPr>
            <w:bookmarkStart w:id="1" w:name="FirstAppellant"/>
            <w:r w:rsidRPr="002A3B6C">
              <w:rPr>
                <w:rFonts w:ascii="Arial" w:hAnsi="Arial" w:hint="cs"/>
                <w:b/>
                <w:bCs/>
                <w:sz w:val="28"/>
                <w:szCs w:val="28"/>
                <w:rtl/>
              </w:rPr>
              <w:t>המאשימה:</w:t>
            </w:r>
          </w:p>
        </w:tc>
        <w:tc>
          <w:tcPr>
            <w:tcW w:w="3728" w:type="dxa"/>
            <w:tcBorders>
              <w:top w:val="nil"/>
              <w:left w:val="nil"/>
              <w:bottom w:val="nil"/>
              <w:right w:val="nil"/>
            </w:tcBorders>
            <w:shd w:val="clear" w:color="auto" w:fill="auto"/>
          </w:tcPr>
          <w:p w14:paraId="16EBE613" w14:textId="77777777" w:rsidR="004079DF" w:rsidRPr="002A3B6C" w:rsidRDefault="004079DF" w:rsidP="00F17151">
            <w:pPr>
              <w:rPr>
                <w:b/>
                <w:bCs/>
              </w:rPr>
            </w:pPr>
            <w:r w:rsidRPr="002A3B6C">
              <w:rPr>
                <w:rFonts w:ascii="Arial" w:hAnsi="Arial"/>
                <w:b/>
                <w:bCs/>
                <w:sz w:val="28"/>
                <w:szCs w:val="28"/>
                <w:rtl/>
              </w:rPr>
              <w:t>מדינת ישראל</w:t>
            </w:r>
          </w:p>
        </w:tc>
        <w:tc>
          <w:tcPr>
            <w:tcW w:w="3435" w:type="dxa"/>
            <w:tcBorders>
              <w:top w:val="nil"/>
              <w:left w:val="nil"/>
              <w:bottom w:val="nil"/>
              <w:right w:val="nil"/>
            </w:tcBorders>
            <w:shd w:val="clear" w:color="auto" w:fill="auto"/>
          </w:tcPr>
          <w:p w14:paraId="72E62E88" w14:textId="77777777" w:rsidR="004079DF" w:rsidRPr="002A3B6C" w:rsidRDefault="004079DF" w:rsidP="004079DF">
            <w:pPr>
              <w:jc w:val="both"/>
              <w:rPr>
                <w:rFonts w:ascii="Arial" w:hAnsi="Arial"/>
                <w:b/>
                <w:bCs/>
                <w:sz w:val="28"/>
                <w:szCs w:val="28"/>
              </w:rPr>
            </w:pPr>
          </w:p>
        </w:tc>
      </w:tr>
      <w:tr w:rsidR="004079DF" w:rsidRPr="002A3B6C" w14:paraId="5D703AD7" w14:textId="77777777" w:rsidTr="004079DF">
        <w:trPr>
          <w:trHeight w:val="355"/>
          <w:jc w:val="center"/>
        </w:trPr>
        <w:tc>
          <w:tcPr>
            <w:tcW w:w="1657" w:type="dxa"/>
            <w:tcBorders>
              <w:top w:val="nil"/>
              <w:left w:val="nil"/>
              <w:bottom w:val="nil"/>
              <w:right w:val="nil"/>
            </w:tcBorders>
            <w:shd w:val="clear" w:color="auto" w:fill="auto"/>
          </w:tcPr>
          <w:p w14:paraId="615524B2" w14:textId="77777777" w:rsidR="004079DF" w:rsidRPr="002A3B6C" w:rsidRDefault="004079DF" w:rsidP="004079DF">
            <w:pPr>
              <w:jc w:val="both"/>
              <w:rPr>
                <w:rFonts w:ascii="Arial" w:hAnsi="Arial"/>
                <w:b/>
                <w:bCs/>
                <w:sz w:val="28"/>
                <w:szCs w:val="28"/>
                <w:rtl/>
              </w:rPr>
            </w:pPr>
            <w:bookmarkStart w:id="2" w:name="FirstLawyer"/>
            <w:bookmarkEnd w:id="1"/>
          </w:p>
        </w:tc>
        <w:tc>
          <w:tcPr>
            <w:tcW w:w="3728" w:type="dxa"/>
            <w:tcBorders>
              <w:top w:val="nil"/>
              <w:left w:val="nil"/>
              <w:bottom w:val="nil"/>
              <w:right w:val="nil"/>
            </w:tcBorders>
            <w:shd w:val="clear" w:color="auto" w:fill="auto"/>
          </w:tcPr>
          <w:p w14:paraId="1A6DADEA" w14:textId="77777777" w:rsidR="004079DF" w:rsidRPr="002A3B6C" w:rsidRDefault="004079DF" w:rsidP="004079DF">
            <w:pPr>
              <w:jc w:val="both"/>
              <w:rPr>
                <w:rtl/>
              </w:rPr>
            </w:pPr>
            <w:r w:rsidRPr="002A3B6C">
              <w:rPr>
                <w:rtl/>
              </w:rPr>
              <w:t xml:space="preserve">על ידי ב"כ – עו"ד </w:t>
            </w:r>
            <w:r w:rsidRPr="002A3B6C">
              <w:rPr>
                <w:rFonts w:hint="cs"/>
                <w:rtl/>
              </w:rPr>
              <w:t>מסעד מסעד</w:t>
            </w:r>
          </w:p>
        </w:tc>
        <w:tc>
          <w:tcPr>
            <w:tcW w:w="3435" w:type="dxa"/>
            <w:tcBorders>
              <w:top w:val="nil"/>
              <w:left w:val="nil"/>
              <w:bottom w:val="nil"/>
              <w:right w:val="nil"/>
            </w:tcBorders>
            <w:shd w:val="clear" w:color="auto" w:fill="auto"/>
          </w:tcPr>
          <w:p w14:paraId="7CB59709" w14:textId="77777777" w:rsidR="004079DF" w:rsidRPr="002A3B6C" w:rsidRDefault="004079DF" w:rsidP="004079DF">
            <w:pPr>
              <w:jc w:val="right"/>
              <w:rPr>
                <w:rFonts w:ascii="Arial" w:hAnsi="Arial"/>
                <w:b/>
                <w:bCs/>
                <w:sz w:val="28"/>
                <w:szCs w:val="28"/>
                <w:rtl/>
              </w:rPr>
            </w:pPr>
          </w:p>
        </w:tc>
      </w:tr>
      <w:bookmarkEnd w:id="2"/>
      <w:tr w:rsidR="004079DF" w:rsidRPr="002A3B6C" w14:paraId="651356D8" w14:textId="77777777" w:rsidTr="004079DF">
        <w:trPr>
          <w:trHeight w:val="355"/>
          <w:jc w:val="center"/>
        </w:trPr>
        <w:tc>
          <w:tcPr>
            <w:tcW w:w="1657" w:type="dxa"/>
            <w:tcBorders>
              <w:top w:val="nil"/>
              <w:left w:val="nil"/>
              <w:bottom w:val="nil"/>
              <w:right w:val="nil"/>
            </w:tcBorders>
            <w:shd w:val="clear" w:color="auto" w:fill="auto"/>
          </w:tcPr>
          <w:p w14:paraId="358E2CA3" w14:textId="77777777" w:rsidR="004079DF" w:rsidRPr="002A3B6C" w:rsidRDefault="004079DF" w:rsidP="004079DF">
            <w:pPr>
              <w:jc w:val="both"/>
              <w:rPr>
                <w:rFonts w:ascii="Arial" w:hAnsi="Arial"/>
                <w:b/>
                <w:bCs/>
                <w:sz w:val="28"/>
                <w:szCs w:val="28"/>
                <w:rtl/>
              </w:rPr>
            </w:pPr>
          </w:p>
        </w:tc>
        <w:tc>
          <w:tcPr>
            <w:tcW w:w="7163" w:type="dxa"/>
            <w:gridSpan w:val="2"/>
            <w:tcBorders>
              <w:top w:val="nil"/>
              <w:left w:val="nil"/>
              <w:bottom w:val="nil"/>
              <w:right w:val="nil"/>
            </w:tcBorders>
            <w:shd w:val="clear" w:color="auto" w:fill="auto"/>
          </w:tcPr>
          <w:p w14:paraId="2A533D96" w14:textId="77777777" w:rsidR="004079DF" w:rsidRPr="002A3B6C" w:rsidRDefault="004079DF" w:rsidP="00F17151">
            <w:pPr>
              <w:rPr>
                <w:rFonts w:ascii="Arial" w:hAnsi="Arial"/>
                <w:b/>
                <w:bCs/>
                <w:sz w:val="28"/>
                <w:szCs w:val="28"/>
                <w:rtl/>
              </w:rPr>
            </w:pPr>
            <w:r w:rsidRPr="002A3B6C">
              <w:rPr>
                <w:rFonts w:ascii="Arial" w:hAnsi="Arial" w:hint="cs"/>
                <w:b/>
                <w:bCs/>
                <w:sz w:val="28"/>
                <w:szCs w:val="28"/>
                <w:rtl/>
              </w:rPr>
              <w:t xml:space="preserve">       </w:t>
            </w:r>
            <w:r w:rsidRPr="002A3B6C">
              <w:rPr>
                <w:rFonts w:ascii="Arial" w:hAnsi="Arial"/>
                <w:b/>
                <w:bCs/>
                <w:sz w:val="28"/>
                <w:szCs w:val="28"/>
                <w:rtl/>
              </w:rPr>
              <w:t>נ</w:t>
            </w:r>
            <w:r w:rsidRPr="002A3B6C">
              <w:rPr>
                <w:rFonts w:ascii="Arial" w:hAnsi="Arial" w:hint="cs"/>
                <w:b/>
                <w:bCs/>
                <w:sz w:val="28"/>
                <w:szCs w:val="28"/>
                <w:rtl/>
              </w:rPr>
              <w:t xml:space="preserve"> </w:t>
            </w:r>
            <w:r w:rsidRPr="002A3B6C">
              <w:rPr>
                <w:rFonts w:ascii="Arial" w:hAnsi="Arial"/>
                <w:b/>
                <w:bCs/>
                <w:sz w:val="28"/>
                <w:szCs w:val="28"/>
                <w:rtl/>
              </w:rPr>
              <w:t>ג</w:t>
            </w:r>
            <w:r w:rsidRPr="002A3B6C">
              <w:rPr>
                <w:rFonts w:ascii="Arial" w:hAnsi="Arial" w:hint="cs"/>
                <w:b/>
                <w:bCs/>
                <w:sz w:val="28"/>
                <w:szCs w:val="28"/>
                <w:rtl/>
              </w:rPr>
              <w:t xml:space="preserve"> </w:t>
            </w:r>
            <w:r w:rsidRPr="002A3B6C">
              <w:rPr>
                <w:rFonts w:ascii="Arial" w:hAnsi="Arial"/>
                <w:b/>
                <w:bCs/>
                <w:sz w:val="28"/>
                <w:szCs w:val="28"/>
                <w:rtl/>
              </w:rPr>
              <w:t>ד</w:t>
            </w:r>
          </w:p>
          <w:p w14:paraId="566E6B33" w14:textId="77777777" w:rsidR="004079DF" w:rsidRPr="002A3B6C" w:rsidRDefault="004079DF" w:rsidP="004079DF">
            <w:pPr>
              <w:jc w:val="both"/>
              <w:rPr>
                <w:rFonts w:ascii="Arial" w:hAnsi="Arial"/>
                <w:b/>
                <w:bCs/>
                <w:sz w:val="28"/>
                <w:szCs w:val="28"/>
              </w:rPr>
            </w:pPr>
          </w:p>
        </w:tc>
      </w:tr>
      <w:tr w:rsidR="004079DF" w:rsidRPr="002A3B6C" w14:paraId="2E0A3CCC" w14:textId="77777777" w:rsidTr="004079DF">
        <w:trPr>
          <w:trHeight w:val="355"/>
          <w:jc w:val="center"/>
        </w:trPr>
        <w:tc>
          <w:tcPr>
            <w:tcW w:w="1657" w:type="dxa"/>
            <w:tcBorders>
              <w:top w:val="nil"/>
              <w:left w:val="nil"/>
              <w:bottom w:val="nil"/>
              <w:right w:val="nil"/>
            </w:tcBorders>
            <w:shd w:val="clear" w:color="auto" w:fill="auto"/>
          </w:tcPr>
          <w:p w14:paraId="31F79C13" w14:textId="77777777" w:rsidR="004079DF" w:rsidRPr="002A3B6C" w:rsidRDefault="004079DF" w:rsidP="00F17151">
            <w:pPr>
              <w:rPr>
                <w:rFonts w:ascii="Arial" w:hAnsi="Arial"/>
                <w:b/>
                <w:bCs/>
                <w:sz w:val="28"/>
                <w:szCs w:val="28"/>
                <w:rtl/>
              </w:rPr>
            </w:pPr>
            <w:r w:rsidRPr="002A3B6C">
              <w:rPr>
                <w:rFonts w:ascii="Arial" w:hAnsi="Arial" w:hint="cs"/>
                <w:b/>
                <w:bCs/>
                <w:sz w:val="28"/>
                <w:szCs w:val="28"/>
                <w:rtl/>
              </w:rPr>
              <w:t>הנאשם:</w:t>
            </w:r>
          </w:p>
        </w:tc>
        <w:tc>
          <w:tcPr>
            <w:tcW w:w="7163" w:type="dxa"/>
            <w:gridSpan w:val="2"/>
            <w:tcBorders>
              <w:top w:val="nil"/>
              <w:left w:val="nil"/>
              <w:bottom w:val="nil"/>
              <w:right w:val="nil"/>
            </w:tcBorders>
            <w:shd w:val="clear" w:color="auto" w:fill="auto"/>
          </w:tcPr>
          <w:p w14:paraId="032B4532" w14:textId="77777777" w:rsidR="004079DF" w:rsidRPr="002A3B6C" w:rsidRDefault="004079DF" w:rsidP="00F17151">
            <w:pPr>
              <w:rPr>
                <w:rFonts w:ascii="Arial" w:hAnsi="Arial"/>
                <w:b/>
                <w:bCs/>
                <w:sz w:val="28"/>
                <w:szCs w:val="28"/>
              </w:rPr>
            </w:pPr>
            <w:r w:rsidRPr="002A3B6C">
              <w:rPr>
                <w:rFonts w:ascii="Arial" w:hAnsi="Arial"/>
                <w:b/>
                <w:bCs/>
                <w:sz w:val="28"/>
                <w:szCs w:val="28"/>
                <w:rtl/>
              </w:rPr>
              <w:t>פיראס אלעומרי (עצור)</w:t>
            </w:r>
            <w:r w:rsidRPr="002A3B6C">
              <w:rPr>
                <w:rFonts w:ascii="Arial" w:hAnsi="Arial"/>
                <w:b/>
                <w:bCs/>
                <w:sz w:val="28"/>
                <w:szCs w:val="28"/>
                <w:rtl/>
              </w:rPr>
              <w:br/>
            </w:r>
            <w:r w:rsidRPr="002A3B6C">
              <w:rPr>
                <w:rtl/>
              </w:rPr>
              <w:t>על ידי ב"כ – עו</w:t>
            </w:r>
            <w:r w:rsidRPr="002A3B6C">
              <w:rPr>
                <w:rFonts w:hint="cs"/>
                <w:rtl/>
              </w:rPr>
              <w:t>ה</w:t>
            </w:r>
            <w:r w:rsidRPr="002A3B6C">
              <w:rPr>
                <w:rtl/>
              </w:rPr>
              <w:t>"</w:t>
            </w:r>
            <w:r w:rsidRPr="002A3B6C">
              <w:rPr>
                <w:rFonts w:hint="cs"/>
                <w:rtl/>
              </w:rPr>
              <w:t xml:space="preserve">ד אביגדור פלדמן, סמא חורי ועומר חמאיסי </w:t>
            </w:r>
          </w:p>
        </w:tc>
      </w:tr>
      <w:tr w:rsidR="004079DF" w:rsidRPr="002A3B6C" w14:paraId="1774103E" w14:textId="77777777" w:rsidTr="004079DF">
        <w:trPr>
          <w:trHeight w:val="355"/>
          <w:jc w:val="center"/>
        </w:trPr>
        <w:tc>
          <w:tcPr>
            <w:tcW w:w="1657" w:type="dxa"/>
            <w:tcBorders>
              <w:top w:val="nil"/>
              <w:left w:val="nil"/>
              <w:bottom w:val="nil"/>
              <w:right w:val="nil"/>
            </w:tcBorders>
            <w:shd w:val="clear" w:color="auto" w:fill="auto"/>
          </w:tcPr>
          <w:p w14:paraId="59CB2957" w14:textId="77777777" w:rsidR="004079DF" w:rsidRPr="002A3B6C" w:rsidRDefault="004079DF" w:rsidP="004079DF">
            <w:pPr>
              <w:jc w:val="both"/>
              <w:rPr>
                <w:rFonts w:ascii="Arial" w:hAnsi="Arial"/>
                <w:b/>
                <w:bCs/>
                <w:sz w:val="28"/>
                <w:szCs w:val="28"/>
                <w:rtl/>
              </w:rPr>
            </w:pPr>
          </w:p>
        </w:tc>
        <w:tc>
          <w:tcPr>
            <w:tcW w:w="3728" w:type="dxa"/>
            <w:tcBorders>
              <w:top w:val="nil"/>
              <w:left w:val="nil"/>
              <w:bottom w:val="nil"/>
              <w:right w:val="nil"/>
            </w:tcBorders>
            <w:shd w:val="clear" w:color="auto" w:fill="auto"/>
          </w:tcPr>
          <w:p w14:paraId="61FDC72B" w14:textId="77777777" w:rsidR="004079DF" w:rsidRPr="002A3B6C" w:rsidRDefault="004079DF" w:rsidP="004079DF">
            <w:pPr>
              <w:jc w:val="both"/>
              <w:rPr>
                <w:b/>
                <w:bCs/>
                <w:rtl/>
              </w:rPr>
            </w:pPr>
          </w:p>
        </w:tc>
        <w:tc>
          <w:tcPr>
            <w:tcW w:w="3435" w:type="dxa"/>
            <w:tcBorders>
              <w:top w:val="nil"/>
              <w:left w:val="nil"/>
              <w:bottom w:val="nil"/>
              <w:right w:val="nil"/>
            </w:tcBorders>
            <w:shd w:val="clear" w:color="auto" w:fill="auto"/>
          </w:tcPr>
          <w:p w14:paraId="5FCEB148" w14:textId="77777777" w:rsidR="004079DF" w:rsidRPr="002A3B6C" w:rsidRDefault="004079DF" w:rsidP="004079DF">
            <w:pPr>
              <w:jc w:val="right"/>
              <w:rPr>
                <w:rFonts w:ascii="Arial" w:hAnsi="Arial"/>
                <w:b/>
                <w:bCs/>
                <w:sz w:val="28"/>
                <w:szCs w:val="28"/>
              </w:rPr>
            </w:pPr>
            <w:r w:rsidRPr="002A3B6C">
              <w:rPr>
                <w:b/>
                <w:bCs/>
                <w:rtl/>
              </w:rPr>
              <w:t xml:space="preserve">     </w:t>
            </w:r>
          </w:p>
        </w:tc>
      </w:tr>
      <w:tr w:rsidR="004079DF" w:rsidRPr="00A06A36" w14:paraId="2F475A82" w14:textId="77777777" w:rsidTr="004079DF">
        <w:trPr>
          <w:trHeight w:val="355"/>
          <w:jc w:val="center"/>
        </w:trPr>
        <w:tc>
          <w:tcPr>
            <w:tcW w:w="8820" w:type="dxa"/>
            <w:gridSpan w:val="3"/>
            <w:tcBorders>
              <w:top w:val="nil"/>
              <w:left w:val="nil"/>
              <w:bottom w:val="nil"/>
              <w:right w:val="nil"/>
            </w:tcBorders>
            <w:shd w:val="clear" w:color="auto" w:fill="auto"/>
          </w:tcPr>
          <w:p w14:paraId="5A9FE261" w14:textId="77777777" w:rsidR="003C6D70" w:rsidRDefault="003C6D70" w:rsidP="002A3B6C">
            <w:pPr>
              <w:jc w:val="center"/>
              <w:rPr>
                <w:rFonts w:ascii="Arial" w:hAnsi="Arial"/>
                <w:sz w:val="32"/>
                <w:szCs w:val="32"/>
                <w:rtl/>
              </w:rPr>
            </w:pPr>
            <w:bookmarkStart w:id="3" w:name="PsakDin" w:colFirst="0" w:colLast="0"/>
            <w:bookmarkStart w:id="4" w:name="LawTable"/>
            <w:bookmarkEnd w:id="4"/>
          </w:p>
          <w:p w14:paraId="42BC847F" w14:textId="77777777" w:rsidR="003C6D70" w:rsidRPr="003C6D70" w:rsidRDefault="003C6D70" w:rsidP="003C6D70">
            <w:pPr>
              <w:spacing w:after="120" w:line="240" w:lineRule="exact"/>
              <w:ind w:left="283" w:hanging="283"/>
              <w:jc w:val="both"/>
              <w:rPr>
                <w:rFonts w:ascii="FrankRuehl" w:hAnsi="FrankRuehl" w:cs="FrankRuehl"/>
                <w:rtl/>
              </w:rPr>
            </w:pPr>
          </w:p>
          <w:p w14:paraId="5533CD22" w14:textId="77777777" w:rsidR="003C6D70" w:rsidRPr="003C6D70" w:rsidRDefault="003C6D70" w:rsidP="003C6D70">
            <w:pPr>
              <w:spacing w:after="120" w:line="240" w:lineRule="exact"/>
              <w:ind w:left="283" w:hanging="283"/>
              <w:jc w:val="both"/>
              <w:rPr>
                <w:rFonts w:ascii="FrankRuehl" w:hAnsi="FrankRuehl" w:cs="FrankRuehl"/>
                <w:rtl/>
              </w:rPr>
            </w:pPr>
            <w:r w:rsidRPr="003C6D70">
              <w:rPr>
                <w:rFonts w:ascii="FrankRuehl" w:hAnsi="FrankRuehl" w:cs="FrankRuehl"/>
                <w:rtl/>
              </w:rPr>
              <w:t xml:space="preserve">חקיקה שאוזכרה: </w:t>
            </w:r>
          </w:p>
          <w:p w14:paraId="3F5178C1" w14:textId="77777777" w:rsidR="003C6D70" w:rsidRPr="003C6D70" w:rsidRDefault="003C6D70" w:rsidP="003C6D70">
            <w:pPr>
              <w:spacing w:after="120" w:line="240" w:lineRule="exact"/>
              <w:ind w:left="283" w:hanging="283"/>
              <w:jc w:val="both"/>
              <w:rPr>
                <w:rFonts w:ascii="FrankRuehl" w:hAnsi="FrankRuehl" w:cs="FrankRuehl"/>
                <w:rtl/>
              </w:rPr>
            </w:pPr>
            <w:hyperlink r:id="rId7" w:history="1">
              <w:r w:rsidRPr="003C6D70">
                <w:rPr>
                  <w:rFonts w:ascii="FrankRuehl" w:hAnsi="FrankRuehl" w:cs="FrankRuehl"/>
                  <w:color w:val="0000FF"/>
                  <w:u w:val="single"/>
                  <w:rtl/>
                </w:rPr>
                <w:t>חוק העונשין, תשל"ז-1977</w:t>
              </w:r>
            </w:hyperlink>
            <w:r w:rsidRPr="003C6D70">
              <w:rPr>
                <w:rFonts w:ascii="FrankRuehl" w:hAnsi="FrankRuehl" w:cs="FrankRuehl"/>
                <w:rtl/>
              </w:rPr>
              <w:t xml:space="preserve">: סע'  </w:t>
            </w:r>
            <w:hyperlink r:id="rId8" w:history="1">
              <w:r w:rsidRPr="003C6D70">
                <w:rPr>
                  <w:rFonts w:ascii="FrankRuehl" w:hAnsi="FrankRuehl" w:cs="FrankRuehl"/>
                  <w:color w:val="0000FF"/>
                  <w:u w:val="single"/>
                  <w:rtl/>
                </w:rPr>
                <w:t>29</w:t>
              </w:r>
            </w:hyperlink>
            <w:r w:rsidRPr="003C6D70">
              <w:rPr>
                <w:rFonts w:ascii="FrankRuehl" w:hAnsi="FrankRuehl" w:cs="FrankRuehl"/>
                <w:rtl/>
              </w:rPr>
              <w:t xml:space="preserve">, </w:t>
            </w:r>
            <w:hyperlink r:id="rId9" w:history="1">
              <w:r w:rsidRPr="003C6D70">
                <w:rPr>
                  <w:rFonts w:ascii="FrankRuehl" w:hAnsi="FrankRuehl" w:cs="FrankRuehl"/>
                  <w:color w:val="0000FF"/>
                  <w:u w:val="single"/>
                  <w:rtl/>
                </w:rPr>
                <w:t>92</w:t>
              </w:r>
            </w:hyperlink>
            <w:r w:rsidRPr="003C6D70">
              <w:rPr>
                <w:rFonts w:ascii="FrankRuehl" w:hAnsi="FrankRuehl" w:cs="FrankRuehl"/>
                <w:rtl/>
              </w:rPr>
              <w:t xml:space="preserve">, </w:t>
            </w:r>
            <w:hyperlink r:id="rId10" w:history="1">
              <w:r w:rsidRPr="003C6D70">
                <w:rPr>
                  <w:rFonts w:ascii="FrankRuehl" w:hAnsi="FrankRuehl" w:cs="FrankRuehl"/>
                  <w:color w:val="0000FF"/>
                  <w:u w:val="single"/>
                  <w:rtl/>
                </w:rPr>
                <w:t>99</w:t>
              </w:r>
            </w:hyperlink>
            <w:r w:rsidRPr="003C6D70">
              <w:rPr>
                <w:rFonts w:ascii="FrankRuehl" w:hAnsi="FrankRuehl" w:cs="FrankRuehl"/>
                <w:rtl/>
              </w:rPr>
              <w:t xml:space="preserve">, </w:t>
            </w:r>
            <w:hyperlink r:id="rId11" w:history="1">
              <w:r w:rsidRPr="003C6D70">
                <w:rPr>
                  <w:rFonts w:ascii="FrankRuehl" w:hAnsi="FrankRuehl" w:cs="FrankRuehl"/>
                  <w:color w:val="0000FF"/>
                  <w:u w:val="single"/>
                  <w:rtl/>
                </w:rPr>
                <w:t>99(א)</w:t>
              </w:r>
            </w:hyperlink>
            <w:r w:rsidRPr="003C6D70">
              <w:rPr>
                <w:rFonts w:ascii="FrankRuehl" w:hAnsi="FrankRuehl" w:cs="FrankRuehl"/>
                <w:rtl/>
              </w:rPr>
              <w:t xml:space="preserve">, </w:t>
            </w:r>
            <w:hyperlink r:id="rId12" w:history="1">
              <w:r w:rsidRPr="003C6D70">
                <w:rPr>
                  <w:rFonts w:ascii="FrankRuehl" w:hAnsi="FrankRuehl" w:cs="FrankRuehl"/>
                  <w:color w:val="0000FF"/>
                  <w:u w:val="single"/>
                  <w:rtl/>
                </w:rPr>
                <w:t>144.א.</w:t>
              </w:r>
            </w:hyperlink>
            <w:r w:rsidRPr="003C6D70">
              <w:rPr>
                <w:rFonts w:ascii="FrankRuehl" w:hAnsi="FrankRuehl" w:cs="FrankRuehl"/>
                <w:rtl/>
              </w:rPr>
              <w:t xml:space="preserve">, </w:t>
            </w:r>
            <w:hyperlink r:id="rId13" w:history="1">
              <w:r w:rsidRPr="003C6D70">
                <w:rPr>
                  <w:rFonts w:ascii="FrankRuehl" w:hAnsi="FrankRuehl" w:cs="FrankRuehl"/>
                  <w:color w:val="0000FF"/>
                  <w:u w:val="single"/>
                  <w:rtl/>
                </w:rPr>
                <w:t>144.ב.</w:t>
              </w:r>
            </w:hyperlink>
            <w:r w:rsidRPr="003C6D70">
              <w:rPr>
                <w:rFonts w:ascii="FrankRuehl" w:hAnsi="FrankRuehl" w:cs="FrankRuehl"/>
                <w:rtl/>
              </w:rPr>
              <w:t xml:space="preserve">, </w:t>
            </w:r>
            <w:hyperlink r:id="rId14" w:history="1">
              <w:r w:rsidRPr="003C6D70">
                <w:rPr>
                  <w:rFonts w:ascii="FrankRuehl" w:hAnsi="FrankRuehl" w:cs="FrankRuehl"/>
                  <w:color w:val="0000FF"/>
                  <w:u w:val="single"/>
                  <w:rtl/>
                </w:rPr>
                <w:t>144.ב2</w:t>
              </w:r>
            </w:hyperlink>
            <w:r w:rsidRPr="003C6D70">
              <w:rPr>
                <w:rFonts w:ascii="FrankRuehl" w:hAnsi="FrankRuehl" w:cs="FrankRuehl"/>
                <w:rtl/>
              </w:rPr>
              <w:t xml:space="preserve">, </w:t>
            </w:r>
            <w:hyperlink r:id="rId15" w:history="1">
              <w:r w:rsidRPr="003C6D70">
                <w:rPr>
                  <w:rFonts w:ascii="FrankRuehl" w:hAnsi="FrankRuehl" w:cs="FrankRuehl"/>
                  <w:color w:val="0000FF"/>
                  <w:u w:val="single"/>
                  <w:rtl/>
                </w:rPr>
                <w:t>לפרק ז'</w:t>
              </w:r>
            </w:hyperlink>
          </w:p>
          <w:p w14:paraId="33925111" w14:textId="77777777" w:rsidR="003C6D70" w:rsidRPr="003C6D70" w:rsidRDefault="003C6D70" w:rsidP="003C6D70">
            <w:pPr>
              <w:spacing w:after="120" w:line="240" w:lineRule="exact"/>
              <w:ind w:left="283" w:hanging="283"/>
              <w:jc w:val="both"/>
              <w:rPr>
                <w:rFonts w:ascii="FrankRuehl" w:hAnsi="FrankRuehl" w:cs="FrankRuehl"/>
                <w:rtl/>
              </w:rPr>
            </w:pPr>
            <w:hyperlink r:id="rId16" w:history="1">
              <w:r w:rsidRPr="003C6D70">
                <w:rPr>
                  <w:rFonts w:ascii="FrankRuehl" w:hAnsi="FrankRuehl" w:cs="FrankRuehl"/>
                  <w:color w:val="0000FF"/>
                  <w:u w:val="single"/>
                  <w:rtl/>
                </w:rPr>
                <w:t>תקנות ההגנה (שעת-חירום), 1945</w:t>
              </w:r>
            </w:hyperlink>
            <w:r w:rsidRPr="003C6D70">
              <w:rPr>
                <w:rFonts w:ascii="FrankRuehl" w:hAnsi="FrankRuehl" w:cs="FrankRuehl"/>
                <w:rtl/>
              </w:rPr>
              <w:t xml:space="preserve">: סע'  </w:t>
            </w:r>
            <w:hyperlink r:id="rId17" w:history="1">
              <w:r w:rsidRPr="003C6D70">
                <w:rPr>
                  <w:rFonts w:ascii="FrankRuehl" w:hAnsi="FrankRuehl" w:cs="FrankRuehl"/>
                  <w:color w:val="0000FF"/>
                  <w:u w:val="single"/>
                  <w:rtl/>
                </w:rPr>
                <w:t>85ז</w:t>
              </w:r>
            </w:hyperlink>
          </w:p>
          <w:p w14:paraId="0F3CC18F" w14:textId="77777777" w:rsidR="003C6D70" w:rsidRPr="003C6D70" w:rsidRDefault="003C6D70" w:rsidP="003C6D70">
            <w:pPr>
              <w:spacing w:after="120" w:line="240" w:lineRule="exact"/>
              <w:ind w:left="283" w:hanging="283"/>
              <w:jc w:val="both"/>
              <w:rPr>
                <w:rFonts w:ascii="FrankRuehl" w:hAnsi="FrankRuehl" w:cs="FrankRuehl"/>
                <w:rtl/>
              </w:rPr>
            </w:pPr>
            <w:hyperlink r:id="rId18" w:history="1">
              <w:r w:rsidRPr="003C6D70">
                <w:rPr>
                  <w:rFonts w:ascii="FrankRuehl" w:hAnsi="FrankRuehl" w:cs="FrankRuehl"/>
                  <w:color w:val="0000FF"/>
                  <w:u w:val="single"/>
                  <w:rtl/>
                </w:rPr>
                <w:t>חוק המאבק בטרור, תשע"ו-2016</w:t>
              </w:r>
            </w:hyperlink>
            <w:r w:rsidRPr="003C6D70">
              <w:rPr>
                <w:rFonts w:ascii="FrankRuehl" w:hAnsi="FrankRuehl" w:cs="FrankRuehl"/>
                <w:rtl/>
              </w:rPr>
              <w:t xml:space="preserve">: סע'  </w:t>
            </w:r>
            <w:hyperlink r:id="rId19" w:history="1">
              <w:r w:rsidRPr="003C6D70">
                <w:rPr>
                  <w:rFonts w:ascii="FrankRuehl" w:hAnsi="FrankRuehl" w:cs="FrankRuehl"/>
                  <w:color w:val="0000FF"/>
                  <w:u w:val="single"/>
                  <w:rtl/>
                </w:rPr>
                <w:t>24</w:t>
              </w:r>
            </w:hyperlink>
          </w:p>
          <w:p w14:paraId="28DA5042" w14:textId="77777777" w:rsidR="003C6D70" w:rsidRPr="003C6D70" w:rsidRDefault="003C6D70" w:rsidP="003C6D70">
            <w:pPr>
              <w:spacing w:after="120" w:line="240" w:lineRule="exact"/>
              <w:ind w:left="283" w:hanging="283"/>
              <w:jc w:val="both"/>
              <w:rPr>
                <w:rFonts w:ascii="FrankRuehl" w:hAnsi="FrankRuehl" w:cs="FrankRuehl"/>
                <w:rtl/>
              </w:rPr>
            </w:pPr>
          </w:p>
          <w:p w14:paraId="5A45CE7D" w14:textId="77777777" w:rsidR="003C6D70" w:rsidRPr="003C6D70" w:rsidRDefault="003C6D70" w:rsidP="002A3B6C">
            <w:pPr>
              <w:jc w:val="center"/>
              <w:rPr>
                <w:rFonts w:ascii="Arial" w:hAnsi="Arial"/>
                <w:sz w:val="32"/>
                <w:szCs w:val="32"/>
                <w:rtl/>
              </w:rPr>
            </w:pPr>
            <w:bookmarkStart w:id="5" w:name="LawTable_End"/>
            <w:bookmarkEnd w:id="5"/>
          </w:p>
          <w:p w14:paraId="430F7B6F" w14:textId="77777777" w:rsidR="002A3B6C" w:rsidRPr="002A3B6C" w:rsidRDefault="002A3B6C" w:rsidP="002A3B6C">
            <w:pPr>
              <w:jc w:val="center"/>
              <w:rPr>
                <w:rFonts w:ascii="Arial" w:hAnsi="Arial"/>
                <w:b/>
                <w:bCs/>
                <w:sz w:val="32"/>
                <w:szCs w:val="32"/>
                <w:u w:val="single"/>
                <w:rtl/>
              </w:rPr>
            </w:pPr>
            <w:r w:rsidRPr="002A3B6C">
              <w:rPr>
                <w:rFonts w:ascii="Arial" w:hAnsi="Arial"/>
                <w:b/>
                <w:bCs/>
                <w:sz w:val="32"/>
                <w:szCs w:val="32"/>
                <w:u w:val="single"/>
                <w:rtl/>
              </w:rPr>
              <w:t>גזר דין</w:t>
            </w:r>
          </w:p>
          <w:p w14:paraId="43FF2BFD" w14:textId="77777777" w:rsidR="004079DF" w:rsidRPr="002A3B6C" w:rsidRDefault="004079DF" w:rsidP="002A3B6C">
            <w:pPr>
              <w:jc w:val="center"/>
              <w:rPr>
                <w:rFonts w:ascii="Arial" w:hAnsi="Arial"/>
                <w:bCs/>
                <w:sz w:val="32"/>
                <w:szCs w:val="32"/>
                <w:u w:val="single"/>
                <w:rtl/>
              </w:rPr>
            </w:pPr>
          </w:p>
        </w:tc>
      </w:tr>
      <w:bookmarkEnd w:id="3"/>
    </w:tbl>
    <w:p w14:paraId="5F67FFA5" w14:textId="77777777" w:rsidR="004079DF" w:rsidRPr="00A06A36" w:rsidRDefault="004079DF" w:rsidP="004079DF">
      <w:pPr>
        <w:rPr>
          <w:rFonts w:ascii="Arial" w:hAnsi="Arial"/>
          <w:rtl/>
        </w:rPr>
      </w:pPr>
    </w:p>
    <w:p w14:paraId="33C755A7" w14:textId="77777777" w:rsidR="004079DF" w:rsidRPr="00A06A36" w:rsidRDefault="004079DF" w:rsidP="004079DF">
      <w:pPr>
        <w:rPr>
          <w:rtl/>
        </w:rPr>
      </w:pPr>
    </w:p>
    <w:p w14:paraId="012DB30D" w14:textId="77777777" w:rsidR="004079DF" w:rsidRPr="00A06A36" w:rsidRDefault="004079DF" w:rsidP="004079DF">
      <w:pPr>
        <w:spacing w:line="360" w:lineRule="auto"/>
        <w:jc w:val="both"/>
        <w:rPr>
          <w:b/>
          <w:bCs/>
          <w:u w:val="single"/>
        </w:rPr>
      </w:pPr>
      <w:r w:rsidRPr="00A06A36">
        <w:rPr>
          <w:rFonts w:hint="cs"/>
          <w:b/>
          <w:bCs/>
          <w:u w:val="single"/>
          <w:rtl/>
        </w:rPr>
        <w:t>השופט נתן זלוצ'ובר, ס. נשיאה -אב"ד:</w:t>
      </w:r>
    </w:p>
    <w:p w14:paraId="513AA2DC" w14:textId="77777777" w:rsidR="004079DF" w:rsidRDefault="004079DF" w:rsidP="004079DF">
      <w:pPr>
        <w:spacing w:line="360" w:lineRule="auto"/>
        <w:jc w:val="both"/>
        <w:rPr>
          <w:rtl/>
        </w:rPr>
      </w:pPr>
      <w:r w:rsidRPr="00A06A36">
        <w:rPr>
          <w:rFonts w:hint="cs"/>
          <w:rtl/>
        </w:rPr>
        <w:t>הנאשם הורשע, על פי הודאתו, בעובדות כתב אישום מתוקן לאחר הסדר טיעון שלא כלל הסכמה לעונש:</w:t>
      </w:r>
    </w:p>
    <w:p w14:paraId="5186A10C" w14:textId="77777777" w:rsidR="004079DF" w:rsidRPr="0048588A" w:rsidRDefault="004079DF" w:rsidP="004079DF">
      <w:pPr>
        <w:spacing w:line="360" w:lineRule="auto"/>
        <w:jc w:val="both"/>
        <w:rPr>
          <w:sz w:val="16"/>
          <w:szCs w:val="16"/>
          <w:rtl/>
        </w:rPr>
      </w:pPr>
    </w:p>
    <w:p w14:paraId="34DD2778" w14:textId="77777777" w:rsidR="004079DF" w:rsidRPr="00A06A36" w:rsidRDefault="004079DF" w:rsidP="004079DF">
      <w:pPr>
        <w:spacing w:line="360" w:lineRule="auto"/>
        <w:jc w:val="both"/>
        <w:rPr>
          <w:rtl/>
        </w:rPr>
      </w:pPr>
      <w:r w:rsidRPr="00A06A36">
        <w:rPr>
          <w:rFonts w:hint="cs"/>
          <w:rtl/>
        </w:rPr>
        <w:t>הנאשם הינו אזרח מדינת ישראל.</w:t>
      </w:r>
    </w:p>
    <w:p w14:paraId="234005D4" w14:textId="77777777" w:rsidR="004079DF" w:rsidRPr="00A06A36" w:rsidRDefault="004079DF" w:rsidP="004079DF">
      <w:pPr>
        <w:spacing w:line="360" w:lineRule="auto"/>
        <w:jc w:val="both"/>
        <w:rPr>
          <w:rtl/>
        </w:rPr>
      </w:pPr>
      <w:r w:rsidRPr="00A06A36">
        <w:rPr>
          <w:rFonts w:hint="cs"/>
          <w:rtl/>
        </w:rPr>
        <w:t xml:space="preserve">בין הנאשם ובין מחמד מסרי ומחמוד לוויסי קיימת היכרות מוקדמת. </w:t>
      </w:r>
    </w:p>
    <w:p w14:paraId="6A2C6AAF" w14:textId="77777777" w:rsidR="004079DF" w:rsidRPr="00A06A36" w:rsidRDefault="004079DF" w:rsidP="004079DF">
      <w:pPr>
        <w:spacing w:line="360" w:lineRule="auto"/>
        <w:jc w:val="both"/>
        <w:rPr>
          <w:rtl/>
        </w:rPr>
      </w:pPr>
      <w:r w:rsidRPr="00A06A36">
        <w:rPr>
          <w:rFonts w:hint="cs"/>
          <w:rtl/>
        </w:rPr>
        <w:t xml:space="preserve">בתקופה הרלוונטית לכתב האישום, הועסקו מסרי ולוויסי בסניפי סופרמרקט "קינג סטור אלמשהדאווי"  - מסרי שימש כסגן מנהל סניף באר שבע ולוויסי שימש כסגן מנהל סניף קלאנסווה.  </w:t>
      </w:r>
    </w:p>
    <w:p w14:paraId="45059F27" w14:textId="77777777" w:rsidR="004079DF" w:rsidRPr="00A06A36" w:rsidRDefault="004079DF" w:rsidP="004079DF">
      <w:pPr>
        <w:spacing w:line="360" w:lineRule="auto"/>
        <w:jc w:val="both"/>
        <w:rPr>
          <w:rtl/>
        </w:rPr>
      </w:pPr>
      <w:r w:rsidRPr="00A06A36">
        <w:rPr>
          <w:rFonts w:hint="cs"/>
          <w:rtl/>
        </w:rPr>
        <w:t xml:space="preserve">עבדללה אבו עייש הועסק אף הוא באותה תקופה בסניף בבאר שבע.  </w:t>
      </w:r>
    </w:p>
    <w:p w14:paraId="03B7845F" w14:textId="77777777" w:rsidR="004079DF" w:rsidRPr="00A06A36" w:rsidRDefault="004079DF" w:rsidP="004079DF">
      <w:pPr>
        <w:spacing w:line="360" w:lineRule="auto"/>
        <w:jc w:val="both"/>
        <w:rPr>
          <w:rtl/>
        </w:rPr>
      </w:pPr>
      <w:r w:rsidRPr="00A06A36">
        <w:rPr>
          <w:rFonts w:hint="cs"/>
          <w:rtl/>
        </w:rPr>
        <w:lastRenderedPageBreak/>
        <w:t xml:space="preserve">הנאשם, מסרי ולוויסי היו פעילים בתנועה האסלאמית, קודם למועד ההכרזה על הוצאתה אל מחוץ לחוק. הנאשם ניהל את עמותת "יוסף הצדיק" העוסקת בענייני אסירים ומשתייכת לתנועה האסלמית. </w:t>
      </w:r>
    </w:p>
    <w:p w14:paraId="325DE4E3" w14:textId="77777777" w:rsidR="004079DF" w:rsidRPr="00A06A36" w:rsidRDefault="004079DF" w:rsidP="004079DF">
      <w:pPr>
        <w:spacing w:line="360" w:lineRule="auto"/>
        <w:jc w:val="both"/>
        <w:rPr>
          <w:rtl/>
        </w:rPr>
      </w:pPr>
      <w:r w:rsidRPr="00A06A36">
        <w:rPr>
          <w:rFonts w:hint="cs"/>
          <w:rtl/>
        </w:rPr>
        <w:t xml:space="preserve">בחודש נובמבר 2015, לאחר הוצאת התנועה האסלאמית מחוץ לחוק, הוקם אוהל מחאה באום אל פחם, בין היתר, בסיועו של הנאשם. הנאשם שהה באוהל המחאה במשך ימים רבים. במחצית השניה של חודש נובמבר, הגיעו מסרי ולוויסי לאוהל המחאה בו שהה הנאשם. </w:t>
      </w:r>
    </w:p>
    <w:p w14:paraId="5722B107" w14:textId="77777777" w:rsidR="004079DF" w:rsidRPr="00A06A36" w:rsidRDefault="004079DF" w:rsidP="004079DF">
      <w:pPr>
        <w:spacing w:line="360" w:lineRule="auto"/>
        <w:jc w:val="both"/>
        <w:rPr>
          <w:rtl/>
        </w:rPr>
      </w:pPr>
      <w:r w:rsidRPr="00A06A36">
        <w:rPr>
          <w:rFonts w:hint="cs"/>
          <w:rtl/>
        </w:rPr>
        <w:t xml:space="preserve">לבקשת הנאשם, פנו השלושה לשוחח ביחידות מחוץ לאוהל המחאה. במהלך השיחה, הביע הנאשם מורת רוח מההחלטה להוציא את התנועה האסלאמית מחוץ לחוק ואמר שלא יתכן שהתנועה האסלאמית תיעלם ללא זכר, ללא כל הבעת מחאה והתנגדות. בתגובה להחלטה האמורה, הציע הנאשם למסרי ולוויסי לכתוב באזור מגוריהם כתובות קיר כגון "התנועה האסלאמית קיימת", "התנועה האסלאמית ממשיכה להתקיים", מסרי ולוויסי הסכימו להצעתו. </w:t>
      </w:r>
    </w:p>
    <w:p w14:paraId="68EE4E34" w14:textId="77777777" w:rsidR="004079DF" w:rsidRPr="00A06A36" w:rsidRDefault="004079DF" w:rsidP="004079DF">
      <w:pPr>
        <w:spacing w:line="360" w:lineRule="auto"/>
        <w:jc w:val="both"/>
        <w:rPr>
          <w:rtl/>
        </w:rPr>
      </w:pPr>
      <w:r w:rsidRPr="00A06A36">
        <w:rPr>
          <w:rFonts w:hint="cs"/>
          <w:rtl/>
        </w:rPr>
        <w:t>בהתאם לסיכום ביניהם, ביום 25.11.2015 נסעו מסרי ואבו עייש ברכבו של מסרי לרהט ולכסייפה, שם ריססו על קירות מבני ציבור את המשפטים הבאים: "התנועה האסלאמית היתה כאן" וכן "התנועה האסלאמית חזקה ותישאר".</w:t>
      </w:r>
    </w:p>
    <w:p w14:paraId="193B19FA" w14:textId="77777777" w:rsidR="004079DF" w:rsidRPr="00A06A36" w:rsidRDefault="004079DF" w:rsidP="004079DF">
      <w:pPr>
        <w:spacing w:line="360" w:lineRule="auto"/>
        <w:jc w:val="both"/>
        <w:rPr>
          <w:rtl/>
        </w:rPr>
      </w:pPr>
      <w:r w:rsidRPr="00A06A36">
        <w:rPr>
          <w:rFonts w:hint="cs"/>
          <w:rtl/>
        </w:rPr>
        <w:t xml:space="preserve">זמן מה לאחר מכן, הגיעו מסרי ולוויסי לאוהל ושוחחו עם הנאשם מחוץ לאוהל, לאחר שנתבקשו על ידי הנאשם להניח את הפלאפונים שלהם בצד כדי למנוע האזנות סתר. במהלך שיחתם עדכנו מסרי ולוויסי את הנאשם בעניין כתובות הקיר. במסגרת שיחתם, החליטו השלושה לבצע פיגוע טרור בישראל, על רקע הוצאת התנועה מחוץ לחוק וכאות תמיכה בתנועה האסלאמית. בכך קשרו השלושה קשר לבצע פיגוע טרור במדינת ישראל. </w:t>
      </w:r>
    </w:p>
    <w:p w14:paraId="0B6053AE" w14:textId="77777777" w:rsidR="004079DF" w:rsidRPr="00A06A36" w:rsidRDefault="004079DF" w:rsidP="004079DF">
      <w:pPr>
        <w:spacing w:line="360" w:lineRule="auto"/>
        <w:jc w:val="both"/>
        <w:rPr>
          <w:rtl/>
        </w:rPr>
      </w:pPr>
      <w:r w:rsidRPr="00A06A36">
        <w:rPr>
          <w:rFonts w:hint="cs"/>
          <w:rtl/>
        </w:rPr>
        <w:t xml:space="preserve">במסגרת הקשר ולשם קידומו, שיתף מסרי את אבו עייש בתכניות לבצע פיגוע טרור בישראל, וביקש את עזרתו באיתור מקום מתאים לביצוע פיגוע טרור באזור הדרום. </w:t>
      </w:r>
    </w:p>
    <w:p w14:paraId="0976F51C" w14:textId="77777777" w:rsidR="004079DF" w:rsidRPr="00A06A36" w:rsidRDefault="004079DF" w:rsidP="004079DF">
      <w:pPr>
        <w:spacing w:line="360" w:lineRule="auto"/>
        <w:jc w:val="both"/>
        <w:rPr>
          <w:rtl/>
        </w:rPr>
      </w:pPr>
      <w:r w:rsidRPr="00A06A36">
        <w:rPr>
          <w:rFonts w:hint="cs"/>
          <w:rtl/>
        </w:rPr>
        <w:t xml:space="preserve">מסרי העריך שתחנת אוטובוס או בסיס צבאי יהוו יעד מתאים להרג חיילי צה"ל בפיגוע, כאשר המתווה המתוכנן לפיגוע הטרור הוא: ירי על החיילים, דריסה, דקירה או אחר. </w:t>
      </w:r>
    </w:p>
    <w:p w14:paraId="33A5DDCF" w14:textId="77777777" w:rsidR="004079DF" w:rsidRPr="00A06A36" w:rsidRDefault="004079DF" w:rsidP="004079DF">
      <w:pPr>
        <w:spacing w:line="360" w:lineRule="auto"/>
        <w:jc w:val="both"/>
        <w:rPr>
          <w:rtl/>
        </w:rPr>
      </w:pPr>
      <w:r w:rsidRPr="00A06A36">
        <w:rPr>
          <w:rFonts w:hint="cs"/>
          <w:rtl/>
        </w:rPr>
        <w:t xml:space="preserve">במועד מאוחר יותר, במסגרת נסיעה משותפת של מסרי ואבו עיאש ברכבו של מסרי, באזור ערד ודימונה, במטרה לאתר מקום מתאים לביצוע הפיגוע, תרו השניים אחר מקום הנמצא באזור פתוח יחסית, על מנת שלאחר ביצוע הפיגוע קל יהא להימלט. בין היתר, נבחנו תחנת המשטרה בערד ותחנות אוטובוס בצומת ערד ובצומת דימונה כמקום פוטנציאלי לפיגוע. </w:t>
      </w:r>
    </w:p>
    <w:p w14:paraId="7D3B0F3C" w14:textId="77777777" w:rsidR="004079DF" w:rsidRPr="00A06A36" w:rsidRDefault="004079DF" w:rsidP="004079DF">
      <w:pPr>
        <w:spacing w:line="360" w:lineRule="auto"/>
        <w:jc w:val="both"/>
        <w:rPr>
          <w:rtl/>
        </w:rPr>
      </w:pPr>
      <w:r w:rsidRPr="00A06A36">
        <w:rPr>
          <w:rFonts w:hint="cs"/>
          <w:rtl/>
        </w:rPr>
        <w:t xml:space="preserve">בנוסף, במסגרת הקשר ולשם קידומו, תכנן מסרי להשיג רכב שהורד מהכביש, שישמשם לצרכי ביצוע הפיגוע ועל מנת שלאחר הפיגוע ניתן יהיה לשרוף אותו, מבלי להשאיר עקבות. אבו עייש אמור היה לשמש כנהג בעת ביצוע הפיגוע. </w:t>
      </w:r>
    </w:p>
    <w:p w14:paraId="5DC4641C" w14:textId="77777777" w:rsidR="004079DF" w:rsidRPr="00A06A36" w:rsidRDefault="004079DF" w:rsidP="004079DF">
      <w:pPr>
        <w:spacing w:line="360" w:lineRule="auto"/>
        <w:jc w:val="both"/>
        <w:rPr>
          <w:rtl/>
        </w:rPr>
      </w:pPr>
      <w:r w:rsidRPr="00A06A36">
        <w:rPr>
          <w:rFonts w:hint="cs"/>
          <w:rtl/>
        </w:rPr>
        <w:t xml:space="preserve">מסרי ולוויסי עדכנו את הנאשם אודות התכנון ולאחר שהוצגה לו התכנית, הנאשם אמר למסרי ולוויסי שהתכנית לא ישימה ושיעזבו אותה ואכן הפיגוע לא יצא אל הפועל. </w:t>
      </w:r>
    </w:p>
    <w:p w14:paraId="524174FD" w14:textId="77777777" w:rsidR="004079DF" w:rsidRPr="00A06A36" w:rsidRDefault="004079DF" w:rsidP="004079DF">
      <w:pPr>
        <w:spacing w:line="360" w:lineRule="auto"/>
        <w:jc w:val="both"/>
        <w:rPr>
          <w:b/>
          <w:bCs/>
          <w:rtl/>
        </w:rPr>
      </w:pPr>
      <w:r w:rsidRPr="00A06A36">
        <w:rPr>
          <w:rFonts w:hint="cs"/>
          <w:b/>
          <w:bCs/>
          <w:rtl/>
        </w:rPr>
        <w:t xml:space="preserve">באשר לאישום זה, הורשע הנאשם בעבירות של קשירת קשר לסיוע לאויב במלחמה ופרסום ותמיכה בהתאחדות בלתי מותרת, עבירות לפי </w:t>
      </w:r>
      <w:hyperlink r:id="rId20" w:history="1">
        <w:r w:rsidR="00574D2E" w:rsidRPr="00574D2E">
          <w:rPr>
            <w:b/>
            <w:bCs/>
            <w:color w:val="0000FF"/>
            <w:u w:val="single"/>
            <w:rtl/>
          </w:rPr>
          <w:t>סעיף 92</w:t>
        </w:r>
      </w:hyperlink>
      <w:r w:rsidRPr="00A06A36">
        <w:rPr>
          <w:rFonts w:hint="cs"/>
          <w:b/>
          <w:bCs/>
          <w:rtl/>
        </w:rPr>
        <w:t xml:space="preserve"> בצירוף </w:t>
      </w:r>
      <w:hyperlink r:id="rId21" w:history="1">
        <w:r w:rsidR="00574D2E" w:rsidRPr="00574D2E">
          <w:rPr>
            <w:b/>
            <w:bCs/>
            <w:color w:val="0000FF"/>
            <w:u w:val="single"/>
            <w:rtl/>
          </w:rPr>
          <w:t>סעיף 99</w:t>
        </w:r>
      </w:hyperlink>
      <w:r w:rsidRPr="00A06A36">
        <w:rPr>
          <w:rFonts w:hint="cs"/>
          <w:b/>
          <w:bCs/>
          <w:rtl/>
        </w:rPr>
        <w:t xml:space="preserve"> ל</w:t>
      </w:r>
      <w:hyperlink r:id="rId22" w:history="1">
        <w:r w:rsidR="002A3B6C" w:rsidRPr="002A3B6C">
          <w:rPr>
            <w:b/>
            <w:bCs/>
            <w:color w:val="0000FF"/>
            <w:u w:val="single"/>
            <w:rtl/>
          </w:rPr>
          <w:t>חוק העונשין</w:t>
        </w:r>
      </w:hyperlink>
      <w:r w:rsidRPr="00A06A36">
        <w:rPr>
          <w:rFonts w:hint="cs"/>
          <w:b/>
          <w:bCs/>
          <w:rtl/>
        </w:rPr>
        <w:t xml:space="preserve">, התשל"ז- </w:t>
      </w:r>
      <w:r w:rsidRPr="00A06A36">
        <w:rPr>
          <w:rFonts w:hint="cs"/>
          <w:b/>
          <w:bCs/>
          <w:rtl/>
        </w:rPr>
        <w:lastRenderedPageBreak/>
        <w:t xml:space="preserve">1977 ולפי </w:t>
      </w:r>
      <w:hyperlink r:id="rId23" w:history="1">
        <w:r w:rsidR="00574D2E" w:rsidRPr="00574D2E">
          <w:rPr>
            <w:b/>
            <w:bCs/>
            <w:color w:val="0000FF"/>
            <w:u w:val="single"/>
            <w:rtl/>
          </w:rPr>
          <w:t>סעיף 85ז</w:t>
        </w:r>
      </w:hyperlink>
      <w:r w:rsidRPr="00A06A36">
        <w:rPr>
          <w:rFonts w:hint="cs"/>
          <w:b/>
          <w:bCs/>
          <w:rtl/>
        </w:rPr>
        <w:t xml:space="preserve"> </w:t>
      </w:r>
      <w:hyperlink r:id="rId24" w:history="1">
        <w:r w:rsidR="00574D2E" w:rsidRPr="00574D2E">
          <w:rPr>
            <w:b/>
            <w:bCs/>
            <w:color w:val="0000FF"/>
            <w:u w:val="single"/>
            <w:rtl/>
          </w:rPr>
          <w:t>לתקנות ההגנה [שעת חירום] 1945,</w:t>
        </w:r>
      </w:hyperlink>
      <w:r w:rsidRPr="00A06A36">
        <w:rPr>
          <w:rFonts w:hint="cs"/>
          <w:b/>
          <w:bCs/>
          <w:rtl/>
        </w:rPr>
        <w:t xml:space="preserve"> כיום לפי </w:t>
      </w:r>
      <w:hyperlink r:id="rId25" w:history="1">
        <w:r w:rsidR="00574D2E" w:rsidRPr="00574D2E">
          <w:rPr>
            <w:b/>
            <w:bCs/>
            <w:color w:val="0000FF"/>
            <w:u w:val="single"/>
            <w:rtl/>
          </w:rPr>
          <w:t>סעיף 24</w:t>
        </w:r>
      </w:hyperlink>
      <w:r w:rsidRPr="00A06A36">
        <w:rPr>
          <w:rFonts w:hint="cs"/>
          <w:b/>
          <w:bCs/>
          <w:rtl/>
        </w:rPr>
        <w:t xml:space="preserve"> ל</w:t>
      </w:r>
      <w:hyperlink r:id="rId26" w:history="1">
        <w:r w:rsidR="002A3B6C" w:rsidRPr="002A3B6C">
          <w:rPr>
            <w:b/>
            <w:bCs/>
            <w:color w:val="0000FF"/>
            <w:u w:val="single"/>
            <w:rtl/>
          </w:rPr>
          <w:t>חוק המאבק בטרור, תשע"ו-2016</w:t>
        </w:r>
      </w:hyperlink>
      <w:r w:rsidRPr="00A06A36">
        <w:rPr>
          <w:rFonts w:hint="cs"/>
          <w:b/>
          <w:bCs/>
          <w:rtl/>
        </w:rPr>
        <w:t>.</w:t>
      </w:r>
    </w:p>
    <w:p w14:paraId="3432008D" w14:textId="77777777" w:rsidR="004079DF" w:rsidRPr="00A06A36" w:rsidRDefault="004079DF" w:rsidP="004079DF">
      <w:pPr>
        <w:spacing w:line="360" w:lineRule="auto"/>
        <w:jc w:val="both"/>
        <w:rPr>
          <w:b/>
          <w:bCs/>
          <w:rtl/>
        </w:rPr>
      </w:pPr>
    </w:p>
    <w:p w14:paraId="7D4BF79D" w14:textId="77777777" w:rsidR="004079DF" w:rsidRPr="00A06A36" w:rsidRDefault="004079DF" w:rsidP="004079DF">
      <w:pPr>
        <w:spacing w:line="360" w:lineRule="auto"/>
        <w:jc w:val="both"/>
        <w:rPr>
          <w:rtl/>
        </w:rPr>
      </w:pPr>
      <w:r w:rsidRPr="00A06A36">
        <w:rPr>
          <w:rFonts w:hint="cs"/>
          <w:b/>
          <w:bCs/>
          <w:u w:val="single"/>
          <w:rtl/>
        </w:rPr>
        <w:t>על פי עובדות האישום השני,</w:t>
      </w:r>
      <w:r w:rsidRPr="00A06A36">
        <w:rPr>
          <w:rFonts w:hint="cs"/>
          <w:rtl/>
        </w:rPr>
        <w:t xml:space="preserve"> בתחילת שנת 2016, קיבל הנאשם מידי לוויסי תיק ובו שלטים שלדבריו יכולים לשמש כמערכות הפעלה למטעני חבלה מאולתרים.    </w:t>
      </w:r>
    </w:p>
    <w:p w14:paraId="66672C6E" w14:textId="77777777" w:rsidR="004079DF" w:rsidRPr="00A06A36" w:rsidRDefault="004079DF" w:rsidP="004079DF">
      <w:pPr>
        <w:spacing w:line="360" w:lineRule="auto"/>
        <w:jc w:val="both"/>
        <w:rPr>
          <w:rtl/>
        </w:rPr>
      </w:pPr>
      <w:r w:rsidRPr="00A06A36">
        <w:rPr>
          <w:rFonts w:hint="cs"/>
          <w:rtl/>
        </w:rPr>
        <w:t xml:space="preserve">הנאשם החזיק את השלטים ברשותו במקום מוסתר בקרבת האוהל למשך מספר שבועות. </w:t>
      </w:r>
    </w:p>
    <w:p w14:paraId="1F207578" w14:textId="77777777" w:rsidR="004079DF" w:rsidRPr="00A06A36" w:rsidRDefault="004079DF" w:rsidP="004079DF">
      <w:pPr>
        <w:spacing w:line="360" w:lineRule="auto"/>
        <w:jc w:val="both"/>
        <w:rPr>
          <w:rtl/>
        </w:rPr>
      </w:pPr>
      <w:r w:rsidRPr="00A06A36">
        <w:rPr>
          <w:rFonts w:hint="cs"/>
          <w:rtl/>
        </w:rPr>
        <w:t xml:space="preserve">במהלך שנת 2016, באום אל פחם, העביר הנאשם שלא למטרות ביטחוניות, נשק מסוג תת מקלע מאולתר "קרלו", לידי לוויסי, על מנת שיעבירו למסרי, בבאר שבע. במהלך החקירה המשטרתית הוסגר הנשק, שמסוגל להרוג אדם, לידי משטרת ישראל על ידי מסרי. </w:t>
      </w:r>
    </w:p>
    <w:p w14:paraId="3B473996" w14:textId="77777777" w:rsidR="004079DF" w:rsidRPr="00A06A36" w:rsidRDefault="004079DF" w:rsidP="004079DF">
      <w:pPr>
        <w:spacing w:line="360" w:lineRule="auto"/>
        <w:jc w:val="both"/>
        <w:rPr>
          <w:b/>
          <w:bCs/>
          <w:rtl/>
        </w:rPr>
      </w:pPr>
      <w:r w:rsidRPr="00A06A36">
        <w:rPr>
          <w:rFonts w:hint="cs"/>
          <w:b/>
          <w:bCs/>
          <w:rtl/>
        </w:rPr>
        <w:t xml:space="preserve">באשר לאישום זה, הורשע הנאשם בעבירות נשק לפי סעיף </w:t>
      </w:r>
      <w:hyperlink r:id="rId27" w:history="1">
        <w:r w:rsidR="00574D2E" w:rsidRPr="00574D2E">
          <w:rPr>
            <w:b/>
            <w:bCs/>
            <w:color w:val="0000FF"/>
            <w:u w:val="single"/>
            <w:rtl/>
          </w:rPr>
          <w:t>144(א), (ב) ו-(ב2)</w:t>
        </w:r>
      </w:hyperlink>
      <w:r w:rsidRPr="00A06A36">
        <w:rPr>
          <w:rFonts w:hint="cs"/>
          <w:b/>
          <w:bCs/>
          <w:rtl/>
        </w:rPr>
        <w:t xml:space="preserve"> ל</w:t>
      </w:r>
      <w:hyperlink r:id="rId28" w:history="1">
        <w:r w:rsidR="002A3B6C" w:rsidRPr="002A3B6C">
          <w:rPr>
            <w:b/>
            <w:bCs/>
            <w:color w:val="0000FF"/>
            <w:u w:val="single"/>
            <w:rtl/>
          </w:rPr>
          <w:t>חוק העונשין</w:t>
        </w:r>
      </w:hyperlink>
      <w:r w:rsidRPr="00A06A36">
        <w:rPr>
          <w:rFonts w:hint="cs"/>
          <w:b/>
          <w:bCs/>
          <w:rtl/>
        </w:rPr>
        <w:t xml:space="preserve">. </w:t>
      </w:r>
    </w:p>
    <w:p w14:paraId="367903CA" w14:textId="77777777" w:rsidR="004079DF" w:rsidRPr="00A06A36" w:rsidRDefault="004079DF" w:rsidP="004079DF">
      <w:pPr>
        <w:spacing w:line="360" w:lineRule="auto"/>
        <w:jc w:val="both"/>
        <w:rPr>
          <w:rtl/>
        </w:rPr>
      </w:pPr>
    </w:p>
    <w:p w14:paraId="5B931D1F" w14:textId="77777777" w:rsidR="004079DF" w:rsidRPr="00A06A36" w:rsidRDefault="004079DF" w:rsidP="004079DF">
      <w:pPr>
        <w:spacing w:line="360" w:lineRule="auto"/>
        <w:jc w:val="both"/>
        <w:rPr>
          <w:b/>
          <w:bCs/>
          <w:u w:val="single"/>
          <w:rtl/>
        </w:rPr>
      </w:pPr>
      <w:r w:rsidRPr="00A06A36">
        <w:rPr>
          <w:rFonts w:hint="cs"/>
          <w:b/>
          <w:bCs/>
          <w:u w:val="single"/>
          <w:rtl/>
        </w:rPr>
        <w:t>ראיות וטיעונים לעונש</w:t>
      </w:r>
    </w:p>
    <w:p w14:paraId="35D105B4" w14:textId="77777777" w:rsidR="004079DF" w:rsidRPr="00A06A36" w:rsidRDefault="004079DF" w:rsidP="004079DF">
      <w:pPr>
        <w:spacing w:line="360" w:lineRule="auto"/>
        <w:jc w:val="both"/>
        <w:rPr>
          <w:rtl/>
        </w:rPr>
      </w:pPr>
      <w:r w:rsidRPr="00A06A36">
        <w:rPr>
          <w:rFonts w:hint="cs"/>
          <w:b/>
          <w:bCs/>
          <w:rtl/>
        </w:rPr>
        <w:t>ב"כ המאשימה</w:t>
      </w:r>
      <w:r w:rsidRPr="00A06A36">
        <w:rPr>
          <w:rFonts w:hint="cs"/>
          <w:rtl/>
        </w:rPr>
        <w:t xml:space="preserve"> טען, כי המדובר באזרח ישראלי שתכנן לבצע פיגוע יחד עם אחרים ובכך פגע בביטחון המדינה וביטחון הציבור. כן ציין כי הנאשם הורשע בשני אישומים, המשתרעים על פני מועדים שונים ובוצעו במקומות שונים ולפיכך יש לקבוע מתחם עונש נפרד לכל אישום, שכן מדובר באירועים שונים. לדבריו, המדובר בעבירות חמורות והראיה לכך היא העונש העומד בצידן. בענייננו, יש חומרה יתרה שכן המדובר באזרח ישראלי. כמו כן, בנסיבות העניין אין לייחס משקל ל"מבחן התוצאה" ולעובדה שבסופו של יום לא נגרם נזק בפועל. למעשיו של הנאשם קדם תכנון וקשירת קשר עם אחרים ויש בכך כדי ללמד על כך שהוא חדור מטרה ונחוש לנקום את הוצאת התנועה האסלאמית מחוץ לחוק. הנזק הצפוי מביצוע העבירות הוא עצום, הוצאה לפועל של פיגוע בשטחה של מדינת ישראל מלווה בפוטנציאל לפגיעה בנפש. </w:t>
      </w:r>
    </w:p>
    <w:p w14:paraId="2ED4A342" w14:textId="77777777" w:rsidR="004079DF" w:rsidRDefault="004079DF" w:rsidP="004079DF">
      <w:pPr>
        <w:spacing w:line="360" w:lineRule="auto"/>
        <w:jc w:val="both"/>
        <w:rPr>
          <w:rtl/>
        </w:rPr>
      </w:pPr>
    </w:p>
    <w:p w14:paraId="2E87DECA" w14:textId="77777777" w:rsidR="004079DF" w:rsidRPr="00A06A36" w:rsidRDefault="004079DF" w:rsidP="004079DF">
      <w:pPr>
        <w:spacing w:line="360" w:lineRule="auto"/>
        <w:jc w:val="both"/>
        <w:rPr>
          <w:rtl/>
        </w:rPr>
      </w:pPr>
      <w:r w:rsidRPr="00A06A36">
        <w:rPr>
          <w:rFonts w:hint="cs"/>
          <w:rtl/>
        </w:rPr>
        <w:t xml:space="preserve">באשר לחלקו היחסי של הנאשם בביצוע העבירות, ציין ב"כ המאשימה כי הנאשם הוא "המבוגר האחראי" מבין השלושה, הנאשם שהה זמן רב יותר באוהל המחאה ביחס לאחרים, הוא שהביע מורת רוח על הוצאת התנועה האסלאמית מחוץ לחוק ואף ציין בפני האחרים "שלא ייתכן שהתנועה האסלאמית תיעלם ללא זכר" וביקש מהם לרסס כתובות של התנועה האסלאמית. הנאשם ביקש מהאחרים לדבר ביחידות מחוץ לאוהל וביקש שיניחו את הפלאפונים בצד. אכן, בסופו של דבר הנאשם ביקש ממסרי ולווסי לא להוציא את התכנית אל הפועל, אך לא בשל חרטה אלא כי סבר שהתכנית לא ישימה. </w:t>
      </w:r>
    </w:p>
    <w:p w14:paraId="2D7AAD9F" w14:textId="77777777" w:rsidR="004079DF" w:rsidRPr="00A06A36" w:rsidRDefault="004079DF" w:rsidP="004079DF">
      <w:pPr>
        <w:spacing w:line="360" w:lineRule="auto"/>
        <w:jc w:val="both"/>
        <w:rPr>
          <w:rtl/>
        </w:rPr>
      </w:pPr>
      <w:r w:rsidRPr="00A06A36">
        <w:rPr>
          <w:rFonts w:hint="cs"/>
          <w:rtl/>
        </w:rPr>
        <w:t xml:space="preserve">ב"כ המאשימה הפנה לפסיקה הנוגעת למדיניות הענישה הנהוגה. </w:t>
      </w:r>
    </w:p>
    <w:p w14:paraId="5663761E" w14:textId="77777777" w:rsidR="004079DF" w:rsidRPr="00A06A36" w:rsidRDefault="004079DF" w:rsidP="004079DF">
      <w:pPr>
        <w:spacing w:line="360" w:lineRule="auto"/>
        <w:jc w:val="both"/>
        <w:rPr>
          <w:rtl/>
        </w:rPr>
      </w:pPr>
      <w:r w:rsidRPr="00A06A36">
        <w:rPr>
          <w:rFonts w:hint="cs"/>
          <w:rtl/>
        </w:rPr>
        <w:t xml:space="preserve">בהתאם לאמור טען ב"כ המאשימה כי מתחם העונש ההולם בנסיבות העניין הוא 8-13 שנות מאסר, ובנוסף ביקש להשית מאסר מותנה וקנס כספי. </w:t>
      </w:r>
    </w:p>
    <w:p w14:paraId="40B73012" w14:textId="77777777" w:rsidR="004079DF" w:rsidRDefault="004079DF" w:rsidP="004079DF">
      <w:pPr>
        <w:spacing w:line="360" w:lineRule="auto"/>
        <w:jc w:val="both"/>
        <w:rPr>
          <w:rtl/>
        </w:rPr>
      </w:pPr>
    </w:p>
    <w:p w14:paraId="4EBBEDD7" w14:textId="77777777" w:rsidR="004079DF" w:rsidRPr="00A06A36" w:rsidRDefault="004079DF" w:rsidP="004079DF">
      <w:pPr>
        <w:spacing w:line="360" w:lineRule="auto"/>
        <w:jc w:val="both"/>
        <w:rPr>
          <w:rtl/>
        </w:rPr>
      </w:pPr>
      <w:r w:rsidRPr="00A06A36">
        <w:rPr>
          <w:rFonts w:hint="cs"/>
          <w:rtl/>
        </w:rPr>
        <w:t xml:space="preserve">באשר לאישום השני ציין ב"כ המאשימה, כי עבירות הנשק טומנות בחובן פוטנציאל סיכון אדיר לשלום הציבור וביטחונו, נשק שמוחזק שלא כדין בדרך כלל משמש לפעילות עבריינית שלצידה חשש ממשי לפגיעה בחיי אדם. במקרה זה, מידת הפגיעה בערך החברתי היא ברובד הבינוני, לאור סוג וכמות הנשק שהועבר. </w:t>
      </w:r>
    </w:p>
    <w:p w14:paraId="1AA04000" w14:textId="77777777" w:rsidR="004079DF" w:rsidRDefault="004079DF" w:rsidP="004079DF">
      <w:pPr>
        <w:spacing w:line="360" w:lineRule="auto"/>
        <w:jc w:val="both"/>
        <w:rPr>
          <w:rtl/>
        </w:rPr>
      </w:pPr>
    </w:p>
    <w:p w14:paraId="10C41340" w14:textId="77777777" w:rsidR="004079DF" w:rsidRPr="00A06A36" w:rsidRDefault="004079DF" w:rsidP="004079DF">
      <w:pPr>
        <w:spacing w:line="360" w:lineRule="auto"/>
        <w:jc w:val="both"/>
        <w:rPr>
          <w:rtl/>
        </w:rPr>
      </w:pPr>
      <w:r w:rsidRPr="00A06A36">
        <w:rPr>
          <w:rFonts w:hint="cs"/>
          <w:rtl/>
        </w:rPr>
        <w:t>הנאשם הסתיר שלטים שלטענת לוויסי היו מיועדים להפעלת מטעני חבלה מאולתרים וכן החזיק והעביר נשק מסוג "קרלו".</w:t>
      </w:r>
      <w:r w:rsidRPr="00A06A36">
        <w:rPr>
          <w:rFonts w:hint="cs"/>
        </w:rPr>
        <w:t xml:space="preserve"> </w:t>
      </w:r>
      <w:r w:rsidRPr="00A06A36">
        <w:rPr>
          <w:rFonts w:hint="cs"/>
          <w:rtl/>
        </w:rPr>
        <w:t xml:space="preserve">המדובר בנשק קטלני ושימוש בו מלווה בפוטנציאל נזק עצום לחיי אדם, אותו כאמור העביר לידי מסרי באמצעות לוויסי. העברה של נשק מלווה בפוטנציאל סכנה בפני עצמה. </w:t>
      </w:r>
    </w:p>
    <w:p w14:paraId="4D232A28" w14:textId="77777777" w:rsidR="004079DF" w:rsidRPr="00A06A36" w:rsidRDefault="004079DF" w:rsidP="004079DF">
      <w:pPr>
        <w:spacing w:line="360" w:lineRule="auto"/>
        <w:jc w:val="both"/>
        <w:rPr>
          <w:b/>
          <w:bCs/>
          <w:rtl/>
        </w:rPr>
      </w:pPr>
      <w:r w:rsidRPr="00A06A36">
        <w:rPr>
          <w:rFonts w:hint="cs"/>
          <w:rtl/>
        </w:rPr>
        <w:t xml:space="preserve">לאור האמור, מתחם העונש ההולם בנסיבות העניין הוא 25-40 חודשי מאסר, מאסר מותנה וקנס כספי. ב"כ המאשימה טען, כי יש לגזור את העונש ברובד האמצעי של המתחם ולבכר את השיקולים הנוגעים להרתעת הרבים והיחיד. </w:t>
      </w:r>
    </w:p>
    <w:p w14:paraId="59152B4E" w14:textId="77777777" w:rsidR="004079DF" w:rsidRPr="00A06A36" w:rsidRDefault="004079DF" w:rsidP="004079DF">
      <w:pPr>
        <w:spacing w:line="360" w:lineRule="auto"/>
        <w:jc w:val="both"/>
        <w:rPr>
          <w:rtl/>
        </w:rPr>
      </w:pPr>
      <w:r w:rsidRPr="00A06A36">
        <w:rPr>
          <w:rFonts w:hint="cs"/>
          <w:rtl/>
        </w:rPr>
        <w:t xml:space="preserve">ב"כ המאשימה הגיש את הרישום הפלילי של הנאשם, ממנו עולה כי הנאשם הורשע בעבירות ביטחוניות בשנת 1991 – גילוי הזדהות עם ארגון טרוריסטי וכן עבירות של ניסיון להצתה, איום בכתב לרצוח, ניסיון לרכישת/החזקת נשק שלא כדין וקשירת קשר לעשות עוון. כן הורשע בעבירה של תקיפת עובד ציבור. העבירות התיישנו ולכן משקלו של העבר הפלילי נמוך. </w:t>
      </w:r>
    </w:p>
    <w:p w14:paraId="1C2B22F5" w14:textId="77777777" w:rsidR="004079DF" w:rsidRDefault="004079DF" w:rsidP="004079DF">
      <w:pPr>
        <w:spacing w:line="360" w:lineRule="auto"/>
        <w:jc w:val="both"/>
        <w:rPr>
          <w:b/>
          <w:bCs/>
          <w:rtl/>
        </w:rPr>
      </w:pPr>
    </w:p>
    <w:p w14:paraId="3DE8DFC1" w14:textId="77777777" w:rsidR="004079DF" w:rsidRPr="00A06A36" w:rsidRDefault="004079DF" w:rsidP="004079DF">
      <w:pPr>
        <w:spacing w:line="360" w:lineRule="auto"/>
        <w:jc w:val="both"/>
        <w:rPr>
          <w:rtl/>
        </w:rPr>
      </w:pPr>
      <w:r w:rsidRPr="00A06A36">
        <w:rPr>
          <w:rFonts w:hint="cs"/>
          <w:b/>
          <w:bCs/>
          <w:rtl/>
        </w:rPr>
        <w:t>ב"כ הנאשם טען,</w:t>
      </w:r>
      <w:r w:rsidRPr="00A06A36">
        <w:rPr>
          <w:rFonts w:hint="cs"/>
          <w:rtl/>
        </w:rPr>
        <w:t xml:space="preserve"> כי המתחם שהוצע על ידי ב"כ המאשימה מנותק מהעבירה ומהפסיקה הנוהגת. הנאשם הודה שהיה חבר בתנועה האסלאמית לפני שהוצאה מחוץ לחוק, יש לזכור שזו היתה תנועה מרכזית של ערביי ישראל. בהמשך ישנה החמרה, אך חשוב לזכור שכאשר מסרי ולוויסי שיתפו את הנאשם באשר לתכנית שהגו לבצע – פעולת טרור חמורה ביותר, הנאשם אמר להם שהתכנית לא ישימה ולכן הפיגוע לא יצא אל הפועל. לדברי ב"כ הנאשם, אם הנאשם היה אומר להם לא להוציא את התכנית אל הפועל בשל סיבה אחרת, השניים היו פונים לגורם אחר על מנת שיוציא תכניתם אל הפועל, ועל כן לטענתו, הנאשם למעשה מנע את פעולת הטרור. עוד ציין, כי מבחינת עברו הפלילי של הנאשם עולה, כי בילדותו אכן הזדהה עם ארגון טרור, אף מאז התחתן ונולדו לו ילדים והוא זנח זאת, הוא רק כעס שהוציאו את התנועה האסלאמית מחוץ לחוק. </w:t>
      </w:r>
    </w:p>
    <w:p w14:paraId="29DCC548" w14:textId="77777777" w:rsidR="004079DF" w:rsidRDefault="004079DF" w:rsidP="004079DF">
      <w:pPr>
        <w:spacing w:line="360" w:lineRule="auto"/>
        <w:jc w:val="both"/>
        <w:rPr>
          <w:rtl/>
        </w:rPr>
      </w:pPr>
    </w:p>
    <w:p w14:paraId="158930A7" w14:textId="77777777" w:rsidR="004079DF" w:rsidRPr="00A06A36" w:rsidRDefault="004079DF" w:rsidP="004079DF">
      <w:pPr>
        <w:spacing w:line="360" w:lineRule="auto"/>
        <w:jc w:val="both"/>
        <w:rPr>
          <w:rtl/>
        </w:rPr>
      </w:pPr>
      <w:r w:rsidRPr="00A06A36">
        <w:rPr>
          <w:rFonts w:hint="cs"/>
          <w:rtl/>
        </w:rPr>
        <w:t xml:space="preserve">האישום השני, אינו אישום ביטחוני, עניינו בעבירות נשק. לוויסי אמר שבתיק שהנאשם קיבל  והחביא יש שלטים שיכולים לשמש למערכות הפעלה – אך אנו לא יודעים אם זה נכון. המתחם בעבירות נשק הוא בין שנה לשנתיים מאסר ויש אף מתחם של 6 חודשים בגין עבירות נשק.   </w:t>
      </w:r>
    </w:p>
    <w:p w14:paraId="4B1C33CF" w14:textId="77777777" w:rsidR="004079DF" w:rsidRPr="00A06A36" w:rsidRDefault="004079DF" w:rsidP="004079DF">
      <w:pPr>
        <w:spacing w:line="360" w:lineRule="auto"/>
        <w:jc w:val="both"/>
        <w:rPr>
          <w:rtl/>
        </w:rPr>
      </w:pPr>
      <w:r w:rsidRPr="00A06A36">
        <w:rPr>
          <w:rFonts w:hint="cs"/>
          <w:rtl/>
        </w:rPr>
        <w:t xml:space="preserve">לטענת ב"כ הנאשם, יש בעובדה שהנאשם מנע את הוצאת התכנית אל הפועל כדי להקרין על כל כתב האישום, לרבות האישום השני ולהעמיד את העונש ברף התחתון של המתחם. עוד ציין, כי הנאשם אדם לא לוחמני ומנסה לחזור לחייו הרגילים, הוא עזב את הדרך הזאת. הנאשם עשה טעות אך זה לא מוכיח אישיות מסוכנת. </w:t>
      </w:r>
    </w:p>
    <w:p w14:paraId="13FC6E6F" w14:textId="77777777" w:rsidR="004079DF" w:rsidRDefault="004079DF" w:rsidP="004079DF">
      <w:pPr>
        <w:spacing w:line="360" w:lineRule="auto"/>
        <w:jc w:val="both"/>
        <w:rPr>
          <w:rtl/>
        </w:rPr>
      </w:pPr>
    </w:p>
    <w:p w14:paraId="562550D2" w14:textId="77777777" w:rsidR="004079DF" w:rsidRPr="00A06A36" w:rsidRDefault="004079DF" w:rsidP="004079DF">
      <w:pPr>
        <w:spacing w:line="360" w:lineRule="auto"/>
        <w:jc w:val="both"/>
        <w:rPr>
          <w:rtl/>
        </w:rPr>
      </w:pPr>
      <w:r w:rsidRPr="00A06A36">
        <w:rPr>
          <w:rFonts w:hint="cs"/>
          <w:rtl/>
        </w:rPr>
        <w:t xml:space="preserve">הנאשם בן 46, אב לשניים, ניהל עמותה דתית, היה קשור לתנועה האיסלמית, ניהל עמותה של תמיכה ושיקום אסירים שיצאו. הנאשם מצטער. </w:t>
      </w:r>
    </w:p>
    <w:p w14:paraId="709A607A" w14:textId="77777777" w:rsidR="004079DF" w:rsidRDefault="004079DF" w:rsidP="004079DF">
      <w:pPr>
        <w:spacing w:line="360" w:lineRule="auto"/>
        <w:jc w:val="both"/>
        <w:rPr>
          <w:rtl/>
        </w:rPr>
      </w:pPr>
      <w:r w:rsidRPr="00A06A36">
        <w:rPr>
          <w:rFonts w:hint="cs"/>
          <w:rtl/>
        </w:rPr>
        <w:t xml:space="preserve">הנאשם אמר בבית המשפט כי הוא לוקח אחריות על חלקו באירועים. אף פעם לא דגל באלימות ומשנת 2007 הוא לא היה בכלא ועבד בעבודת לטובת הציבור וגם כשהיה בוועדת המעקב העליונה היה לוקח את האישורים עם המשטרה ורכזי המודיעין והיה מפסיק כל ניסיון לאלימות. לדבריו, יש לו עכשיו משפחה והוא רוצה לגדל את ילדיו ולחזור לחיים נורמטיביים. </w:t>
      </w:r>
    </w:p>
    <w:p w14:paraId="6D742081" w14:textId="77777777" w:rsidR="004079DF" w:rsidRPr="00A06A36" w:rsidRDefault="004079DF" w:rsidP="004079DF">
      <w:pPr>
        <w:spacing w:line="360" w:lineRule="auto"/>
        <w:jc w:val="both"/>
        <w:rPr>
          <w:rtl/>
        </w:rPr>
      </w:pPr>
    </w:p>
    <w:p w14:paraId="1B0FDC31" w14:textId="77777777" w:rsidR="004079DF" w:rsidRPr="00A06A36" w:rsidRDefault="004079DF" w:rsidP="004079DF">
      <w:pPr>
        <w:spacing w:line="360" w:lineRule="auto"/>
        <w:jc w:val="both"/>
        <w:rPr>
          <w:b/>
          <w:bCs/>
          <w:u w:val="single"/>
          <w:rtl/>
        </w:rPr>
      </w:pPr>
      <w:r w:rsidRPr="00A06A36">
        <w:rPr>
          <w:rFonts w:hint="cs"/>
          <w:b/>
          <w:bCs/>
          <w:u w:val="single"/>
          <w:rtl/>
        </w:rPr>
        <w:t xml:space="preserve">דיון והכרעה </w:t>
      </w:r>
    </w:p>
    <w:p w14:paraId="4A7F09DC" w14:textId="77777777" w:rsidR="004079DF" w:rsidRPr="00A06A36" w:rsidRDefault="004079DF" w:rsidP="004079DF">
      <w:pPr>
        <w:numPr>
          <w:ilvl w:val="0"/>
          <w:numId w:val="1"/>
        </w:numPr>
        <w:spacing w:after="160" w:line="360" w:lineRule="auto"/>
        <w:contextualSpacing/>
        <w:jc w:val="both"/>
        <w:rPr>
          <w:rtl/>
        </w:rPr>
      </w:pPr>
      <w:r w:rsidRPr="00A06A36">
        <w:rPr>
          <w:rFonts w:hint="cs"/>
          <w:rtl/>
        </w:rPr>
        <w:t>העבירות בהן הורשע הנאשם הן עבירות חמורות הפוגעות בביטחונה של מדינת ישראל וחותרות תחת עצם קיומה של המדינה. כוחות הביטחון על כל זרועותיהם, עושים לילות כימים במלחמה נגד ארגוני הטרור אשר מטרתם המוצהרת הינה פגיעה במדינת ישראל, באזרחיה, בשלומם, בביטחונם ובחייהם. כל ניסיון לפגוע בביטחון מדינת ישראל ובביטחון חייליה צריך להיענות בענישה ממשית ומוחשית.</w:t>
      </w:r>
    </w:p>
    <w:p w14:paraId="06AA1065" w14:textId="77777777" w:rsidR="004079DF" w:rsidRPr="00E6325D" w:rsidRDefault="004079DF" w:rsidP="004079DF">
      <w:pPr>
        <w:spacing w:line="360" w:lineRule="auto"/>
        <w:ind w:left="720"/>
        <w:contextualSpacing/>
        <w:jc w:val="both"/>
        <w:rPr>
          <w:sz w:val="20"/>
          <w:szCs w:val="20"/>
          <w:rtl/>
        </w:rPr>
      </w:pPr>
    </w:p>
    <w:p w14:paraId="4543B381" w14:textId="77777777" w:rsidR="004079DF" w:rsidRPr="00A06A36" w:rsidRDefault="004079DF" w:rsidP="004079DF">
      <w:pPr>
        <w:spacing w:line="360" w:lineRule="auto"/>
        <w:ind w:left="720"/>
        <w:contextualSpacing/>
        <w:jc w:val="both"/>
        <w:rPr>
          <w:b/>
          <w:bCs/>
          <w:u w:val="single"/>
        </w:rPr>
      </w:pPr>
      <w:r w:rsidRPr="00A06A36">
        <w:rPr>
          <w:rFonts w:hint="cs"/>
          <w:rtl/>
        </w:rPr>
        <w:t>יפים לעניין זה דברי כב' השופטת פרוקצ'יה ב</w:t>
      </w:r>
      <w:hyperlink r:id="rId29" w:history="1">
        <w:r w:rsidR="002A3B6C" w:rsidRPr="002A3B6C">
          <w:rPr>
            <w:color w:val="0000FF"/>
            <w:u w:val="single"/>
            <w:rtl/>
          </w:rPr>
          <w:t>ע"פ 9349/07</w:t>
        </w:r>
      </w:hyperlink>
      <w:r w:rsidRPr="00A06A36">
        <w:rPr>
          <w:rFonts w:hint="cs"/>
          <w:rtl/>
        </w:rPr>
        <w:t xml:space="preserve"> </w:t>
      </w:r>
      <w:r w:rsidRPr="00A06A36">
        <w:rPr>
          <w:rFonts w:hint="cs"/>
          <w:b/>
          <w:bCs/>
          <w:rtl/>
        </w:rPr>
        <w:t>איסמעיל חאמד נ' מדינת ישראל</w:t>
      </w:r>
      <w:r w:rsidRPr="00A06A36">
        <w:rPr>
          <w:rFonts w:hint="cs"/>
          <w:rtl/>
        </w:rPr>
        <w:t xml:space="preserve"> (23.6.08):</w:t>
      </w:r>
    </w:p>
    <w:p w14:paraId="514A3A46" w14:textId="77777777" w:rsidR="004079DF" w:rsidRPr="00E6325D" w:rsidRDefault="004079DF" w:rsidP="004079DF">
      <w:pPr>
        <w:ind w:left="720" w:right="14"/>
        <w:contextualSpacing/>
        <w:jc w:val="both"/>
        <w:rPr>
          <w:b/>
          <w:bCs/>
          <w:sz w:val="20"/>
          <w:szCs w:val="20"/>
          <w:rtl/>
        </w:rPr>
      </w:pPr>
      <w:r w:rsidRPr="00E6325D">
        <w:rPr>
          <w:rFonts w:hint="cs"/>
          <w:b/>
          <w:bCs/>
          <w:sz w:val="22"/>
          <w:szCs w:val="22"/>
          <w:rtl/>
        </w:rPr>
        <w:t>"מדינת ישראל חבה חובה עליונה להגן על תושביה, ובכלל זה גם על חיילי צה"ל המופקדים על ביטחון המדינה. מעשי טרור המכוונים לפגוע בחיי ישראלים - חיילים או אזרחים - מחייבת ענישה מחמירה במיוחד, אשר תטמיע את מסר הגמול וההרתעה כלפי כל מי שמעורב בפעילות בלתי חוקית המסכנת חיים... בסוג זה של עבירות הנסיבות האישיות של הנאשם מתגמדות במשקלן לנוכח חומרת המעשים והסיכונים הטמונים בהם, למען יידע כל גורם עויין למדינה ולתושביה כי הוא צפוי לעונש חמור ביותר אם יימצא מעורב בפעולות טרור שנועדו לפגוע בביטחון אזרחי ישראל, ולקטול חיים".</w:t>
      </w:r>
    </w:p>
    <w:p w14:paraId="27AA642D" w14:textId="77777777" w:rsidR="004079DF" w:rsidRPr="00A06A36" w:rsidRDefault="004079DF" w:rsidP="004079DF">
      <w:pPr>
        <w:ind w:left="720" w:right="14"/>
        <w:contextualSpacing/>
        <w:jc w:val="both"/>
        <w:rPr>
          <w:b/>
          <w:bCs/>
          <w:rtl/>
        </w:rPr>
      </w:pPr>
    </w:p>
    <w:p w14:paraId="4ED1D688" w14:textId="77777777" w:rsidR="004079DF" w:rsidRPr="00A06A36" w:rsidRDefault="004079DF" w:rsidP="004079DF">
      <w:pPr>
        <w:numPr>
          <w:ilvl w:val="0"/>
          <w:numId w:val="1"/>
        </w:numPr>
        <w:spacing w:after="160" w:line="360" w:lineRule="auto"/>
        <w:contextualSpacing/>
        <w:jc w:val="both"/>
        <w:rPr>
          <w:rtl/>
        </w:rPr>
      </w:pPr>
      <w:r w:rsidRPr="00A06A36">
        <w:rPr>
          <w:rFonts w:hint="cs"/>
          <w:rtl/>
        </w:rPr>
        <w:t xml:space="preserve">העובדה כי הנאשם הוא אזרח ישראלי מעצימה את חומרת ביצוע העבירות ויש בה אף פגיעה בנאמנות האזרחית למדינה. בית המשפט חזר לא אחת על כך שיש להחמיר את הענישה כאשר הנאשם בעבירות ביטחוניות הוא אזרח ישראלי. </w:t>
      </w:r>
    </w:p>
    <w:p w14:paraId="6320047C" w14:textId="77777777" w:rsidR="004079DF" w:rsidRPr="00A06A36" w:rsidRDefault="004079DF" w:rsidP="004079DF">
      <w:pPr>
        <w:spacing w:line="360" w:lineRule="auto"/>
        <w:ind w:left="720"/>
        <w:contextualSpacing/>
        <w:jc w:val="both"/>
      </w:pPr>
      <w:r w:rsidRPr="00A06A36">
        <w:rPr>
          <w:rFonts w:hint="cs"/>
          <w:rtl/>
        </w:rPr>
        <w:t xml:space="preserve">ראו לעניין זה </w:t>
      </w:r>
      <w:hyperlink r:id="rId30" w:history="1">
        <w:r w:rsidR="003C6D70" w:rsidRPr="003C6D70">
          <w:rPr>
            <w:b/>
            <w:bCs/>
            <w:color w:val="0000FF"/>
            <w:u w:val="single"/>
            <w:rtl/>
          </w:rPr>
          <w:t xml:space="preserve">סעדי נ' מדינת ישראל </w:t>
        </w:r>
      </w:hyperlink>
      <w:r w:rsidRPr="00A06A36">
        <w:rPr>
          <w:rFonts w:hint="cs"/>
          <w:rtl/>
        </w:rPr>
        <w:t xml:space="preserve"> ([פורסם בנבו], 22.12.03)).</w:t>
      </w:r>
      <w:r w:rsidR="002A3B6C">
        <w:rPr>
          <w:rFonts w:hint="cs"/>
          <w:rtl/>
        </w:rPr>
        <w:t xml:space="preserve">  </w:t>
      </w:r>
    </w:p>
    <w:p w14:paraId="5E58E428" w14:textId="77777777" w:rsidR="004079DF" w:rsidRPr="00E6325D" w:rsidRDefault="004079DF" w:rsidP="004079DF">
      <w:pPr>
        <w:ind w:left="720"/>
        <w:contextualSpacing/>
        <w:jc w:val="both"/>
        <w:rPr>
          <w:sz w:val="22"/>
          <w:szCs w:val="22"/>
        </w:rPr>
      </w:pPr>
      <w:r w:rsidRPr="00E6325D">
        <w:rPr>
          <w:rFonts w:hint="cs"/>
          <w:b/>
          <w:bCs/>
          <w:sz w:val="22"/>
          <w:szCs w:val="22"/>
          <w:rtl/>
        </w:rPr>
        <w:t>"התקופה בה אנו חיים היא עקובה מדם, והכול, ובעיקר אלה החייבים נאמנות למדינת ישראל, מצווים לנקוט בכל אמצעי אשר עשוי לצמצם את היקפם של מעשי הטרור. לאותה מטרה מצווים גם בתי המשפט להרים את תרומתם כדי להרתיע את הרבים" סעדי נ' מדינת ישראל ([פורסם בנבו]</w:t>
      </w:r>
      <w:r>
        <w:rPr>
          <w:rFonts w:hint="cs"/>
          <w:b/>
          <w:bCs/>
          <w:sz w:val="22"/>
          <w:szCs w:val="22"/>
          <w:rtl/>
        </w:rPr>
        <w:t>, 22.12.03</w:t>
      </w:r>
      <w:r w:rsidRPr="00E6325D">
        <w:rPr>
          <w:rFonts w:hint="cs"/>
          <w:b/>
          <w:bCs/>
          <w:sz w:val="22"/>
          <w:szCs w:val="22"/>
          <w:rtl/>
        </w:rPr>
        <w:t>). קישק נ' מדינת ישראל</w:t>
      </w:r>
      <w:r w:rsidRPr="00E6325D">
        <w:rPr>
          <w:rFonts w:hint="cs"/>
          <w:sz w:val="22"/>
          <w:szCs w:val="22"/>
          <w:rtl/>
        </w:rPr>
        <w:t xml:space="preserve"> ([פורסם בנבו], 16.5.06))</w:t>
      </w:r>
    </w:p>
    <w:p w14:paraId="1335CDF1" w14:textId="77777777" w:rsidR="004079DF" w:rsidRPr="00E6325D" w:rsidRDefault="004079DF" w:rsidP="004079DF">
      <w:pPr>
        <w:overflowPunct w:val="0"/>
        <w:autoSpaceDE w:val="0"/>
        <w:autoSpaceDN w:val="0"/>
        <w:adjustRightInd w:val="0"/>
        <w:ind w:left="720"/>
        <w:jc w:val="both"/>
        <w:rPr>
          <w:b/>
          <w:bCs/>
          <w:spacing w:val="10"/>
          <w:sz w:val="20"/>
          <w:szCs w:val="20"/>
          <w:rtl/>
        </w:rPr>
      </w:pPr>
      <w:r w:rsidRPr="00E6325D">
        <w:rPr>
          <w:rFonts w:ascii="Arial TUR" w:hAnsi="Arial TUR" w:hint="cs"/>
          <w:b/>
          <w:bCs/>
          <w:spacing w:val="10"/>
          <w:sz w:val="22"/>
          <w:szCs w:val="22"/>
          <w:rtl/>
        </w:rPr>
        <w:t>"אכן, עבירות ביטחון חמורות הן יהא מבצ</w:t>
      </w:r>
      <w:r w:rsidRPr="00E6325D">
        <w:rPr>
          <w:rFonts w:hint="cs"/>
          <w:b/>
          <w:bCs/>
          <w:spacing w:val="10"/>
          <w:sz w:val="22"/>
          <w:szCs w:val="22"/>
          <w:rtl/>
        </w:rPr>
        <w:t xml:space="preserve">ען אשר יהא, אך הן חמורות פי כמה כאשר מבצעיהן נמנים עם אזרחי המדינה ותושביה החוברים אל הגרועים שבאויבי המדינה ומסייעים בידם לבצע פעולות טרור" </w:t>
      </w:r>
      <w:r w:rsidRPr="00E6325D">
        <w:rPr>
          <w:rFonts w:hint="cs"/>
          <w:b/>
          <w:bCs/>
          <w:sz w:val="22"/>
          <w:szCs w:val="22"/>
          <w:rtl/>
        </w:rPr>
        <w:t>אבו קישק נ' מדינת ישראל</w:t>
      </w:r>
      <w:r w:rsidRPr="00E6325D">
        <w:rPr>
          <w:rFonts w:hint="cs"/>
          <w:b/>
          <w:bCs/>
          <w:spacing w:val="10"/>
          <w:sz w:val="22"/>
          <w:szCs w:val="22"/>
          <w:rtl/>
        </w:rPr>
        <w:t xml:space="preserve"> (</w:t>
      </w:r>
      <w:r w:rsidRPr="00E6325D">
        <w:rPr>
          <w:rFonts w:hint="cs"/>
          <w:b/>
          <w:bCs/>
          <w:sz w:val="22"/>
          <w:szCs w:val="22"/>
          <w:rtl/>
        </w:rPr>
        <w:t>[פורסם בנבו]</w:t>
      </w:r>
      <w:r>
        <w:rPr>
          <w:rFonts w:hint="cs"/>
          <w:b/>
          <w:bCs/>
          <w:spacing w:val="10"/>
          <w:sz w:val="22"/>
          <w:szCs w:val="22"/>
          <w:rtl/>
        </w:rPr>
        <w:t>, 16.5.06</w:t>
      </w:r>
      <w:r w:rsidRPr="00E6325D">
        <w:rPr>
          <w:rFonts w:hint="cs"/>
          <w:b/>
          <w:bCs/>
          <w:spacing w:val="10"/>
          <w:sz w:val="22"/>
          <w:szCs w:val="22"/>
          <w:rtl/>
        </w:rPr>
        <w:t xml:space="preserve">). </w:t>
      </w:r>
    </w:p>
    <w:p w14:paraId="122A5040" w14:textId="77777777" w:rsidR="004079DF" w:rsidRPr="004079DF" w:rsidRDefault="004079DF" w:rsidP="004079DF">
      <w:pPr>
        <w:spacing w:line="360" w:lineRule="auto"/>
        <w:jc w:val="both"/>
        <w:rPr>
          <w:rFonts w:ascii="Calibri" w:hAnsi="Calibri"/>
          <w:sz w:val="22"/>
          <w:szCs w:val="22"/>
          <w:rtl/>
        </w:rPr>
      </w:pPr>
    </w:p>
    <w:p w14:paraId="7C55557A" w14:textId="77777777" w:rsidR="004079DF" w:rsidRPr="00A06A36" w:rsidRDefault="004079DF" w:rsidP="004079DF">
      <w:pPr>
        <w:numPr>
          <w:ilvl w:val="0"/>
          <w:numId w:val="1"/>
        </w:numPr>
        <w:tabs>
          <w:tab w:val="left" w:pos="397"/>
          <w:tab w:val="left" w:pos="794"/>
          <w:tab w:val="left" w:pos="1191"/>
        </w:tabs>
        <w:spacing w:after="240" w:line="360" w:lineRule="auto"/>
        <w:contextualSpacing/>
        <w:jc w:val="both"/>
        <w:rPr>
          <w:sz w:val="26"/>
          <w:szCs w:val="26"/>
          <w:rtl/>
        </w:rPr>
      </w:pPr>
      <w:r w:rsidRPr="00A06A36">
        <w:rPr>
          <w:rFonts w:hint="cs"/>
          <w:spacing w:val="6"/>
          <w:rtl/>
        </w:rPr>
        <w:t xml:space="preserve">על חומרת העבירות ניתן ללמוד </w:t>
      </w:r>
      <w:hyperlink r:id="rId31" w:history="1">
        <w:r w:rsidR="00574D2E" w:rsidRPr="00574D2E">
          <w:rPr>
            <w:color w:val="0000FF"/>
            <w:spacing w:val="6"/>
            <w:u w:val="single"/>
            <w:rtl/>
          </w:rPr>
          <w:t>מסעיף 92</w:t>
        </w:r>
      </w:hyperlink>
      <w:r w:rsidRPr="00A06A36">
        <w:rPr>
          <w:rFonts w:hint="cs"/>
          <w:spacing w:val="6"/>
          <w:rtl/>
        </w:rPr>
        <w:t xml:space="preserve"> ל</w:t>
      </w:r>
      <w:hyperlink r:id="rId32" w:history="1">
        <w:r w:rsidR="002A3B6C" w:rsidRPr="002A3B6C">
          <w:rPr>
            <w:color w:val="0000FF"/>
            <w:spacing w:val="6"/>
            <w:u w:val="single"/>
            <w:rtl/>
          </w:rPr>
          <w:t>חוק העונשין</w:t>
        </w:r>
      </w:hyperlink>
      <w:r w:rsidRPr="00A06A36">
        <w:rPr>
          <w:rFonts w:hint="cs"/>
          <w:spacing w:val="6"/>
          <w:rtl/>
        </w:rPr>
        <w:t xml:space="preserve">, הקובע: </w:t>
      </w:r>
    </w:p>
    <w:p w14:paraId="70BD2C4B" w14:textId="77777777" w:rsidR="004079DF" w:rsidRPr="00A06A36" w:rsidRDefault="004079DF" w:rsidP="004079DF">
      <w:pPr>
        <w:tabs>
          <w:tab w:val="left" w:pos="397"/>
          <w:tab w:val="left" w:pos="794"/>
          <w:tab w:val="left" w:pos="1191"/>
        </w:tabs>
        <w:spacing w:after="240" w:line="360" w:lineRule="auto"/>
        <w:ind w:left="720"/>
        <w:contextualSpacing/>
        <w:jc w:val="both"/>
        <w:rPr>
          <w:b/>
          <w:bCs/>
          <w:sz w:val="22"/>
          <w:szCs w:val="22"/>
          <w:rtl/>
        </w:rPr>
      </w:pPr>
      <w:r w:rsidRPr="00A06A36">
        <w:rPr>
          <w:rFonts w:hint="cs"/>
          <w:b/>
          <w:bCs/>
          <w:rtl/>
        </w:rPr>
        <w:t xml:space="preserve">"קשר או נסיון לעבור עבירה לפי פרק זה </w:t>
      </w:r>
      <w:r w:rsidRPr="00A06A36">
        <w:rPr>
          <w:rFonts w:hint="cs"/>
          <w:rtl/>
        </w:rPr>
        <w:t>(</w:t>
      </w:r>
      <w:hyperlink r:id="rId33" w:history="1">
        <w:r w:rsidR="00574D2E" w:rsidRPr="00574D2E">
          <w:rPr>
            <w:color w:val="0000FF"/>
            <w:u w:val="single"/>
            <w:rtl/>
          </w:rPr>
          <w:t>וסעיף 99(א)</w:t>
        </w:r>
      </w:hyperlink>
      <w:r w:rsidRPr="00A06A36">
        <w:rPr>
          <w:rFonts w:hint="cs"/>
          <w:rtl/>
        </w:rPr>
        <w:t xml:space="preserve"> בכללו)</w:t>
      </w:r>
      <w:r w:rsidRPr="00A06A36">
        <w:rPr>
          <w:rFonts w:hint="cs"/>
          <w:b/>
          <w:bCs/>
          <w:rtl/>
        </w:rPr>
        <w:t>, דינם כדין מעשה העבירה".</w:t>
      </w:r>
    </w:p>
    <w:p w14:paraId="24592692" w14:textId="77777777" w:rsidR="004079DF" w:rsidRPr="00A06A36" w:rsidRDefault="004079DF" w:rsidP="004079DF">
      <w:pPr>
        <w:tabs>
          <w:tab w:val="left" w:pos="397"/>
          <w:tab w:val="left" w:pos="794"/>
          <w:tab w:val="left" w:pos="1191"/>
        </w:tabs>
        <w:spacing w:after="240" w:line="360" w:lineRule="auto"/>
        <w:ind w:left="720"/>
        <w:contextualSpacing/>
        <w:jc w:val="both"/>
        <w:rPr>
          <w:b/>
          <w:bCs/>
          <w:rtl/>
        </w:rPr>
      </w:pPr>
    </w:p>
    <w:p w14:paraId="0B29631E" w14:textId="77777777" w:rsidR="004079DF" w:rsidRDefault="004079DF" w:rsidP="004079DF">
      <w:pPr>
        <w:tabs>
          <w:tab w:val="left" w:pos="397"/>
          <w:tab w:val="left" w:pos="794"/>
          <w:tab w:val="left" w:pos="1191"/>
        </w:tabs>
        <w:spacing w:after="240" w:line="360" w:lineRule="auto"/>
        <w:ind w:left="720"/>
        <w:contextualSpacing/>
        <w:jc w:val="both"/>
        <w:rPr>
          <w:rFonts w:ascii="Arial" w:hAnsi="Arial"/>
          <w:rtl/>
        </w:rPr>
      </w:pPr>
      <w:r w:rsidRPr="00A06A36">
        <w:rPr>
          <w:rFonts w:ascii="Arial" w:hAnsi="Arial" w:hint="cs"/>
          <w:rtl/>
        </w:rPr>
        <w:t xml:space="preserve">מעשים מסוג זה אינם מותנים </w:t>
      </w:r>
      <w:r w:rsidRPr="00A06A36">
        <w:rPr>
          <w:rFonts w:ascii="Arial" w:hAnsi="Arial" w:hint="cs"/>
          <w:b/>
          <w:bCs/>
          <w:rtl/>
        </w:rPr>
        <w:t>"בהצלחת המעשים בפועל"</w:t>
      </w:r>
      <w:r w:rsidRPr="00A06A36">
        <w:rPr>
          <w:rFonts w:ascii="Arial" w:hAnsi="Arial" w:hint="cs"/>
          <w:rtl/>
        </w:rPr>
        <w:t xml:space="preserve">, והענישה המחמירה נדרשת </w:t>
      </w:r>
      <w:r w:rsidRPr="00A06A36">
        <w:rPr>
          <w:rFonts w:ascii="Arial" w:hAnsi="Arial" w:hint="cs"/>
          <w:b/>
          <w:bCs/>
          <w:rtl/>
        </w:rPr>
        <w:t>"גם שעה שהמעשים לא נשאו פרי"</w:t>
      </w:r>
      <w:r w:rsidRPr="00A06A36">
        <w:rPr>
          <w:rFonts w:ascii="Arial" w:hAnsi="Arial" w:hint="cs"/>
          <w:rtl/>
        </w:rPr>
        <w:t xml:space="preserve">, נוכח </w:t>
      </w:r>
      <w:r w:rsidRPr="00A06A36">
        <w:rPr>
          <w:rFonts w:ascii="Arial" w:hAnsi="Arial" w:hint="cs"/>
          <w:b/>
          <w:bCs/>
          <w:rtl/>
        </w:rPr>
        <w:t xml:space="preserve">"פוטנציאל הפגיעה" </w:t>
      </w:r>
      <w:r w:rsidRPr="00A06A36">
        <w:rPr>
          <w:rFonts w:ascii="Arial" w:hAnsi="Arial" w:hint="cs"/>
          <w:rtl/>
        </w:rPr>
        <w:t>הגלום בהם</w:t>
      </w:r>
      <w:r w:rsidRPr="00A06A36">
        <w:rPr>
          <w:rFonts w:ascii="Arial" w:hAnsi="Arial" w:hint="cs"/>
          <w:b/>
          <w:bCs/>
          <w:rtl/>
        </w:rPr>
        <w:t xml:space="preserve"> </w:t>
      </w:r>
      <w:r w:rsidRPr="00A06A36">
        <w:rPr>
          <w:rFonts w:ascii="Arial" w:hAnsi="Arial" w:hint="cs"/>
          <w:rtl/>
        </w:rPr>
        <w:t xml:space="preserve">(ראו בעניין זה, </w:t>
      </w:r>
      <w:r w:rsidRPr="00A06A36">
        <w:rPr>
          <w:rFonts w:ascii="Arial" w:hAnsi="Arial" w:hint="cs"/>
          <w:b/>
          <w:bCs/>
          <w:rtl/>
        </w:rPr>
        <w:t>עימאד חמד נ' מדינת ישראל,</w:t>
      </w:r>
      <w:r w:rsidRPr="00A06A36">
        <w:rPr>
          <w:rFonts w:ascii="Arial" w:hAnsi="Arial" w:hint="cs"/>
          <w:rtl/>
        </w:rPr>
        <w:t xml:space="preserve"> פסקה 5, </w:t>
      </w:r>
      <w:r w:rsidRPr="00A06A36">
        <w:rPr>
          <w:rFonts w:hint="cs"/>
          <w:rtl/>
        </w:rPr>
        <w:t xml:space="preserve">[פורסם בנבו] </w:t>
      </w:r>
      <w:r w:rsidRPr="00A06A36">
        <w:rPr>
          <w:rFonts w:ascii="Arial" w:hAnsi="Arial" w:hint="cs"/>
          <w:rtl/>
        </w:rPr>
        <w:t>ניתן ביום 28.6.2012).</w:t>
      </w:r>
    </w:p>
    <w:p w14:paraId="4DCC3297" w14:textId="77777777" w:rsidR="004079DF" w:rsidRPr="00A06A36" w:rsidRDefault="004079DF" w:rsidP="004079DF">
      <w:pPr>
        <w:tabs>
          <w:tab w:val="left" w:pos="397"/>
          <w:tab w:val="left" w:pos="794"/>
          <w:tab w:val="left" w:pos="1191"/>
        </w:tabs>
        <w:spacing w:after="240" w:line="360" w:lineRule="auto"/>
        <w:ind w:left="720"/>
        <w:contextualSpacing/>
        <w:jc w:val="both"/>
        <w:rPr>
          <w:rFonts w:ascii="Arial" w:hAnsi="Arial"/>
          <w:b/>
          <w:bCs/>
          <w:rtl/>
        </w:rPr>
      </w:pPr>
    </w:p>
    <w:p w14:paraId="2DBDA9A4" w14:textId="77777777" w:rsidR="004079DF" w:rsidRPr="00A06A36" w:rsidRDefault="002A3B6C" w:rsidP="004079DF">
      <w:pPr>
        <w:numPr>
          <w:ilvl w:val="0"/>
          <w:numId w:val="1"/>
        </w:numPr>
        <w:tabs>
          <w:tab w:val="left" w:pos="397"/>
          <w:tab w:val="left" w:pos="794"/>
          <w:tab w:val="left" w:pos="1191"/>
        </w:tabs>
        <w:spacing w:after="240" w:line="360" w:lineRule="auto"/>
        <w:contextualSpacing/>
        <w:jc w:val="both"/>
      </w:pPr>
      <w:hyperlink r:id="rId34" w:history="1">
        <w:r w:rsidRPr="002A3B6C">
          <w:rPr>
            <w:rFonts w:ascii="David" w:hAnsi="David"/>
            <w:color w:val="0000FF"/>
            <w:u w:val="single"/>
            <w:rtl/>
          </w:rPr>
          <w:t>בעפ 4910/13</w:t>
        </w:r>
      </w:hyperlink>
      <w:r w:rsidR="004079DF" w:rsidRPr="00A06A36">
        <w:rPr>
          <w:rFonts w:ascii="David" w:hAnsi="David" w:hint="cs"/>
          <w:color w:val="000000"/>
          <w:rtl/>
        </w:rPr>
        <w:t xml:space="preserve"> </w:t>
      </w:r>
      <w:r w:rsidR="004079DF" w:rsidRPr="00A06A36">
        <w:rPr>
          <w:rFonts w:ascii="David" w:hAnsi="David" w:hint="cs"/>
          <w:b/>
          <w:bCs/>
          <w:color w:val="000000"/>
          <w:rtl/>
        </w:rPr>
        <w:t>אחמד בני ג'אבר נ' מדינת ישראל</w:t>
      </w:r>
      <w:r w:rsidR="004079DF" w:rsidRPr="00A06A36">
        <w:rPr>
          <w:rFonts w:hint="cs"/>
          <w:rtl/>
        </w:rPr>
        <w:t xml:space="preserve"> [לא פורסם, ניתן ביום 29.10.2014] צוינו המבחנים שהתפתחו בפסיקה לצורך הכרעה בשאלה האם עסקינן באירוע אחד או במספר אירועים נפרדים: </w:t>
      </w:r>
    </w:p>
    <w:p w14:paraId="6021C9CC" w14:textId="77777777" w:rsidR="004079DF" w:rsidRPr="004079DF" w:rsidRDefault="004079DF" w:rsidP="004079DF">
      <w:pPr>
        <w:tabs>
          <w:tab w:val="left" w:pos="397"/>
          <w:tab w:val="left" w:pos="794"/>
          <w:tab w:val="left" w:pos="1191"/>
        </w:tabs>
        <w:spacing w:after="240"/>
        <w:ind w:left="720"/>
        <w:contextualSpacing/>
        <w:jc w:val="both"/>
        <w:rPr>
          <w:rFonts w:ascii="Calibri" w:hAnsi="Calibri"/>
          <w:b/>
          <w:bCs/>
          <w:spacing w:val="6"/>
          <w:sz w:val="22"/>
          <w:szCs w:val="20"/>
          <w:rtl/>
        </w:rPr>
      </w:pPr>
      <w:r w:rsidRPr="00E6325D">
        <w:rPr>
          <w:rFonts w:hint="cs"/>
          <w:b/>
          <w:bCs/>
          <w:spacing w:val="6"/>
          <w:sz w:val="22"/>
          <w:szCs w:val="22"/>
          <w:rtl/>
        </w:rPr>
        <w:t xml:space="preserve">"האחד, המבחן הצורני-עובדתי, שבמסגרתו בוחנים האם ניתן להפריד בין פעולות שנעשו ברצף ובסמיכות יחסית של זמן ומקום, דהיינו האם מדובר בפעולה יחידה מתמשכת שלא ניתן לפצלה לתת-פעולות או שמא בשרשרת פעולות עוקבות שכל אחת מהן היא חוליה נפרדת. השני, המבחן המהותי-מוסרי, שנוהג בעיקר בעבירות הנעברות בגופו של אדם (להבדיל מעבירות רכוש), ושבמסגרתו מתמקדים בנזקים שגרמה התנהגותו של העבריין לנפגעי העבירה ובאינטרס החברתי שנפגע. במסגרת מבחן זה נבחנת בין היתר – אם לא בעיקר – </w:t>
      </w:r>
      <w:r w:rsidRPr="00E6325D">
        <w:rPr>
          <w:rFonts w:hint="cs"/>
          <w:b/>
          <w:bCs/>
          <w:spacing w:val="6"/>
          <w:sz w:val="22"/>
          <w:szCs w:val="22"/>
          <w:u w:val="single"/>
          <w:rtl/>
        </w:rPr>
        <w:t>שאלת ריבוי הנפגעים.</w:t>
      </w:r>
      <w:r w:rsidRPr="00E6325D">
        <w:rPr>
          <w:rFonts w:hint="cs"/>
          <w:b/>
          <w:bCs/>
          <w:spacing w:val="6"/>
          <w:sz w:val="22"/>
          <w:szCs w:val="22"/>
          <w:rtl/>
        </w:rPr>
        <w:t xml:space="preserve"> בהקשר זה נקבע והודגש בשורת פסקי דין כי כאשר מדובר במספר נפגעים ממעשה אלימות או מעבירות מין יש לכל אחד מהנפגעים אינטרס עצמאי לשמירה על שלום גופו, אשר מטה את הכף לטובת "פיצול" המעשים והעונשים".</w:t>
      </w:r>
    </w:p>
    <w:p w14:paraId="0B47936B" w14:textId="77777777" w:rsidR="004079DF" w:rsidRPr="004079DF" w:rsidRDefault="004079DF" w:rsidP="004079DF">
      <w:pPr>
        <w:tabs>
          <w:tab w:val="left" w:pos="397"/>
          <w:tab w:val="left" w:pos="794"/>
          <w:tab w:val="left" w:pos="1191"/>
        </w:tabs>
        <w:spacing w:after="240"/>
        <w:ind w:left="720"/>
        <w:contextualSpacing/>
        <w:jc w:val="both"/>
        <w:rPr>
          <w:rFonts w:ascii="Calibri" w:hAnsi="Calibri"/>
          <w:b/>
          <w:bCs/>
          <w:spacing w:val="6"/>
          <w:szCs w:val="22"/>
          <w:rtl/>
        </w:rPr>
      </w:pPr>
    </w:p>
    <w:p w14:paraId="53EF3075" w14:textId="77777777" w:rsidR="004079DF" w:rsidRDefault="004079DF" w:rsidP="004079DF">
      <w:pPr>
        <w:tabs>
          <w:tab w:val="left" w:pos="397"/>
          <w:tab w:val="left" w:pos="794"/>
          <w:tab w:val="left" w:pos="1191"/>
        </w:tabs>
        <w:spacing w:after="240" w:line="360" w:lineRule="auto"/>
        <w:ind w:left="720"/>
        <w:contextualSpacing/>
        <w:jc w:val="both"/>
        <w:rPr>
          <w:rtl/>
        </w:rPr>
      </w:pPr>
      <w:r w:rsidRPr="00A06A36">
        <w:rPr>
          <w:rFonts w:ascii="Arial" w:hAnsi="Arial" w:hint="cs"/>
          <w:rtl/>
        </w:rPr>
        <w:t>המדובר בשני אישומים המהווים שני אירועים נפרדים,</w:t>
      </w:r>
      <w:r w:rsidRPr="00A06A36">
        <w:rPr>
          <w:rFonts w:hint="cs"/>
          <w:spacing w:val="6"/>
          <w:rtl/>
        </w:rPr>
        <w:t xml:space="preserve"> אין מדובר ביחידה מתמשכת או בשרשרת פעולות עוקבות, אלא במעשים נפרדים הן מבחינת הזמן והן מבחינת המקום. בענייננו, יש </w:t>
      </w:r>
      <w:r w:rsidRPr="00A06A36">
        <w:rPr>
          <w:rFonts w:ascii="Arial" w:hAnsi="Arial" w:hint="cs"/>
          <w:rtl/>
        </w:rPr>
        <w:t xml:space="preserve">לקבוע מתחמי ענישה נפרדים לכל אירוע </w:t>
      </w:r>
      <w:r w:rsidRPr="00A06A36">
        <w:rPr>
          <w:rFonts w:hint="cs"/>
          <w:rtl/>
        </w:rPr>
        <w:t xml:space="preserve">ועונש כולל בגין שני האירועים. </w:t>
      </w:r>
    </w:p>
    <w:p w14:paraId="1A22E860" w14:textId="77777777" w:rsidR="004079DF" w:rsidRPr="00A06A36" w:rsidRDefault="004079DF" w:rsidP="004079DF">
      <w:pPr>
        <w:tabs>
          <w:tab w:val="left" w:pos="397"/>
          <w:tab w:val="left" w:pos="794"/>
          <w:tab w:val="left" w:pos="1191"/>
        </w:tabs>
        <w:spacing w:after="240" w:line="360" w:lineRule="auto"/>
        <w:ind w:left="720"/>
        <w:contextualSpacing/>
        <w:jc w:val="both"/>
        <w:rPr>
          <w:spacing w:val="6"/>
          <w:rtl/>
        </w:rPr>
      </w:pPr>
    </w:p>
    <w:p w14:paraId="4839659E" w14:textId="77777777" w:rsidR="004079DF" w:rsidRPr="00A06A36" w:rsidRDefault="004079DF" w:rsidP="004079DF">
      <w:pPr>
        <w:numPr>
          <w:ilvl w:val="0"/>
          <w:numId w:val="1"/>
        </w:numPr>
        <w:spacing w:after="200" w:line="360" w:lineRule="auto"/>
        <w:contextualSpacing/>
        <w:jc w:val="both"/>
        <w:rPr>
          <w:rtl/>
        </w:rPr>
      </w:pPr>
      <w:r w:rsidRPr="00A06A36">
        <w:rPr>
          <w:rFonts w:hint="cs"/>
          <w:rtl/>
        </w:rPr>
        <w:t>במעשיו, הנאשם פגע באופן חמור בערכים החברתיים של ביטחונה וריבונותה של מדינת ישראל, זכותם של תושביה לחיות במדינה בביטחון ובשלום.</w:t>
      </w:r>
    </w:p>
    <w:p w14:paraId="5CFC47D2" w14:textId="77777777" w:rsidR="004079DF" w:rsidRDefault="004079DF" w:rsidP="004079DF">
      <w:pPr>
        <w:spacing w:after="200" w:line="360" w:lineRule="auto"/>
        <w:ind w:left="720"/>
        <w:contextualSpacing/>
        <w:jc w:val="both"/>
        <w:rPr>
          <w:rtl/>
        </w:rPr>
      </w:pPr>
      <w:r w:rsidRPr="00A06A36">
        <w:rPr>
          <w:rFonts w:hint="cs"/>
          <w:rtl/>
        </w:rPr>
        <w:t xml:space="preserve">פגיעה זו היא חלק מהמציאות הביטחונית הקשה באזורנו. מדינת ישראל נמצאת במאבק יומיומי בארגוני הטרור וכל גורם אשר לוקח חלק ומסייע בפעילות הטרור מהווה חלק משרשרת המוות ומעמיק את הפגיעה בביטחון המדינה, גם אם אין הדבר נעשה במסגרת ארגון טרור.  </w:t>
      </w:r>
    </w:p>
    <w:p w14:paraId="555C32EE" w14:textId="77777777" w:rsidR="004079DF" w:rsidRPr="00A06A36" w:rsidRDefault="004079DF" w:rsidP="004079DF">
      <w:pPr>
        <w:spacing w:after="200" w:line="360" w:lineRule="auto"/>
        <w:ind w:left="720"/>
        <w:contextualSpacing/>
        <w:jc w:val="both"/>
      </w:pPr>
    </w:p>
    <w:p w14:paraId="4D1AC707" w14:textId="77777777" w:rsidR="004079DF" w:rsidRPr="00A06A36" w:rsidRDefault="004079DF" w:rsidP="004079DF">
      <w:pPr>
        <w:numPr>
          <w:ilvl w:val="0"/>
          <w:numId w:val="1"/>
        </w:numPr>
        <w:spacing w:after="160" w:line="360" w:lineRule="auto"/>
        <w:contextualSpacing/>
        <w:jc w:val="both"/>
      </w:pPr>
      <w:r w:rsidRPr="00A06A36">
        <w:rPr>
          <w:rFonts w:hint="cs"/>
          <w:rtl/>
        </w:rPr>
        <w:t xml:space="preserve">הנאשם הוא הרוח החיה מאחורי ביצוע העבירות. הוא שאמר למסרי ולוויסי כי לא יתכן שהתנועה האסלאמית תיעלם ללא זכר וללא כל מחאה והתנגדות. הנאשם הציע לשניים לכתוב כתובות קיר באזור מגוריהם ומאוחר יותר קשרו השלושה קשר לבצע פיגוע טרור במדינת ישראל. הנאשם לא היה זה שתכנן את פרטי הפיגוע לרבות המקום בו יבוצע, אך  הוא שהשפיע על מסרי ולוויסי לבצע את העבירות. </w:t>
      </w:r>
    </w:p>
    <w:p w14:paraId="175226F8" w14:textId="77777777" w:rsidR="004079DF" w:rsidRPr="00A06A36" w:rsidRDefault="004079DF" w:rsidP="004079DF">
      <w:pPr>
        <w:spacing w:line="360" w:lineRule="auto"/>
        <w:ind w:left="720"/>
        <w:contextualSpacing/>
        <w:jc w:val="both"/>
      </w:pPr>
      <w:r w:rsidRPr="00A06A36">
        <w:rPr>
          <w:rFonts w:hint="cs"/>
          <w:rtl/>
        </w:rPr>
        <w:t>לדברי הסנגור, אם הנאשם היה אומר להם לא להוציא את התכנית אל הפועל בשל סיבה אחרת, השניים היו פונים לגורם אחר על מנת שיוציא תכניתם אל הפועל, ועל כן לטענתו, הנאשם למעשה מנע את פעולת הטרור. מלבד בדברי הסנגור אין לטענה זו כל אחיזה. הנאשם לא התחרט, לא הסגיר את חבריו והסיבה לדבריו אינה אלא מה שנאמר במפורש על ידו לחבריו, דהיינו שהתוכנית אינה בת ביצוע.</w:t>
      </w:r>
    </w:p>
    <w:p w14:paraId="45ADC040" w14:textId="77777777" w:rsidR="004079DF" w:rsidRPr="00A06A36" w:rsidRDefault="004079DF" w:rsidP="004079DF">
      <w:pPr>
        <w:spacing w:line="360" w:lineRule="auto"/>
        <w:ind w:left="720"/>
        <w:contextualSpacing/>
        <w:jc w:val="both"/>
      </w:pPr>
      <w:r w:rsidRPr="00A06A36">
        <w:rPr>
          <w:rFonts w:hint="cs"/>
          <w:rtl/>
        </w:rPr>
        <w:t xml:space="preserve">רבות דובר על הנזק הפוטנציאלי שבפיגועי הטרור – ירי על חיילים, פיגוע דקירה או כל פיגוע אחר שנועד לגרום למותם של חיילים ואזרחים טומן בחובו פוטנציאל לפגיעה בנפש.  לצערנו, מדינת ישראל, תושביה ואזרחיה למודי ניסיון בעניין זה, הן בשל ניסיונות דומים המתרחשים חדשים לבקרים והן בשל פיגועים שיצאו אל הפועל וגבו מחיר כבד מאוד. </w:t>
      </w:r>
    </w:p>
    <w:p w14:paraId="35B52E05" w14:textId="77777777" w:rsidR="004079DF" w:rsidRPr="00A06A36" w:rsidRDefault="004079DF" w:rsidP="004079DF">
      <w:pPr>
        <w:spacing w:line="360" w:lineRule="auto"/>
        <w:ind w:left="720"/>
        <w:contextualSpacing/>
        <w:jc w:val="both"/>
        <w:rPr>
          <w:rtl/>
        </w:rPr>
      </w:pPr>
      <w:r w:rsidRPr="00A06A36">
        <w:rPr>
          <w:rFonts w:hint="cs"/>
          <w:rtl/>
        </w:rPr>
        <w:t xml:space="preserve">באשר לעבירות הנשק, חלקו היחסי של הנאשם קטן יותר. הנאשם קיבל מלוויסי תיק שבו, לטענת לווסי, שלטים שיכולים לשמש כמערכות הפעלה למטעני חבלה מאולתרים. הנאשם החביאו למשך מספר שבועות ובמקרה אחר העביר הנאשם נשק, שלא למטרות ביטחוניות, לידי לווסי על מנת שיעבירו למסרי. </w:t>
      </w:r>
    </w:p>
    <w:p w14:paraId="02B33655" w14:textId="77777777" w:rsidR="004079DF" w:rsidRPr="00A06A36" w:rsidRDefault="004079DF" w:rsidP="004079DF">
      <w:pPr>
        <w:spacing w:line="360" w:lineRule="auto"/>
        <w:ind w:left="720"/>
        <w:contextualSpacing/>
        <w:jc w:val="both"/>
        <w:rPr>
          <w:rtl/>
        </w:rPr>
      </w:pPr>
      <w:r w:rsidRPr="00A06A36">
        <w:rPr>
          <w:rFonts w:hint="cs"/>
          <w:rtl/>
        </w:rPr>
        <w:t>הגם שהעברת הנשק לא נעשתה לשם מטרות ביטחוניות, החומרה הנעוצה בעבירות נשק, נוגעת לעובדה כי אין לדעת לאן הנשק יתגלגל ולמה ישמש בסופו של יום, כאשר ברור לכל המעורבים, כי העברת נשק בצורה בלתי חוקית, ככל הנראה תשמש לפעילות שאינה חוקית.</w:t>
      </w:r>
    </w:p>
    <w:p w14:paraId="30381D6B" w14:textId="77777777" w:rsidR="004079DF" w:rsidRPr="00A06A36" w:rsidRDefault="004079DF" w:rsidP="004079DF">
      <w:pPr>
        <w:spacing w:line="360" w:lineRule="auto"/>
        <w:ind w:left="720"/>
        <w:contextualSpacing/>
        <w:jc w:val="both"/>
        <w:rPr>
          <w:rtl/>
        </w:rPr>
      </w:pPr>
      <w:r w:rsidRPr="00A06A36">
        <w:rPr>
          <w:rFonts w:hint="cs"/>
          <w:rtl/>
        </w:rPr>
        <w:t>בית המשפט העליון קבע לאחרונה ב</w:t>
      </w:r>
      <w:hyperlink r:id="rId35" w:history="1">
        <w:r w:rsidR="002A3B6C" w:rsidRPr="002A3B6C">
          <w:rPr>
            <w:color w:val="0000FF"/>
            <w:u w:val="single"/>
            <w:rtl/>
          </w:rPr>
          <w:t>ע"פ 2398/14</w:t>
        </w:r>
      </w:hyperlink>
      <w:r w:rsidRPr="00A06A36">
        <w:rPr>
          <w:rFonts w:hint="cs"/>
          <w:rtl/>
        </w:rPr>
        <w:t xml:space="preserve">, </w:t>
      </w:r>
      <w:r w:rsidRPr="00A06A36">
        <w:rPr>
          <w:rFonts w:hint="cs"/>
          <w:b/>
          <w:bCs/>
          <w:rtl/>
        </w:rPr>
        <w:t>ענאן אלהוזייל נ' מדינת ישראל</w:t>
      </w:r>
      <w:r w:rsidRPr="00A06A36">
        <w:rPr>
          <w:rFonts w:hint="cs"/>
          <w:rtl/>
        </w:rPr>
        <w:t xml:space="preserve"> </w:t>
      </w:r>
    </w:p>
    <w:p w14:paraId="73CD50BC" w14:textId="77777777" w:rsidR="004079DF" w:rsidRPr="00A06A36" w:rsidRDefault="004079DF" w:rsidP="004079DF">
      <w:pPr>
        <w:ind w:left="720" w:right="14"/>
        <w:jc w:val="both"/>
        <w:rPr>
          <w:b/>
          <w:bCs/>
          <w:sz w:val="22"/>
          <w:szCs w:val="22"/>
          <w:rtl/>
        </w:rPr>
      </w:pPr>
    </w:p>
    <w:p w14:paraId="269F3C5A" w14:textId="77777777" w:rsidR="004079DF" w:rsidRPr="00E6325D" w:rsidRDefault="004079DF" w:rsidP="004079DF">
      <w:pPr>
        <w:ind w:left="720" w:right="14"/>
        <w:jc w:val="both"/>
        <w:rPr>
          <w:b/>
          <w:bCs/>
          <w:sz w:val="22"/>
          <w:szCs w:val="22"/>
          <w:rtl/>
        </w:rPr>
      </w:pPr>
      <w:r w:rsidRPr="00E6325D">
        <w:rPr>
          <w:rFonts w:hint="cs"/>
          <w:b/>
          <w:bCs/>
          <w:sz w:val="22"/>
          <w:szCs w:val="22"/>
          <w:rtl/>
        </w:rPr>
        <w:t>"... אחזור ואדגיש את מדיניות ההחמרה בעבירות נשק, שבאה לידי ביטוי בשורה ארוכה של פסקי דין של בית משפט זה בשנים האחרונות... לזמינות הבלתי נסבלת של נשק חם בידי מי שאינם מורשים לכך יש פוטנציאל לשמש ל'חיסול חשבונות' ול'פתרון סכסוכים', כמו גם לעבירות חמורות נוספות.  המציאות בארצנו מוכיח כי הקלישאה אודות האקדח במערכה הראשונה אינה מדויקת, באשר לעיתים מזומנות האקדח אינו ממתין עד למערכה האחרונה ויורה קודם לכן. מכאן, שבעבירות כגון דא גם לשיקולי ההרתעה משקל של ממש."</w:t>
      </w:r>
    </w:p>
    <w:p w14:paraId="45DB0C81" w14:textId="77777777" w:rsidR="004079DF" w:rsidRPr="00E6325D" w:rsidRDefault="004079DF" w:rsidP="004079DF">
      <w:pPr>
        <w:spacing w:line="360" w:lineRule="auto"/>
        <w:ind w:left="720"/>
        <w:contextualSpacing/>
        <w:jc w:val="both"/>
        <w:rPr>
          <w:sz w:val="22"/>
          <w:szCs w:val="22"/>
          <w:rtl/>
        </w:rPr>
      </w:pPr>
    </w:p>
    <w:p w14:paraId="7F7B9976" w14:textId="77777777" w:rsidR="004079DF" w:rsidRDefault="004079DF" w:rsidP="004079DF">
      <w:pPr>
        <w:numPr>
          <w:ilvl w:val="0"/>
          <w:numId w:val="1"/>
        </w:numPr>
        <w:spacing w:after="200" w:line="360" w:lineRule="auto"/>
        <w:contextualSpacing/>
        <w:jc w:val="both"/>
        <w:rPr>
          <w:rFonts w:ascii="Arial" w:hAnsi="Arial"/>
        </w:rPr>
      </w:pPr>
      <w:r w:rsidRPr="00A06A36">
        <w:rPr>
          <w:rFonts w:ascii="Arial" w:hAnsi="Arial" w:hint="cs"/>
          <w:rtl/>
        </w:rPr>
        <w:t>מדיניות הענישה הנהוגה בעבירות ביטחוניות אינה אחידה לאור הספקטרום הרחב של העבירות, מידת מעורבותו היחסית של הנאשם ופוטנציאל הפגיעה הגלום בכל עבירה. עם זאת, ככלל, נוקט בית המשפט בענישה מחמירה כלפי הפוגעים בביטחון המדינה, חייליה ותושביה:</w:t>
      </w:r>
    </w:p>
    <w:p w14:paraId="43BB3396" w14:textId="77777777" w:rsidR="004079DF" w:rsidRPr="00A06A36" w:rsidRDefault="004079DF" w:rsidP="004079DF">
      <w:pPr>
        <w:spacing w:after="200" w:line="360" w:lineRule="auto"/>
        <w:ind w:left="720"/>
        <w:contextualSpacing/>
        <w:jc w:val="both"/>
        <w:rPr>
          <w:rFonts w:ascii="Arial" w:hAnsi="Arial"/>
          <w:rtl/>
        </w:rPr>
      </w:pPr>
    </w:p>
    <w:p w14:paraId="7FB6D4BC" w14:textId="77777777" w:rsidR="004079DF" w:rsidRDefault="002A3B6C" w:rsidP="004079DF">
      <w:pPr>
        <w:numPr>
          <w:ilvl w:val="0"/>
          <w:numId w:val="2"/>
        </w:numPr>
        <w:spacing w:after="200" w:line="360" w:lineRule="auto"/>
        <w:contextualSpacing/>
        <w:jc w:val="both"/>
        <w:rPr>
          <w:rFonts w:ascii="Arial" w:hAnsi="Arial"/>
          <w:b/>
          <w:bCs/>
        </w:rPr>
      </w:pPr>
      <w:hyperlink r:id="rId36" w:history="1">
        <w:r w:rsidRPr="002A3B6C">
          <w:rPr>
            <w:rFonts w:ascii="Arial" w:hAnsi="Arial"/>
            <w:color w:val="0000FF"/>
            <w:u w:val="single"/>
            <w:rtl/>
          </w:rPr>
          <w:t>ע"פ 6008-15</w:t>
        </w:r>
      </w:hyperlink>
      <w:r w:rsidR="004079DF" w:rsidRPr="00A06A36">
        <w:rPr>
          <w:rFonts w:ascii="Arial" w:hAnsi="Arial" w:hint="cs"/>
          <w:rtl/>
        </w:rPr>
        <w:t xml:space="preserve"> </w:t>
      </w:r>
      <w:r w:rsidR="004079DF" w:rsidRPr="00A06A36">
        <w:rPr>
          <w:rFonts w:ascii="Arimo" w:hAnsi="Arimo" w:hint="cs"/>
          <w:b/>
          <w:bCs/>
          <w:rtl/>
        </w:rPr>
        <w:t>אנס עויסאת נ'</w:t>
      </w:r>
      <w:r w:rsidR="004079DF" w:rsidRPr="00A06A36">
        <w:rPr>
          <w:rFonts w:ascii="Arimo" w:hAnsi="Arimo" w:hint="cs"/>
          <w:rtl/>
        </w:rPr>
        <w:t xml:space="preserve"> </w:t>
      </w:r>
      <w:r w:rsidR="004079DF" w:rsidRPr="00A06A36">
        <w:rPr>
          <w:rFonts w:ascii="Arimo" w:hAnsi="Arimo" w:hint="cs"/>
          <w:b/>
          <w:bCs/>
          <w:rtl/>
        </w:rPr>
        <w:t>מדינת ישראל</w:t>
      </w:r>
      <w:r w:rsidR="004079DF" w:rsidRPr="00A06A36">
        <w:rPr>
          <w:rFonts w:ascii="Arial" w:hAnsi="Arial" w:hint="cs"/>
          <w:rtl/>
        </w:rPr>
        <w:t xml:space="preserve"> – המערערים הורשעו, על יסוד הודאתם, בעבירה  של קשירת קשר לסיוע לאויב בזמן מלחמה. המערערים 1 ו-2 החליטו לבצע פיגוע טרור נגד אזרחים יהודים בירושלים. הם תכננו להתלבש בלבוש חרדי ולבצע פיגוע ירי באולם שמחות המיועד לציבור החרדי, ערכו בירורים על רכישת רובה מסוחר נשק ואף נפגשו עם הסוחר מספר פעמים. בהמשך, צירפו השניים את המערער 3 לתכניתם, אשר סייע בגיוס הכספים לקניית הרובה. בסמוך, נסעו השלושה לאולם השמחות, בחנו את המקום והחליטו על נתיב לפיגוע. בחודש ינואר התגלע סכסוך בין השניים לבין המערער 3 והשניים צירפו לתכניתם אדם אחר במקומו עמו החליטו לבצע את הפיגוע. בתחילת שנת 2013, פנה המערער 3 למערער 1 והציע לו להצטרף אליו בביצוע פיגוע לעבר מטרות יהודיות והמערער 1 סירב. בית המשפט המחוזי קבע את מתחם העונש ביחס לשלושת המערערים במתחם של 6-10 שנות מאסר בפועל וגזר על המערערים 1 ו-2 עונש של 8 שנות מאסר בפועל ואילו על המערער 3 עונש של 7 שנות מאסר בפועל. בית המשפט העליון לא התערב בעונש וציין: </w:t>
      </w:r>
      <w:r w:rsidR="004079DF" w:rsidRPr="00A06A36">
        <w:rPr>
          <w:rFonts w:ascii="Arial" w:hAnsi="Arial" w:hint="cs"/>
          <w:b/>
          <w:bCs/>
          <w:rtl/>
        </w:rPr>
        <w:t>"חומרת העבירות בהן הורשע המערער והסכנה הגלומה באפשרות של מימוש תוכניתו מחייבים אותנו לנקוט בענישה מחמירה. לכך מצטרפים שיקולים של הרתעת הרבים, להם נודע מקום דומיננטי</w:t>
      </w:r>
      <w:r w:rsidR="004079DF" w:rsidRPr="00A06A36">
        <w:rPr>
          <w:rFonts w:ascii="Arial" w:hAnsi="Arial"/>
          <w:b/>
          <w:bCs/>
        </w:rPr>
        <w:t xml:space="preserve"> </w:t>
      </w:r>
      <w:r w:rsidR="004079DF" w:rsidRPr="00A06A36">
        <w:rPr>
          <w:rFonts w:ascii="Arial" w:hAnsi="Arial" w:hint="cs"/>
          <w:b/>
          <w:bCs/>
          <w:rtl/>
        </w:rPr>
        <w:t xml:space="preserve">בסוג העבירות בהן עסקינן".  </w:t>
      </w:r>
    </w:p>
    <w:p w14:paraId="240C28EF" w14:textId="77777777" w:rsidR="004079DF" w:rsidRPr="00A06A36" w:rsidRDefault="004079DF" w:rsidP="004079DF">
      <w:pPr>
        <w:spacing w:after="200" w:line="360" w:lineRule="auto"/>
        <w:ind w:left="1080"/>
        <w:contextualSpacing/>
        <w:jc w:val="both"/>
        <w:rPr>
          <w:rFonts w:ascii="Arial" w:hAnsi="Arial"/>
          <w:b/>
          <w:bCs/>
        </w:rPr>
      </w:pPr>
    </w:p>
    <w:p w14:paraId="018B1D63" w14:textId="77777777" w:rsidR="004079DF" w:rsidRPr="00A06A36" w:rsidRDefault="002A3B6C" w:rsidP="004079DF">
      <w:pPr>
        <w:numPr>
          <w:ilvl w:val="0"/>
          <w:numId w:val="2"/>
        </w:numPr>
        <w:spacing w:after="200" w:line="360" w:lineRule="auto"/>
        <w:contextualSpacing/>
        <w:jc w:val="both"/>
        <w:rPr>
          <w:rFonts w:ascii="Arial" w:hAnsi="Arial"/>
        </w:rPr>
      </w:pPr>
      <w:hyperlink r:id="rId37" w:history="1">
        <w:r w:rsidRPr="002A3B6C">
          <w:rPr>
            <w:rFonts w:ascii="Arial" w:hAnsi="Arial"/>
            <w:color w:val="0000FF"/>
            <w:u w:val="single"/>
            <w:rtl/>
          </w:rPr>
          <w:t>ע"פ 6467/12</w:t>
        </w:r>
      </w:hyperlink>
      <w:r w:rsidR="004079DF" w:rsidRPr="00A06A36">
        <w:rPr>
          <w:rFonts w:ascii="Arial" w:hAnsi="Arial" w:hint="cs"/>
          <w:rtl/>
        </w:rPr>
        <w:t xml:space="preserve"> </w:t>
      </w:r>
      <w:r w:rsidR="004079DF" w:rsidRPr="00A06A36">
        <w:rPr>
          <w:rFonts w:ascii="Arial" w:hAnsi="Arial" w:hint="cs"/>
          <w:b/>
          <w:bCs/>
          <w:rtl/>
        </w:rPr>
        <w:t>ג'יהאד אטון נ' מדינת ישראל</w:t>
      </w:r>
      <w:r w:rsidR="004079DF" w:rsidRPr="00A06A36">
        <w:rPr>
          <w:rFonts w:ascii="Arial" w:hAnsi="Arial" w:hint="cs"/>
          <w:rtl/>
        </w:rPr>
        <w:t xml:space="preserve"> - </w:t>
      </w:r>
      <w:r w:rsidR="004079DF" w:rsidRPr="00A06A36">
        <w:rPr>
          <w:rFonts w:hint="cs"/>
          <w:rtl/>
        </w:rPr>
        <w:t xml:space="preserve">המערער הורשע ע"פ הודאתו בעבירות של מגע עם סוכן חוץ, חברות בארגון טרוריסטי, פעולה ברכוש למטרות טרור ומתן שירות לארגון טרוריסטי וכן הורשע לאחר ניהול הוכחות, בקשירת קשר לסייע לאויב במלחמה. בימ"ש קמא גזר על המערער ארבע וחצי שנות מאסר לריצוי בפועל ושנת מאסר על-תנאי. </w:t>
      </w:r>
      <w:r w:rsidR="004079DF" w:rsidRPr="00A06A36">
        <w:rPr>
          <w:rFonts w:ascii="Arial" w:hAnsi="Arial" w:hint="cs"/>
          <w:rtl/>
        </w:rPr>
        <w:t xml:space="preserve">המערער, אזרח ישראלי, הצטרף לארגון החמאס. </w:t>
      </w:r>
      <w:r w:rsidR="004079DF" w:rsidRPr="00A06A36">
        <w:rPr>
          <w:rFonts w:hint="cs"/>
          <w:rtl/>
        </w:rPr>
        <w:t xml:space="preserve">המערער שהה במטה הצלב האדום במשך חודש ימים "וסייע בארגון המחאה והשהות במקום". </w:t>
      </w:r>
    </w:p>
    <w:p w14:paraId="50F31A28" w14:textId="77777777" w:rsidR="004079DF" w:rsidRDefault="004079DF" w:rsidP="004079DF">
      <w:pPr>
        <w:spacing w:after="200" w:line="360" w:lineRule="auto"/>
        <w:ind w:left="1080"/>
        <w:contextualSpacing/>
        <w:jc w:val="both"/>
        <w:rPr>
          <w:rtl/>
        </w:rPr>
      </w:pPr>
      <w:r w:rsidRPr="00A06A36">
        <w:rPr>
          <w:rFonts w:ascii="Arial" w:hAnsi="Arial" w:hint="cs"/>
          <w:rtl/>
        </w:rPr>
        <w:t xml:space="preserve">המערער יצר קשר עם פעיל בארגון החמאס, העביר בהוראתו </w:t>
      </w:r>
      <w:r w:rsidRPr="00A06A36">
        <w:rPr>
          <w:rFonts w:hint="cs"/>
          <w:rtl/>
        </w:rPr>
        <w:t xml:space="preserve">כסף לפעילים בארגון והתעניין במצבם של אסירים הפעילים בארגון והאם קיבלו מענק מהארגון. המערער נענה להצעתו של פעיל בכיר בארגון החמאס לבצע פיגוע ירי רב נפגעים בירושלים; הוא קיבל כסף לצורך הוצאתה של התוכנית מהכוח אל הפועל; גייס את קרוב משפחתו, למשימה; והתכוון לרכוש כלי ירייה. הפעילות המתוכננת סוכלה על-ידי גורמי הביטחון עם מעצרו של המערער ושל בן משפחתו. בית המשפט העליון לא התערב בקביעת בית המשפט המחוזי ואף נכתב כי העונש נוטה לקולא. </w:t>
      </w:r>
    </w:p>
    <w:p w14:paraId="193F5D68" w14:textId="77777777" w:rsidR="004079DF" w:rsidRPr="004079DF" w:rsidRDefault="004079DF" w:rsidP="004079DF">
      <w:pPr>
        <w:spacing w:after="200" w:line="360" w:lineRule="auto"/>
        <w:ind w:left="1080"/>
        <w:contextualSpacing/>
        <w:jc w:val="both"/>
        <w:rPr>
          <w:rFonts w:ascii="Calibri" w:hAnsi="Calibri"/>
        </w:rPr>
      </w:pPr>
    </w:p>
    <w:p w14:paraId="2EEF1ACD" w14:textId="77777777" w:rsidR="004079DF" w:rsidRPr="00A06A36" w:rsidRDefault="002A3B6C" w:rsidP="004079DF">
      <w:pPr>
        <w:numPr>
          <w:ilvl w:val="0"/>
          <w:numId w:val="2"/>
        </w:numPr>
        <w:spacing w:after="200" w:line="360" w:lineRule="auto"/>
        <w:contextualSpacing/>
        <w:jc w:val="both"/>
        <w:rPr>
          <w:rtl/>
        </w:rPr>
      </w:pPr>
      <w:hyperlink r:id="rId38" w:history="1">
        <w:r w:rsidRPr="002A3B6C">
          <w:rPr>
            <w:color w:val="0000FF"/>
            <w:u w:val="single"/>
            <w:rtl/>
          </w:rPr>
          <w:t>תפח (י-ם) 26637-09-13</w:t>
        </w:r>
      </w:hyperlink>
      <w:r w:rsidR="004079DF" w:rsidRPr="00A06A36">
        <w:rPr>
          <w:rFonts w:hint="cs"/>
          <w:rtl/>
        </w:rPr>
        <w:t xml:space="preserve"> </w:t>
      </w:r>
      <w:r w:rsidR="004079DF" w:rsidRPr="00A06A36">
        <w:rPr>
          <w:rFonts w:hint="cs"/>
          <w:b/>
          <w:bCs/>
          <w:rtl/>
        </w:rPr>
        <w:t>מדינת ישראל נ' חמדי רומאנה</w:t>
      </w:r>
      <w:r w:rsidR="004079DF" w:rsidRPr="00A06A36">
        <w:rPr>
          <w:rFonts w:hint="cs"/>
          <w:rtl/>
        </w:rPr>
        <w:t>- הנאשם הורשע ע"פ הודאתו בעבירות של קשירת קשר לסיוע לאויב במלחמה וקשירת קשר לפשע – ייצור נשק, בשל כוונתו לבצע פיגוע רב- נפגעים. הנאשם</w:t>
      </w:r>
      <w:r w:rsidR="004079DF" w:rsidRPr="00A06A36">
        <w:rPr>
          <w:rFonts w:ascii="Arial" w:hAnsi="Arial" w:hint="cs"/>
          <w:rtl/>
        </w:rPr>
        <w:t xml:space="preserve"> החליט להכין מטען חבלה ולהניחו במקום הומה אדם בירושלים כדי לרצוח מספר רב של ישראלים</w:t>
      </w:r>
      <w:r w:rsidR="004079DF" w:rsidRPr="00A06A36">
        <w:rPr>
          <w:rFonts w:hint="cs"/>
          <w:rtl/>
        </w:rPr>
        <w:t xml:space="preserve">. </w:t>
      </w:r>
      <w:r w:rsidR="004079DF" w:rsidRPr="00A06A36">
        <w:rPr>
          <w:rFonts w:ascii="Arial" w:hAnsi="Arial" w:hint="cs"/>
          <w:rtl/>
        </w:rPr>
        <w:t>כדי לממש תוכנית זו, למד הנאשם כיצד להכין חומרי נפץ ומטעני חבלה באמצעות הדרכה שמצא באינטרנט ופעל לאיסוף חומרים כימיים שונים מהם ניתן להכין חומרי נפץ. הנאשם הפך חדר בביתו למעבדת ניסיונות לייצור מטעני חבלה. לשם איסוף החומרים יצר הנאשם קשר עם שלושה תושבי רמאללה אשר מסרו לידיו חומרים שונים שנועדו להכנת מטענים</w:t>
      </w:r>
      <w:r w:rsidR="004079DF" w:rsidRPr="00A06A36">
        <w:rPr>
          <w:rFonts w:hint="cs"/>
          <w:rtl/>
        </w:rPr>
        <w:t xml:space="preserve">. כמו כן, </w:t>
      </w:r>
      <w:r w:rsidR="004079DF" w:rsidRPr="00A06A36">
        <w:rPr>
          <w:rFonts w:ascii="Arial" w:hAnsi="Arial" w:hint="cs"/>
          <w:rtl/>
        </w:rPr>
        <w:t xml:space="preserve">פנה הנאשם אל אחד מהם וביקש שישיג עבורו אקדח. </w:t>
      </w:r>
    </w:p>
    <w:p w14:paraId="25E3F0E8" w14:textId="77777777" w:rsidR="004079DF" w:rsidRDefault="004079DF" w:rsidP="004079DF">
      <w:pPr>
        <w:spacing w:line="360" w:lineRule="auto"/>
        <w:ind w:left="1080"/>
        <w:contextualSpacing/>
        <w:jc w:val="both"/>
        <w:rPr>
          <w:rFonts w:ascii="Arial" w:hAnsi="Arial"/>
          <w:rtl/>
        </w:rPr>
      </w:pPr>
      <w:r w:rsidRPr="00A06A36">
        <w:rPr>
          <w:rFonts w:ascii="Arial" w:hAnsi="Arial" w:hint="cs"/>
          <w:rtl/>
        </w:rPr>
        <w:t xml:space="preserve">נקבע כי מתחם הענישה הינו בין 6 ל-10 שנות מאסר ונגזרו על הנאשם 8 שנות מאסר בפועל. </w:t>
      </w:r>
    </w:p>
    <w:p w14:paraId="349DC43B" w14:textId="77777777" w:rsidR="004079DF" w:rsidRPr="00A06A36" w:rsidRDefault="004079DF" w:rsidP="004079DF">
      <w:pPr>
        <w:spacing w:line="360" w:lineRule="auto"/>
        <w:ind w:left="1080"/>
        <w:contextualSpacing/>
        <w:jc w:val="both"/>
        <w:rPr>
          <w:rFonts w:ascii="Arial" w:hAnsi="Arial"/>
        </w:rPr>
      </w:pPr>
    </w:p>
    <w:p w14:paraId="237DDE02" w14:textId="77777777" w:rsidR="004079DF" w:rsidRPr="00A06A36" w:rsidRDefault="002A3B6C" w:rsidP="004079DF">
      <w:pPr>
        <w:numPr>
          <w:ilvl w:val="0"/>
          <w:numId w:val="2"/>
        </w:numPr>
        <w:spacing w:after="160" w:line="360" w:lineRule="auto"/>
        <w:contextualSpacing/>
        <w:jc w:val="both"/>
        <w:rPr>
          <w:rFonts w:ascii="Arial" w:hAnsi="Arial"/>
          <w:rtl/>
        </w:rPr>
      </w:pPr>
      <w:hyperlink r:id="rId39" w:history="1">
        <w:r w:rsidRPr="002A3B6C">
          <w:rPr>
            <w:rFonts w:ascii="Arial" w:hAnsi="Arial"/>
            <w:color w:val="0000FF"/>
            <w:u w:val="single"/>
            <w:rtl/>
          </w:rPr>
          <w:t>ע"פ 4053/08</w:t>
        </w:r>
      </w:hyperlink>
      <w:r w:rsidR="004079DF" w:rsidRPr="00A06A36">
        <w:rPr>
          <w:rFonts w:ascii="Arial" w:hAnsi="Arial" w:hint="cs"/>
          <w:rtl/>
        </w:rPr>
        <w:t xml:space="preserve"> </w:t>
      </w:r>
      <w:r w:rsidR="004079DF" w:rsidRPr="00A06A36">
        <w:rPr>
          <w:rFonts w:ascii="Arial" w:hAnsi="Arial" w:hint="cs"/>
          <w:b/>
          <w:bCs/>
          <w:rtl/>
        </w:rPr>
        <w:t xml:space="preserve">פלוני נ' מדינת ישראל </w:t>
      </w:r>
      <w:r w:rsidR="004079DF" w:rsidRPr="00A06A36">
        <w:rPr>
          <w:rFonts w:ascii="Arial" w:hAnsi="Arial" w:hint="cs"/>
          <w:rtl/>
        </w:rPr>
        <w:t xml:space="preserve">– המערער הורשע בעבירה של קשירת קשר לסייע לאויב במלחמה והוטל עליו עונש של 9 שנות מאסר בפועל. </w:t>
      </w:r>
    </w:p>
    <w:p w14:paraId="2EBAACA6" w14:textId="77777777" w:rsidR="004079DF" w:rsidRPr="00A06A36" w:rsidRDefault="004079DF" w:rsidP="004079DF">
      <w:pPr>
        <w:spacing w:line="360" w:lineRule="auto"/>
        <w:ind w:left="1080"/>
        <w:contextualSpacing/>
        <w:jc w:val="both"/>
        <w:rPr>
          <w:rFonts w:ascii="Arial" w:hAnsi="Arial"/>
        </w:rPr>
      </w:pPr>
      <w:r w:rsidRPr="00A06A36">
        <w:rPr>
          <w:rFonts w:ascii="Arial" w:hAnsi="Arial" w:hint="cs"/>
          <w:rtl/>
        </w:rPr>
        <w:t xml:space="preserve">המערער אזרח ישראלי, הסכים לסייע לאדם אחר לבצע פיגוע בכך שיסיע אותו עם מטעני החבלה ממחסום דיר שרף אל טייבה, בתמורה המערער היה צריך לקבל מטען חבלה אחד, בסופו של יום המערער לא עשה דבר במסגרת הקשר והתכנית לא יצאה אל הפועל.   </w:t>
      </w:r>
    </w:p>
    <w:p w14:paraId="4A7E1F71" w14:textId="77777777" w:rsidR="004079DF" w:rsidRPr="00A06A36" w:rsidRDefault="004079DF" w:rsidP="004079DF">
      <w:pPr>
        <w:spacing w:line="360" w:lineRule="auto"/>
        <w:ind w:left="1080"/>
        <w:contextualSpacing/>
        <w:jc w:val="both"/>
        <w:rPr>
          <w:rFonts w:ascii="Arial" w:hAnsi="Arial"/>
        </w:rPr>
      </w:pPr>
      <w:r w:rsidRPr="00A06A36">
        <w:rPr>
          <w:rFonts w:ascii="Arial" w:hAnsi="Arial" w:hint="cs"/>
          <w:rtl/>
        </w:rPr>
        <w:t xml:space="preserve">בית המשפט העליון לא התערב לעניין העונש. </w:t>
      </w:r>
    </w:p>
    <w:p w14:paraId="6389024C" w14:textId="77777777" w:rsidR="004079DF" w:rsidRDefault="004079DF" w:rsidP="004079DF">
      <w:pPr>
        <w:spacing w:line="360" w:lineRule="auto"/>
        <w:ind w:left="1080"/>
        <w:contextualSpacing/>
        <w:jc w:val="both"/>
        <w:rPr>
          <w:rFonts w:ascii="Arial" w:hAnsi="Arial"/>
          <w:rtl/>
        </w:rPr>
      </w:pPr>
    </w:p>
    <w:p w14:paraId="1A2A0C0E" w14:textId="77777777" w:rsidR="004079DF" w:rsidRPr="00A06A36" w:rsidRDefault="004079DF" w:rsidP="004079DF">
      <w:pPr>
        <w:spacing w:line="360" w:lineRule="auto"/>
        <w:ind w:left="1080"/>
        <w:contextualSpacing/>
        <w:jc w:val="both"/>
        <w:rPr>
          <w:rFonts w:ascii="Arial" w:hAnsi="Arial"/>
          <w:rtl/>
        </w:rPr>
      </w:pPr>
    </w:p>
    <w:p w14:paraId="5A1D44E2" w14:textId="77777777" w:rsidR="004079DF" w:rsidRPr="00A06A36" w:rsidRDefault="004079DF" w:rsidP="004079DF">
      <w:pPr>
        <w:spacing w:line="360" w:lineRule="auto"/>
        <w:ind w:left="1080"/>
        <w:contextualSpacing/>
        <w:jc w:val="both"/>
        <w:rPr>
          <w:rFonts w:ascii="Arial" w:hAnsi="Arial"/>
          <w:u w:val="single"/>
          <w:rtl/>
        </w:rPr>
      </w:pPr>
      <w:r w:rsidRPr="00A06A36">
        <w:rPr>
          <w:rFonts w:ascii="Arial" w:hAnsi="Arial" w:hint="cs"/>
          <w:u w:val="single"/>
          <w:rtl/>
        </w:rPr>
        <w:t>לעניין עבירות הנשק:</w:t>
      </w:r>
    </w:p>
    <w:p w14:paraId="2FE87D1A" w14:textId="77777777" w:rsidR="004079DF" w:rsidRPr="00A06A36" w:rsidRDefault="002A3B6C" w:rsidP="004079DF">
      <w:pPr>
        <w:numPr>
          <w:ilvl w:val="0"/>
          <w:numId w:val="2"/>
        </w:numPr>
        <w:spacing w:after="160" w:line="360" w:lineRule="auto"/>
        <w:contextualSpacing/>
        <w:jc w:val="both"/>
        <w:rPr>
          <w:rFonts w:ascii="Arial" w:hAnsi="Arial"/>
          <w:rtl/>
        </w:rPr>
      </w:pPr>
      <w:hyperlink r:id="rId40" w:history="1">
        <w:r w:rsidRPr="002A3B6C">
          <w:rPr>
            <w:rFonts w:ascii="Arial" w:hAnsi="Arial"/>
            <w:color w:val="0000FF"/>
            <w:u w:val="single"/>
            <w:rtl/>
          </w:rPr>
          <w:t>עפ 9702/16</w:t>
        </w:r>
      </w:hyperlink>
      <w:r w:rsidR="004079DF" w:rsidRPr="00A06A36">
        <w:rPr>
          <w:rFonts w:ascii="Arial" w:hAnsi="Arial" w:hint="cs"/>
          <w:rtl/>
        </w:rPr>
        <w:t xml:space="preserve"> </w:t>
      </w:r>
      <w:r w:rsidR="004079DF" w:rsidRPr="00A06A36">
        <w:rPr>
          <w:rFonts w:ascii="Arial" w:hAnsi="Arial" w:hint="cs"/>
          <w:b/>
          <w:bCs/>
          <w:rtl/>
        </w:rPr>
        <w:t>סאמי אבו אלוליאיה נ' מדינת ישראל</w:t>
      </w:r>
      <w:r w:rsidR="004079DF" w:rsidRPr="00A06A36">
        <w:rPr>
          <w:rFonts w:ascii="Arial" w:hAnsi="Arial" w:hint="cs"/>
          <w:rtl/>
        </w:rPr>
        <w:t xml:space="preserve"> - המערער הורשע על פי הודאתו בעבירה של נשיאת והובלת נשק ללא רשות וכן בעבירה של נשיאת והובלת תחמושת בלא רשות.</w:t>
      </w:r>
    </w:p>
    <w:p w14:paraId="0514109C" w14:textId="77777777" w:rsidR="004079DF" w:rsidRPr="00A06A36" w:rsidRDefault="004079DF" w:rsidP="004079DF">
      <w:pPr>
        <w:spacing w:line="360" w:lineRule="auto"/>
        <w:ind w:left="1080"/>
        <w:contextualSpacing/>
        <w:jc w:val="both"/>
        <w:rPr>
          <w:rFonts w:ascii="Arial" w:hAnsi="Arial"/>
        </w:rPr>
      </w:pPr>
      <w:r w:rsidRPr="00A06A36">
        <w:rPr>
          <w:rFonts w:ascii="Arial" w:hAnsi="Arial" w:hint="cs"/>
          <w:rtl/>
        </w:rPr>
        <w:t xml:space="preserve">המערער נהג ברכבו </w:t>
      </w:r>
      <w:r w:rsidRPr="00A06A36">
        <w:rPr>
          <w:rFonts w:hint="cs"/>
          <w:spacing w:val="10"/>
          <w:rtl/>
        </w:rPr>
        <w:t xml:space="preserve">מראמללה לביתו שבקלנדיה והבחין בנוסע ברכב אחר משליך תיק לעבר צד הדרך, זמן מסוים לאחר מכן שב המערער למקום וחיפש אחר התיק. המערער גילה בתוכו תת מקלע מאולתר, קת מתכתית המתאימה לרובה סער </w:t>
      </w:r>
      <w:r w:rsidRPr="00A06A36">
        <w:rPr>
          <w:rFonts w:ascii="Arial TUR" w:hAnsi="Arial TUR"/>
          <w:spacing w:val="10"/>
        </w:rPr>
        <w:t>M-16</w:t>
      </w:r>
      <w:r w:rsidRPr="00A06A36">
        <w:rPr>
          <w:rFonts w:hint="cs"/>
          <w:spacing w:val="10"/>
          <w:rtl/>
        </w:rPr>
        <w:t>, שתי מחסניות ריקות וקופסה של 50 כדורי 9 מ"מ. המערער נשא עימו את התיק ובו הנשק והתחמושת לחנות שברשותו, שנמצאת בסמוך לביתו בקלנדיה, והחביא הכל בארון שבחנות.</w:t>
      </w:r>
    </w:p>
    <w:p w14:paraId="6DCDF30E" w14:textId="77777777" w:rsidR="004079DF" w:rsidRPr="00A06A36" w:rsidRDefault="004079DF" w:rsidP="004079DF">
      <w:pPr>
        <w:spacing w:line="360" w:lineRule="auto"/>
        <w:ind w:left="1080"/>
        <w:contextualSpacing/>
        <w:jc w:val="both"/>
        <w:rPr>
          <w:rFonts w:ascii="Arial" w:hAnsi="Arial"/>
          <w:rtl/>
        </w:rPr>
      </w:pPr>
      <w:r w:rsidRPr="00A06A36">
        <w:rPr>
          <w:rFonts w:ascii="Arial" w:hAnsi="Arial" w:hint="cs"/>
          <w:rtl/>
        </w:rPr>
        <w:t xml:space="preserve">בית המשפט המחוזי גזר על המערער עונש של 18 חודשי מאסר בפועל. </w:t>
      </w:r>
    </w:p>
    <w:p w14:paraId="10F25DBE" w14:textId="77777777" w:rsidR="004079DF" w:rsidRDefault="004079DF" w:rsidP="004079DF">
      <w:pPr>
        <w:ind w:left="1055"/>
        <w:contextualSpacing/>
        <w:jc w:val="both"/>
        <w:rPr>
          <w:rFonts w:ascii="Arial" w:hAnsi="Arial"/>
          <w:rtl/>
        </w:rPr>
      </w:pPr>
      <w:r w:rsidRPr="00A06A36">
        <w:rPr>
          <w:rFonts w:ascii="Arial" w:hAnsi="Arial" w:hint="cs"/>
          <w:rtl/>
        </w:rPr>
        <w:t xml:space="preserve">ברוב דעות, בית המשפט לא התערב לעניין העונש. </w:t>
      </w:r>
    </w:p>
    <w:p w14:paraId="3D030D07" w14:textId="77777777" w:rsidR="004079DF" w:rsidRPr="00354D62" w:rsidRDefault="004079DF" w:rsidP="004079DF">
      <w:pPr>
        <w:ind w:left="1055"/>
        <w:contextualSpacing/>
        <w:jc w:val="both"/>
        <w:rPr>
          <w:rFonts w:ascii="Arial" w:hAnsi="Arial"/>
          <w:sz w:val="28"/>
          <w:szCs w:val="28"/>
          <w:rtl/>
        </w:rPr>
      </w:pPr>
    </w:p>
    <w:p w14:paraId="39179890" w14:textId="77777777" w:rsidR="004079DF" w:rsidRPr="00E6325D" w:rsidRDefault="002A3B6C" w:rsidP="004079DF">
      <w:pPr>
        <w:numPr>
          <w:ilvl w:val="0"/>
          <w:numId w:val="2"/>
        </w:numPr>
        <w:spacing w:after="160" w:line="360" w:lineRule="auto"/>
        <w:contextualSpacing/>
        <w:jc w:val="both"/>
        <w:rPr>
          <w:rFonts w:ascii="Arial" w:hAnsi="Arial"/>
        </w:rPr>
      </w:pPr>
      <w:hyperlink r:id="rId41" w:history="1">
        <w:r w:rsidRPr="002A3B6C">
          <w:rPr>
            <w:color w:val="0000FF"/>
            <w:spacing w:val="10"/>
            <w:u w:val="single"/>
            <w:rtl/>
          </w:rPr>
          <w:t>ע"פ 8133/15</w:t>
        </w:r>
      </w:hyperlink>
      <w:r w:rsidR="004079DF" w:rsidRPr="00A06A36">
        <w:rPr>
          <w:rFonts w:hint="cs"/>
          <w:spacing w:val="10"/>
          <w:rtl/>
        </w:rPr>
        <w:t xml:space="preserve"> </w:t>
      </w:r>
      <w:r w:rsidR="004079DF" w:rsidRPr="00A06A36">
        <w:rPr>
          <w:rFonts w:hint="cs"/>
          <w:b/>
          <w:bCs/>
          <w:rtl/>
        </w:rPr>
        <w:t>יונס נ' מדינת ישראל</w:t>
      </w:r>
      <w:r w:rsidR="004079DF" w:rsidRPr="00A06A36">
        <w:rPr>
          <w:rFonts w:hint="cs"/>
          <w:spacing w:val="10"/>
          <w:rtl/>
        </w:rPr>
        <w:t xml:space="preserve"> </w:t>
      </w:r>
      <w:r w:rsidR="004079DF" w:rsidRPr="00A06A36">
        <w:rPr>
          <w:rFonts w:hint="cs"/>
          <w:rtl/>
        </w:rPr>
        <w:t xml:space="preserve">[פורסם בנבו] </w:t>
      </w:r>
      <w:r w:rsidR="004079DF" w:rsidRPr="00A06A36">
        <w:rPr>
          <w:rFonts w:hint="cs"/>
          <w:spacing w:val="10"/>
          <w:rtl/>
        </w:rPr>
        <w:t>(5.4.2017) – המערער הורשע בהחזקה ונשיאת נשק שלא כדין, הפרעה לשוטר בעת מילוי תפקידו, ועבירות נהיגה ללא רישיון וללא פוליסת ביטוח. על פי כתב האישום שהוגש נגדו, המערער נהג ברכב ללא רישיון כשלצידו נאשם נוסף. לאחר שהבחין ברכב משטרה האיץ המערער את נסיעתו, פגע ברכב המשטרתי, ולאחר מכן עצר את רכבו וברח מהמקום. גם הנאשם הנוסף ניסה לברוח מהרכב, כשהוא אוחז בתיק שבו נמצאו שני תתי מקלע מאולתרים, שלוש מחסניות וקופסת תחמושת. בית המשפט המחוזי העמיד את מתחם העונש ההולם על 12 עד 36 חודשי מאסר בפועל, והשית על המערער עונש של 14 חודשי מאסר. ערעורו של המערער על קולת העונש נדחה ובית המשפט העליון ציין, כי העונש שהושת עליו נוטה לקולא.</w:t>
      </w:r>
    </w:p>
    <w:p w14:paraId="5944B00A" w14:textId="77777777" w:rsidR="004079DF" w:rsidRPr="00A06A36" w:rsidRDefault="004079DF" w:rsidP="004079DF">
      <w:pPr>
        <w:spacing w:after="160" w:line="360" w:lineRule="auto"/>
        <w:ind w:left="1080"/>
        <w:contextualSpacing/>
        <w:jc w:val="both"/>
        <w:rPr>
          <w:rFonts w:ascii="Arial" w:hAnsi="Arial"/>
          <w:rtl/>
        </w:rPr>
      </w:pPr>
    </w:p>
    <w:p w14:paraId="3B2266C5" w14:textId="77777777" w:rsidR="004079DF" w:rsidRPr="00A06A36" w:rsidRDefault="002A3B6C" w:rsidP="004079DF">
      <w:pPr>
        <w:numPr>
          <w:ilvl w:val="0"/>
          <w:numId w:val="2"/>
        </w:numPr>
        <w:spacing w:after="160" w:line="360" w:lineRule="auto"/>
        <w:contextualSpacing/>
        <w:jc w:val="both"/>
        <w:rPr>
          <w:rFonts w:ascii="Arial" w:hAnsi="Arial"/>
        </w:rPr>
      </w:pPr>
      <w:hyperlink r:id="rId42" w:history="1">
        <w:r w:rsidRPr="002A3B6C">
          <w:rPr>
            <w:rFonts w:ascii="Arial" w:hAnsi="Arial"/>
            <w:color w:val="0000FF"/>
            <w:u w:val="single"/>
            <w:rtl/>
          </w:rPr>
          <w:t>עפ 5646/15</w:t>
        </w:r>
      </w:hyperlink>
      <w:r w:rsidR="004079DF" w:rsidRPr="00A06A36">
        <w:rPr>
          <w:rFonts w:ascii="Arial" w:hAnsi="Arial" w:hint="cs"/>
          <w:rtl/>
        </w:rPr>
        <w:t xml:space="preserve"> </w:t>
      </w:r>
      <w:r w:rsidR="004079DF" w:rsidRPr="00A06A36">
        <w:rPr>
          <w:rFonts w:ascii="Arial" w:hAnsi="Arial" w:hint="cs"/>
          <w:b/>
          <w:bCs/>
          <w:rtl/>
        </w:rPr>
        <w:t>סאמח תיהאווי נ' מדינת ישראל</w:t>
      </w:r>
      <w:r w:rsidR="004079DF" w:rsidRPr="00A06A36">
        <w:rPr>
          <w:rFonts w:ascii="Arial" w:hAnsi="Arial"/>
          <w:b/>
          <w:bCs/>
        </w:rPr>
        <w:t xml:space="preserve"> </w:t>
      </w:r>
      <w:r w:rsidR="004079DF" w:rsidRPr="00A06A36">
        <w:rPr>
          <w:rFonts w:ascii="Arial" w:hAnsi="Arial"/>
        </w:rPr>
        <w:t xml:space="preserve"> </w:t>
      </w:r>
      <w:r w:rsidR="004079DF" w:rsidRPr="00A06A36">
        <w:rPr>
          <w:rFonts w:ascii="Arial" w:hAnsi="Arial" w:hint="cs"/>
          <w:rtl/>
        </w:rPr>
        <w:t xml:space="preserve"> - המערער וויסאם הורשעו בעבירה של החזקת נשק בצוותא חדא לפי </w:t>
      </w:r>
      <w:hyperlink r:id="rId43" w:history="1">
        <w:r w:rsidR="00574D2E" w:rsidRPr="00574D2E">
          <w:rPr>
            <w:rFonts w:ascii="Arial" w:hAnsi="Arial"/>
            <w:color w:val="0000FF"/>
            <w:u w:val="single"/>
            <w:rtl/>
          </w:rPr>
          <w:t>סעיף 144(א)</w:t>
        </w:r>
      </w:hyperlink>
      <w:r w:rsidR="004079DF" w:rsidRPr="00A06A36">
        <w:rPr>
          <w:rFonts w:ascii="Arial" w:hAnsi="Arial" w:hint="cs"/>
          <w:rtl/>
        </w:rPr>
        <w:t xml:space="preserve"> (רישא וסיפא) </w:t>
      </w:r>
      <w:hyperlink r:id="rId44" w:history="1">
        <w:r w:rsidR="00574D2E" w:rsidRPr="00574D2E">
          <w:rPr>
            <w:rFonts w:ascii="Arial" w:hAnsi="Arial"/>
            <w:color w:val="0000FF"/>
            <w:u w:val="single"/>
            <w:rtl/>
          </w:rPr>
          <w:t>וסעיף 29</w:t>
        </w:r>
      </w:hyperlink>
      <w:r w:rsidR="004079DF" w:rsidRPr="00A06A36">
        <w:rPr>
          <w:rFonts w:ascii="Arial" w:hAnsi="Arial" w:hint="cs"/>
          <w:rtl/>
        </w:rPr>
        <w:t xml:space="preserve"> ל</w:t>
      </w:r>
      <w:hyperlink r:id="rId45" w:history="1">
        <w:r w:rsidRPr="002A3B6C">
          <w:rPr>
            <w:rFonts w:ascii="Arial" w:hAnsi="Arial"/>
            <w:color w:val="0000FF"/>
            <w:u w:val="single"/>
            <w:rtl/>
          </w:rPr>
          <w:t>חוק העונשין</w:t>
        </w:r>
      </w:hyperlink>
      <w:r w:rsidR="004079DF" w:rsidRPr="00A06A36">
        <w:rPr>
          <w:rFonts w:ascii="Arial" w:hAnsi="Arial" w:hint="cs"/>
          <w:rtl/>
        </w:rPr>
        <w:t>.</w:t>
      </w:r>
    </w:p>
    <w:p w14:paraId="31CD6610" w14:textId="77777777" w:rsidR="004079DF" w:rsidRPr="00A06A36" w:rsidRDefault="004079DF" w:rsidP="004079DF">
      <w:pPr>
        <w:spacing w:line="360" w:lineRule="auto"/>
        <w:ind w:left="1080"/>
        <w:contextualSpacing/>
        <w:jc w:val="both"/>
        <w:rPr>
          <w:rFonts w:ascii="Arial" w:hAnsi="Arial"/>
        </w:rPr>
      </w:pPr>
      <w:r w:rsidRPr="00A06A36">
        <w:rPr>
          <w:rFonts w:ascii="Arial" w:hAnsi="Arial" w:hint="cs"/>
          <w:rtl/>
        </w:rPr>
        <w:t xml:space="preserve">המערער וויסאם החזיקו ברכב בו שהו אקדח </w:t>
      </w:r>
      <w:r w:rsidRPr="00A06A36">
        <w:rPr>
          <w:rFonts w:hint="cs"/>
          <w:rtl/>
        </w:rPr>
        <w:t xml:space="preserve">מסוג </w:t>
      </w:r>
      <w:r w:rsidRPr="00A06A36">
        <w:rPr>
          <w:rFonts w:ascii="Cambria" w:hAnsi="Cambria"/>
        </w:rPr>
        <w:t>S&amp;W</w:t>
      </w:r>
      <w:r w:rsidRPr="00A06A36">
        <w:rPr>
          <w:rFonts w:hint="cs"/>
          <w:rtl/>
        </w:rPr>
        <w:t>, טעון במחסנית ובה 5 כדורים, שהוטמנו תחת שטיח שהיה מונח לרגליו של ויסאם</w:t>
      </w:r>
      <w:r w:rsidRPr="00A06A36">
        <w:rPr>
          <w:rFonts w:ascii="Arial" w:hAnsi="Arial" w:hint="cs"/>
          <w:rtl/>
        </w:rPr>
        <w:t>. מתחם העונש שנקבע הוא 9-36 חודשי מאסר ונגזרו על המערער 15 חודשי מאסר בפועל.</w:t>
      </w:r>
    </w:p>
    <w:p w14:paraId="2FD14D21" w14:textId="77777777" w:rsidR="004079DF" w:rsidRPr="00A06A36" w:rsidRDefault="004079DF" w:rsidP="004079DF">
      <w:pPr>
        <w:spacing w:line="360" w:lineRule="auto"/>
        <w:ind w:left="1080"/>
        <w:contextualSpacing/>
        <w:jc w:val="both"/>
        <w:rPr>
          <w:rFonts w:ascii="Arial" w:hAnsi="Arial"/>
          <w:rtl/>
        </w:rPr>
      </w:pPr>
      <w:r w:rsidRPr="00A06A36">
        <w:rPr>
          <w:rFonts w:ascii="Arial" w:hAnsi="Arial" w:hint="cs"/>
          <w:rtl/>
        </w:rPr>
        <w:t xml:space="preserve">ערעורו על חומרת העונש נדחה ובית המשפט העליון הדגיש: </w:t>
      </w:r>
    </w:p>
    <w:p w14:paraId="0B88B240" w14:textId="77777777" w:rsidR="004079DF" w:rsidRPr="00354D62" w:rsidRDefault="004079DF" w:rsidP="004079DF">
      <w:pPr>
        <w:ind w:left="1080"/>
        <w:contextualSpacing/>
        <w:jc w:val="both"/>
        <w:rPr>
          <w:rFonts w:ascii="Arial" w:hAnsi="Arial"/>
          <w:b/>
          <w:bCs/>
          <w:sz w:val="22"/>
          <w:szCs w:val="22"/>
          <w:rtl/>
        </w:rPr>
      </w:pPr>
      <w:r w:rsidRPr="00354D62">
        <w:rPr>
          <w:rFonts w:ascii="Arial" w:hAnsi="Arial" w:hint="cs"/>
          <w:b/>
          <w:bCs/>
          <w:sz w:val="22"/>
          <w:szCs w:val="22"/>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46" w:history="1">
        <w:r w:rsidR="002A3B6C" w:rsidRPr="002A3B6C">
          <w:rPr>
            <w:rFonts w:ascii="Arial" w:hAnsi="Arial"/>
            <w:b/>
            <w:bCs/>
            <w:color w:val="0000FF"/>
            <w:sz w:val="22"/>
            <w:szCs w:val="22"/>
            <w:u w:val="single"/>
            <w:rtl/>
          </w:rPr>
          <w:t>ע"פ 3300/06</w:t>
        </w:r>
      </w:hyperlink>
      <w:r w:rsidRPr="00354D62">
        <w:rPr>
          <w:rFonts w:ascii="Arial" w:hAnsi="Arial" w:hint="cs"/>
          <w:b/>
          <w:bCs/>
          <w:sz w:val="22"/>
          <w:szCs w:val="22"/>
          <w:rtl/>
        </w:rPr>
        <w:t xml:space="preserve"> אבו סנינה נ' מדינת ישראל (15.08.2006)).</w:t>
      </w:r>
    </w:p>
    <w:p w14:paraId="162AEAC3" w14:textId="77777777" w:rsidR="004079DF" w:rsidRPr="00A06A36" w:rsidRDefault="004079DF" w:rsidP="004079DF">
      <w:pPr>
        <w:spacing w:line="360" w:lineRule="auto"/>
        <w:ind w:left="1080"/>
        <w:contextualSpacing/>
        <w:jc w:val="both"/>
        <w:rPr>
          <w:rFonts w:ascii="Arial" w:hAnsi="Arial"/>
          <w:rtl/>
        </w:rPr>
      </w:pPr>
    </w:p>
    <w:p w14:paraId="077D0672" w14:textId="77777777" w:rsidR="004079DF" w:rsidRPr="00A06A36" w:rsidRDefault="002A3B6C" w:rsidP="004079DF">
      <w:pPr>
        <w:numPr>
          <w:ilvl w:val="0"/>
          <w:numId w:val="2"/>
        </w:numPr>
        <w:spacing w:after="160" w:line="360" w:lineRule="auto"/>
        <w:contextualSpacing/>
        <w:jc w:val="both"/>
        <w:rPr>
          <w:rFonts w:ascii="Arial" w:hAnsi="Arial"/>
          <w:rtl/>
        </w:rPr>
      </w:pPr>
      <w:hyperlink r:id="rId47" w:history="1">
        <w:r w:rsidRPr="002A3B6C">
          <w:rPr>
            <w:rFonts w:ascii="Arial" w:hAnsi="Arial"/>
            <w:color w:val="0000FF"/>
            <w:u w:val="single"/>
            <w:rtl/>
          </w:rPr>
          <w:t>ע"פ 2892/13</w:t>
        </w:r>
      </w:hyperlink>
      <w:r w:rsidR="004079DF" w:rsidRPr="00A06A36">
        <w:rPr>
          <w:rFonts w:ascii="Arial" w:hAnsi="Arial" w:hint="cs"/>
          <w:rtl/>
        </w:rPr>
        <w:t xml:space="preserve"> </w:t>
      </w:r>
      <w:r w:rsidR="004079DF" w:rsidRPr="00A06A36">
        <w:rPr>
          <w:rFonts w:ascii="Arial" w:hAnsi="Arial" w:hint="cs"/>
          <w:b/>
          <w:bCs/>
          <w:rtl/>
        </w:rPr>
        <w:t>אודתאללה נ' מדינת ישראל</w:t>
      </w:r>
      <w:r w:rsidR="004079DF" w:rsidRPr="00A06A36">
        <w:rPr>
          <w:rFonts w:ascii="Arial" w:hAnsi="Arial" w:hint="cs"/>
          <w:rtl/>
        </w:rPr>
        <w:t xml:space="preserve"> (29.09.2013) - </w:t>
      </w:r>
      <w:r w:rsidR="004079DF" w:rsidRPr="00A06A36">
        <w:rPr>
          <w:rFonts w:hint="cs"/>
          <w:rtl/>
        </w:rPr>
        <w:t>המערער הורשע בעבירות של נשיאה והובלה של נשק שלא כדין והסתייעות ברכב לביצוע פשע, ונדון לעונש של 21 חודשי מאסר בפועל.</w:t>
      </w:r>
    </w:p>
    <w:p w14:paraId="626D0174" w14:textId="77777777" w:rsidR="004079DF" w:rsidRPr="00A06A36" w:rsidRDefault="004079DF" w:rsidP="004079DF">
      <w:pPr>
        <w:spacing w:line="360" w:lineRule="auto"/>
        <w:ind w:left="1080"/>
        <w:contextualSpacing/>
        <w:jc w:val="both"/>
        <w:rPr>
          <w:rFonts w:ascii="Arial" w:hAnsi="Arial"/>
        </w:rPr>
      </w:pPr>
      <w:r w:rsidRPr="00A06A36">
        <w:rPr>
          <w:rFonts w:ascii="Arial" w:hAnsi="Arial" w:hint="cs"/>
          <w:rtl/>
        </w:rPr>
        <w:t xml:space="preserve">המערער נהג ברכב כשהוא מוביל אקדח ובו מחסנית ריקה מכדורים מוסתר תחת השטיחון שמתחת לכיסא הנהג ברכב.  </w:t>
      </w:r>
      <w:r w:rsidRPr="00A06A36">
        <w:rPr>
          <w:rFonts w:hint="cs"/>
          <w:rtl/>
        </w:rPr>
        <w:t>יחד עם המערער ברכב היה אדם נוסף. משהבחין המערער בחסימה משטרתית, סטה מנתיבו לדרך ללא מוצא ועצר את הרכב. השוטרים הגיעו לרכבו של המערער ומצאו את האקדח</w:t>
      </w:r>
      <w:r w:rsidRPr="00A06A36">
        <w:rPr>
          <w:rFonts w:ascii="Arial" w:hAnsi="Arial" w:hint="cs"/>
          <w:rtl/>
        </w:rPr>
        <w:t>.</w:t>
      </w:r>
    </w:p>
    <w:p w14:paraId="0ADDA845" w14:textId="77777777" w:rsidR="004079DF" w:rsidRDefault="004079DF" w:rsidP="004079DF">
      <w:pPr>
        <w:spacing w:line="360" w:lineRule="auto"/>
        <w:ind w:left="1080"/>
        <w:contextualSpacing/>
        <w:jc w:val="both"/>
        <w:rPr>
          <w:rFonts w:ascii="Arial" w:hAnsi="Arial"/>
          <w:rtl/>
        </w:rPr>
      </w:pPr>
      <w:r w:rsidRPr="00A06A36">
        <w:rPr>
          <w:rFonts w:ascii="Arial" w:hAnsi="Arial" w:hint="cs"/>
          <w:rtl/>
        </w:rPr>
        <w:t xml:space="preserve">בית המשפט העליון דחה את הערעור לעניין העונש. </w:t>
      </w:r>
    </w:p>
    <w:p w14:paraId="748D0C78" w14:textId="77777777" w:rsidR="004079DF" w:rsidRPr="00A06A36" w:rsidRDefault="004079DF" w:rsidP="004079DF">
      <w:pPr>
        <w:spacing w:line="360" w:lineRule="auto"/>
        <w:ind w:left="1080"/>
        <w:contextualSpacing/>
        <w:jc w:val="both"/>
        <w:rPr>
          <w:rFonts w:ascii="Arial" w:hAnsi="Arial"/>
          <w:rtl/>
        </w:rPr>
      </w:pPr>
    </w:p>
    <w:p w14:paraId="62245AA4" w14:textId="77777777" w:rsidR="004079DF" w:rsidRPr="00354D62" w:rsidRDefault="004079DF" w:rsidP="004079DF">
      <w:pPr>
        <w:pStyle w:val="ListParagraph"/>
        <w:numPr>
          <w:ilvl w:val="0"/>
          <w:numId w:val="2"/>
        </w:numPr>
        <w:spacing w:line="360" w:lineRule="auto"/>
        <w:jc w:val="both"/>
        <w:rPr>
          <w:rFonts w:ascii="Arial" w:hAnsi="Arial" w:cs="David"/>
        </w:rPr>
      </w:pPr>
      <w:r w:rsidRPr="00A06A36">
        <w:rPr>
          <w:rFonts w:ascii="David" w:hAnsi="David" w:cs="David" w:hint="cs"/>
          <w:sz w:val="24"/>
          <w:szCs w:val="24"/>
          <w:rtl/>
        </w:rPr>
        <w:t>ב</w:t>
      </w:r>
      <w:hyperlink r:id="rId48" w:history="1">
        <w:r w:rsidR="002A3B6C" w:rsidRPr="002A3B6C">
          <w:rPr>
            <w:rFonts w:ascii="David" w:hAnsi="David" w:cs="David"/>
            <w:color w:val="0000FF"/>
            <w:sz w:val="24"/>
            <w:szCs w:val="24"/>
            <w:u w:val="single"/>
            <w:rtl/>
          </w:rPr>
          <w:t>רע"פ 4559/16</w:t>
        </w:r>
      </w:hyperlink>
      <w:r w:rsidRPr="00A06A36">
        <w:rPr>
          <w:rFonts w:ascii="David" w:hAnsi="David" w:cs="David" w:hint="cs"/>
          <w:sz w:val="24"/>
          <w:szCs w:val="24"/>
          <w:rtl/>
        </w:rPr>
        <w:t xml:space="preserve"> </w:t>
      </w:r>
      <w:r w:rsidRPr="00A06A36">
        <w:rPr>
          <w:rFonts w:ascii="David" w:hAnsi="David" w:cs="David" w:hint="cs"/>
          <w:b/>
          <w:bCs/>
          <w:sz w:val="24"/>
          <w:szCs w:val="24"/>
          <w:rtl/>
        </w:rPr>
        <w:t>מועתאז נוסיראת נ' מדינת ישראל</w:t>
      </w:r>
      <w:r w:rsidRPr="00A06A36">
        <w:rPr>
          <w:rFonts w:ascii="David" w:hAnsi="David" w:cs="David" w:hint="cs"/>
          <w:sz w:val="24"/>
          <w:szCs w:val="24"/>
          <w:rtl/>
        </w:rPr>
        <w:t xml:space="preserve"> (22.6.16) רשות ערעור של מבקש אשר הורשע בהחזקת נשק ותחמושת. בית-משפט השלום קבע בעניינו של אותו מבקש מתחם עונש הנע בין 9 לבין 24 חודשי מאסר בפועל, ונוכח התסקיר החיובי שהוגש ונסיבותיו האישיות של אותו מבקש מצא לחרוג לקולא מהמתחם שקבע וגזר על אותו מבקש שישה חודשי מאסר בפועל לריצוי בדרך של עבודות שירות, לצד קנס ומאסר על תנאי. בית-המשפט המחוזי מרכז-לוד, ב</w:t>
      </w:r>
      <w:hyperlink r:id="rId49" w:history="1">
        <w:r w:rsidR="002A3B6C" w:rsidRPr="002A3B6C">
          <w:rPr>
            <w:rFonts w:ascii="David" w:hAnsi="David" w:cs="David"/>
            <w:color w:val="0000FF"/>
            <w:sz w:val="24"/>
            <w:szCs w:val="24"/>
            <w:u w:val="single"/>
            <w:rtl/>
          </w:rPr>
          <w:t>עפ"ג 27108-01-16</w:t>
        </w:r>
      </w:hyperlink>
      <w:r w:rsidRPr="00A06A36">
        <w:rPr>
          <w:rFonts w:ascii="David" w:hAnsi="David" w:cs="David" w:hint="cs"/>
          <w:sz w:val="24"/>
          <w:szCs w:val="24"/>
          <w:rtl/>
        </w:rPr>
        <w:t xml:space="preserve"> קיבל את ערעור המדינה בעניינו של אותו מבקש, הדגיש כי מדיניות הענישה הנוהגת היא הטלת מאסר בפועל גם על מי שזו עבירתו הראשונה וגם עת מדובר בנאשם נורמטיבי ללא עבר פלילי, והעמיד את העונש על תשעה חודשי מאסר בפועל. בית-המשפט העליון ציין כי: </w:t>
      </w:r>
      <w:r w:rsidRPr="00354D62">
        <w:rPr>
          <w:rFonts w:ascii="David" w:hAnsi="David" w:cs="David" w:hint="cs"/>
          <w:rtl/>
        </w:rPr>
        <w:t>"</w:t>
      </w:r>
      <w:r w:rsidRPr="00354D62">
        <w:rPr>
          <w:rFonts w:ascii="David" w:hAnsi="David" w:cs="David" w:hint="cs"/>
          <w:b/>
          <w:bCs/>
          <w:rtl/>
        </w:rPr>
        <w:t>מצאתי כי העונש שהשיתה עליו ערכאת הערעור הוא ראוי ומאזן היטב בין מכלול נסיבות העניין ובכללן חומרתה הרבה של העבירה בה הורשע ונסיבותיו המקלות</w:t>
      </w:r>
      <w:r w:rsidRPr="00354D62">
        <w:rPr>
          <w:rFonts w:ascii="David" w:hAnsi="David" w:cs="David" w:hint="cs"/>
          <w:rtl/>
        </w:rPr>
        <w:t>".</w:t>
      </w:r>
    </w:p>
    <w:p w14:paraId="27B639F2" w14:textId="77777777" w:rsidR="004079DF" w:rsidRPr="00354D62" w:rsidRDefault="004079DF" w:rsidP="004079DF">
      <w:pPr>
        <w:spacing w:line="360" w:lineRule="auto"/>
        <w:ind w:left="720"/>
        <w:jc w:val="both"/>
        <w:rPr>
          <w:rFonts w:ascii="Arial" w:hAnsi="Arial"/>
          <w:sz w:val="12"/>
          <w:szCs w:val="12"/>
          <w:rtl/>
        </w:rPr>
      </w:pPr>
    </w:p>
    <w:p w14:paraId="14D9AFC4" w14:textId="77777777" w:rsidR="004079DF" w:rsidRPr="004079DF" w:rsidRDefault="004079DF" w:rsidP="004079DF">
      <w:pPr>
        <w:numPr>
          <w:ilvl w:val="0"/>
          <w:numId w:val="2"/>
        </w:numPr>
        <w:spacing w:after="160" w:line="360" w:lineRule="auto"/>
        <w:contextualSpacing/>
        <w:jc w:val="both"/>
        <w:rPr>
          <w:rFonts w:ascii="Calibri" w:hAnsi="Calibri"/>
        </w:rPr>
      </w:pPr>
      <w:r w:rsidRPr="00A06A36">
        <w:rPr>
          <w:rFonts w:hint="cs"/>
          <w:rtl/>
          <w:lang w:eastAsia="he-IL"/>
        </w:rPr>
        <w:t>לאור הערך החברתי שנפגע מביצוע העבירות, מדיניות הענישה הנהוגה ונסיבות ביצוע העבירה כפי שפורטו לעיל אנו קובעים, כי מתחם העונש ההולם את מעשיו של הנאשם בגין האישום הראשון הנו 6 עד 10 שנות מאסר ובגין האישום השני 9 עד 36 חודשי מאסר.</w:t>
      </w:r>
      <w:r w:rsidRPr="004079DF">
        <w:rPr>
          <w:rFonts w:ascii="Calibri" w:hAnsi="Calibri" w:hint="cs"/>
        </w:rPr>
        <w:t xml:space="preserve"> </w:t>
      </w:r>
      <w:r w:rsidRPr="004079DF">
        <w:rPr>
          <w:rFonts w:ascii="Calibri" w:hAnsi="Calibri" w:hint="cs"/>
          <w:rtl/>
        </w:rPr>
        <w:t>בנסיבות העניי</w:t>
      </w:r>
      <w:r w:rsidRPr="004079DF">
        <w:rPr>
          <w:rFonts w:ascii="Calibri" w:hAnsi="Calibri" w:hint="eastAsia"/>
          <w:rtl/>
        </w:rPr>
        <w:t>ן</w:t>
      </w:r>
      <w:r w:rsidRPr="004079DF">
        <w:rPr>
          <w:rFonts w:ascii="Calibri" w:hAnsi="Calibri" w:hint="cs"/>
          <w:rtl/>
        </w:rPr>
        <w:t>, נראה שראוי לגזור עונש כולל לשני האירועים.</w:t>
      </w:r>
    </w:p>
    <w:p w14:paraId="7E38A42D" w14:textId="77777777" w:rsidR="004079DF" w:rsidRPr="004079DF" w:rsidRDefault="004079DF" w:rsidP="004079DF">
      <w:pPr>
        <w:spacing w:after="160" w:line="360" w:lineRule="auto"/>
        <w:ind w:left="720"/>
        <w:contextualSpacing/>
        <w:jc w:val="both"/>
        <w:rPr>
          <w:rFonts w:ascii="Calibri" w:hAnsi="Calibri"/>
          <w:sz w:val="22"/>
          <w:szCs w:val="22"/>
        </w:rPr>
      </w:pPr>
    </w:p>
    <w:p w14:paraId="5DFF5878" w14:textId="77777777" w:rsidR="004079DF" w:rsidRPr="00A06A36" w:rsidRDefault="004079DF" w:rsidP="004079DF">
      <w:pPr>
        <w:numPr>
          <w:ilvl w:val="0"/>
          <w:numId w:val="2"/>
        </w:numPr>
        <w:spacing w:after="160" w:line="360" w:lineRule="auto"/>
        <w:contextualSpacing/>
        <w:jc w:val="both"/>
      </w:pPr>
      <w:r w:rsidRPr="00A06A36">
        <w:rPr>
          <w:rFonts w:hint="cs"/>
          <w:rtl/>
        </w:rPr>
        <w:t xml:space="preserve">בגזירת עונשו של הנאשם בתוך המתחם שנקבע יש להתחשב בנסיבותיו האישיות, כפי שפורטו על ידי בא כוחו בבית המשפט. הנאשם בן 46 נשוי ואב לילדים. לדבריו, עזב את הדרך בה הלך ומנסה לחזור לחיים נורמטיביים. עברו הפלילי, כפי שפורט לעיל, התיישן. כמו כן, הנאשם הודה בביצוע העבירות והביע חרטה על מעשיו. </w:t>
      </w:r>
    </w:p>
    <w:p w14:paraId="27F1D2D4" w14:textId="77777777" w:rsidR="004079DF" w:rsidRPr="00A06A36" w:rsidRDefault="004079DF" w:rsidP="004079DF">
      <w:pPr>
        <w:ind w:left="720"/>
        <w:contextualSpacing/>
      </w:pPr>
    </w:p>
    <w:p w14:paraId="0331E3B0" w14:textId="77777777" w:rsidR="004079DF" w:rsidRPr="00A06A36" w:rsidRDefault="004079DF" w:rsidP="004079DF">
      <w:pPr>
        <w:numPr>
          <w:ilvl w:val="0"/>
          <w:numId w:val="2"/>
        </w:numPr>
        <w:autoSpaceDE w:val="0"/>
        <w:autoSpaceDN w:val="0"/>
        <w:adjustRightInd w:val="0"/>
        <w:spacing w:after="80" w:line="360" w:lineRule="auto"/>
        <w:contextualSpacing/>
        <w:jc w:val="both"/>
        <w:rPr>
          <w:rFonts w:ascii="Calibri" w:hAnsi="Calibri"/>
          <w:rtl/>
        </w:rPr>
      </w:pPr>
      <w:r w:rsidRPr="00A06A36">
        <w:rPr>
          <w:rFonts w:ascii="Calibri" w:hAnsi="Calibri" w:hint="cs"/>
          <w:rtl/>
        </w:rPr>
        <w:t>נוכח האמור, אנו דנים את הנאשם לעונשים הבאים:</w:t>
      </w:r>
    </w:p>
    <w:p w14:paraId="2BF89428" w14:textId="77777777" w:rsidR="004079DF" w:rsidRPr="00A06A36" w:rsidRDefault="004079DF" w:rsidP="004079DF">
      <w:pPr>
        <w:autoSpaceDE w:val="0"/>
        <w:autoSpaceDN w:val="0"/>
        <w:adjustRightInd w:val="0"/>
        <w:spacing w:after="80" w:line="360" w:lineRule="auto"/>
        <w:ind w:left="733" w:hanging="365"/>
        <w:contextualSpacing/>
        <w:jc w:val="both"/>
        <w:rPr>
          <w:rFonts w:ascii="Calibri" w:hAnsi="Calibri"/>
          <w:rtl/>
        </w:rPr>
      </w:pPr>
    </w:p>
    <w:p w14:paraId="7A58855E" w14:textId="77777777" w:rsidR="004079DF" w:rsidRPr="00A06A36" w:rsidRDefault="004079DF" w:rsidP="004079DF">
      <w:pPr>
        <w:numPr>
          <w:ilvl w:val="0"/>
          <w:numId w:val="3"/>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Pr>
      </w:pPr>
      <w:r w:rsidRPr="00A06A36">
        <w:rPr>
          <w:rFonts w:ascii="Calibri" w:hAnsi="Calibri" w:hint="cs"/>
          <w:rtl/>
        </w:rPr>
        <w:t xml:space="preserve">8 שנות מאסר לריצוי בפועל, בניכוי ימי מעצרו מיום 22.03.2017.  </w:t>
      </w:r>
    </w:p>
    <w:p w14:paraId="310158E4" w14:textId="77777777" w:rsidR="004079DF" w:rsidRPr="00A06A36" w:rsidRDefault="004079DF" w:rsidP="004079DF">
      <w:pPr>
        <w:numPr>
          <w:ilvl w:val="0"/>
          <w:numId w:val="3"/>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Pr>
      </w:pP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r>
      <w:r w:rsidRPr="00A06A36">
        <w:rPr>
          <w:rFonts w:ascii="Calibri" w:hAnsi="Calibri" w:hint="cs"/>
          <w:rtl/>
        </w:rPr>
        <w:softHyphen/>
        <w:t xml:space="preserve">12 חודשי מאסר על תנאי, שלא יעבור במשך 3 שנים מיום שחרורו, עבירה בה הורשע בתיק זה, או עבירה בניגוד </w:t>
      </w:r>
      <w:hyperlink r:id="rId50" w:history="1">
        <w:r w:rsidR="00574D2E" w:rsidRPr="00574D2E">
          <w:rPr>
            <w:rFonts w:ascii="Calibri" w:hAnsi="Calibri" w:hint="eastAsia"/>
            <w:color w:val="0000FF"/>
            <w:u w:val="single"/>
            <w:rtl/>
          </w:rPr>
          <w:t>לפרק</w:t>
        </w:r>
        <w:r w:rsidR="00574D2E" w:rsidRPr="00574D2E">
          <w:rPr>
            <w:rFonts w:ascii="Calibri" w:hAnsi="Calibri"/>
            <w:color w:val="0000FF"/>
            <w:u w:val="single"/>
            <w:rtl/>
          </w:rPr>
          <w:t xml:space="preserve"> </w:t>
        </w:r>
        <w:r w:rsidR="00574D2E" w:rsidRPr="00574D2E">
          <w:rPr>
            <w:rFonts w:ascii="Calibri" w:hAnsi="Calibri" w:hint="eastAsia"/>
            <w:color w:val="0000FF"/>
            <w:u w:val="single"/>
            <w:rtl/>
          </w:rPr>
          <w:t>ז</w:t>
        </w:r>
        <w:r w:rsidR="00574D2E" w:rsidRPr="00574D2E">
          <w:rPr>
            <w:rFonts w:ascii="Calibri" w:hAnsi="Calibri"/>
            <w:color w:val="0000FF"/>
            <w:u w:val="single"/>
            <w:rtl/>
          </w:rPr>
          <w:t>'</w:t>
        </w:r>
      </w:hyperlink>
      <w:r w:rsidRPr="00A06A36">
        <w:rPr>
          <w:rFonts w:ascii="Calibri" w:hAnsi="Calibri" w:hint="cs"/>
          <w:rtl/>
        </w:rPr>
        <w:t xml:space="preserve"> ל</w:t>
      </w:r>
      <w:hyperlink r:id="rId51" w:history="1">
        <w:r w:rsidR="002A3B6C" w:rsidRPr="002A3B6C">
          <w:rPr>
            <w:rFonts w:ascii="Calibri" w:hAnsi="Calibri" w:hint="eastAsia"/>
            <w:color w:val="0000FF"/>
            <w:u w:val="single"/>
            <w:rtl/>
          </w:rPr>
          <w:t>חוק</w:t>
        </w:r>
        <w:r w:rsidR="002A3B6C" w:rsidRPr="002A3B6C">
          <w:rPr>
            <w:rFonts w:ascii="Calibri" w:hAnsi="Calibri"/>
            <w:color w:val="0000FF"/>
            <w:u w:val="single"/>
            <w:rtl/>
          </w:rPr>
          <w:t xml:space="preserve"> </w:t>
        </w:r>
        <w:r w:rsidR="002A3B6C" w:rsidRPr="002A3B6C">
          <w:rPr>
            <w:rFonts w:ascii="Calibri" w:hAnsi="Calibri" w:hint="eastAsia"/>
            <w:color w:val="0000FF"/>
            <w:u w:val="single"/>
            <w:rtl/>
          </w:rPr>
          <w:t>העונשין</w:t>
        </w:r>
      </w:hyperlink>
      <w:r w:rsidRPr="00A06A36">
        <w:rPr>
          <w:rFonts w:ascii="Calibri" w:hAnsi="Calibri" w:hint="cs"/>
          <w:rtl/>
        </w:rPr>
        <w:t>.</w:t>
      </w:r>
    </w:p>
    <w:p w14:paraId="1BBBF27B" w14:textId="77777777" w:rsidR="004079DF" w:rsidRPr="00A06A36" w:rsidRDefault="004079DF" w:rsidP="004079DF">
      <w:pPr>
        <w:numPr>
          <w:ilvl w:val="0"/>
          <w:numId w:val="3"/>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sz w:val="22"/>
          <w:szCs w:val="22"/>
        </w:rPr>
      </w:pPr>
      <w:r w:rsidRPr="00A06A36">
        <w:rPr>
          <w:rFonts w:ascii="Calibri" w:hAnsi="Calibri" w:hint="cs"/>
          <w:rtl/>
        </w:rPr>
        <w:t xml:space="preserve">קנס בסך </w:t>
      </w:r>
      <w:r>
        <w:rPr>
          <w:rFonts w:ascii="Calibri" w:hAnsi="Calibri" w:hint="cs"/>
          <w:rtl/>
        </w:rPr>
        <w:t xml:space="preserve">10,000 </w:t>
      </w:r>
      <w:r>
        <w:rPr>
          <w:rFonts w:ascii="Calibri" w:hAnsi="Calibri" w:hint="eastAsia"/>
          <w:rtl/>
        </w:rPr>
        <w:t>₪</w:t>
      </w:r>
      <w:r>
        <w:rPr>
          <w:rFonts w:ascii="Calibri" w:hAnsi="Calibri" w:hint="cs"/>
          <w:rtl/>
        </w:rPr>
        <w:t xml:space="preserve"> או 3 חודשי מאסר תחתיו.</w:t>
      </w:r>
    </w:p>
    <w:p w14:paraId="14520F62" w14:textId="77777777" w:rsidR="004079DF" w:rsidRDefault="004079DF" w:rsidP="004079DF">
      <w:pPr>
        <w:spacing w:line="360" w:lineRule="auto"/>
        <w:jc w:val="both"/>
        <w:rPr>
          <w:rFonts w:ascii="Arial" w:hAnsi="Arial"/>
          <w:b/>
          <w:bCs/>
          <w:rtl/>
        </w:rPr>
      </w:pPr>
    </w:p>
    <w:p w14:paraId="2B24ED02" w14:textId="77777777" w:rsidR="004079DF" w:rsidRDefault="004079DF" w:rsidP="004079DF">
      <w:pPr>
        <w:spacing w:line="360" w:lineRule="auto"/>
        <w:jc w:val="both"/>
        <w:rPr>
          <w:rFonts w:ascii="Arial" w:hAnsi="Arial"/>
          <w:b/>
          <w:bCs/>
          <w:rtl/>
        </w:rPr>
      </w:pPr>
      <w:r>
        <w:rPr>
          <w:rFonts w:ascii="Arial" w:hAnsi="Arial" w:hint="cs"/>
          <w:b/>
          <w:bCs/>
          <w:rtl/>
        </w:rPr>
        <w:t>זכות ערעור לבית המשפט העליון בתוך 45 ימים מהיום.</w:t>
      </w:r>
    </w:p>
    <w:p w14:paraId="42A5275D" w14:textId="77777777" w:rsidR="004079DF" w:rsidRDefault="004079DF" w:rsidP="004079DF">
      <w:pPr>
        <w:spacing w:line="360" w:lineRule="auto"/>
        <w:jc w:val="both"/>
        <w:rPr>
          <w:rFonts w:ascii="Arial" w:hAnsi="Arial"/>
          <w:b/>
          <w:bCs/>
          <w:rtl/>
        </w:rPr>
      </w:pPr>
    </w:p>
    <w:p w14:paraId="54E3F91E" w14:textId="77777777" w:rsidR="004079DF" w:rsidRDefault="002A3B6C" w:rsidP="004079DF">
      <w:pPr>
        <w:rPr>
          <w:rtl/>
        </w:rPr>
      </w:pPr>
      <w:r w:rsidRPr="002A3B6C">
        <w:rPr>
          <w:rFonts w:ascii="Arial" w:hAnsi="Arial"/>
          <w:b/>
          <w:bCs/>
          <w:color w:val="FFFFFF"/>
          <w:sz w:val="2"/>
          <w:szCs w:val="2"/>
          <w:rtl/>
        </w:rPr>
        <w:t>5129371</w:t>
      </w:r>
      <w:r>
        <w:rPr>
          <w:rFonts w:ascii="Arial" w:hAnsi="Arial"/>
          <w:b/>
          <w:bCs/>
          <w:rtl/>
        </w:rPr>
        <w:t xml:space="preserve">ניתן היום,  כ"ה תמוז תשע"ח, 08 יולי 2018, במעמד הצדדים. </w:t>
      </w:r>
    </w:p>
    <w:tbl>
      <w:tblPr>
        <w:bidiVisual/>
        <w:tblW w:w="0" w:type="auto"/>
        <w:tblLook w:val="01E0" w:firstRow="1" w:lastRow="1" w:firstColumn="1" w:lastColumn="1" w:noHBand="0" w:noVBand="0"/>
      </w:tblPr>
      <w:tblGrid>
        <w:gridCol w:w="2960"/>
        <w:gridCol w:w="236"/>
        <w:gridCol w:w="2289"/>
        <w:gridCol w:w="300"/>
        <w:gridCol w:w="2737"/>
      </w:tblGrid>
      <w:tr w:rsidR="004079DF" w14:paraId="1CD7D503" w14:textId="77777777" w:rsidTr="004079DF">
        <w:tc>
          <w:tcPr>
            <w:tcW w:w="2960" w:type="dxa"/>
            <w:tcBorders>
              <w:top w:val="nil"/>
              <w:left w:val="nil"/>
              <w:bottom w:val="single" w:sz="4" w:space="0" w:color="auto"/>
              <w:right w:val="nil"/>
            </w:tcBorders>
            <w:shd w:val="clear" w:color="auto" w:fill="auto"/>
            <w:vAlign w:val="center"/>
          </w:tcPr>
          <w:p w14:paraId="48D8E809" w14:textId="77777777" w:rsidR="004079DF" w:rsidRPr="002A3B6C" w:rsidRDefault="002A3B6C" w:rsidP="004079DF">
            <w:pPr>
              <w:jc w:val="center"/>
              <w:rPr>
                <w:rFonts w:ascii="Courier New" w:hAnsi="Courier New"/>
                <w:b/>
                <w:bCs/>
                <w:color w:val="FFFFFF"/>
                <w:sz w:val="2"/>
                <w:szCs w:val="2"/>
              </w:rPr>
            </w:pPr>
            <w:r w:rsidRPr="002A3B6C">
              <w:rPr>
                <w:rFonts w:ascii="Courier New" w:hAnsi="Courier New"/>
                <w:b/>
                <w:bCs/>
                <w:color w:val="FFFFFF"/>
                <w:sz w:val="2"/>
                <w:szCs w:val="2"/>
                <w:rtl/>
              </w:rPr>
              <w:t>54678313</w:t>
            </w:r>
          </w:p>
        </w:tc>
        <w:tc>
          <w:tcPr>
            <w:tcW w:w="236" w:type="dxa"/>
            <w:shd w:val="clear" w:color="auto" w:fill="auto"/>
            <w:vAlign w:val="center"/>
          </w:tcPr>
          <w:p w14:paraId="444A8FF0" w14:textId="77777777" w:rsidR="004079DF" w:rsidRPr="004079DF" w:rsidRDefault="004079DF" w:rsidP="004079DF">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7B80CEE3" w14:textId="77777777" w:rsidR="004079DF" w:rsidRPr="004079DF" w:rsidRDefault="004079DF" w:rsidP="004079DF">
            <w:pPr>
              <w:jc w:val="center"/>
              <w:rPr>
                <w:rFonts w:ascii="Courier New" w:hAnsi="Courier New"/>
                <w:b/>
                <w:bCs/>
                <w:sz w:val="20"/>
                <w:szCs w:val="20"/>
              </w:rPr>
            </w:pPr>
          </w:p>
        </w:tc>
        <w:tc>
          <w:tcPr>
            <w:tcW w:w="300" w:type="dxa"/>
            <w:shd w:val="clear" w:color="auto" w:fill="auto"/>
            <w:vAlign w:val="center"/>
          </w:tcPr>
          <w:p w14:paraId="178DDF77" w14:textId="77777777" w:rsidR="004079DF" w:rsidRPr="004079DF" w:rsidRDefault="004079DF" w:rsidP="004079DF">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38C29B97" w14:textId="77777777" w:rsidR="004079DF" w:rsidRPr="004079DF" w:rsidRDefault="004079DF" w:rsidP="004079DF">
            <w:pPr>
              <w:jc w:val="center"/>
              <w:rPr>
                <w:rFonts w:ascii="Courier New" w:hAnsi="Courier New"/>
                <w:b/>
                <w:bCs/>
                <w:sz w:val="20"/>
                <w:szCs w:val="20"/>
              </w:rPr>
            </w:pPr>
          </w:p>
        </w:tc>
      </w:tr>
      <w:tr w:rsidR="004079DF" w14:paraId="7020A665" w14:textId="77777777" w:rsidTr="004079DF">
        <w:tc>
          <w:tcPr>
            <w:tcW w:w="2960" w:type="dxa"/>
            <w:tcBorders>
              <w:top w:val="single" w:sz="4" w:space="0" w:color="auto"/>
              <w:left w:val="nil"/>
              <w:bottom w:val="nil"/>
              <w:right w:val="nil"/>
            </w:tcBorders>
            <w:shd w:val="clear" w:color="auto" w:fill="auto"/>
            <w:vAlign w:val="bottom"/>
          </w:tcPr>
          <w:p w14:paraId="1F138FCF" w14:textId="77777777" w:rsidR="004079DF" w:rsidRPr="004079DF" w:rsidRDefault="004079DF" w:rsidP="004079DF">
            <w:pPr>
              <w:jc w:val="center"/>
              <w:rPr>
                <w:rFonts w:ascii="Courier New" w:hAnsi="Courier New"/>
                <w:b/>
                <w:bCs/>
              </w:rPr>
            </w:pPr>
            <w:r w:rsidRPr="004079DF">
              <w:rPr>
                <w:rFonts w:ascii="Courier New" w:hAnsi="Courier New" w:hint="cs"/>
                <w:b/>
                <w:bCs/>
                <w:rtl/>
              </w:rPr>
              <w:t>נתן זלוצובר, שופט אב"ד</w:t>
            </w:r>
          </w:p>
          <w:p w14:paraId="4C80C91F" w14:textId="77777777" w:rsidR="004079DF" w:rsidRPr="004079DF" w:rsidRDefault="004079DF" w:rsidP="004079DF">
            <w:pPr>
              <w:jc w:val="center"/>
              <w:rPr>
                <w:rFonts w:ascii="Courier New" w:hAnsi="Courier New"/>
                <w:b/>
                <w:bCs/>
              </w:rPr>
            </w:pPr>
            <w:r w:rsidRPr="004079DF">
              <w:rPr>
                <w:rFonts w:ascii="Courier New" w:hAnsi="Courier New" w:hint="cs"/>
                <w:b/>
                <w:bCs/>
                <w:rtl/>
              </w:rPr>
              <w:t>סגן הנשיאה</w:t>
            </w:r>
          </w:p>
        </w:tc>
        <w:tc>
          <w:tcPr>
            <w:tcW w:w="236" w:type="dxa"/>
            <w:shd w:val="clear" w:color="auto" w:fill="auto"/>
            <w:vAlign w:val="bottom"/>
          </w:tcPr>
          <w:p w14:paraId="03B08AB3" w14:textId="77777777" w:rsidR="004079DF" w:rsidRPr="004079DF" w:rsidRDefault="004079DF" w:rsidP="004079DF">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26C59FBD" w14:textId="77777777" w:rsidR="004079DF" w:rsidRPr="004079DF" w:rsidRDefault="004079DF" w:rsidP="004079DF">
            <w:pPr>
              <w:jc w:val="center"/>
              <w:rPr>
                <w:rFonts w:ascii="Courier New" w:hAnsi="Courier New"/>
                <w:b/>
                <w:bCs/>
              </w:rPr>
            </w:pPr>
            <w:r w:rsidRPr="004079DF">
              <w:rPr>
                <w:rFonts w:ascii="Courier New" w:hAnsi="Courier New" w:hint="cs"/>
                <w:b/>
                <w:bCs/>
                <w:rtl/>
              </w:rPr>
              <w:t>שלמה פרידלנדר, שופט</w:t>
            </w:r>
          </w:p>
        </w:tc>
        <w:tc>
          <w:tcPr>
            <w:tcW w:w="300" w:type="dxa"/>
            <w:shd w:val="clear" w:color="auto" w:fill="auto"/>
          </w:tcPr>
          <w:p w14:paraId="068DDDAC" w14:textId="77777777" w:rsidR="004079DF" w:rsidRPr="004079DF" w:rsidRDefault="004079DF" w:rsidP="004079DF">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0B7DB1F4" w14:textId="77777777" w:rsidR="004079DF" w:rsidRPr="004079DF" w:rsidRDefault="004079DF" w:rsidP="004079DF">
            <w:pPr>
              <w:jc w:val="center"/>
              <w:rPr>
                <w:rFonts w:ascii="Courier New" w:hAnsi="Courier New"/>
                <w:b/>
                <w:bCs/>
              </w:rPr>
            </w:pPr>
            <w:r w:rsidRPr="004079DF">
              <w:rPr>
                <w:rFonts w:ascii="Courier New" w:hAnsi="Courier New" w:hint="cs"/>
                <w:b/>
                <w:bCs/>
                <w:rtl/>
              </w:rPr>
              <w:t>דינה כהן, שופטת</w:t>
            </w:r>
          </w:p>
        </w:tc>
      </w:tr>
    </w:tbl>
    <w:p w14:paraId="2F9C58D8" w14:textId="77777777" w:rsidR="004079DF" w:rsidRPr="00574D2E" w:rsidRDefault="00574D2E" w:rsidP="004079DF">
      <w:pPr>
        <w:rPr>
          <w:color w:val="FFFFFF"/>
          <w:sz w:val="2"/>
          <w:szCs w:val="2"/>
        </w:rPr>
      </w:pPr>
      <w:r w:rsidRPr="00574D2E">
        <w:rPr>
          <w:color w:val="FFFFFF"/>
          <w:sz w:val="2"/>
          <w:szCs w:val="2"/>
          <w:rtl/>
        </w:rPr>
        <w:t>5129371</w:t>
      </w:r>
    </w:p>
    <w:p w14:paraId="1C091C87" w14:textId="77777777" w:rsidR="00226BC3" w:rsidRPr="00574D2E" w:rsidRDefault="00574D2E" w:rsidP="002A3B6C">
      <w:pPr>
        <w:keepNext/>
        <w:rPr>
          <w:rFonts w:ascii="David" w:hAnsi="David"/>
          <w:color w:val="FFFFFF"/>
          <w:sz w:val="2"/>
          <w:szCs w:val="2"/>
          <w:rtl/>
        </w:rPr>
      </w:pPr>
      <w:r w:rsidRPr="00574D2E">
        <w:rPr>
          <w:rFonts w:ascii="David" w:hAnsi="David"/>
          <w:color w:val="FFFFFF"/>
          <w:sz w:val="2"/>
          <w:szCs w:val="2"/>
          <w:rtl/>
        </w:rPr>
        <w:t>54678313</w:t>
      </w:r>
    </w:p>
    <w:p w14:paraId="24983A84" w14:textId="77777777" w:rsidR="002A3B6C" w:rsidRDefault="002A3B6C" w:rsidP="002A3B6C">
      <w:pPr>
        <w:rPr>
          <w:rtl/>
        </w:rPr>
      </w:pPr>
    </w:p>
    <w:p w14:paraId="7F099AC3" w14:textId="77777777" w:rsidR="002A3B6C" w:rsidRDefault="002A3B6C" w:rsidP="002A3B6C">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2E832F9D" w14:textId="77777777" w:rsidR="00574D2E" w:rsidRPr="00574D2E" w:rsidRDefault="00574D2E" w:rsidP="00574D2E">
      <w:pPr>
        <w:keepNext/>
        <w:rPr>
          <w:rFonts w:ascii="David" w:hAnsi="David"/>
          <w:color w:val="000000"/>
          <w:sz w:val="22"/>
          <w:szCs w:val="22"/>
          <w:rtl/>
        </w:rPr>
      </w:pPr>
    </w:p>
    <w:p w14:paraId="79C66EC7" w14:textId="77777777" w:rsidR="00574D2E" w:rsidRPr="00574D2E" w:rsidRDefault="00574D2E" w:rsidP="00574D2E">
      <w:pPr>
        <w:keepNext/>
        <w:rPr>
          <w:rFonts w:ascii="David" w:hAnsi="David"/>
          <w:color w:val="000000"/>
          <w:sz w:val="22"/>
          <w:szCs w:val="22"/>
          <w:rtl/>
        </w:rPr>
      </w:pPr>
      <w:r w:rsidRPr="00574D2E">
        <w:rPr>
          <w:rFonts w:ascii="David" w:hAnsi="David"/>
          <w:color w:val="000000"/>
          <w:sz w:val="22"/>
          <w:szCs w:val="22"/>
          <w:rtl/>
        </w:rPr>
        <w:t>נתן זלוצ'ובר 54678313-/</w:t>
      </w:r>
    </w:p>
    <w:p w14:paraId="4C94B2D7" w14:textId="77777777" w:rsidR="002A3B6C" w:rsidRPr="002A3B6C" w:rsidRDefault="00574D2E" w:rsidP="00574D2E">
      <w:pPr>
        <w:rPr>
          <w:color w:val="0000FF"/>
          <w:u w:val="single"/>
        </w:rPr>
      </w:pPr>
      <w:r w:rsidRPr="00574D2E">
        <w:rPr>
          <w:color w:val="000000"/>
          <w:u w:val="single"/>
          <w:rtl/>
        </w:rPr>
        <w:t>נוסח מסמך זה כפוף לשינויי ניסוח ועריכה</w:t>
      </w:r>
    </w:p>
    <w:sectPr w:rsidR="002A3B6C" w:rsidRPr="002A3B6C" w:rsidSect="00574D2E">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5063B" w14:textId="77777777" w:rsidR="00CA1CDA" w:rsidRDefault="00CA1CDA" w:rsidP="00AB1729">
      <w:r>
        <w:separator/>
      </w:r>
    </w:p>
  </w:endnote>
  <w:endnote w:type="continuationSeparator" w:id="0">
    <w:p w14:paraId="5BFB7861" w14:textId="77777777" w:rsidR="00CA1CDA" w:rsidRDefault="00CA1CDA" w:rsidP="00AB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dchiangUPC">
    <w:charset w:val="DE"/>
    <w:family w:val="roman"/>
    <w:pitch w:val="variable"/>
    <w:sig w:usb0="81000003" w:usb1="00000000" w:usb2="00000000" w:usb3="00000000" w:csb0="00010001"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E70AC" w14:textId="77777777" w:rsidR="00574D2E" w:rsidRDefault="00574D2E" w:rsidP="00574D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354562" w14:textId="77777777" w:rsidR="00F17151" w:rsidRPr="00574D2E" w:rsidRDefault="00574D2E" w:rsidP="00574D2E">
    <w:pPr>
      <w:pStyle w:val="a5"/>
      <w:pBdr>
        <w:top w:val="single" w:sz="4" w:space="1" w:color="auto"/>
        <w:between w:val="single" w:sz="4" w:space="0" w:color="auto"/>
      </w:pBdr>
      <w:spacing w:after="60"/>
      <w:jc w:val="center"/>
      <w:rPr>
        <w:rFonts w:ascii="FrankRuehl" w:hAnsi="FrankRuehl" w:cs="FrankRuehl"/>
        <w:color w:val="000000"/>
      </w:rPr>
    </w:pPr>
    <w:r w:rsidRPr="00574D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28101" w14:textId="77777777" w:rsidR="00574D2E" w:rsidRDefault="00574D2E" w:rsidP="00574D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3493">
      <w:rPr>
        <w:rFonts w:ascii="FrankRuehl" w:hAnsi="FrankRuehl" w:cs="FrankRuehl"/>
        <w:noProof/>
        <w:rtl/>
      </w:rPr>
      <w:t>1</w:t>
    </w:r>
    <w:r>
      <w:rPr>
        <w:rFonts w:ascii="FrankRuehl" w:hAnsi="FrankRuehl" w:cs="FrankRuehl"/>
        <w:rtl/>
      </w:rPr>
      <w:fldChar w:fldCharType="end"/>
    </w:r>
  </w:p>
  <w:p w14:paraId="71DBE7B1" w14:textId="77777777" w:rsidR="00F17151" w:rsidRPr="00574D2E" w:rsidRDefault="00574D2E" w:rsidP="00574D2E">
    <w:pPr>
      <w:pStyle w:val="a5"/>
      <w:pBdr>
        <w:top w:val="single" w:sz="4" w:space="1" w:color="auto"/>
        <w:between w:val="single" w:sz="4" w:space="0" w:color="auto"/>
      </w:pBdr>
      <w:spacing w:after="60"/>
      <w:jc w:val="center"/>
      <w:rPr>
        <w:rFonts w:ascii="FrankRuehl" w:hAnsi="FrankRuehl" w:cs="FrankRuehl"/>
        <w:color w:val="000000"/>
      </w:rPr>
    </w:pPr>
    <w:r w:rsidRPr="00574D2E">
      <w:rPr>
        <w:rFonts w:ascii="FrankRuehl" w:hAnsi="FrankRuehl" w:cs="FrankRuehl"/>
        <w:color w:val="000000"/>
      </w:rPr>
      <w:pict w14:anchorId="63E6C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4F0ED" w14:textId="77777777" w:rsidR="00CA1CDA" w:rsidRDefault="00CA1CDA" w:rsidP="00AB1729">
      <w:r>
        <w:separator/>
      </w:r>
    </w:p>
  </w:footnote>
  <w:footnote w:type="continuationSeparator" w:id="0">
    <w:p w14:paraId="44E255E3" w14:textId="77777777" w:rsidR="00CA1CDA" w:rsidRDefault="00CA1CDA" w:rsidP="00AB1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8BF2" w14:textId="77777777" w:rsidR="002A3B6C" w:rsidRPr="00574D2E" w:rsidRDefault="00574D2E" w:rsidP="00574D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30875-04-17</w:t>
    </w:r>
    <w:r>
      <w:rPr>
        <w:rFonts w:ascii="David" w:hAnsi="David"/>
        <w:color w:val="000000"/>
        <w:sz w:val="22"/>
        <w:szCs w:val="22"/>
        <w:rtl/>
      </w:rPr>
      <w:tab/>
      <w:t xml:space="preserve"> מדינת ישראל נ' פיראס אלעומרי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4B494" w14:textId="77777777" w:rsidR="002A3B6C" w:rsidRPr="00574D2E" w:rsidRDefault="00574D2E" w:rsidP="00574D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30875-04-17</w:t>
    </w:r>
    <w:r>
      <w:rPr>
        <w:rFonts w:ascii="David" w:hAnsi="David"/>
        <w:color w:val="000000"/>
        <w:sz w:val="22"/>
        <w:szCs w:val="22"/>
        <w:rtl/>
      </w:rPr>
      <w:tab/>
      <w:t xml:space="preserve"> מדינת ישראל נ' פיראס אלעומרי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02A2"/>
    <w:multiLevelType w:val="hybridMultilevel"/>
    <w:tmpl w:val="9ABEFA44"/>
    <w:lvl w:ilvl="0" w:tplc="AC82AADC">
      <w:start w:val="1"/>
      <w:numFmt w:val="hebrew1"/>
      <w:lvlText w:val="%1."/>
      <w:lvlJc w:val="left"/>
      <w:pPr>
        <w:ind w:left="720" w:hanging="360"/>
      </w:pPr>
      <w:rPr>
        <w:rFonts w:cs="David"/>
        <w:b/>
        <w:bCs w:val="0"/>
        <w:strike w:val="0"/>
        <w:dstrike w:val="0"/>
        <w:u w:val="none"/>
        <w:effect w:val="none"/>
      </w:rPr>
    </w:lvl>
    <w:lvl w:ilvl="1" w:tplc="252EC54A">
      <w:start w:val="1"/>
      <w:numFmt w:val="lowerLetter"/>
      <w:lvlText w:val="%2."/>
      <w:lvlJc w:val="left"/>
      <w:pPr>
        <w:ind w:left="1440" w:hanging="360"/>
      </w:pPr>
      <w:rPr>
        <w:rFonts w:cs="Times New Roman"/>
      </w:rPr>
    </w:lvl>
    <w:lvl w:ilvl="2" w:tplc="4936F390">
      <w:start w:val="1"/>
      <w:numFmt w:val="lowerRoman"/>
      <w:lvlText w:val="%3."/>
      <w:lvlJc w:val="right"/>
      <w:pPr>
        <w:ind w:left="2160" w:hanging="180"/>
      </w:pPr>
      <w:rPr>
        <w:rFonts w:cs="Times New Roman"/>
      </w:rPr>
    </w:lvl>
    <w:lvl w:ilvl="3" w:tplc="64E63D26">
      <w:start w:val="1"/>
      <w:numFmt w:val="decimal"/>
      <w:lvlText w:val="%4."/>
      <w:lvlJc w:val="left"/>
      <w:pPr>
        <w:ind w:left="2880" w:hanging="360"/>
      </w:pPr>
      <w:rPr>
        <w:rFonts w:cs="Times New Roman"/>
      </w:rPr>
    </w:lvl>
    <w:lvl w:ilvl="4" w:tplc="3A3EDDB2">
      <w:start w:val="1"/>
      <w:numFmt w:val="lowerLetter"/>
      <w:lvlText w:val="%5."/>
      <w:lvlJc w:val="left"/>
      <w:pPr>
        <w:ind w:left="3600" w:hanging="360"/>
      </w:pPr>
      <w:rPr>
        <w:rFonts w:cs="Times New Roman"/>
      </w:rPr>
    </w:lvl>
    <w:lvl w:ilvl="5" w:tplc="7CEAAF0A">
      <w:start w:val="1"/>
      <w:numFmt w:val="lowerRoman"/>
      <w:lvlText w:val="%6."/>
      <w:lvlJc w:val="right"/>
      <w:pPr>
        <w:ind w:left="4320" w:hanging="180"/>
      </w:pPr>
      <w:rPr>
        <w:rFonts w:cs="Times New Roman"/>
      </w:rPr>
    </w:lvl>
    <w:lvl w:ilvl="6" w:tplc="82D0C382">
      <w:start w:val="1"/>
      <w:numFmt w:val="decimal"/>
      <w:lvlText w:val="%7."/>
      <w:lvlJc w:val="left"/>
      <w:pPr>
        <w:ind w:left="5040" w:hanging="360"/>
      </w:pPr>
      <w:rPr>
        <w:rFonts w:cs="Times New Roman"/>
      </w:rPr>
    </w:lvl>
    <w:lvl w:ilvl="7" w:tplc="EB76BB62">
      <w:start w:val="1"/>
      <w:numFmt w:val="lowerLetter"/>
      <w:lvlText w:val="%8."/>
      <w:lvlJc w:val="left"/>
      <w:pPr>
        <w:ind w:left="5760" w:hanging="360"/>
      </w:pPr>
      <w:rPr>
        <w:rFonts w:cs="Times New Roman"/>
      </w:rPr>
    </w:lvl>
    <w:lvl w:ilvl="8" w:tplc="2CB2F56A">
      <w:start w:val="1"/>
      <w:numFmt w:val="lowerRoman"/>
      <w:lvlText w:val="%9."/>
      <w:lvlJc w:val="right"/>
      <w:pPr>
        <w:ind w:left="6480" w:hanging="180"/>
      </w:pPr>
      <w:rPr>
        <w:rFonts w:cs="Times New Roman"/>
      </w:rPr>
    </w:lvl>
  </w:abstractNum>
  <w:abstractNum w:abstractNumId="1" w15:restartNumberingAfterBreak="0">
    <w:nsid w:val="4B4B4C4D"/>
    <w:multiLevelType w:val="hybridMultilevel"/>
    <w:tmpl w:val="8C8E8646"/>
    <w:lvl w:ilvl="0" w:tplc="67BE3D68">
      <w:start w:val="1"/>
      <w:numFmt w:val="hebrew1"/>
      <w:lvlText w:val="%1."/>
      <w:lvlJc w:val="left"/>
      <w:pPr>
        <w:ind w:left="1080" w:hanging="360"/>
      </w:pPr>
      <w:rPr>
        <w:rFonts w:cs="Times New Roman"/>
      </w:rPr>
    </w:lvl>
    <w:lvl w:ilvl="1" w:tplc="46CA1D4E">
      <w:start w:val="1"/>
      <w:numFmt w:val="lowerLetter"/>
      <w:lvlText w:val="%2."/>
      <w:lvlJc w:val="left"/>
      <w:pPr>
        <w:ind w:left="1800" w:hanging="360"/>
      </w:pPr>
      <w:rPr>
        <w:rFonts w:cs="Times New Roman"/>
      </w:rPr>
    </w:lvl>
    <w:lvl w:ilvl="2" w:tplc="81A2A108">
      <w:start w:val="1"/>
      <w:numFmt w:val="lowerRoman"/>
      <w:lvlText w:val="%3."/>
      <w:lvlJc w:val="right"/>
      <w:pPr>
        <w:ind w:left="2520" w:hanging="180"/>
      </w:pPr>
      <w:rPr>
        <w:rFonts w:cs="Times New Roman"/>
      </w:rPr>
    </w:lvl>
    <w:lvl w:ilvl="3" w:tplc="363C07CE">
      <w:start w:val="1"/>
      <w:numFmt w:val="decimal"/>
      <w:lvlText w:val="%4."/>
      <w:lvlJc w:val="left"/>
      <w:pPr>
        <w:ind w:left="3240" w:hanging="360"/>
      </w:pPr>
      <w:rPr>
        <w:rFonts w:cs="Times New Roman"/>
      </w:rPr>
    </w:lvl>
    <w:lvl w:ilvl="4" w:tplc="DBB689D6">
      <w:start w:val="1"/>
      <w:numFmt w:val="lowerLetter"/>
      <w:lvlText w:val="%5."/>
      <w:lvlJc w:val="left"/>
      <w:pPr>
        <w:ind w:left="3960" w:hanging="360"/>
      </w:pPr>
      <w:rPr>
        <w:rFonts w:cs="Times New Roman"/>
      </w:rPr>
    </w:lvl>
    <w:lvl w:ilvl="5" w:tplc="36FCE138">
      <w:start w:val="1"/>
      <w:numFmt w:val="lowerRoman"/>
      <w:lvlText w:val="%6."/>
      <w:lvlJc w:val="right"/>
      <w:pPr>
        <w:ind w:left="4680" w:hanging="180"/>
      </w:pPr>
      <w:rPr>
        <w:rFonts w:cs="Times New Roman"/>
      </w:rPr>
    </w:lvl>
    <w:lvl w:ilvl="6" w:tplc="9F7CD4AC">
      <w:start w:val="1"/>
      <w:numFmt w:val="decimal"/>
      <w:lvlText w:val="%7."/>
      <w:lvlJc w:val="left"/>
      <w:pPr>
        <w:ind w:left="5400" w:hanging="360"/>
      </w:pPr>
      <w:rPr>
        <w:rFonts w:cs="Times New Roman"/>
      </w:rPr>
    </w:lvl>
    <w:lvl w:ilvl="7" w:tplc="69FA1972">
      <w:start w:val="1"/>
      <w:numFmt w:val="lowerLetter"/>
      <w:lvlText w:val="%8."/>
      <w:lvlJc w:val="left"/>
      <w:pPr>
        <w:ind w:left="6120" w:hanging="360"/>
      </w:pPr>
      <w:rPr>
        <w:rFonts w:cs="Times New Roman"/>
      </w:rPr>
    </w:lvl>
    <w:lvl w:ilvl="8" w:tplc="7004BB28">
      <w:start w:val="1"/>
      <w:numFmt w:val="lowerRoman"/>
      <w:lvlText w:val="%9."/>
      <w:lvlJc w:val="right"/>
      <w:pPr>
        <w:ind w:left="6840" w:hanging="180"/>
      </w:pPr>
      <w:rPr>
        <w:rFonts w:cs="Times New Roman"/>
      </w:rPr>
    </w:lvl>
  </w:abstractNum>
  <w:abstractNum w:abstractNumId="2" w15:restartNumberingAfterBreak="0">
    <w:nsid w:val="58C43119"/>
    <w:multiLevelType w:val="hybridMultilevel"/>
    <w:tmpl w:val="F3709404"/>
    <w:lvl w:ilvl="0" w:tplc="AAF4E844">
      <w:start w:val="1"/>
      <w:numFmt w:val="decimal"/>
      <w:lvlText w:val="%1."/>
      <w:lvlJc w:val="left"/>
      <w:pPr>
        <w:ind w:left="1080" w:hanging="360"/>
      </w:pPr>
      <w:rPr>
        <w:rFonts w:cs="Times New Roman"/>
        <w:b w:val="0"/>
        <w:bCs w:val="0"/>
      </w:rPr>
    </w:lvl>
    <w:lvl w:ilvl="1" w:tplc="3AD8F0D0">
      <w:start w:val="1"/>
      <w:numFmt w:val="lowerLetter"/>
      <w:lvlText w:val="%2."/>
      <w:lvlJc w:val="left"/>
      <w:pPr>
        <w:ind w:left="1800" w:hanging="360"/>
      </w:pPr>
      <w:rPr>
        <w:rFonts w:cs="Times New Roman"/>
      </w:rPr>
    </w:lvl>
    <w:lvl w:ilvl="2" w:tplc="F95A7FC6">
      <w:start w:val="1"/>
      <w:numFmt w:val="lowerRoman"/>
      <w:lvlText w:val="%3."/>
      <w:lvlJc w:val="right"/>
      <w:pPr>
        <w:ind w:left="2520" w:hanging="180"/>
      </w:pPr>
      <w:rPr>
        <w:rFonts w:cs="Times New Roman"/>
      </w:rPr>
    </w:lvl>
    <w:lvl w:ilvl="3" w:tplc="46327F64">
      <w:start w:val="1"/>
      <w:numFmt w:val="decimal"/>
      <w:lvlText w:val="%4."/>
      <w:lvlJc w:val="left"/>
      <w:pPr>
        <w:ind w:left="3240" w:hanging="360"/>
      </w:pPr>
      <w:rPr>
        <w:rFonts w:cs="Times New Roman"/>
      </w:rPr>
    </w:lvl>
    <w:lvl w:ilvl="4" w:tplc="A1744824">
      <w:start w:val="1"/>
      <w:numFmt w:val="lowerLetter"/>
      <w:lvlText w:val="%5."/>
      <w:lvlJc w:val="left"/>
      <w:pPr>
        <w:ind w:left="3960" w:hanging="360"/>
      </w:pPr>
      <w:rPr>
        <w:rFonts w:cs="Times New Roman"/>
      </w:rPr>
    </w:lvl>
    <w:lvl w:ilvl="5" w:tplc="EDF09FC6">
      <w:start w:val="1"/>
      <w:numFmt w:val="lowerRoman"/>
      <w:lvlText w:val="%6."/>
      <w:lvlJc w:val="right"/>
      <w:pPr>
        <w:ind w:left="4680" w:hanging="180"/>
      </w:pPr>
      <w:rPr>
        <w:rFonts w:cs="Times New Roman"/>
      </w:rPr>
    </w:lvl>
    <w:lvl w:ilvl="6" w:tplc="DCD67B64">
      <w:start w:val="1"/>
      <w:numFmt w:val="decimal"/>
      <w:lvlText w:val="%7."/>
      <w:lvlJc w:val="left"/>
      <w:pPr>
        <w:ind w:left="5400" w:hanging="360"/>
      </w:pPr>
      <w:rPr>
        <w:rFonts w:cs="Times New Roman"/>
      </w:rPr>
    </w:lvl>
    <w:lvl w:ilvl="7" w:tplc="3EEE8A9E">
      <w:start w:val="1"/>
      <w:numFmt w:val="lowerLetter"/>
      <w:lvlText w:val="%8."/>
      <w:lvlJc w:val="left"/>
      <w:pPr>
        <w:ind w:left="6120" w:hanging="360"/>
      </w:pPr>
      <w:rPr>
        <w:rFonts w:cs="Times New Roman"/>
      </w:rPr>
    </w:lvl>
    <w:lvl w:ilvl="8" w:tplc="32C03926">
      <w:start w:val="1"/>
      <w:numFmt w:val="lowerRoman"/>
      <w:lvlText w:val="%9."/>
      <w:lvlJc w:val="right"/>
      <w:pPr>
        <w:ind w:left="6840" w:hanging="180"/>
      </w:pPr>
      <w:rPr>
        <w:rFonts w:cs="Times New Roman"/>
      </w:rPr>
    </w:lvl>
  </w:abstractNum>
  <w:num w:numId="1" w16cid:durableId="20069770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6590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93833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79DF"/>
    <w:rsid w:val="001A3493"/>
    <w:rsid w:val="001F5FA2"/>
    <w:rsid w:val="00226BC3"/>
    <w:rsid w:val="002A3B6C"/>
    <w:rsid w:val="003C6D70"/>
    <w:rsid w:val="004079DF"/>
    <w:rsid w:val="00574D2E"/>
    <w:rsid w:val="0071433D"/>
    <w:rsid w:val="00AB1729"/>
    <w:rsid w:val="00CA1CDA"/>
    <w:rsid w:val="00E1594B"/>
    <w:rsid w:val="00F17151"/>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372573"/>
  <w15:chartTrackingRefBased/>
  <w15:docId w15:val="{2CA83BF2-6B04-4E11-8839-EB0659F4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79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79DF"/>
    <w:pPr>
      <w:tabs>
        <w:tab w:val="center" w:pos="4153"/>
        <w:tab w:val="right" w:pos="8306"/>
      </w:tabs>
    </w:pPr>
  </w:style>
  <w:style w:type="character" w:customStyle="1" w:styleId="a4">
    <w:name w:val="כותרת עליונה תו"/>
    <w:link w:val="a3"/>
    <w:rsid w:val="004079DF"/>
    <w:rPr>
      <w:rFonts w:ascii="Times New Roman" w:eastAsia="Times New Roman" w:hAnsi="Times New Roman" w:cs="David"/>
      <w:sz w:val="24"/>
      <w:szCs w:val="24"/>
    </w:rPr>
  </w:style>
  <w:style w:type="paragraph" w:styleId="a5">
    <w:name w:val="footer"/>
    <w:basedOn w:val="a"/>
    <w:link w:val="a6"/>
    <w:rsid w:val="004079DF"/>
    <w:pPr>
      <w:tabs>
        <w:tab w:val="center" w:pos="4153"/>
        <w:tab w:val="right" w:pos="8306"/>
      </w:tabs>
    </w:pPr>
  </w:style>
  <w:style w:type="character" w:customStyle="1" w:styleId="a6">
    <w:name w:val="כותרת תחתונה תו"/>
    <w:link w:val="a5"/>
    <w:rsid w:val="004079DF"/>
    <w:rPr>
      <w:rFonts w:ascii="Times New Roman" w:eastAsia="Times New Roman" w:hAnsi="Times New Roman" w:cs="David"/>
      <w:sz w:val="24"/>
      <w:szCs w:val="24"/>
    </w:rPr>
  </w:style>
  <w:style w:type="table" w:styleId="a7">
    <w:name w:val="Table Grid"/>
    <w:basedOn w:val="a1"/>
    <w:rsid w:val="004079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79DF"/>
  </w:style>
  <w:style w:type="paragraph" w:customStyle="1" w:styleId="ListParagraph">
    <w:name w:val="List Paragraph"/>
    <w:basedOn w:val="a"/>
    <w:qFormat/>
    <w:rsid w:val="004079DF"/>
    <w:pPr>
      <w:spacing w:after="160" w:line="256" w:lineRule="auto"/>
      <w:ind w:left="720"/>
      <w:contextualSpacing/>
    </w:pPr>
    <w:rPr>
      <w:rFonts w:ascii="Calibri" w:hAnsi="Calibri" w:cs="Arial"/>
      <w:sz w:val="22"/>
      <w:szCs w:val="22"/>
    </w:rPr>
  </w:style>
  <w:style w:type="character" w:styleId="Hyperlink">
    <w:name w:val="Hyperlink"/>
    <w:rsid w:val="002A3B6C"/>
    <w:rPr>
      <w:color w:val="0563C1"/>
      <w:u w:val="single"/>
    </w:rPr>
  </w:style>
  <w:style w:type="character" w:styleId="a9">
    <w:name w:val="Unresolved Mention"/>
    <w:uiPriority w:val="99"/>
    <w:semiHidden/>
    <w:unhideWhenUsed/>
    <w:rsid w:val="003C6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141771" TargetMode="External"/><Relationship Id="rId26" Type="http://schemas.openxmlformats.org/officeDocument/2006/relationships/hyperlink" Target="http://www.nevo.co.il/law/141771" TargetMode="External"/><Relationship Id="rId39" Type="http://schemas.openxmlformats.org/officeDocument/2006/relationships/hyperlink" Target="http://www.nevo.co.il/case/5784759" TargetMode="External"/><Relationship Id="rId21" Type="http://schemas.openxmlformats.org/officeDocument/2006/relationships/hyperlink" Target="http://www.nevo.co.il/law/70301/99" TargetMode="External"/><Relationship Id="rId34" Type="http://schemas.openxmlformats.org/officeDocument/2006/relationships/hyperlink" Target="http://www.nevo.co.il/case/13093721" TargetMode="External"/><Relationship Id="rId42" Type="http://schemas.openxmlformats.org/officeDocument/2006/relationships/hyperlink" Target="http://www.nevo.co.il/case/20531134" TargetMode="External"/><Relationship Id="rId47" Type="http://schemas.openxmlformats.org/officeDocument/2006/relationships/hyperlink" Target="http://www.nevo.co.il/case/6949290" TargetMode="External"/><Relationship Id="rId50" Type="http://schemas.openxmlformats.org/officeDocument/2006/relationships/hyperlink" Target="http://www.nevo.co.il/law/70301/gC"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3729" TargetMode="External"/><Relationship Id="rId29" Type="http://schemas.openxmlformats.org/officeDocument/2006/relationships/hyperlink" Target="http://www.nevo.co.il/case/6150971" TargetMode="External"/><Relationship Id="rId11" Type="http://schemas.openxmlformats.org/officeDocument/2006/relationships/hyperlink" Target="http://www.nevo.co.il/law/70301/99.a" TargetMode="External"/><Relationship Id="rId24" Type="http://schemas.openxmlformats.org/officeDocument/2006/relationships/hyperlink" Target="http://www.nevo.co.il/law/73729"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594675" TargetMode="External"/><Relationship Id="rId40" Type="http://schemas.openxmlformats.org/officeDocument/2006/relationships/hyperlink" Target="http://www.nevo.co.il/case/21771409" TargetMode="External"/><Relationship Id="rId45" Type="http://schemas.openxmlformats.org/officeDocument/2006/relationships/hyperlink" Target="http://www.nevo.co.il/law/7030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141771/24" TargetMode="External"/><Relationship Id="rId4" Type="http://schemas.openxmlformats.org/officeDocument/2006/relationships/webSettings" Target="webSettings.xml"/><Relationship Id="rId9" Type="http://schemas.openxmlformats.org/officeDocument/2006/relationships/hyperlink" Target="http://www.nevo.co.il/law/70301/92"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a.;144.b.;144.b2" TargetMode="External"/><Relationship Id="rId30" Type="http://schemas.openxmlformats.org/officeDocument/2006/relationships/hyperlink" Target="http://www.nevo.co.il/case/5813431" TargetMode="External"/><Relationship Id="rId35" Type="http://schemas.openxmlformats.org/officeDocument/2006/relationships/hyperlink" Target="http://www.nevo.co.il/case/13093744"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case/21475135" TargetMode="External"/><Relationship Id="rId56"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3729/85g" TargetMode="External"/><Relationship Id="rId25" Type="http://schemas.openxmlformats.org/officeDocument/2006/relationships/hyperlink" Target="http://www.nevo.co.il/law/141771/24" TargetMode="External"/><Relationship Id="rId33" Type="http://schemas.openxmlformats.org/officeDocument/2006/relationships/hyperlink" Target="http://www.nevo.co.il/law/70301/99.a" TargetMode="External"/><Relationship Id="rId38" Type="http://schemas.openxmlformats.org/officeDocument/2006/relationships/hyperlink" Target="http://www.nevo.co.il/case/8283505" TargetMode="External"/><Relationship Id="rId46" Type="http://schemas.openxmlformats.org/officeDocument/2006/relationships/hyperlink" Target="http://www.nevo.co.il/case/5887664" TargetMode="External"/><Relationship Id="rId20" Type="http://schemas.openxmlformats.org/officeDocument/2006/relationships/hyperlink" Target="http://www.nevo.co.il/law/70301/92" TargetMode="External"/><Relationship Id="rId41" Type="http://schemas.openxmlformats.org/officeDocument/2006/relationships/hyperlink" Target="http://www.nevo.co.il/case/20683369"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gC" TargetMode="External"/><Relationship Id="rId23" Type="http://schemas.openxmlformats.org/officeDocument/2006/relationships/hyperlink" Target="http://www.nevo.co.il/law/73729/85g"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472947" TargetMode="External"/><Relationship Id="rId49" Type="http://schemas.openxmlformats.org/officeDocument/2006/relationships/hyperlink" Target="http://www.nevo.co.il/case/20881655" TargetMode="External"/><Relationship Id="rId57" Type="http://schemas.openxmlformats.org/officeDocument/2006/relationships/fontTable" Target="fontTable.xml"/><Relationship Id="rId10" Type="http://schemas.openxmlformats.org/officeDocument/2006/relationships/hyperlink" Target="http://www.nevo.co.il/law/70301/99" TargetMode="External"/><Relationship Id="rId31" Type="http://schemas.openxmlformats.org/officeDocument/2006/relationships/hyperlink" Target="http://www.nevo.co.il/law/70301/92" TargetMode="External"/><Relationship Id="rId44" Type="http://schemas.openxmlformats.org/officeDocument/2006/relationships/hyperlink" Target="http://www.nevo.co.il/law/70301/29"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4015</Words>
  <Characters>20077</Characters>
  <Application>Microsoft Office Word</Application>
  <DocSecurity>0</DocSecurity>
  <Lines>167</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24044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3538994</vt:i4>
      </vt:variant>
      <vt:variant>
        <vt:i4>129</vt:i4>
      </vt:variant>
      <vt:variant>
        <vt:i4>0</vt:i4>
      </vt:variant>
      <vt:variant>
        <vt:i4>5</vt:i4>
      </vt:variant>
      <vt:variant>
        <vt:lpwstr>http://www.nevo.co.il/law/70301/gC</vt:lpwstr>
      </vt:variant>
      <vt:variant>
        <vt:lpwstr/>
      </vt:variant>
      <vt:variant>
        <vt:i4>4063354</vt:i4>
      </vt:variant>
      <vt:variant>
        <vt:i4>126</vt:i4>
      </vt:variant>
      <vt:variant>
        <vt:i4>0</vt:i4>
      </vt:variant>
      <vt:variant>
        <vt:i4>5</vt:i4>
      </vt:variant>
      <vt:variant>
        <vt:lpwstr>http://www.nevo.co.il/case/20881655</vt:lpwstr>
      </vt:variant>
      <vt:variant>
        <vt:lpwstr/>
      </vt:variant>
      <vt:variant>
        <vt:i4>3145843</vt:i4>
      </vt:variant>
      <vt:variant>
        <vt:i4>123</vt:i4>
      </vt:variant>
      <vt:variant>
        <vt:i4>0</vt:i4>
      </vt:variant>
      <vt:variant>
        <vt:i4>5</vt:i4>
      </vt:variant>
      <vt:variant>
        <vt:lpwstr>http://www.nevo.co.il/case/21475135</vt:lpwstr>
      </vt:variant>
      <vt:variant>
        <vt:lpwstr/>
      </vt:variant>
      <vt:variant>
        <vt:i4>3145853</vt:i4>
      </vt:variant>
      <vt:variant>
        <vt:i4>120</vt:i4>
      </vt:variant>
      <vt:variant>
        <vt:i4>0</vt:i4>
      </vt:variant>
      <vt:variant>
        <vt:i4>5</vt:i4>
      </vt:variant>
      <vt:variant>
        <vt:lpwstr>http://www.nevo.co.il/case/6949290</vt:lpwstr>
      </vt:variant>
      <vt:variant>
        <vt:lpwstr/>
      </vt:variant>
      <vt:variant>
        <vt:i4>4128893</vt:i4>
      </vt:variant>
      <vt:variant>
        <vt:i4>117</vt:i4>
      </vt:variant>
      <vt:variant>
        <vt:i4>0</vt:i4>
      </vt:variant>
      <vt:variant>
        <vt:i4>5</vt:i4>
      </vt:variant>
      <vt:variant>
        <vt:lpwstr>http://www.nevo.co.il/case/5887664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3473526</vt:i4>
      </vt:variant>
      <vt:variant>
        <vt:i4>105</vt:i4>
      </vt:variant>
      <vt:variant>
        <vt:i4>0</vt:i4>
      </vt:variant>
      <vt:variant>
        <vt:i4>5</vt:i4>
      </vt:variant>
      <vt:variant>
        <vt:lpwstr>http://www.nevo.co.il/case/20531134</vt:lpwstr>
      </vt:variant>
      <vt:variant>
        <vt:lpwstr/>
      </vt:variant>
      <vt:variant>
        <vt:i4>3211391</vt:i4>
      </vt:variant>
      <vt:variant>
        <vt:i4>102</vt:i4>
      </vt:variant>
      <vt:variant>
        <vt:i4>0</vt:i4>
      </vt:variant>
      <vt:variant>
        <vt:i4>5</vt:i4>
      </vt:variant>
      <vt:variant>
        <vt:lpwstr>http://www.nevo.co.il/case/20683369</vt:lpwstr>
      </vt:variant>
      <vt:variant>
        <vt:lpwstr/>
      </vt:variant>
      <vt:variant>
        <vt:i4>3407990</vt:i4>
      </vt:variant>
      <vt:variant>
        <vt:i4>99</vt:i4>
      </vt:variant>
      <vt:variant>
        <vt:i4>0</vt:i4>
      </vt:variant>
      <vt:variant>
        <vt:i4>5</vt:i4>
      </vt:variant>
      <vt:variant>
        <vt:lpwstr>http://www.nevo.co.il/case/21771409</vt:lpwstr>
      </vt:variant>
      <vt:variant>
        <vt:lpwstr/>
      </vt:variant>
      <vt:variant>
        <vt:i4>3342450</vt:i4>
      </vt:variant>
      <vt:variant>
        <vt:i4>96</vt:i4>
      </vt:variant>
      <vt:variant>
        <vt:i4>0</vt:i4>
      </vt:variant>
      <vt:variant>
        <vt:i4>5</vt:i4>
      </vt:variant>
      <vt:variant>
        <vt:lpwstr>http://www.nevo.co.il/case/5784759</vt:lpwstr>
      </vt:variant>
      <vt:variant>
        <vt:lpwstr/>
      </vt:variant>
      <vt:variant>
        <vt:i4>3145845</vt:i4>
      </vt:variant>
      <vt:variant>
        <vt:i4>93</vt:i4>
      </vt:variant>
      <vt:variant>
        <vt:i4>0</vt:i4>
      </vt:variant>
      <vt:variant>
        <vt:i4>5</vt:i4>
      </vt:variant>
      <vt:variant>
        <vt:lpwstr>http://www.nevo.co.il/case/8283505</vt:lpwstr>
      </vt:variant>
      <vt:variant>
        <vt:lpwstr/>
      </vt:variant>
      <vt:variant>
        <vt:i4>4128882</vt:i4>
      </vt:variant>
      <vt:variant>
        <vt:i4>90</vt:i4>
      </vt:variant>
      <vt:variant>
        <vt:i4>0</vt:i4>
      </vt:variant>
      <vt:variant>
        <vt:i4>5</vt:i4>
      </vt:variant>
      <vt:variant>
        <vt:lpwstr>http://www.nevo.co.il/case/5594675</vt:lpwstr>
      </vt:variant>
      <vt:variant>
        <vt:lpwstr/>
      </vt:variant>
      <vt:variant>
        <vt:i4>3145851</vt:i4>
      </vt:variant>
      <vt:variant>
        <vt:i4>87</vt:i4>
      </vt:variant>
      <vt:variant>
        <vt:i4>0</vt:i4>
      </vt:variant>
      <vt:variant>
        <vt:i4>5</vt:i4>
      </vt:variant>
      <vt:variant>
        <vt:lpwstr>http://www.nevo.co.il/case/21472947</vt:lpwstr>
      </vt:variant>
      <vt:variant>
        <vt:lpwstr/>
      </vt:variant>
      <vt:variant>
        <vt:i4>3539065</vt:i4>
      </vt:variant>
      <vt:variant>
        <vt:i4>84</vt:i4>
      </vt:variant>
      <vt:variant>
        <vt:i4>0</vt:i4>
      </vt:variant>
      <vt:variant>
        <vt:i4>5</vt:i4>
      </vt:variant>
      <vt:variant>
        <vt:lpwstr>http://www.nevo.co.il/case/13093744</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852034</vt:i4>
      </vt:variant>
      <vt:variant>
        <vt:i4>78</vt:i4>
      </vt:variant>
      <vt:variant>
        <vt:i4>0</vt:i4>
      </vt:variant>
      <vt:variant>
        <vt:i4>5</vt:i4>
      </vt:variant>
      <vt:variant>
        <vt:lpwstr>http://www.nevo.co.il/law/70301/99.a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6750316</vt:i4>
      </vt:variant>
      <vt:variant>
        <vt:i4>72</vt:i4>
      </vt:variant>
      <vt:variant>
        <vt:i4>0</vt:i4>
      </vt:variant>
      <vt:variant>
        <vt:i4>5</vt:i4>
      </vt:variant>
      <vt:variant>
        <vt:lpwstr>http://www.nevo.co.il/law/70301/92</vt:lpwstr>
      </vt:variant>
      <vt:variant>
        <vt:lpwstr/>
      </vt:variant>
      <vt:variant>
        <vt:i4>3211388</vt:i4>
      </vt:variant>
      <vt:variant>
        <vt:i4>69</vt:i4>
      </vt:variant>
      <vt:variant>
        <vt:i4>0</vt:i4>
      </vt:variant>
      <vt:variant>
        <vt:i4>5</vt:i4>
      </vt:variant>
      <vt:variant>
        <vt:lpwstr>http://www.nevo.co.il/case/5813431</vt:lpwstr>
      </vt:variant>
      <vt:variant>
        <vt:lpwstr/>
      </vt:variant>
      <vt:variant>
        <vt:i4>3866738</vt:i4>
      </vt:variant>
      <vt:variant>
        <vt:i4>66</vt:i4>
      </vt:variant>
      <vt:variant>
        <vt:i4>0</vt:i4>
      </vt:variant>
      <vt:variant>
        <vt:i4>5</vt:i4>
      </vt:variant>
      <vt:variant>
        <vt:lpwstr>http://www.nevo.co.il/case/6150971</vt:lpwstr>
      </vt:variant>
      <vt:variant>
        <vt:lpwstr/>
      </vt:variant>
      <vt:variant>
        <vt:i4>7995492</vt:i4>
      </vt:variant>
      <vt:variant>
        <vt:i4>63</vt:i4>
      </vt:variant>
      <vt:variant>
        <vt:i4>0</vt:i4>
      </vt:variant>
      <vt:variant>
        <vt:i4>5</vt:i4>
      </vt:variant>
      <vt:variant>
        <vt:lpwstr>http://www.nevo.co.il/law/70301</vt:lpwstr>
      </vt:variant>
      <vt:variant>
        <vt:lpwstr/>
      </vt:variant>
      <vt:variant>
        <vt:i4>1376345</vt:i4>
      </vt:variant>
      <vt:variant>
        <vt:i4>60</vt:i4>
      </vt:variant>
      <vt:variant>
        <vt:i4>0</vt:i4>
      </vt:variant>
      <vt:variant>
        <vt:i4>5</vt:i4>
      </vt:variant>
      <vt:variant>
        <vt:lpwstr>http://www.nevo.co.il/law/70301/144.a.;144.b.;144.b2</vt:lpwstr>
      </vt:variant>
      <vt:variant>
        <vt:lpwstr/>
      </vt:variant>
      <vt:variant>
        <vt:i4>4718679</vt:i4>
      </vt:variant>
      <vt:variant>
        <vt:i4>57</vt:i4>
      </vt:variant>
      <vt:variant>
        <vt:i4>0</vt:i4>
      </vt:variant>
      <vt:variant>
        <vt:i4>5</vt:i4>
      </vt:variant>
      <vt:variant>
        <vt:lpwstr>http://www.nevo.co.il/law/141771</vt:lpwstr>
      </vt:variant>
      <vt:variant>
        <vt:lpwstr/>
      </vt:variant>
      <vt:variant>
        <vt:i4>7995512</vt:i4>
      </vt:variant>
      <vt:variant>
        <vt:i4>54</vt:i4>
      </vt:variant>
      <vt:variant>
        <vt:i4>0</vt:i4>
      </vt:variant>
      <vt:variant>
        <vt:i4>5</vt:i4>
      </vt:variant>
      <vt:variant>
        <vt:lpwstr>http://www.nevo.co.il/law/141771/24</vt:lpwstr>
      </vt:variant>
      <vt:variant>
        <vt:lpwstr/>
      </vt:variant>
      <vt:variant>
        <vt:i4>8061024</vt:i4>
      </vt:variant>
      <vt:variant>
        <vt:i4>51</vt:i4>
      </vt:variant>
      <vt:variant>
        <vt:i4>0</vt:i4>
      </vt:variant>
      <vt:variant>
        <vt:i4>5</vt:i4>
      </vt:variant>
      <vt:variant>
        <vt:lpwstr>http://www.nevo.co.il/law/73729</vt:lpwstr>
      </vt:variant>
      <vt:variant>
        <vt:lpwstr/>
      </vt:variant>
      <vt:variant>
        <vt:i4>6357089</vt:i4>
      </vt:variant>
      <vt:variant>
        <vt:i4>48</vt:i4>
      </vt:variant>
      <vt:variant>
        <vt:i4>0</vt:i4>
      </vt:variant>
      <vt:variant>
        <vt:i4>5</vt:i4>
      </vt:variant>
      <vt:variant>
        <vt:lpwstr>http://www.nevo.co.il/law/73729/85g</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7077996</vt:i4>
      </vt:variant>
      <vt:variant>
        <vt:i4>42</vt:i4>
      </vt:variant>
      <vt:variant>
        <vt:i4>0</vt:i4>
      </vt:variant>
      <vt:variant>
        <vt:i4>5</vt:i4>
      </vt:variant>
      <vt:variant>
        <vt:lpwstr>http://www.nevo.co.il/law/70301/99</vt:lpwstr>
      </vt:variant>
      <vt:variant>
        <vt:lpwstr/>
      </vt:variant>
      <vt:variant>
        <vt:i4>6750316</vt:i4>
      </vt:variant>
      <vt:variant>
        <vt:i4>39</vt:i4>
      </vt:variant>
      <vt:variant>
        <vt:i4>0</vt:i4>
      </vt:variant>
      <vt:variant>
        <vt:i4>5</vt:i4>
      </vt:variant>
      <vt:variant>
        <vt:lpwstr>http://www.nevo.co.il/law/70301/92</vt:lpwstr>
      </vt:variant>
      <vt:variant>
        <vt:lpwstr/>
      </vt:variant>
      <vt:variant>
        <vt:i4>7995512</vt:i4>
      </vt:variant>
      <vt:variant>
        <vt:i4>36</vt:i4>
      </vt:variant>
      <vt:variant>
        <vt:i4>0</vt:i4>
      </vt:variant>
      <vt:variant>
        <vt:i4>5</vt:i4>
      </vt:variant>
      <vt:variant>
        <vt:lpwstr>http://www.nevo.co.il/law/141771/24</vt:lpwstr>
      </vt:variant>
      <vt:variant>
        <vt:lpwstr/>
      </vt:variant>
      <vt:variant>
        <vt:i4>4718679</vt:i4>
      </vt:variant>
      <vt:variant>
        <vt:i4>33</vt:i4>
      </vt:variant>
      <vt:variant>
        <vt:i4>0</vt:i4>
      </vt:variant>
      <vt:variant>
        <vt:i4>5</vt:i4>
      </vt:variant>
      <vt:variant>
        <vt:lpwstr>http://www.nevo.co.il/law/141771</vt:lpwstr>
      </vt:variant>
      <vt:variant>
        <vt:lpwstr/>
      </vt:variant>
      <vt:variant>
        <vt:i4>6357089</vt:i4>
      </vt:variant>
      <vt:variant>
        <vt:i4>30</vt:i4>
      </vt:variant>
      <vt:variant>
        <vt:i4>0</vt:i4>
      </vt:variant>
      <vt:variant>
        <vt:i4>5</vt:i4>
      </vt:variant>
      <vt:variant>
        <vt:lpwstr>http://www.nevo.co.il/law/73729/85g</vt:lpwstr>
      </vt:variant>
      <vt:variant>
        <vt:lpwstr/>
      </vt:variant>
      <vt:variant>
        <vt:i4>8061024</vt:i4>
      </vt:variant>
      <vt:variant>
        <vt:i4>27</vt:i4>
      </vt:variant>
      <vt:variant>
        <vt:i4>0</vt:i4>
      </vt:variant>
      <vt:variant>
        <vt:i4>5</vt:i4>
      </vt:variant>
      <vt:variant>
        <vt:lpwstr>http://www.nevo.co.il/law/73729</vt:lpwstr>
      </vt:variant>
      <vt:variant>
        <vt:lpwstr/>
      </vt:variant>
      <vt:variant>
        <vt:i4>3538994</vt:i4>
      </vt:variant>
      <vt:variant>
        <vt:i4>24</vt:i4>
      </vt:variant>
      <vt:variant>
        <vt:i4>0</vt:i4>
      </vt:variant>
      <vt:variant>
        <vt:i4>5</vt:i4>
      </vt:variant>
      <vt:variant>
        <vt:lpwstr>http://www.nevo.co.il/law/70301/gC</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6357042</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852034</vt:i4>
      </vt:variant>
      <vt:variant>
        <vt:i4>12</vt:i4>
      </vt:variant>
      <vt:variant>
        <vt:i4>0</vt:i4>
      </vt:variant>
      <vt:variant>
        <vt:i4>5</vt:i4>
      </vt:variant>
      <vt:variant>
        <vt:lpwstr>http://www.nevo.co.il/law/70301/99.a</vt:lpwstr>
      </vt:variant>
      <vt:variant>
        <vt:lpwstr/>
      </vt:variant>
      <vt:variant>
        <vt:i4>7077996</vt:i4>
      </vt:variant>
      <vt:variant>
        <vt:i4>9</vt:i4>
      </vt:variant>
      <vt:variant>
        <vt:i4>0</vt:i4>
      </vt:variant>
      <vt:variant>
        <vt:i4>5</vt:i4>
      </vt:variant>
      <vt:variant>
        <vt:lpwstr>http://www.nevo.co.il/law/70301/99</vt:lpwstr>
      </vt:variant>
      <vt:variant>
        <vt:lpwstr/>
      </vt:variant>
      <vt:variant>
        <vt:i4>6750316</vt:i4>
      </vt:variant>
      <vt:variant>
        <vt:i4>6</vt:i4>
      </vt:variant>
      <vt:variant>
        <vt:i4>0</vt:i4>
      </vt:variant>
      <vt:variant>
        <vt:i4>5</vt:i4>
      </vt:variant>
      <vt:variant>
        <vt:lpwstr>http://www.nevo.co.il/law/70301/92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30875</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פיראס אלעומרי</vt:lpwstr>
  </property>
  <property fmtid="{D5CDD505-2E9C-101B-9397-08002B2CF9AE}" pid="10" name="LAWYER">
    <vt:lpwstr>מסעד מסעד;אביגדור פלדמן;סמא חורי;עומר חמאיסי</vt:lpwstr>
  </property>
  <property fmtid="{D5CDD505-2E9C-101B-9397-08002B2CF9AE}" pid="11" name="JUDGE">
    <vt:lpwstr>נתן זלוצ'ובר;שלמה פרידלנדר;דינה כהן</vt:lpwstr>
  </property>
  <property fmtid="{D5CDD505-2E9C-101B-9397-08002B2CF9AE}" pid="12" name="CITY">
    <vt:lpwstr>ב"ש</vt:lpwstr>
  </property>
  <property fmtid="{D5CDD505-2E9C-101B-9397-08002B2CF9AE}" pid="13" name="DATE">
    <vt:lpwstr>20180708</vt:lpwstr>
  </property>
  <property fmtid="{D5CDD505-2E9C-101B-9397-08002B2CF9AE}" pid="14" name="TYPE_N_DATE">
    <vt:lpwstr>39020180708</vt:lpwstr>
  </property>
  <property fmtid="{D5CDD505-2E9C-101B-9397-08002B2CF9AE}" pid="15" name="WORDNUMPAGES">
    <vt:lpwstr>11</vt:lpwstr>
  </property>
  <property fmtid="{D5CDD505-2E9C-101B-9397-08002B2CF9AE}" pid="16" name="TYPE_ABS_DATE">
    <vt:lpwstr>390020180708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6150971;5813431;13093721;13093744;21472947;5594675;8283505;5784759;21771409;20683369;20531134;5887664;6949290;21475135;20881655</vt:lpwstr>
  </property>
  <property fmtid="{D5CDD505-2E9C-101B-9397-08002B2CF9AE}" pid="35" name="LAWLISTTMP1">
    <vt:lpwstr>70301/092:2;099;144.a:2;144.b;144.b2;099.a;029;gC</vt:lpwstr>
  </property>
  <property fmtid="{D5CDD505-2E9C-101B-9397-08002B2CF9AE}" pid="36" name="LAWLISTTMP2">
    <vt:lpwstr>73729/085g</vt:lpwstr>
  </property>
  <property fmtid="{D5CDD505-2E9C-101B-9397-08002B2CF9AE}" pid="37" name="LAWLISTTMP3">
    <vt:lpwstr>141771/024</vt:lpwstr>
  </property>
</Properties>
</file>