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3A32D2" w:rsidRPr="002F078A" w14:paraId="00F9DC94" w14:textId="77777777" w:rsidTr="00957FDA">
        <w:trPr>
          <w:trHeight w:hRule="exact" w:val="418"/>
          <w:jc w:val="center"/>
        </w:trPr>
        <w:tc>
          <w:tcPr>
            <w:tcW w:w="8721" w:type="dxa"/>
            <w:gridSpan w:val="2"/>
          </w:tcPr>
          <w:p w14:paraId="4E71DB60" w14:textId="77777777" w:rsidR="003A32D2" w:rsidRPr="002F078A" w:rsidRDefault="003A32D2" w:rsidP="0006485B">
            <w:pPr>
              <w:pStyle w:val="a3"/>
              <w:jc w:val="center"/>
              <w:rPr>
                <w:rFonts w:ascii="Tahoma" w:hAnsi="Tahoma" w:cs="Tahoma"/>
                <w:color w:val="000080"/>
                <w:rtl/>
              </w:rPr>
            </w:pPr>
            <w:bookmarkStart w:id="0" w:name="LastJudge"/>
            <w:r w:rsidRPr="002F078A">
              <w:rPr>
                <w:rFonts w:ascii="Tahoma" w:hAnsi="Tahoma" w:cs="Tahoma"/>
                <w:b/>
                <w:bCs/>
                <w:color w:val="000080"/>
                <w:rtl/>
              </w:rPr>
              <w:t>בית המשפט המחוזי בחיפה</w:t>
            </w:r>
          </w:p>
        </w:tc>
      </w:tr>
      <w:tr w:rsidR="003A32D2" w:rsidRPr="002F078A" w14:paraId="3CB0C647" w14:textId="77777777" w:rsidTr="00957FDA">
        <w:trPr>
          <w:trHeight w:val="337"/>
          <w:jc w:val="center"/>
        </w:trPr>
        <w:tc>
          <w:tcPr>
            <w:tcW w:w="5059" w:type="dxa"/>
          </w:tcPr>
          <w:p w14:paraId="0C8FC00F" w14:textId="77777777" w:rsidR="003A32D2" w:rsidRPr="002F078A" w:rsidRDefault="003A32D2" w:rsidP="0006485B">
            <w:pPr>
              <w:rPr>
                <w:rFonts w:cs="FrankRuehl"/>
                <w:sz w:val="28"/>
                <w:szCs w:val="28"/>
                <w:rtl/>
              </w:rPr>
            </w:pPr>
            <w:r w:rsidRPr="002F078A">
              <w:rPr>
                <w:rFonts w:cs="FrankRuehl"/>
                <w:sz w:val="28"/>
                <w:szCs w:val="28"/>
                <w:rtl/>
              </w:rPr>
              <w:t>ת"פ</w:t>
            </w:r>
            <w:r w:rsidRPr="002F078A">
              <w:rPr>
                <w:rFonts w:cs="FrankRuehl" w:hint="cs"/>
                <w:sz w:val="28"/>
                <w:szCs w:val="28"/>
                <w:rtl/>
              </w:rPr>
              <w:t xml:space="preserve"> </w:t>
            </w:r>
            <w:r w:rsidRPr="002F078A">
              <w:rPr>
                <w:rFonts w:cs="FrankRuehl"/>
                <w:sz w:val="28"/>
                <w:szCs w:val="28"/>
                <w:rtl/>
              </w:rPr>
              <w:t>45747-05-17</w:t>
            </w:r>
            <w:r w:rsidRPr="002F078A">
              <w:rPr>
                <w:rFonts w:cs="FrankRuehl" w:hint="cs"/>
                <w:sz w:val="28"/>
                <w:szCs w:val="28"/>
                <w:rtl/>
              </w:rPr>
              <w:t xml:space="preserve"> </w:t>
            </w:r>
            <w:r w:rsidRPr="002F078A">
              <w:rPr>
                <w:rFonts w:cs="FrankRuehl"/>
                <w:sz w:val="28"/>
                <w:szCs w:val="28"/>
                <w:rtl/>
              </w:rPr>
              <w:t>מדינת ישראל נ' סרחאן(עציר)</w:t>
            </w:r>
          </w:p>
          <w:p w14:paraId="01C7ABF6" w14:textId="77777777" w:rsidR="003A32D2" w:rsidRPr="002F078A" w:rsidRDefault="003A32D2" w:rsidP="0006485B">
            <w:pPr>
              <w:pStyle w:val="a3"/>
              <w:rPr>
                <w:rFonts w:cs="FrankRuehl"/>
                <w:sz w:val="28"/>
                <w:szCs w:val="28"/>
                <w:rtl/>
              </w:rPr>
            </w:pPr>
          </w:p>
        </w:tc>
        <w:tc>
          <w:tcPr>
            <w:tcW w:w="3662" w:type="dxa"/>
          </w:tcPr>
          <w:p w14:paraId="641CB74C" w14:textId="77777777" w:rsidR="003A32D2" w:rsidRPr="002F078A" w:rsidRDefault="003A32D2" w:rsidP="0006485B">
            <w:pPr>
              <w:pStyle w:val="a3"/>
              <w:jc w:val="right"/>
              <w:rPr>
                <w:rFonts w:cs="FrankRuehl"/>
                <w:sz w:val="28"/>
                <w:szCs w:val="28"/>
                <w:rtl/>
              </w:rPr>
            </w:pPr>
          </w:p>
        </w:tc>
      </w:tr>
    </w:tbl>
    <w:p w14:paraId="64B3548D" w14:textId="77777777" w:rsidR="003A32D2" w:rsidRPr="002F078A" w:rsidRDefault="003A32D2" w:rsidP="003A32D2">
      <w:pPr>
        <w:pStyle w:val="a3"/>
        <w:rPr>
          <w:rtl/>
        </w:rPr>
      </w:pPr>
      <w:r w:rsidRPr="002F078A">
        <w:rPr>
          <w:rFonts w:hint="cs"/>
          <w:rtl/>
        </w:rPr>
        <w:t xml:space="preserve"> </w:t>
      </w:r>
    </w:p>
    <w:p w14:paraId="4EBF9F5B" w14:textId="77777777" w:rsidR="003A32D2" w:rsidRPr="002F078A" w:rsidRDefault="003A32D2" w:rsidP="003A32D2">
      <w:pPr>
        <w:rPr>
          <w:rtl/>
        </w:rPr>
      </w:pPr>
    </w:p>
    <w:tbl>
      <w:tblPr>
        <w:bidiVisual/>
        <w:tblW w:w="8802" w:type="dxa"/>
        <w:tblInd w:w="-28" w:type="dxa"/>
        <w:tblLook w:val="01E0" w:firstRow="1" w:lastRow="1" w:firstColumn="1" w:lastColumn="1" w:noHBand="0" w:noVBand="0"/>
      </w:tblPr>
      <w:tblGrid>
        <w:gridCol w:w="2880"/>
        <w:gridCol w:w="5838"/>
        <w:gridCol w:w="84"/>
      </w:tblGrid>
      <w:tr w:rsidR="0006485B" w:rsidRPr="002F078A" w14:paraId="507A6750" w14:textId="77777777" w:rsidTr="003A32D2">
        <w:trPr>
          <w:gridAfter w:val="1"/>
          <w:wAfter w:w="56" w:type="dxa"/>
        </w:trPr>
        <w:tc>
          <w:tcPr>
            <w:tcW w:w="8718" w:type="dxa"/>
            <w:gridSpan w:val="2"/>
            <w:shd w:val="clear" w:color="auto" w:fill="auto"/>
          </w:tcPr>
          <w:p w14:paraId="285142BF" w14:textId="77777777" w:rsidR="003A32D2" w:rsidRPr="002F078A" w:rsidRDefault="003A32D2" w:rsidP="003A32D2">
            <w:pPr>
              <w:spacing w:line="360" w:lineRule="auto"/>
              <w:rPr>
                <w:b/>
                <w:bCs/>
                <w:sz w:val="26"/>
                <w:szCs w:val="26"/>
                <w:rtl/>
              </w:rPr>
            </w:pPr>
            <w:r w:rsidRPr="002F078A">
              <w:rPr>
                <w:rFonts w:hint="cs"/>
                <w:b/>
                <w:bCs/>
                <w:sz w:val="26"/>
                <w:szCs w:val="26"/>
                <w:rtl/>
              </w:rPr>
              <w:t>לפני כבוד השופט אמיר טובי</w:t>
            </w:r>
            <w:r w:rsidRPr="002F078A">
              <w:rPr>
                <w:rStyle w:val="TimesNewRomanTimesNewRoman"/>
                <w:rFonts w:hint="cs"/>
                <w:rtl/>
              </w:rPr>
              <w:t xml:space="preserve"> </w:t>
            </w:r>
          </w:p>
        </w:tc>
      </w:tr>
      <w:tr w:rsidR="0006485B" w:rsidRPr="002F078A" w14:paraId="36FEFB7F" w14:textId="77777777" w:rsidTr="003A32D2">
        <w:trPr>
          <w:cantSplit/>
          <w:trHeight w:val="80"/>
        </w:trPr>
        <w:tc>
          <w:tcPr>
            <w:tcW w:w="2880" w:type="dxa"/>
            <w:shd w:val="clear" w:color="auto" w:fill="auto"/>
          </w:tcPr>
          <w:p w14:paraId="02DA3E4F" w14:textId="77777777" w:rsidR="003A32D2" w:rsidRPr="002F078A" w:rsidRDefault="003A32D2" w:rsidP="003A32D2">
            <w:pPr>
              <w:ind w:left="26"/>
              <w:rPr>
                <w:b/>
                <w:bCs/>
                <w:sz w:val="26"/>
                <w:szCs w:val="26"/>
                <w:rtl/>
              </w:rPr>
            </w:pPr>
            <w:bookmarkStart w:id="1" w:name="FirstAppellant"/>
            <w:r w:rsidRPr="002F078A">
              <w:rPr>
                <w:rFonts w:hint="cs"/>
                <w:b/>
                <w:bCs/>
                <w:sz w:val="26"/>
                <w:szCs w:val="26"/>
                <w:rtl/>
              </w:rPr>
              <w:t>המאשימה</w:t>
            </w:r>
          </w:p>
        </w:tc>
        <w:tc>
          <w:tcPr>
            <w:tcW w:w="5922" w:type="dxa"/>
            <w:gridSpan w:val="2"/>
            <w:shd w:val="clear" w:color="auto" w:fill="auto"/>
          </w:tcPr>
          <w:p w14:paraId="099512CD" w14:textId="77777777" w:rsidR="003A32D2" w:rsidRPr="002F078A" w:rsidRDefault="003A32D2" w:rsidP="0006485B">
            <w:pPr>
              <w:rPr>
                <w:b/>
                <w:bCs/>
                <w:sz w:val="26"/>
                <w:szCs w:val="26"/>
                <w:rtl/>
              </w:rPr>
            </w:pPr>
            <w:r w:rsidRPr="002F078A">
              <w:rPr>
                <w:rFonts w:hint="cs"/>
                <w:b/>
                <w:bCs/>
                <w:sz w:val="26"/>
                <w:szCs w:val="26"/>
                <w:rtl/>
              </w:rPr>
              <w:t>מדינת ישראל</w:t>
            </w:r>
          </w:p>
        </w:tc>
      </w:tr>
      <w:bookmarkEnd w:id="1"/>
      <w:tr w:rsidR="0006485B" w:rsidRPr="002F078A" w14:paraId="00941CA7" w14:textId="77777777" w:rsidTr="003A32D2">
        <w:tc>
          <w:tcPr>
            <w:tcW w:w="8802" w:type="dxa"/>
            <w:gridSpan w:val="3"/>
            <w:shd w:val="clear" w:color="auto" w:fill="auto"/>
            <w:vAlign w:val="center"/>
          </w:tcPr>
          <w:p w14:paraId="6F030A5F" w14:textId="77777777" w:rsidR="003A32D2" w:rsidRPr="002F078A" w:rsidRDefault="003A32D2" w:rsidP="003A32D2">
            <w:pPr>
              <w:jc w:val="center"/>
              <w:rPr>
                <w:rFonts w:ascii="Arial" w:hAnsi="Arial"/>
                <w:b/>
                <w:bCs/>
                <w:sz w:val="26"/>
                <w:szCs w:val="26"/>
                <w:rtl/>
              </w:rPr>
            </w:pPr>
          </w:p>
          <w:p w14:paraId="62B1C7DC" w14:textId="77777777" w:rsidR="003A32D2" w:rsidRPr="002F078A" w:rsidRDefault="003A32D2" w:rsidP="003A32D2">
            <w:pPr>
              <w:jc w:val="center"/>
              <w:rPr>
                <w:rFonts w:ascii="Arial" w:hAnsi="Arial"/>
                <w:b/>
                <w:bCs/>
                <w:sz w:val="26"/>
                <w:szCs w:val="26"/>
                <w:rtl/>
              </w:rPr>
            </w:pPr>
            <w:r w:rsidRPr="002F078A">
              <w:rPr>
                <w:rFonts w:ascii="Arial" w:hAnsi="Arial" w:hint="cs"/>
                <w:b/>
                <w:bCs/>
                <w:sz w:val="26"/>
                <w:szCs w:val="26"/>
                <w:rtl/>
              </w:rPr>
              <w:t>נגד</w:t>
            </w:r>
          </w:p>
          <w:p w14:paraId="594D2BBF" w14:textId="77777777" w:rsidR="003A32D2" w:rsidRPr="002F078A" w:rsidRDefault="003A32D2" w:rsidP="0006485B">
            <w:pPr>
              <w:rPr>
                <w:rFonts w:ascii="Arial" w:hAnsi="Arial"/>
                <w:b/>
                <w:bCs/>
                <w:sz w:val="26"/>
                <w:szCs w:val="26"/>
                <w:rtl/>
              </w:rPr>
            </w:pPr>
          </w:p>
        </w:tc>
      </w:tr>
      <w:tr w:rsidR="0006485B" w:rsidRPr="002F078A" w14:paraId="7E638C28" w14:textId="77777777" w:rsidTr="003A32D2">
        <w:tc>
          <w:tcPr>
            <w:tcW w:w="2880" w:type="dxa"/>
            <w:shd w:val="clear" w:color="auto" w:fill="auto"/>
          </w:tcPr>
          <w:p w14:paraId="4D1BD31D" w14:textId="77777777" w:rsidR="003A32D2" w:rsidRPr="002F078A" w:rsidRDefault="003A32D2" w:rsidP="003A32D2">
            <w:pPr>
              <w:ind w:left="26"/>
              <w:rPr>
                <w:b/>
                <w:bCs/>
                <w:sz w:val="26"/>
                <w:szCs w:val="26"/>
              </w:rPr>
            </w:pPr>
            <w:r w:rsidRPr="002F078A">
              <w:rPr>
                <w:rFonts w:hint="cs"/>
                <w:b/>
                <w:bCs/>
                <w:sz w:val="26"/>
                <w:szCs w:val="26"/>
                <w:rtl/>
              </w:rPr>
              <w:t>הנאשם</w:t>
            </w:r>
          </w:p>
        </w:tc>
        <w:tc>
          <w:tcPr>
            <w:tcW w:w="5922" w:type="dxa"/>
            <w:gridSpan w:val="2"/>
            <w:shd w:val="clear" w:color="auto" w:fill="auto"/>
          </w:tcPr>
          <w:p w14:paraId="3F7ECBF7" w14:textId="77777777" w:rsidR="003A32D2" w:rsidRPr="002F078A" w:rsidRDefault="003A32D2" w:rsidP="0006485B">
            <w:pPr>
              <w:rPr>
                <w:b/>
                <w:bCs/>
                <w:sz w:val="26"/>
                <w:szCs w:val="26"/>
                <w:rtl/>
              </w:rPr>
            </w:pPr>
            <w:r w:rsidRPr="002F078A">
              <w:rPr>
                <w:rFonts w:hint="cs"/>
                <w:b/>
                <w:bCs/>
                <w:sz w:val="26"/>
                <w:szCs w:val="26"/>
                <w:rtl/>
              </w:rPr>
              <w:t>אמיר סרחאן</w:t>
            </w:r>
            <w:r w:rsidR="00957FDA">
              <w:rPr>
                <w:rFonts w:hint="cs"/>
                <w:b/>
                <w:bCs/>
                <w:sz w:val="26"/>
                <w:szCs w:val="26"/>
                <w:rtl/>
              </w:rPr>
              <w:t xml:space="preserve"> </w:t>
            </w:r>
            <w:r w:rsidRPr="002F078A">
              <w:rPr>
                <w:rFonts w:hint="cs"/>
                <w:b/>
                <w:bCs/>
                <w:sz w:val="26"/>
                <w:szCs w:val="26"/>
                <w:rtl/>
              </w:rPr>
              <w:t>(עציר)</w:t>
            </w:r>
          </w:p>
        </w:tc>
      </w:tr>
    </w:tbl>
    <w:p w14:paraId="4C04DB08" w14:textId="77777777" w:rsidR="003A32D2" w:rsidRPr="002F078A" w:rsidRDefault="003A32D2" w:rsidP="003A32D2">
      <w:pPr>
        <w:rPr>
          <w:rtl/>
        </w:rPr>
      </w:pPr>
    </w:p>
    <w:p w14:paraId="7153AF86" w14:textId="77777777" w:rsidR="003A32D2" w:rsidRPr="002F078A" w:rsidRDefault="003A32D2" w:rsidP="003A32D2">
      <w:pPr>
        <w:rPr>
          <w:b/>
          <w:bCs/>
          <w:rtl/>
        </w:rPr>
      </w:pPr>
      <w:r w:rsidRPr="002F078A">
        <w:rPr>
          <w:rFonts w:hint="cs"/>
          <w:b/>
          <w:bCs/>
          <w:rtl/>
        </w:rPr>
        <w:t>נוכחים:</w:t>
      </w:r>
    </w:p>
    <w:p w14:paraId="32819DEB" w14:textId="77777777" w:rsidR="003A32D2" w:rsidRPr="002F078A" w:rsidRDefault="003A32D2" w:rsidP="003A32D2">
      <w:pPr>
        <w:rPr>
          <w:rtl/>
        </w:rPr>
      </w:pPr>
      <w:bookmarkStart w:id="2" w:name="FirstLawyer"/>
      <w:r w:rsidRPr="002F078A">
        <w:rPr>
          <w:rFonts w:hint="cs"/>
          <w:rtl/>
        </w:rPr>
        <w:t>ב"כ</w:t>
      </w:r>
      <w:bookmarkEnd w:id="2"/>
      <w:r w:rsidRPr="002F078A">
        <w:rPr>
          <w:rFonts w:hint="cs"/>
          <w:rtl/>
        </w:rPr>
        <w:t xml:space="preserve"> המאשימה: עו"ד שגב אדלר</w:t>
      </w:r>
    </w:p>
    <w:p w14:paraId="31940C20" w14:textId="77777777" w:rsidR="003A32D2" w:rsidRPr="002F078A" w:rsidRDefault="003A32D2" w:rsidP="003A32D2">
      <w:pPr>
        <w:rPr>
          <w:rtl/>
        </w:rPr>
      </w:pPr>
      <w:r w:rsidRPr="002F078A">
        <w:rPr>
          <w:rFonts w:hint="cs"/>
          <w:rtl/>
        </w:rPr>
        <w:t>ב"כ הנאשם: עו"ד מיכאל כרמל</w:t>
      </w:r>
    </w:p>
    <w:p w14:paraId="17A1F39B" w14:textId="77777777" w:rsidR="00921E97" w:rsidRDefault="003A32D2" w:rsidP="003A32D2">
      <w:r w:rsidRPr="002F078A">
        <w:rPr>
          <w:rFonts w:hint="cs"/>
          <w:rtl/>
        </w:rPr>
        <w:t xml:space="preserve">הנאשם באמצעות הליווי </w:t>
      </w:r>
      <w:bookmarkStart w:id="3" w:name="LawTable"/>
      <w:bookmarkEnd w:id="3"/>
    </w:p>
    <w:p w14:paraId="3B0B3BD4" w14:textId="77777777" w:rsidR="00921E97" w:rsidRPr="00921E97" w:rsidRDefault="00921E97" w:rsidP="00921E97">
      <w:pPr>
        <w:spacing w:after="120" w:line="240" w:lineRule="exact"/>
        <w:ind w:left="283" w:hanging="283"/>
        <w:jc w:val="both"/>
        <w:rPr>
          <w:rFonts w:ascii="FrankRuehl" w:hAnsi="FrankRuehl" w:cs="FrankRuehl"/>
        </w:rPr>
      </w:pPr>
    </w:p>
    <w:p w14:paraId="39030889" w14:textId="77777777" w:rsidR="00921E97" w:rsidRPr="00921E97" w:rsidRDefault="00921E97" w:rsidP="00921E97">
      <w:pPr>
        <w:spacing w:after="120" w:line="240" w:lineRule="exact"/>
        <w:ind w:left="283" w:hanging="283"/>
        <w:jc w:val="both"/>
        <w:rPr>
          <w:rFonts w:ascii="FrankRuehl" w:hAnsi="FrankRuehl" w:cs="FrankRuehl"/>
        </w:rPr>
      </w:pPr>
      <w:r w:rsidRPr="00921E97">
        <w:rPr>
          <w:rFonts w:ascii="FrankRuehl" w:hAnsi="FrankRuehl" w:cs="FrankRuehl"/>
          <w:rtl/>
        </w:rPr>
        <w:t xml:space="preserve">חקיקה שאוזכרה: </w:t>
      </w:r>
    </w:p>
    <w:p w14:paraId="446B456A" w14:textId="77777777" w:rsidR="00921E97" w:rsidRPr="00921E97" w:rsidRDefault="00921E97" w:rsidP="00921E97">
      <w:pPr>
        <w:spacing w:after="120" w:line="240" w:lineRule="exact"/>
        <w:ind w:left="283" w:hanging="283"/>
        <w:jc w:val="both"/>
        <w:rPr>
          <w:rFonts w:ascii="FrankRuehl" w:hAnsi="FrankRuehl" w:cs="FrankRuehl"/>
        </w:rPr>
      </w:pPr>
      <w:hyperlink r:id="rId6" w:history="1">
        <w:r w:rsidRPr="00921E97">
          <w:rPr>
            <w:rFonts w:ascii="FrankRuehl" w:hAnsi="FrankRuehl" w:cs="FrankRuehl"/>
            <w:color w:val="0000FF"/>
            <w:u w:val="single"/>
            <w:rtl/>
          </w:rPr>
          <w:t>חוק העונשין, תשל"ז-1977</w:t>
        </w:r>
      </w:hyperlink>
      <w:r w:rsidRPr="00921E97">
        <w:rPr>
          <w:rFonts w:ascii="FrankRuehl" w:hAnsi="FrankRuehl" w:cs="FrankRuehl"/>
        </w:rPr>
        <w:t xml:space="preserve">: </w:t>
      </w:r>
      <w:r w:rsidRPr="00921E97">
        <w:rPr>
          <w:rFonts w:ascii="FrankRuehl" w:hAnsi="FrankRuehl" w:cs="FrankRuehl"/>
          <w:rtl/>
        </w:rPr>
        <w:t>סע</w:t>
      </w:r>
      <w:r w:rsidRPr="00921E97">
        <w:rPr>
          <w:rFonts w:ascii="FrankRuehl" w:hAnsi="FrankRuehl" w:cs="FrankRuehl"/>
        </w:rPr>
        <w:t xml:space="preserve">'  </w:t>
      </w:r>
      <w:hyperlink r:id="rId7" w:history="1">
        <w:r w:rsidRPr="00921E97">
          <w:rPr>
            <w:rFonts w:ascii="FrankRuehl" w:hAnsi="FrankRuehl" w:cs="FrankRuehl"/>
            <w:color w:val="0000FF"/>
            <w:u w:val="single"/>
          </w:rPr>
          <w:t>29</w:t>
        </w:r>
      </w:hyperlink>
      <w:r w:rsidRPr="00921E97">
        <w:rPr>
          <w:rFonts w:ascii="FrankRuehl" w:hAnsi="FrankRuehl" w:cs="FrankRuehl"/>
        </w:rPr>
        <w:t xml:space="preserve">, </w:t>
      </w:r>
      <w:hyperlink r:id="rId8" w:history="1">
        <w:r w:rsidRPr="00921E97">
          <w:rPr>
            <w:rFonts w:ascii="FrankRuehl" w:hAnsi="FrankRuehl" w:cs="FrankRuehl"/>
            <w:color w:val="0000FF"/>
            <w:u w:val="single"/>
          </w:rPr>
          <w:t>40</w:t>
        </w:r>
        <w:r w:rsidRPr="00921E97">
          <w:rPr>
            <w:rFonts w:ascii="FrankRuehl" w:hAnsi="FrankRuehl" w:cs="FrankRuehl"/>
            <w:color w:val="0000FF"/>
            <w:u w:val="single"/>
            <w:rtl/>
          </w:rPr>
          <w:t>ט</w:t>
        </w:r>
        <w:r w:rsidRPr="00921E97">
          <w:rPr>
            <w:rFonts w:ascii="FrankRuehl" w:hAnsi="FrankRuehl" w:cs="FrankRuehl"/>
            <w:color w:val="0000FF"/>
            <w:u w:val="single"/>
          </w:rPr>
          <w:t>'</w:t>
        </w:r>
      </w:hyperlink>
      <w:r w:rsidRPr="00921E97">
        <w:rPr>
          <w:rFonts w:ascii="FrankRuehl" w:hAnsi="FrankRuehl" w:cs="FrankRuehl"/>
        </w:rPr>
        <w:t xml:space="preserve">, </w:t>
      </w:r>
      <w:hyperlink r:id="rId9" w:history="1">
        <w:r w:rsidRPr="00921E97">
          <w:rPr>
            <w:rFonts w:ascii="FrankRuehl" w:hAnsi="FrankRuehl" w:cs="FrankRuehl"/>
            <w:color w:val="0000FF"/>
            <w:u w:val="single"/>
          </w:rPr>
          <w:t>144(</w:t>
        </w:r>
        <w:r w:rsidRPr="00921E97">
          <w:rPr>
            <w:rFonts w:ascii="FrankRuehl" w:hAnsi="FrankRuehl" w:cs="FrankRuehl"/>
            <w:color w:val="0000FF"/>
            <w:u w:val="single"/>
            <w:rtl/>
          </w:rPr>
          <w:t>ב</w:t>
        </w:r>
        <w:r w:rsidRPr="00921E97">
          <w:rPr>
            <w:rFonts w:ascii="FrankRuehl" w:hAnsi="FrankRuehl" w:cs="FrankRuehl"/>
            <w:color w:val="0000FF"/>
            <w:u w:val="single"/>
          </w:rPr>
          <w:t>)</w:t>
        </w:r>
      </w:hyperlink>
      <w:r w:rsidRPr="00921E97">
        <w:rPr>
          <w:rFonts w:ascii="FrankRuehl" w:hAnsi="FrankRuehl" w:cs="FrankRuehl"/>
        </w:rPr>
        <w:t xml:space="preserve">, </w:t>
      </w:r>
      <w:hyperlink r:id="rId10" w:history="1">
        <w:r w:rsidRPr="00921E97">
          <w:rPr>
            <w:rFonts w:ascii="FrankRuehl" w:hAnsi="FrankRuehl" w:cs="FrankRuehl"/>
            <w:color w:val="0000FF"/>
            <w:u w:val="single"/>
          </w:rPr>
          <w:t>287(</w:t>
        </w:r>
        <w:r w:rsidRPr="00921E97">
          <w:rPr>
            <w:rFonts w:ascii="FrankRuehl" w:hAnsi="FrankRuehl" w:cs="FrankRuehl"/>
            <w:color w:val="0000FF"/>
            <w:u w:val="single"/>
            <w:rtl/>
          </w:rPr>
          <w:t>א</w:t>
        </w:r>
        <w:r w:rsidRPr="00921E97">
          <w:rPr>
            <w:rFonts w:ascii="FrankRuehl" w:hAnsi="FrankRuehl" w:cs="FrankRuehl"/>
            <w:color w:val="0000FF"/>
            <w:u w:val="single"/>
          </w:rPr>
          <w:t>)</w:t>
        </w:r>
      </w:hyperlink>
      <w:r w:rsidRPr="00921E97">
        <w:rPr>
          <w:rFonts w:ascii="FrankRuehl" w:hAnsi="FrankRuehl" w:cs="FrankRuehl"/>
        </w:rPr>
        <w:t xml:space="preserve">, </w:t>
      </w:r>
      <w:hyperlink r:id="rId11" w:history="1">
        <w:r w:rsidRPr="00921E97">
          <w:rPr>
            <w:rFonts w:ascii="FrankRuehl" w:hAnsi="FrankRuehl" w:cs="FrankRuehl"/>
            <w:color w:val="0000FF"/>
            <w:u w:val="single"/>
          </w:rPr>
          <w:t>402.</w:t>
        </w:r>
        <w:r w:rsidRPr="00921E97">
          <w:rPr>
            <w:rFonts w:ascii="FrankRuehl" w:hAnsi="FrankRuehl" w:cs="FrankRuehl"/>
            <w:color w:val="0000FF"/>
            <w:u w:val="single"/>
            <w:rtl/>
          </w:rPr>
          <w:t>ב</w:t>
        </w:r>
      </w:hyperlink>
    </w:p>
    <w:p w14:paraId="6252BE96" w14:textId="77777777" w:rsidR="00921E97" w:rsidRPr="00921E97" w:rsidRDefault="00921E97" w:rsidP="00921E97">
      <w:pPr>
        <w:spacing w:after="120" w:line="240" w:lineRule="exact"/>
        <w:ind w:left="283" w:hanging="283"/>
        <w:jc w:val="both"/>
        <w:rPr>
          <w:rFonts w:ascii="FrankRuehl" w:hAnsi="FrankRuehl" w:cs="FrankRuehl"/>
          <w:rtl/>
        </w:rPr>
      </w:pPr>
    </w:p>
    <w:p w14:paraId="1B665A7C" w14:textId="77777777" w:rsidR="00921E97" w:rsidRPr="00921E97" w:rsidRDefault="00921E97" w:rsidP="003A32D2">
      <w:bookmarkStart w:id="4" w:name="LawTable_End"/>
      <w:bookmarkEnd w:id="4"/>
    </w:p>
    <w:p w14:paraId="40AA004B" w14:textId="77777777" w:rsidR="00921E97" w:rsidRPr="00921E97" w:rsidRDefault="00921E97" w:rsidP="003A32D2"/>
    <w:p w14:paraId="54DA0E64" w14:textId="77777777" w:rsidR="003A32D2" w:rsidRPr="00921E97" w:rsidRDefault="003A32D2" w:rsidP="003A32D2"/>
    <w:p w14:paraId="4C6707AA" w14:textId="77777777" w:rsidR="003A32D2" w:rsidRPr="00957FDA" w:rsidRDefault="003A32D2" w:rsidP="003A32D2"/>
    <w:p w14:paraId="279DEFD5" w14:textId="77777777" w:rsidR="002F078A" w:rsidRPr="002F078A" w:rsidRDefault="002F078A" w:rsidP="003A32D2">
      <w:pPr>
        <w:spacing w:line="360" w:lineRule="auto"/>
        <w:jc w:val="both"/>
        <w:rPr>
          <w:rFonts w:ascii="Arial" w:hAnsi="Arial"/>
          <w:rtl/>
        </w:rPr>
      </w:pPr>
    </w:p>
    <w:p w14:paraId="71068782" w14:textId="77777777" w:rsidR="002F078A" w:rsidRPr="002F078A" w:rsidRDefault="002F078A" w:rsidP="003A32D2">
      <w:pPr>
        <w:spacing w:line="360" w:lineRule="auto"/>
        <w:jc w:val="both"/>
        <w:rPr>
          <w:rFonts w:ascii="Arial" w:hAnsi="Arial"/>
          <w:rtl/>
        </w:rPr>
      </w:pPr>
    </w:p>
    <w:p w14:paraId="22896ADB" w14:textId="77777777" w:rsidR="003A32D2" w:rsidRPr="002F078A" w:rsidRDefault="003A32D2" w:rsidP="003A32D2">
      <w:pPr>
        <w:spacing w:line="360" w:lineRule="auto"/>
        <w:jc w:val="both"/>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6485B" w14:paraId="191FEB06" w14:textId="77777777" w:rsidTr="003A32D2">
        <w:trPr>
          <w:trHeight w:val="355"/>
          <w:jc w:val="center"/>
        </w:trPr>
        <w:tc>
          <w:tcPr>
            <w:tcW w:w="8820" w:type="dxa"/>
            <w:tcBorders>
              <w:top w:val="nil"/>
              <w:left w:val="nil"/>
              <w:bottom w:val="nil"/>
              <w:right w:val="nil"/>
            </w:tcBorders>
            <w:shd w:val="clear" w:color="auto" w:fill="auto"/>
          </w:tcPr>
          <w:p w14:paraId="0CD52B4E" w14:textId="77777777" w:rsidR="002F078A" w:rsidRPr="002F078A" w:rsidRDefault="002F078A" w:rsidP="002F078A">
            <w:pPr>
              <w:jc w:val="center"/>
              <w:rPr>
                <w:rFonts w:ascii="Arial" w:hAnsi="Arial" w:cs="FrankRuehl"/>
                <w:b/>
                <w:bCs/>
                <w:sz w:val="32"/>
                <w:szCs w:val="32"/>
                <w:u w:val="single"/>
                <w:rtl/>
              </w:rPr>
            </w:pPr>
            <w:bookmarkStart w:id="5" w:name="PsakDin" w:colFirst="0" w:colLast="0"/>
            <w:bookmarkEnd w:id="0"/>
            <w:r w:rsidRPr="002F078A">
              <w:rPr>
                <w:rFonts w:ascii="Arial" w:hAnsi="Arial" w:cs="FrankRuehl"/>
                <w:b/>
                <w:bCs/>
                <w:sz w:val="32"/>
                <w:szCs w:val="32"/>
                <w:u w:val="single"/>
                <w:rtl/>
              </w:rPr>
              <w:t>גזר דין</w:t>
            </w:r>
          </w:p>
          <w:p w14:paraId="68EAF758" w14:textId="77777777" w:rsidR="003A32D2" w:rsidRPr="002F078A" w:rsidRDefault="003A32D2" w:rsidP="002F078A">
            <w:pPr>
              <w:jc w:val="center"/>
              <w:rPr>
                <w:rFonts w:ascii="Arial" w:hAnsi="Arial" w:cs="FrankRuehl"/>
                <w:bCs/>
                <w:sz w:val="32"/>
                <w:szCs w:val="32"/>
                <w:u w:val="single"/>
                <w:rtl/>
              </w:rPr>
            </w:pPr>
          </w:p>
        </w:tc>
      </w:tr>
      <w:bookmarkEnd w:id="5"/>
    </w:tbl>
    <w:p w14:paraId="788808E9" w14:textId="77777777" w:rsidR="003A32D2" w:rsidRPr="00B05847" w:rsidRDefault="003A32D2" w:rsidP="003A32D2">
      <w:pPr>
        <w:spacing w:line="360" w:lineRule="auto"/>
        <w:jc w:val="both"/>
        <w:rPr>
          <w:rFonts w:ascii="Arial" w:hAnsi="Arial"/>
          <w:rtl/>
        </w:rPr>
      </w:pPr>
    </w:p>
    <w:p w14:paraId="15CADAA4" w14:textId="77777777" w:rsidR="003A32D2" w:rsidRDefault="003A32D2" w:rsidP="003A32D2">
      <w:pPr>
        <w:spacing w:line="360" w:lineRule="auto"/>
        <w:jc w:val="both"/>
        <w:rPr>
          <w:sz w:val="2"/>
          <w:szCs w:val="2"/>
          <w:u w:val="single"/>
        </w:rPr>
      </w:pPr>
    </w:p>
    <w:p w14:paraId="22329322" w14:textId="77777777" w:rsidR="003A32D2" w:rsidRDefault="003A32D2" w:rsidP="003A32D2">
      <w:pPr>
        <w:tabs>
          <w:tab w:val="left" w:pos="720"/>
        </w:tabs>
        <w:spacing w:line="360" w:lineRule="auto"/>
        <w:jc w:val="both"/>
        <w:rPr>
          <w:rFonts w:ascii="Arial" w:hAnsi="Arial"/>
          <w:rtl/>
        </w:rPr>
      </w:pPr>
      <w:bookmarkStart w:id="6" w:name="ABSTRACT_START"/>
      <w:bookmarkEnd w:id="6"/>
    </w:p>
    <w:p w14:paraId="094332C2" w14:textId="77777777" w:rsidR="003A32D2" w:rsidRDefault="003A32D2" w:rsidP="003A32D2">
      <w:pPr>
        <w:tabs>
          <w:tab w:val="left" w:pos="720"/>
        </w:tabs>
        <w:spacing w:line="360" w:lineRule="auto"/>
        <w:ind w:left="720" w:hanging="720"/>
        <w:jc w:val="both"/>
        <w:rPr>
          <w:rtl/>
        </w:rPr>
      </w:pPr>
      <w:r>
        <w:rPr>
          <w:rFonts w:hint="cs"/>
          <w:rtl/>
        </w:rPr>
        <w:t>1.</w:t>
      </w:r>
      <w:r>
        <w:rPr>
          <w:rFonts w:hint="cs"/>
          <w:rtl/>
        </w:rPr>
        <w:tab/>
        <w:t xml:space="preserve">הנאשם הורשע, על פי הודייתו, בעובדות כתב אישום, שתוקן במסגרת הסדר טיעון, בעבירות   בנשק, לפי </w:t>
      </w:r>
      <w:hyperlink r:id="rId12" w:history="1">
        <w:r w:rsidR="00957FDA" w:rsidRPr="00957FDA">
          <w:rPr>
            <w:color w:val="0000FF"/>
            <w:u w:val="single"/>
            <w:rtl/>
          </w:rPr>
          <w:t>סעיף 144(ב)</w:t>
        </w:r>
      </w:hyperlink>
      <w:r>
        <w:rPr>
          <w:rFonts w:hint="cs"/>
          <w:rtl/>
        </w:rPr>
        <w:t xml:space="preserve"> רישא+</w:t>
      </w:r>
      <w:hyperlink r:id="rId13" w:history="1">
        <w:r w:rsidR="00957FDA" w:rsidRPr="00957FDA">
          <w:rPr>
            <w:color w:val="0000FF"/>
            <w:u w:val="single"/>
            <w:rtl/>
          </w:rPr>
          <w:t>29</w:t>
        </w:r>
      </w:hyperlink>
      <w:r>
        <w:rPr>
          <w:rFonts w:hint="cs"/>
          <w:rtl/>
        </w:rPr>
        <w:t xml:space="preserve"> ל</w:t>
      </w:r>
      <w:hyperlink r:id="rId14" w:history="1">
        <w:r w:rsidR="002F078A" w:rsidRPr="002F078A">
          <w:rPr>
            <w:color w:val="0000FF"/>
            <w:u w:val="single"/>
            <w:rtl/>
          </w:rPr>
          <w:t>חוק העונשין</w:t>
        </w:r>
      </w:hyperlink>
      <w:r>
        <w:rPr>
          <w:rFonts w:hint="cs"/>
          <w:rtl/>
        </w:rPr>
        <w:t xml:space="preserve">, תשל"ז-1977 (להלן: "חוק העונשין"), שוד בנסיבות מחמירות, לפי סעיף </w:t>
      </w:r>
      <w:hyperlink r:id="rId15" w:history="1">
        <w:r w:rsidR="00957FDA" w:rsidRPr="00957FDA">
          <w:rPr>
            <w:color w:val="0000FF"/>
            <w:u w:val="single"/>
            <w:rtl/>
          </w:rPr>
          <w:t>402(ב)+29</w:t>
        </w:r>
      </w:hyperlink>
      <w:r>
        <w:rPr>
          <w:rFonts w:hint="cs"/>
          <w:rtl/>
        </w:rPr>
        <w:t xml:space="preserve"> לחוק העונשין והפרת הוראה חוקית לפי </w:t>
      </w:r>
      <w:hyperlink r:id="rId16" w:history="1">
        <w:r w:rsidR="00957FDA" w:rsidRPr="00957FDA">
          <w:rPr>
            <w:color w:val="0000FF"/>
            <w:u w:val="single"/>
            <w:rtl/>
          </w:rPr>
          <w:t>סעיף 287(א)</w:t>
        </w:r>
      </w:hyperlink>
      <w:r>
        <w:rPr>
          <w:rFonts w:hint="cs"/>
          <w:rtl/>
        </w:rPr>
        <w:t xml:space="preserve"> לחוק העונשין (להלן: "כתב האישום"). הסדר הטיעון כלל הסכמה חלקית לגבי טווחי הענישה, כאשר הוסכם כי המאשימה תעתור להטלת חמש שנות מאסר בפועל ואילו ההגנה תבקש להסתפק בשלוש שנים. הוסכם עוד כי הצדדים יטענו באופן חופשי לגבי יתר רכיבי הענישה. </w:t>
      </w:r>
    </w:p>
    <w:p w14:paraId="71FEE0D0" w14:textId="77777777" w:rsidR="003A32D2" w:rsidRPr="003A32D2" w:rsidRDefault="003A32D2" w:rsidP="003A32D2">
      <w:pPr>
        <w:tabs>
          <w:tab w:val="left" w:pos="720"/>
        </w:tabs>
        <w:spacing w:line="360" w:lineRule="auto"/>
        <w:ind w:left="720" w:hanging="720"/>
        <w:jc w:val="both"/>
        <w:rPr>
          <w:rFonts w:ascii="Calibri" w:eastAsia="Calibri" w:hAnsi="Calibri"/>
          <w:sz w:val="16"/>
          <w:szCs w:val="16"/>
          <w:u w:val="single"/>
          <w:rtl/>
        </w:rPr>
      </w:pPr>
      <w:bookmarkStart w:id="7" w:name="ABSTRACT_END"/>
      <w:bookmarkEnd w:id="7"/>
      <w:r>
        <w:rPr>
          <w:rFonts w:hint="cs"/>
          <w:sz w:val="16"/>
          <w:szCs w:val="16"/>
          <w:rtl/>
        </w:rPr>
        <w:tab/>
      </w:r>
    </w:p>
    <w:p w14:paraId="5A038F6F" w14:textId="77777777" w:rsidR="003A32D2" w:rsidRDefault="003A32D2" w:rsidP="003A32D2">
      <w:pPr>
        <w:spacing w:after="240" w:line="360" w:lineRule="auto"/>
        <w:jc w:val="both"/>
        <w:rPr>
          <w:u w:val="single"/>
          <w:rtl/>
        </w:rPr>
      </w:pPr>
      <w:r>
        <w:rPr>
          <w:rFonts w:hint="cs"/>
          <w:rtl/>
        </w:rPr>
        <w:t>2.</w:t>
      </w:r>
      <w:r>
        <w:rPr>
          <w:rFonts w:hint="cs"/>
          <w:rtl/>
        </w:rPr>
        <w:tab/>
      </w:r>
      <w:r>
        <w:rPr>
          <w:rFonts w:hint="cs"/>
          <w:u w:val="single"/>
          <w:rtl/>
        </w:rPr>
        <w:t xml:space="preserve">כתב האישום </w:t>
      </w:r>
    </w:p>
    <w:p w14:paraId="55A28989" w14:textId="77777777" w:rsidR="003A32D2" w:rsidRDefault="003A32D2" w:rsidP="003A32D2">
      <w:pPr>
        <w:spacing w:line="360" w:lineRule="auto"/>
        <w:ind w:left="1440" w:hanging="636"/>
        <w:jc w:val="both"/>
        <w:rPr>
          <w:rtl/>
        </w:rPr>
      </w:pPr>
      <w:r>
        <w:rPr>
          <w:rFonts w:hint="cs"/>
          <w:rtl/>
        </w:rPr>
        <w:lastRenderedPageBreak/>
        <w:t>2.1.</w:t>
      </w:r>
      <w:r>
        <w:rPr>
          <w:rFonts w:hint="cs"/>
          <w:rtl/>
        </w:rPr>
        <w:tab/>
        <w:t>מחמד</w:t>
      </w:r>
      <w:r>
        <w:rPr>
          <w:rFonts w:hint="cs"/>
        </w:rPr>
        <w:t xml:space="preserve"> </w:t>
      </w:r>
      <w:r>
        <w:rPr>
          <w:rFonts w:hint="cs"/>
          <w:rtl/>
        </w:rPr>
        <w:t>אדריס (להלן: "המתלונן")</w:t>
      </w:r>
      <w:r>
        <w:rPr>
          <w:rFonts w:hint="cs"/>
        </w:rPr>
        <w:t xml:space="preserve"> </w:t>
      </w:r>
      <w:r>
        <w:rPr>
          <w:rFonts w:hint="cs"/>
          <w:rtl/>
        </w:rPr>
        <w:t>הוא</w:t>
      </w:r>
      <w:r>
        <w:rPr>
          <w:rFonts w:hint="cs"/>
        </w:rPr>
        <w:t xml:space="preserve"> </w:t>
      </w:r>
      <w:r>
        <w:rPr>
          <w:rFonts w:hint="cs"/>
          <w:rtl/>
        </w:rPr>
        <w:t>הבעלים</w:t>
      </w:r>
      <w:r>
        <w:rPr>
          <w:rFonts w:hint="cs"/>
        </w:rPr>
        <w:t xml:space="preserve"> </w:t>
      </w:r>
      <w:r>
        <w:rPr>
          <w:rFonts w:hint="cs"/>
          <w:rtl/>
        </w:rPr>
        <w:t>של</w:t>
      </w:r>
      <w:r>
        <w:rPr>
          <w:rFonts w:hint="cs"/>
        </w:rPr>
        <w:t xml:space="preserve"> </w:t>
      </w:r>
      <w:r>
        <w:rPr>
          <w:rFonts w:hint="cs"/>
          <w:rtl/>
        </w:rPr>
        <w:t>חנות</w:t>
      </w:r>
      <w:r>
        <w:rPr>
          <w:rFonts w:hint="cs"/>
        </w:rPr>
        <w:t xml:space="preserve"> </w:t>
      </w:r>
      <w:r>
        <w:rPr>
          <w:rFonts w:hint="cs"/>
          <w:rtl/>
        </w:rPr>
        <w:t>לממכר</w:t>
      </w:r>
      <w:r>
        <w:rPr>
          <w:rFonts w:hint="cs"/>
        </w:rPr>
        <w:t xml:space="preserve"> </w:t>
      </w:r>
      <w:r>
        <w:rPr>
          <w:rFonts w:hint="cs"/>
          <w:rtl/>
        </w:rPr>
        <w:t>דברי</w:t>
      </w:r>
      <w:r>
        <w:rPr>
          <w:rFonts w:hint="cs"/>
        </w:rPr>
        <w:t xml:space="preserve"> </w:t>
      </w:r>
      <w:r>
        <w:rPr>
          <w:rFonts w:hint="cs"/>
          <w:rtl/>
        </w:rPr>
        <w:t>מזון</w:t>
      </w:r>
      <w:r>
        <w:rPr>
          <w:rFonts w:hint="cs"/>
        </w:rPr>
        <w:t xml:space="preserve"> </w:t>
      </w:r>
      <w:r>
        <w:rPr>
          <w:rFonts w:hint="cs"/>
          <w:rtl/>
        </w:rPr>
        <w:t>וכרטיסי זכייה</w:t>
      </w:r>
      <w:r>
        <w:rPr>
          <w:rFonts w:hint="cs"/>
        </w:rPr>
        <w:t xml:space="preserve"> </w:t>
      </w:r>
      <w:r>
        <w:rPr>
          <w:rFonts w:hint="cs"/>
          <w:rtl/>
        </w:rPr>
        <w:t>של</w:t>
      </w:r>
      <w:r>
        <w:rPr>
          <w:rFonts w:hint="cs"/>
        </w:rPr>
        <w:t xml:space="preserve"> </w:t>
      </w:r>
      <w:r>
        <w:rPr>
          <w:rFonts w:hint="cs"/>
          <w:rtl/>
        </w:rPr>
        <w:t>מפעל</w:t>
      </w:r>
      <w:r>
        <w:rPr>
          <w:rFonts w:hint="cs"/>
        </w:rPr>
        <w:t xml:space="preserve"> </w:t>
      </w:r>
      <w:r>
        <w:rPr>
          <w:rFonts w:hint="cs"/>
          <w:rtl/>
        </w:rPr>
        <w:t>הפיס בכפר</w:t>
      </w:r>
      <w:r>
        <w:rPr>
          <w:rFonts w:hint="cs"/>
        </w:rPr>
        <w:t xml:space="preserve"> </w:t>
      </w:r>
      <w:r>
        <w:rPr>
          <w:rFonts w:hint="cs"/>
          <w:rtl/>
        </w:rPr>
        <w:t>מג'ד</w:t>
      </w:r>
      <w:r>
        <w:rPr>
          <w:rFonts w:hint="cs"/>
        </w:rPr>
        <w:t xml:space="preserve"> </w:t>
      </w:r>
      <w:r>
        <w:rPr>
          <w:rFonts w:hint="cs"/>
          <w:rtl/>
        </w:rPr>
        <w:t>אל</w:t>
      </w:r>
      <w:r>
        <w:rPr>
          <w:rFonts w:hint="cs"/>
        </w:rPr>
        <w:t xml:space="preserve"> </w:t>
      </w:r>
      <w:r>
        <w:rPr>
          <w:rFonts w:hint="cs"/>
          <w:rtl/>
        </w:rPr>
        <w:t>כרום (להלן: "החנות").</w:t>
      </w:r>
    </w:p>
    <w:p w14:paraId="57834268" w14:textId="77777777" w:rsidR="003A32D2" w:rsidRDefault="003A32D2" w:rsidP="003A32D2">
      <w:pPr>
        <w:tabs>
          <w:tab w:val="left" w:pos="720"/>
        </w:tabs>
        <w:autoSpaceDE w:val="0"/>
        <w:autoSpaceDN w:val="0"/>
        <w:adjustRightInd w:val="0"/>
        <w:spacing w:line="360" w:lineRule="auto"/>
        <w:jc w:val="both"/>
        <w:rPr>
          <w:sz w:val="18"/>
          <w:szCs w:val="18"/>
          <w:rtl/>
        </w:rPr>
      </w:pPr>
    </w:p>
    <w:p w14:paraId="6197705D" w14:textId="77777777" w:rsidR="003A32D2" w:rsidRDefault="003A32D2" w:rsidP="003A32D2">
      <w:pPr>
        <w:spacing w:line="360" w:lineRule="auto"/>
        <w:ind w:left="1440" w:hanging="636"/>
        <w:jc w:val="both"/>
        <w:rPr>
          <w:rtl/>
        </w:rPr>
      </w:pPr>
      <w:r>
        <w:rPr>
          <w:rFonts w:hint="cs"/>
          <w:rtl/>
        </w:rPr>
        <w:t xml:space="preserve">2.2. </w:t>
      </w:r>
      <w:r>
        <w:rPr>
          <w:rFonts w:hint="cs"/>
          <w:rtl/>
        </w:rPr>
        <w:tab/>
        <w:t>ביום 25/4/2017 בשעה 21:45 או</w:t>
      </w:r>
      <w:r>
        <w:rPr>
          <w:rFonts w:hint="cs"/>
        </w:rPr>
        <w:t xml:space="preserve"> </w:t>
      </w:r>
      <w:r>
        <w:rPr>
          <w:rFonts w:hint="cs"/>
          <w:rtl/>
        </w:rPr>
        <w:t>בסמוך</w:t>
      </w:r>
      <w:r>
        <w:rPr>
          <w:rFonts w:hint="cs"/>
        </w:rPr>
        <w:t xml:space="preserve"> </w:t>
      </w:r>
      <w:r>
        <w:rPr>
          <w:rFonts w:hint="cs"/>
          <w:rtl/>
        </w:rPr>
        <w:t>לכך סגר</w:t>
      </w:r>
      <w:r>
        <w:rPr>
          <w:rFonts w:hint="cs"/>
        </w:rPr>
        <w:t xml:space="preserve"> </w:t>
      </w:r>
      <w:r>
        <w:rPr>
          <w:rFonts w:hint="cs"/>
          <w:rtl/>
        </w:rPr>
        <w:t>המתלונן</w:t>
      </w:r>
      <w:r>
        <w:rPr>
          <w:rFonts w:hint="cs"/>
        </w:rPr>
        <w:t xml:space="preserve"> </w:t>
      </w:r>
      <w:r>
        <w:rPr>
          <w:rFonts w:hint="cs"/>
          <w:rtl/>
        </w:rPr>
        <w:t>את</w:t>
      </w:r>
      <w:r>
        <w:rPr>
          <w:rFonts w:hint="cs"/>
        </w:rPr>
        <w:t xml:space="preserve"> </w:t>
      </w:r>
      <w:r>
        <w:rPr>
          <w:rFonts w:hint="cs"/>
          <w:rtl/>
        </w:rPr>
        <w:t>החנות, וצעד</w:t>
      </w:r>
      <w:r>
        <w:rPr>
          <w:rFonts w:hint="cs"/>
        </w:rPr>
        <w:t xml:space="preserve"> </w:t>
      </w:r>
      <w:r>
        <w:rPr>
          <w:rFonts w:hint="cs"/>
          <w:rtl/>
        </w:rPr>
        <w:t>לכיוון ביתו</w:t>
      </w:r>
      <w:r>
        <w:rPr>
          <w:rFonts w:hint="cs"/>
        </w:rPr>
        <w:t xml:space="preserve"> </w:t>
      </w:r>
      <w:r>
        <w:rPr>
          <w:rFonts w:hint="cs"/>
          <w:rtl/>
        </w:rPr>
        <w:t>בכפר,</w:t>
      </w:r>
      <w:r>
        <w:rPr>
          <w:rFonts w:hint="cs"/>
        </w:rPr>
        <w:t xml:space="preserve"> </w:t>
      </w:r>
      <w:r>
        <w:rPr>
          <w:rFonts w:hint="cs"/>
          <w:rtl/>
        </w:rPr>
        <w:t>כשהוא</w:t>
      </w:r>
      <w:r>
        <w:rPr>
          <w:rFonts w:hint="cs"/>
        </w:rPr>
        <w:t xml:space="preserve"> </w:t>
      </w:r>
      <w:r>
        <w:rPr>
          <w:rFonts w:hint="cs"/>
          <w:rtl/>
        </w:rPr>
        <w:t>נושא</w:t>
      </w:r>
      <w:r>
        <w:rPr>
          <w:rFonts w:hint="cs"/>
        </w:rPr>
        <w:t xml:space="preserve"> </w:t>
      </w:r>
      <w:r>
        <w:rPr>
          <w:rFonts w:hint="cs"/>
          <w:rtl/>
        </w:rPr>
        <w:t>על</w:t>
      </w:r>
      <w:r>
        <w:rPr>
          <w:rFonts w:hint="cs"/>
        </w:rPr>
        <w:t xml:space="preserve"> </w:t>
      </w:r>
      <w:r>
        <w:rPr>
          <w:rFonts w:hint="cs"/>
          <w:rtl/>
        </w:rPr>
        <w:t>כתפו</w:t>
      </w:r>
      <w:r>
        <w:rPr>
          <w:rFonts w:hint="cs"/>
        </w:rPr>
        <w:t xml:space="preserve"> </w:t>
      </w:r>
      <w:r>
        <w:rPr>
          <w:rFonts w:hint="cs"/>
          <w:rtl/>
        </w:rPr>
        <w:t>תיק,</w:t>
      </w:r>
      <w:r>
        <w:rPr>
          <w:rFonts w:hint="cs"/>
        </w:rPr>
        <w:t xml:space="preserve"> </w:t>
      </w:r>
      <w:r>
        <w:rPr>
          <w:rFonts w:hint="cs"/>
          <w:rtl/>
        </w:rPr>
        <w:t>ובתוכו</w:t>
      </w:r>
      <w:r>
        <w:rPr>
          <w:rFonts w:hint="cs"/>
        </w:rPr>
        <w:t xml:space="preserve"> </w:t>
      </w:r>
      <w:r>
        <w:rPr>
          <w:rFonts w:hint="cs"/>
          <w:rtl/>
        </w:rPr>
        <w:t>פידיון</w:t>
      </w:r>
      <w:r>
        <w:rPr>
          <w:rFonts w:hint="cs"/>
        </w:rPr>
        <w:t xml:space="preserve"> </w:t>
      </w:r>
      <w:r>
        <w:rPr>
          <w:rFonts w:hint="cs"/>
          <w:rtl/>
        </w:rPr>
        <w:t>החנות</w:t>
      </w:r>
      <w:r>
        <w:rPr>
          <w:rFonts w:hint="cs"/>
        </w:rPr>
        <w:t xml:space="preserve"> </w:t>
      </w:r>
      <w:r>
        <w:rPr>
          <w:rFonts w:hint="cs"/>
          <w:rtl/>
        </w:rPr>
        <w:t>בסכום</w:t>
      </w:r>
      <w:r>
        <w:rPr>
          <w:rFonts w:hint="cs"/>
        </w:rPr>
        <w:t xml:space="preserve"> </w:t>
      </w:r>
      <w:r>
        <w:rPr>
          <w:rFonts w:hint="cs"/>
          <w:rtl/>
        </w:rPr>
        <w:t>של 3,500 ₪, ארנק</w:t>
      </w:r>
      <w:r>
        <w:rPr>
          <w:rFonts w:hint="cs"/>
        </w:rPr>
        <w:t xml:space="preserve"> </w:t>
      </w:r>
      <w:r>
        <w:rPr>
          <w:rFonts w:hint="cs"/>
          <w:rtl/>
        </w:rPr>
        <w:t>קטן</w:t>
      </w:r>
      <w:r>
        <w:rPr>
          <w:rFonts w:hint="cs"/>
        </w:rPr>
        <w:t xml:space="preserve"> </w:t>
      </w:r>
      <w:r>
        <w:rPr>
          <w:rFonts w:hint="cs"/>
          <w:rtl/>
        </w:rPr>
        <w:t>ובתוכו 1,000</w:t>
      </w:r>
      <w:r>
        <w:rPr>
          <w:rFonts w:hint="cs"/>
        </w:rPr>
        <w:t xml:space="preserve"> </w:t>
      </w:r>
      <w:r>
        <w:rPr>
          <w:rFonts w:hint="cs"/>
          <w:rtl/>
        </w:rPr>
        <w:t>₪</w:t>
      </w:r>
      <w:r>
        <w:rPr>
          <w:rFonts w:hint="cs"/>
        </w:rPr>
        <w:t xml:space="preserve"> </w:t>
      </w:r>
      <w:r>
        <w:t>,</w:t>
      </w:r>
      <w:r>
        <w:rPr>
          <w:rFonts w:hint="cs"/>
          <w:rtl/>
        </w:rPr>
        <w:t>עשרות</w:t>
      </w:r>
      <w:r>
        <w:rPr>
          <w:rFonts w:hint="cs"/>
        </w:rPr>
        <w:t xml:space="preserve"> </w:t>
      </w:r>
      <w:r>
        <w:rPr>
          <w:rFonts w:hint="cs"/>
          <w:rtl/>
        </w:rPr>
        <w:t>רבות</w:t>
      </w:r>
      <w:r>
        <w:rPr>
          <w:rFonts w:hint="cs"/>
        </w:rPr>
        <w:t xml:space="preserve"> </w:t>
      </w:r>
      <w:r>
        <w:rPr>
          <w:rFonts w:hint="cs"/>
          <w:rtl/>
        </w:rPr>
        <w:t>של</w:t>
      </w:r>
      <w:r>
        <w:rPr>
          <w:rFonts w:hint="cs"/>
        </w:rPr>
        <w:t xml:space="preserve"> </w:t>
      </w:r>
      <w:r>
        <w:rPr>
          <w:rFonts w:hint="cs"/>
          <w:rtl/>
        </w:rPr>
        <w:t>כרטיסי</w:t>
      </w:r>
      <w:r>
        <w:rPr>
          <w:rFonts w:hint="cs"/>
        </w:rPr>
        <w:t xml:space="preserve"> </w:t>
      </w:r>
      <w:r>
        <w:rPr>
          <w:rFonts w:hint="cs"/>
          <w:rtl/>
        </w:rPr>
        <w:t>זכיה, ושיק</w:t>
      </w:r>
      <w:r>
        <w:rPr>
          <w:rFonts w:hint="cs"/>
        </w:rPr>
        <w:t xml:space="preserve"> </w:t>
      </w:r>
      <w:r>
        <w:rPr>
          <w:rFonts w:hint="cs"/>
          <w:rtl/>
        </w:rPr>
        <w:t>על</w:t>
      </w:r>
      <w:r>
        <w:rPr>
          <w:rFonts w:hint="cs"/>
        </w:rPr>
        <w:t xml:space="preserve"> </w:t>
      </w:r>
      <w:r>
        <w:rPr>
          <w:rFonts w:hint="cs"/>
          <w:rtl/>
        </w:rPr>
        <w:t>סך 1,420 ₪ (התיק</w:t>
      </w:r>
      <w:r>
        <w:rPr>
          <w:rFonts w:hint="cs"/>
        </w:rPr>
        <w:t xml:space="preserve"> </w:t>
      </w:r>
      <w:r>
        <w:rPr>
          <w:rFonts w:hint="cs"/>
          <w:rtl/>
        </w:rPr>
        <w:t>ותכולתו</w:t>
      </w:r>
      <w:r>
        <w:rPr>
          <w:rFonts w:hint="cs"/>
        </w:rPr>
        <w:t xml:space="preserve"> </w:t>
      </w:r>
      <w:r>
        <w:rPr>
          <w:rFonts w:hint="cs"/>
          <w:rtl/>
        </w:rPr>
        <w:t>ייקראו</w:t>
      </w:r>
      <w:r>
        <w:rPr>
          <w:rFonts w:hint="cs"/>
        </w:rPr>
        <w:t xml:space="preserve"> </w:t>
      </w:r>
      <w:r>
        <w:rPr>
          <w:rFonts w:hint="cs"/>
          <w:rtl/>
        </w:rPr>
        <w:t>להלן: "התיק").</w:t>
      </w:r>
    </w:p>
    <w:p w14:paraId="09BE7ECC" w14:textId="77777777" w:rsidR="003A32D2" w:rsidRDefault="003A32D2" w:rsidP="003A32D2">
      <w:pPr>
        <w:spacing w:line="360" w:lineRule="auto"/>
        <w:ind w:left="1440" w:hanging="636"/>
        <w:jc w:val="both"/>
        <w:rPr>
          <w:sz w:val="16"/>
          <w:szCs w:val="16"/>
          <w:rtl/>
        </w:rPr>
      </w:pPr>
    </w:p>
    <w:p w14:paraId="6C1317DF" w14:textId="77777777" w:rsidR="003A32D2" w:rsidRDefault="003A32D2" w:rsidP="003A32D2">
      <w:pPr>
        <w:spacing w:line="360" w:lineRule="auto"/>
        <w:ind w:left="1440" w:hanging="636"/>
        <w:jc w:val="both"/>
        <w:rPr>
          <w:rtl/>
        </w:rPr>
      </w:pPr>
      <w:r>
        <w:rPr>
          <w:rFonts w:hint="cs"/>
          <w:rtl/>
        </w:rPr>
        <w:t>2.3.</w:t>
      </w:r>
      <w:r>
        <w:rPr>
          <w:rFonts w:hint="cs"/>
          <w:rtl/>
        </w:rPr>
        <w:tab/>
        <w:t>בעודו בדרכו, הגיחו</w:t>
      </w:r>
      <w:r>
        <w:rPr>
          <w:rFonts w:hint="cs"/>
        </w:rPr>
        <w:t xml:space="preserve"> </w:t>
      </w:r>
      <w:r>
        <w:rPr>
          <w:rFonts w:hint="cs"/>
          <w:rtl/>
        </w:rPr>
        <w:t>מאחורי המתלונן</w:t>
      </w:r>
      <w:r>
        <w:rPr>
          <w:rFonts w:hint="cs"/>
        </w:rPr>
        <w:t xml:space="preserve"> </w:t>
      </w:r>
      <w:r>
        <w:rPr>
          <w:rFonts w:hint="cs"/>
          <w:rtl/>
        </w:rPr>
        <w:t>הנאשם</w:t>
      </w:r>
      <w:r>
        <w:rPr>
          <w:rFonts w:hint="cs"/>
        </w:rPr>
        <w:t xml:space="preserve"> </w:t>
      </w:r>
      <w:r>
        <w:rPr>
          <w:rFonts w:hint="cs"/>
          <w:rtl/>
        </w:rPr>
        <w:t>ועלאא חמדאן (להלן: "עלאא") על קטנוע (להלן: "הקטנוע")</w:t>
      </w:r>
      <w:r>
        <w:rPr>
          <w:rFonts w:hint="cs"/>
        </w:rPr>
        <w:t xml:space="preserve"> </w:t>
      </w:r>
      <w:r>
        <w:rPr>
          <w:rFonts w:hint="cs"/>
          <w:rtl/>
        </w:rPr>
        <w:t>כשעלאא</w:t>
      </w:r>
      <w:r>
        <w:rPr>
          <w:rFonts w:hint="cs"/>
        </w:rPr>
        <w:t xml:space="preserve"> </w:t>
      </w:r>
      <w:r>
        <w:rPr>
          <w:rFonts w:hint="cs"/>
          <w:rtl/>
        </w:rPr>
        <w:t>נוהג</w:t>
      </w:r>
      <w:r>
        <w:rPr>
          <w:rFonts w:hint="cs"/>
        </w:rPr>
        <w:t xml:space="preserve"> </w:t>
      </w:r>
      <w:r>
        <w:rPr>
          <w:rFonts w:hint="cs"/>
          <w:rtl/>
        </w:rPr>
        <w:t>בקטנוע</w:t>
      </w:r>
      <w:r>
        <w:rPr>
          <w:rFonts w:hint="cs"/>
        </w:rPr>
        <w:t xml:space="preserve"> </w:t>
      </w:r>
      <w:r>
        <w:rPr>
          <w:rFonts w:hint="cs"/>
          <w:rtl/>
        </w:rPr>
        <w:t>והנאשם יושב</w:t>
      </w:r>
      <w:r>
        <w:rPr>
          <w:rFonts w:hint="cs"/>
        </w:rPr>
        <w:t xml:space="preserve"> </w:t>
      </w:r>
      <w:r>
        <w:rPr>
          <w:rFonts w:hint="cs"/>
          <w:rtl/>
        </w:rPr>
        <w:t>מאחוריו, במטרה</w:t>
      </w:r>
      <w:r>
        <w:rPr>
          <w:rFonts w:hint="cs"/>
        </w:rPr>
        <w:t xml:space="preserve"> </w:t>
      </w:r>
      <w:r>
        <w:rPr>
          <w:rFonts w:hint="cs"/>
          <w:rtl/>
        </w:rPr>
        <w:t>לשדוד</w:t>
      </w:r>
      <w:r>
        <w:rPr>
          <w:rFonts w:hint="cs"/>
        </w:rPr>
        <w:t xml:space="preserve"> </w:t>
      </w:r>
      <w:r>
        <w:rPr>
          <w:rFonts w:hint="cs"/>
          <w:rtl/>
        </w:rPr>
        <w:t>את</w:t>
      </w:r>
      <w:r>
        <w:rPr>
          <w:rFonts w:hint="cs"/>
        </w:rPr>
        <w:t xml:space="preserve"> </w:t>
      </w:r>
      <w:r>
        <w:rPr>
          <w:rFonts w:hint="cs"/>
          <w:rtl/>
        </w:rPr>
        <w:t>המתלונן. הנאשם</w:t>
      </w:r>
      <w:r>
        <w:rPr>
          <w:rFonts w:hint="cs"/>
        </w:rPr>
        <w:t xml:space="preserve"> </w:t>
      </w:r>
      <w:r>
        <w:rPr>
          <w:rFonts w:hint="cs"/>
          <w:rtl/>
        </w:rPr>
        <w:t>ועלאא</w:t>
      </w:r>
      <w:r>
        <w:rPr>
          <w:rFonts w:hint="cs"/>
        </w:rPr>
        <w:t xml:space="preserve"> </w:t>
      </w:r>
      <w:r>
        <w:rPr>
          <w:rFonts w:hint="cs"/>
          <w:rtl/>
        </w:rPr>
        <w:t>נשאו</w:t>
      </w:r>
      <w:r>
        <w:rPr>
          <w:rFonts w:hint="cs"/>
        </w:rPr>
        <w:t xml:space="preserve"> </w:t>
      </w:r>
      <w:r>
        <w:rPr>
          <w:rFonts w:hint="cs"/>
          <w:rtl/>
        </w:rPr>
        <w:t>והובילו, שלא כדין, בצוותא חדא, אקדח (להלן: "האקדח").</w:t>
      </w:r>
    </w:p>
    <w:p w14:paraId="3387B5F5" w14:textId="77777777" w:rsidR="003A32D2" w:rsidRDefault="003A32D2" w:rsidP="003A32D2">
      <w:pPr>
        <w:spacing w:line="360" w:lineRule="auto"/>
        <w:ind w:left="1440" w:hanging="636"/>
        <w:jc w:val="both"/>
        <w:rPr>
          <w:sz w:val="16"/>
          <w:szCs w:val="16"/>
          <w:rtl/>
        </w:rPr>
      </w:pPr>
    </w:p>
    <w:p w14:paraId="785C39DD" w14:textId="77777777" w:rsidR="003A32D2" w:rsidRDefault="003A32D2" w:rsidP="003A32D2">
      <w:pPr>
        <w:spacing w:line="360" w:lineRule="auto"/>
        <w:ind w:left="1440" w:hanging="636"/>
        <w:jc w:val="both"/>
        <w:rPr>
          <w:rtl/>
        </w:rPr>
      </w:pPr>
      <w:r>
        <w:rPr>
          <w:rFonts w:hint="cs"/>
          <w:rtl/>
        </w:rPr>
        <w:t>2.4.</w:t>
      </w:r>
      <w:r>
        <w:rPr>
          <w:rFonts w:hint="cs"/>
          <w:rtl/>
        </w:rPr>
        <w:tab/>
        <w:t>בהגיעם</w:t>
      </w:r>
      <w:r>
        <w:rPr>
          <w:rFonts w:hint="cs"/>
        </w:rPr>
        <w:t xml:space="preserve"> </w:t>
      </w:r>
      <w:r>
        <w:rPr>
          <w:rFonts w:hint="cs"/>
          <w:rtl/>
        </w:rPr>
        <w:t>סמוך</w:t>
      </w:r>
      <w:r>
        <w:rPr>
          <w:rFonts w:hint="cs"/>
        </w:rPr>
        <w:t xml:space="preserve"> </w:t>
      </w:r>
      <w:r>
        <w:rPr>
          <w:rFonts w:hint="cs"/>
          <w:rtl/>
        </w:rPr>
        <w:t>למתלונן,</w:t>
      </w:r>
      <w:r>
        <w:rPr>
          <w:rFonts w:hint="cs"/>
        </w:rPr>
        <w:t xml:space="preserve"> </w:t>
      </w:r>
      <w:r>
        <w:rPr>
          <w:rFonts w:hint="cs"/>
          <w:rtl/>
        </w:rPr>
        <w:t>עצרו</w:t>
      </w:r>
      <w:r>
        <w:rPr>
          <w:rFonts w:hint="cs"/>
        </w:rPr>
        <w:t xml:space="preserve"> </w:t>
      </w:r>
      <w:r>
        <w:rPr>
          <w:rFonts w:hint="cs"/>
          <w:rtl/>
        </w:rPr>
        <w:t>הנאשם</w:t>
      </w:r>
      <w:r>
        <w:rPr>
          <w:rFonts w:hint="cs"/>
        </w:rPr>
        <w:t xml:space="preserve"> </w:t>
      </w:r>
      <w:r>
        <w:rPr>
          <w:rFonts w:hint="cs"/>
          <w:rtl/>
        </w:rPr>
        <w:t>ועלאא</w:t>
      </w:r>
      <w:r>
        <w:rPr>
          <w:rFonts w:hint="cs"/>
        </w:rPr>
        <w:t xml:space="preserve"> </w:t>
      </w:r>
      <w:r>
        <w:rPr>
          <w:rFonts w:hint="cs"/>
          <w:rtl/>
        </w:rPr>
        <w:t>את</w:t>
      </w:r>
      <w:r>
        <w:rPr>
          <w:rFonts w:hint="cs"/>
        </w:rPr>
        <w:t xml:space="preserve"> </w:t>
      </w:r>
      <w:r>
        <w:rPr>
          <w:rFonts w:hint="cs"/>
          <w:rtl/>
        </w:rPr>
        <w:t>הקטנוע. הנאשם</w:t>
      </w:r>
      <w:r>
        <w:rPr>
          <w:rFonts w:hint="cs"/>
        </w:rPr>
        <w:t xml:space="preserve"> </w:t>
      </w:r>
      <w:r>
        <w:rPr>
          <w:rFonts w:hint="cs"/>
          <w:rtl/>
        </w:rPr>
        <w:t>אחז</w:t>
      </w:r>
      <w:r>
        <w:rPr>
          <w:rFonts w:hint="cs"/>
        </w:rPr>
        <w:t xml:space="preserve"> </w:t>
      </w:r>
      <w:r>
        <w:rPr>
          <w:rFonts w:hint="cs"/>
          <w:rtl/>
        </w:rPr>
        <w:t>בתיק</w:t>
      </w:r>
      <w:r>
        <w:rPr>
          <w:rFonts w:hint="cs"/>
        </w:rPr>
        <w:t xml:space="preserve"> </w:t>
      </w:r>
      <w:r>
        <w:rPr>
          <w:rFonts w:hint="cs"/>
          <w:rtl/>
        </w:rPr>
        <w:t>שנשא המתלונן</w:t>
      </w:r>
      <w:r>
        <w:rPr>
          <w:rFonts w:hint="cs"/>
        </w:rPr>
        <w:t xml:space="preserve"> </w:t>
      </w:r>
      <w:r>
        <w:rPr>
          <w:rFonts w:hint="cs"/>
          <w:rtl/>
        </w:rPr>
        <w:t>על</w:t>
      </w:r>
      <w:r>
        <w:rPr>
          <w:rFonts w:hint="cs"/>
        </w:rPr>
        <w:t xml:space="preserve"> </w:t>
      </w:r>
      <w:r>
        <w:rPr>
          <w:rFonts w:hint="cs"/>
          <w:rtl/>
        </w:rPr>
        <w:t>כתפו, ומשך</w:t>
      </w:r>
      <w:r>
        <w:rPr>
          <w:rFonts w:hint="cs"/>
        </w:rPr>
        <w:t xml:space="preserve"> </w:t>
      </w:r>
      <w:r>
        <w:rPr>
          <w:rFonts w:hint="cs"/>
          <w:rtl/>
        </w:rPr>
        <w:t>אותו</w:t>
      </w:r>
      <w:r>
        <w:rPr>
          <w:rFonts w:hint="cs"/>
        </w:rPr>
        <w:t xml:space="preserve"> </w:t>
      </w:r>
      <w:r>
        <w:rPr>
          <w:rFonts w:hint="cs"/>
          <w:rtl/>
        </w:rPr>
        <w:t>אליו,</w:t>
      </w:r>
      <w:r>
        <w:rPr>
          <w:rFonts w:hint="cs"/>
        </w:rPr>
        <w:t xml:space="preserve"> </w:t>
      </w:r>
      <w:r>
        <w:rPr>
          <w:rFonts w:hint="cs"/>
          <w:rtl/>
        </w:rPr>
        <w:t>תוך</w:t>
      </w:r>
      <w:r>
        <w:rPr>
          <w:rFonts w:hint="cs"/>
        </w:rPr>
        <w:t xml:space="preserve"> </w:t>
      </w:r>
      <w:r>
        <w:rPr>
          <w:rFonts w:hint="cs"/>
          <w:rtl/>
        </w:rPr>
        <w:t>שהוא</w:t>
      </w:r>
      <w:r>
        <w:rPr>
          <w:rFonts w:hint="cs"/>
        </w:rPr>
        <w:t xml:space="preserve"> </w:t>
      </w:r>
      <w:r>
        <w:rPr>
          <w:rFonts w:hint="cs"/>
          <w:rtl/>
        </w:rPr>
        <w:t>דורש</w:t>
      </w:r>
      <w:r>
        <w:rPr>
          <w:rFonts w:hint="cs"/>
        </w:rPr>
        <w:t xml:space="preserve"> </w:t>
      </w:r>
      <w:r>
        <w:rPr>
          <w:rFonts w:hint="cs"/>
          <w:rtl/>
        </w:rPr>
        <w:t>מהמתלונן</w:t>
      </w:r>
      <w:r>
        <w:rPr>
          <w:rFonts w:hint="cs"/>
        </w:rPr>
        <w:t xml:space="preserve"> </w:t>
      </w:r>
      <w:r>
        <w:rPr>
          <w:rFonts w:hint="cs"/>
          <w:rtl/>
        </w:rPr>
        <w:t>להביא</w:t>
      </w:r>
      <w:r>
        <w:rPr>
          <w:rFonts w:hint="cs"/>
        </w:rPr>
        <w:t xml:space="preserve"> </w:t>
      </w:r>
      <w:r>
        <w:rPr>
          <w:rFonts w:hint="cs"/>
          <w:rtl/>
        </w:rPr>
        <w:t>לו</w:t>
      </w:r>
      <w:r>
        <w:rPr>
          <w:rFonts w:hint="cs"/>
        </w:rPr>
        <w:t xml:space="preserve"> </w:t>
      </w:r>
      <w:r>
        <w:rPr>
          <w:rFonts w:hint="cs"/>
          <w:rtl/>
        </w:rPr>
        <w:t>את</w:t>
      </w:r>
      <w:r>
        <w:rPr>
          <w:rFonts w:hint="cs"/>
        </w:rPr>
        <w:t xml:space="preserve"> </w:t>
      </w:r>
      <w:r>
        <w:rPr>
          <w:rFonts w:hint="cs"/>
          <w:rtl/>
        </w:rPr>
        <w:t>התיק</w:t>
      </w:r>
      <w:r>
        <w:t>.</w:t>
      </w:r>
      <w:r>
        <w:rPr>
          <w:rFonts w:hint="cs"/>
          <w:rtl/>
        </w:rPr>
        <w:t xml:space="preserve"> המתלונן</w:t>
      </w:r>
      <w:r>
        <w:rPr>
          <w:rFonts w:hint="cs"/>
        </w:rPr>
        <w:t xml:space="preserve"> </w:t>
      </w:r>
      <w:r>
        <w:rPr>
          <w:rFonts w:hint="cs"/>
          <w:rtl/>
        </w:rPr>
        <w:t>המשיך</w:t>
      </w:r>
      <w:r>
        <w:rPr>
          <w:rFonts w:hint="cs"/>
        </w:rPr>
        <w:t xml:space="preserve"> </w:t>
      </w:r>
      <w:r>
        <w:rPr>
          <w:rFonts w:hint="cs"/>
          <w:rtl/>
        </w:rPr>
        <w:t>לאחוז</w:t>
      </w:r>
      <w:r>
        <w:rPr>
          <w:rFonts w:hint="cs"/>
        </w:rPr>
        <w:t xml:space="preserve"> </w:t>
      </w:r>
      <w:r>
        <w:rPr>
          <w:rFonts w:hint="cs"/>
          <w:rtl/>
        </w:rPr>
        <w:t>בתיק,</w:t>
      </w:r>
      <w:r>
        <w:rPr>
          <w:rFonts w:hint="cs"/>
        </w:rPr>
        <w:t xml:space="preserve"> </w:t>
      </w:r>
      <w:r>
        <w:rPr>
          <w:rFonts w:hint="cs"/>
          <w:rtl/>
        </w:rPr>
        <w:t>ולמשוך</w:t>
      </w:r>
      <w:r>
        <w:rPr>
          <w:rFonts w:hint="cs"/>
        </w:rPr>
        <w:t xml:space="preserve"> </w:t>
      </w:r>
      <w:r>
        <w:rPr>
          <w:rFonts w:hint="cs"/>
          <w:rtl/>
        </w:rPr>
        <w:t>אותו</w:t>
      </w:r>
      <w:r>
        <w:rPr>
          <w:rFonts w:hint="cs"/>
        </w:rPr>
        <w:t xml:space="preserve"> </w:t>
      </w:r>
      <w:r>
        <w:rPr>
          <w:rFonts w:hint="cs"/>
          <w:rtl/>
        </w:rPr>
        <w:t>לעברו. הנאשם הוציא</w:t>
      </w:r>
      <w:r>
        <w:rPr>
          <w:rFonts w:hint="cs"/>
        </w:rPr>
        <w:t xml:space="preserve"> </w:t>
      </w:r>
      <w:r>
        <w:rPr>
          <w:rFonts w:hint="cs"/>
          <w:rtl/>
        </w:rPr>
        <w:t>את</w:t>
      </w:r>
      <w:r>
        <w:rPr>
          <w:rFonts w:hint="cs"/>
        </w:rPr>
        <w:t xml:space="preserve"> </w:t>
      </w:r>
      <w:r>
        <w:rPr>
          <w:rFonts w:hint="cs"/>
          <w:rtl/>
        </w:rPr>
        <w:t>האקדח ממכנסיו,</w:t>
      </w:r>
      <w:r>
        <w:rPr>
          <w:rFonts w:hint="cs"/>
        </w:rPr>
        <w:t xml:space="preserve"> </w:t>
      </w:r>
      <w:r>
        <w:rPr>
          <w:rFonts w:hint="cs"/>
          <w:rtl/>
        </w:rPr>
        <w:t>וירה</w:t>
      </w:r>
      <w:r>
        <w:rPr>
          <w:rFonts w:hint="cs"/>
        </w:rPr>
        <w:t xml:space="preserve"> </w:t>
      </w:r>
      <w:r>
        <w:rPr>
          <w:rFonts w:hint="cs"/>
          <w:rtl/>
        </w:rPr>
        <w:t>כדור</w:t>
      </w:r>
      <w:r>
        <w:rPr>
          <w:rFonts w:hint="cs"/>
        </w:rPr>
        <w:t xml:space="preserve"> </w:t>
      </w:r>
      <w:r>
        <w:rPr>
          <w:rFonts w:hint="cs"/>
          <w:rtl/>
        </w:rPr>
        <w:t>אחד לעבר</w:t>
      </w:r>
      <w:r>
        <w:rPr>
          <w:rFonts w:hint="cs"/>
        </w:rPr>
        <w:t xml:space="preserve"> </w:t>
      </w:r>
      <w:r>
        <w:rPr>
          <w:rFonts w:hint="cs"/>
          <w:rtl/>
        </w:rPr>
        <w:t>רגליו</w:t>
      </w:r>
      <w:r>
        <w:rPr>
          <w:rFonts w:hint="cs"/>
        </w:rPr>
        <w:t xml:space="preserve"> </w:t>
      </w:r>
      <w:r>
        <w:rPr>
          <w:rFonts w:hint="cs"/>
          <w:rtl/>
        </w:rPr>
        <w:t>של</w:t>
      </w:r>
      <w:r>
        <w:rPr>
          <w:rFonts w:hint="cs"/>
        </w:rPr>
        <w:t xml:space="preserve"> </w:t>
      </w:r>
      <w:r>
        <w:rPr>
          <w:rFonts w:hint="cs"/>
          <w:rtl/>
        </w:rPr>
        <w:t>המתלונן (להלן: "הירי"). בזמן הירי, הזיז</w:t>
      </w:r>
      <w:r>
        <w:rPr>
          <w:rFonts w:hint="cs"/>
        </w:rPr>
        <w:t xml:space="preserve"> </w:t>
      </w:r>
      <w:r>
        <w:rPr>
          <w:rFonts w:hint="cs"/>
          <w:rtl/>
        </w:rPr>
        <w:t>המתלונן</w:t>
      </w:r>
      <w:r>
        <w:rPr>
          <w:rFonts w:hint="cs"/>
        </w:rPr>
        <w:t xml:space="preserve"> </w:t>
      </w:r>
      <w:r>
        <w:rPr>
          <w:rFonts w:hint="cs"/>
          <w:rtl/>
        </w:rPr>
        <w:t>את רגלו</w:t>
      </w:r>
      <w:r>
        <w:rPr>
          <w:rFonts w:hint="cs"/>
        </w:rPr>
        <w:t xml:space="preserve"> </w:t>
      </w:r>
      <w:r>
        <w:rPr>
          <w:rFonts w:hint="cs"/>
          <w:rtl/>
        </w:rPr>
        <w:t>השמאלית, והכדור</w:t>
      </w:r>
      <w:r>
        <w:rPr>
          <w:rFonts w:hint="cs"/>
        </w:rPr>
        <w:t xml:space="preserve"> </w:t>
      </w:r>
      <w:r>
        <w:rPr>
          <w:rFonts w:hint="cs"/>
          <w:rtl/>
        </w:rPr>
        <w:t>פגע</w:t>
      </w:r>
      <w:r>
        <w:rPr>
          <w:rFonts w:hint="cs"/>
        </w:rPr>
        <w:t xml:space="preserve"> </w:t>
      </w:r>
      <w:r>
        <w:rPr>
          <w:rFonts w:hint="cs"/>
          <w:rtl/>
        </w:rPr>
        <w:t>בכביש</w:t>
      </w:r>
      <w:r>
        <w:t>.</w:t>
      </w:r>
    </w:p>
    <w:p w14:paraId="0524C687" w14:textId="77777777" w:rsidR="003A32D2" w:rsidRDefault="003A32D2" w:rsidP="003A32D2">
      <w:pPr>
        <w:spacing w:line="360" w:lineRule="auto"/>
        <w:ind w:left="1440" w:hanging="636"/>
        <w:jc w:val="both"/>
        <w:rPr>
          <w:sz w:val="16"/>
          <w:szCs w:val="16"/>
          <w:rtl/>
        </w:rPr>
      </w:pPr>
    </w:p>
    <w:p w14:paraId="6EE0EA9A" w14:textId="77777777" w:rsidR="003A32D2" w:rsidRDefault="003A32D2" w:rsidP="003A32D2">
      <w:pPr>
        <w:spacing w:line="360" w:lineRule="auto"/>
        <w:ind w:left="1440" w:hanging="636"/>
        <w:jc w:val="both"/>
        <w:rPr>
          <w:rtl/>
        </w:rPr>
      </w:pPr>
      <w:r>
        <w:rPr>
          <w:rFonts w:hint="cs"/>
          <w:rtl/>
        </w:rPr>
        <w:t>2.5.</w:t>
      </w:r>
      <w:r>
        <w:rPr>
          <w:rFonts w:hint="cs"/>
          <w:rtl/>
        </w:rPr>
        <w:tab/>
        <w:t>בעקבות</w:t>
      </w:r>
      <w:r>
        <w:rPr>
          <w:rFonts w:hint="cs"/>
        </w:rPr>
        <w:t xml:space="preserve"> </w:t>
      </w:r>
      <w:r>
        <w:rPr>
          <w:rFonts w:hint="cs"/>
          <w:rtl/>
        </w:rPr>
        <w:t>הירי, שחרר</w:t>
      </w:r>
      <w:r>
        <w:rPr>
          <w:rFonts w:hint="cs"/>
        </w:rPr>
        <w:t xml:space="preserve"> </w:t>
      </w:r>
      <w:r>
        <w:rPr>
          <w:rFonts w:hint="cs"/>
          <w:rtl/>
        </w:rPr>
        <w:t>המתלונן את</w:t>
      </w:r>
      <w:r>
        <w:rPr>
          <w:rFonts w:hint="cs"/>
        </w:rPr>
        <w:t xml:space="preserve"> </w:t>
      </w:r>
      <w:r>
        <w:rPr>
          <w:rFonts w:hint="cs"/>
          <w:rtl/>
        </w:rPr>
        <w:t>אחיזתו</w:t>
      </w:r>
      <w:r>
        <w:rPr>
          <w:rFonts w:hint="cs"/>
        </w:rPr>
        <w:t xml:space="preserve"> </w:t>
      </w:r>
      <w:r>
        <w:rPr>
          <w:rFonts w:hint="cs"/>
          <w:rtl/>
        </w:rPr>
        <w:t>מהתיק. הנאשם</w:t>
      </w:r>
      <w:r>
        <w:rPr>
          <w:rFonts w:hint="cs"/>
        </w:rPr>
        <w:t xml:space="preserve"> </w:t>
      </w:r>
      <w:r>
        <w:rPr>
          <w:rFonts w:hint="cs"/>
          <w:rtl/>
        </w:rPr>
        <w:t>ועלאא</w:t>
      </w:r>
      <w:r>
        <w:rPr>
          <w:rFonts w:hint="cs"/>
        </w:rPr>
        <w:t xml:space="preserve"> </w:t>
      </w:r>
      <w:r>
        <w:rPr>
          <w:rFonts w:hint="cs"/>
          <w:rtl/>
        </w:rPr>
        <w:t>נמלטו מהמקום</w:t>
      </w:r>
      <w:r>
        <w:rPr>
          <w:rFonts w:hint="cs"/>
        </w:rPr>
        <w:t xml:space="preserve"> </w:t>
      </w:r>
      <w:r>
        <w:rPr>
          <w:rFonts w:hint="cs"/>
          <w:rtl/>
        </w:rPr>
        <w:t>על</w:t>
      </w:r>
      <w:r>
        <w:rPr>
          <w:rFonts w:hint="cs"/>
        </w:rPr>
        <w:t xml:space="preserve"> </w:t>
      </w:r>
      <w:r>
        <w:rPr>
          <w:rFonts w:hint="cs"/>
          <w:rtl/>
        </w:rPr>
        <w:t>הקטנוע,</w:t>
      </w:r>
      <w:r>
        <w:rPr>
          <w:rFonts w:hint="cs"/>
        </w:rPr>
        <w:t xml:space="preserve"> </w:t>
      </w:r>
      <w:r>
        <w:rPr>
          <w:rFonts w:hint="cs"/>
          <w:rtl/>
        </w:rPr>
        <w:t>כשהם</w:t>
      </w:r>
      <w:r>
        <w:rPr>
          <w:rFonts w:hint="cs"/>
        </w:rPr>
        <w:t xml:space="preserve"> </w:t>
      </w:r>
      <w:r>
        <w:rPr>
          <w:rFonts w:hint="cs"/>
          <w:rtl/>
        </w:rPr>
        <w:t>נושאים</w:t>
      </w:r>
      <w:r>
        <w:rPr>
          <w:rFonts w:hint="cs"/>
        </w:rPr>
        <w:t xml:space="preserve"> </w:t>
      </w:r>
      <w:r>
        <w:rPr>
          <w:rFonts w:hint="cs"/>
          <w:rtl/>
        </w:rPr>
        <w:t>את</w:t>
      </w:r>
      <w:r>
        <w:rPr>
          <w:rFonts w:hint="cs"/>
        </w:rPr>
        <w:t xml:space="preserve"> </w:t>
      </w:r>
      <w:r>
        <w:rPr>
          <w:rFonts w:hint="cs"/>
          <w:rtl/>
        </w:rPr>
        <w:t>התיק,</w:t>
      </w:r>
      <w:r>
        <w:rPr>
          <w:rFonts w:hint="cs"/>
        </w:rPr>
        <w:t xml:space="preserve"> </w:t>
      </w:r>
      <w:r>
        <w:rPr>
          <w:rFonts w:hint="cs"/>
          <w:rtl/>
        </w:rPr>
        <w:t>וזאת</w:t>
      </w:r>
      <w:r>
        <w:rPr>
          <w:rFonts w:hint="cs"/>
        </w:rPr>
        <w:t xml:space="preserve"> </w:t>
      </w:r>
      <w:r>
        <w:rPr>
          <w:rFonts w:hint="cs"/>
          <w:rtl/>
        </w:rPr>
        <w:t>בכוונה</w:t>
      </w:r>
      <w:r>
        <w:rPr>
          <w:rFonts w:hint="cs"/>
        </w:rPr>
        <w:t xml:space="preserve"> </w:t>
      </w:r>
      <w:r>
        <w:rPr>
          <w:rFonts w:hint="cs"/>
          <w:rtl/>
        </w:rPr>
        <w:t>לשלול</w:t>
      </w:r>
      <w:r>
        <w:rPr>
          <w:rFonts w:hint="cs"/>
        </w:rPr>
        <w:t xml:space="preserve"> </w:t>
      </w:r>
      <w:r>
        <w:rPr>
          <w:rFonts w:hint="cs"/>
          <w:rtl/>
        </w:rPr>
        <w:t>אותו</w:t>
      </w:r>
      <w:r>
        <w:rPr>
          <w:rFonts w:hint="cs"/>
        </w:rPr>
        <w:t xml:space="preserve"> </w:t>
      </w:r>
      <w:r>
        <w:rPr>
          <w:rFonts w:hint="cs"/>
          <w:rtl/>
        </w:rPr>
        <w:t>מהמתלונן שלילת</w:t>
      </w:r>
      <w:r>
        <w:rPr>
          <w:rFonts w:hint="cs"/>
        </w:rPr>
        <w:t xml:space="preserve"> </w:t>
      </w:r>
      <w:r>
        <w:rPr>
          <w:rFonts w:hint="cs"/>
          <w:rtl/>
        </w:rPr>
        <w:t>קבע</w:t>
      </w:r>
      <w:r>
        <w:t>.</w:t>
      </w:r>
    </w:p>
    <w:p w14:paraId="459513AD" w14:textId="77777777" w:rsidR="003A32D2" w:rsidRDefault="003A32D2" w:rsidP="003A32D2">
      <w:pPr>
        <w:spacing w:line="360" w:lineRule="auto"/>
        <w:ind w:left="1440" w:hanging="636"/>
        <w:jc w:val="both"/>
        <w:rPr>
          <w:sz w:val="16"/>
          <w:szCs w:val="16"/>
          <w:rtl/>
        </w:rPr>
      </w:pPr>
    </w:p>
    <w:p w14:paraId="0320A5E6" w14:textId="77777777" w:rsidR="003A32D2" w:rsidRDefault="003A32D2" w:rsidP="003A32D2">
      <w:pPr>
        <w:spacing w:line="360" w:lineRule="auto"/>
        <w:ind w:left="1440" w:hanging="636"/>
        <w:jc w:val="both"/>
        <w:rPr>
          <w:rtl/>
        </w:rPr>
      </w:pPr>
      <w:r>
        <w:rPr>
          <w:rFonts w:hint="cs"/>
          <w:rtl/>
        </w:rPr>
        <w:t>2.6.</w:t>
      </w:r>
      <w:r>
        <w:rPr>
          <w:rFonts w:hint="cs"/>
          <w:rtl/>
        </w:rPr>
        <w:tab/>
        <w:t>בזמנים</w:t>
      </w:r>
      <w:r>
        <w:rPr>
          <w:rFonts w:hint="cs"/>
        </w:rPr>
        <w:t xml:space="preserve"> </w:t>
      </w:r>
      <w:r>
        <w:rPr>
          <w:rFonts w:hint="cs"/>
          <w:rtl/>
        </w:rPr>
        <w:t>הרלבנטיים</w:t>
      </w:r>
      <w:r>
        <w:rPr>
          <w:rFonts w:hint="cs"/>
        </w:rPr>
        <w:t xml:space="preserve"> </w:t>
      </w:r>
      <w:r>
        <w:rPr>
          <w:rFonts w:hint="cs"/>
          <w:rtl/>
        </w:rPr>
        <w:t>לאירוע</w:t>
      </w:r>
      <w:r>
        <w:rPr>
          <w:rFonts w:hint="cs"/>
        </w:rPr>
        <w:t xml:space="preserve"> </w:t>
      </w:r>
      <w:r>
        <w:rPr>
          <w:rFonts w:hint="cs"/>
          <w:rtl/>
        </w:rPr>
        <w:t>המתואר</w:t>
      </w:r>
      <w:r>
        <w:rPr>
          <w:rFonts w:hint="cs"/>
        </w:rPr>
        <w:t xml:space="preserve"> </w:t>
      </w:r>
      <w:r>
        <w:rPr>
          <w:rFonts w:hint="cs"/>
          <w:rtl/>
        </w:rPr>
        <w:t>לעיל,</w:t>
      </w:r>
      <w:r>
        <w:rPr>
          <w:rFonts w:hint="cs"/>
        </w:rPr>
        <w:t xml:space="preserve"> </w:t>
      </w:r>
      <w:r>
        <w:rPr>
          <w:rFonts w:hint="cs"/>
          <w:rtl/>
        </w:rPr>
        <w:t>אמור</w:t>
      </w:r>
      <w:r>
        <w:rPr>
          <w:rFonts w:hint="cs"/>
        </w:rPr>
        <w:t xml:space="preserve"> </w:t>
      </w:r>
      <w:r>
        <w:rPr>
          <w:rFonts w:hint="cs"/>
          <w:rtl/>
        </w:rPr>
        <w:t>היה</w:t>
      </w:r>
      <w:r>
        <w:rPr>
          <w:rFonts w:hint="cs"/>
        </w:rPr>
        <w:t xml:space="preserve"> </w:t>
      </w:r>
      <w:r>
        <w:rPr>
          <w:rFonts w:hint="cs"/>
          <w:rtl/>
        </w:rPr>
        <w:t>הנאשם</w:t>
      </w:r>
      <w:r>
        <w:rPr>
          <w:rFonts w:hint="cs"/>
        </w:rPr>
        <w:t xml:space="preserve"> </w:t>
      </w:r>
      <w:r>
        <w:rPr>
          <w:rFonts w:hint="cs"/>
          <w:rtl/>
        </w:rPr>
        <w:t>לשהות</w:t>
      </w:r>
      <w:r>
        <w:rPr>
          <w:rFonts w:hint="cs"/>
        </w:rPr>
        <w:t xml:space="preserve"> </w:t>
      </w:r>
      <w:r>
        <w:rPr>
          <w:rFonts w:hint="cs"/>
          <w:rtl/>
        </w:rPr>
        <w:t>בתנאי</w:t>
      </w:r>
      <w:r>
        <w:rPr>
          <w:rFonts w:hint="cs"/>
        </w:rPr>
        <w:t xml:space="preserve"> </w:t>
      </w:r>
      <w:r>
        <w:rPr>
          <w:rFonts w:hint="cs"/>
          <w:rtl/>
        </w:rPr>
        <w:t>מעצר</w:t>
      </w:r>
      <w:r>
        <w:rPr>
          <w:rFonts w:hint="cs"/>
        </w:rPr>
        <w:t xml:space="preserve"> </w:t>
      </w:r>
      <w:r>
        <w:rPr>
          <w:rFonts w:hint="cs"/>
          <w:rtl/>
        </w:rPr>
        <w:t>בית</w:t>
      </w:r>
      <w:r>
        <w:rPr>
          <w:rFonts w:hint="cs"/>
        </w:rPr>
        <w:t xml:space="preserve"> </w:t>
      </w:r>
      <w:r>
        <w:rPr>
          <w:rFonts w:hint="cs"/>
          <w:rtl/>
        </w:rPr>
        <w:t>בכפר מג'ד אלכרום, בפיקוח</w:t>
      </w:r>
      <w:r>
        <w:rPr>
          <w:rFonts w:hint="cs"/>
        </w:rPr>
        <w:t xml:space="preserve"> </w:t>
      </w:r>
      <w:r>
        <w:rPr>
          <w:rFonts w:hint="cs"/>
          <w:rtl/>
        </w:rPr>
        <w:t xml:space="preserve">מפקחים, וזאת בהתאם להחלטה שיפוטית שניתנה בתיק </w:t>
      </w:r>
      <w:hyperlink r:id="rId17" w:history="1">
        <w:r w:rsidR="002F078A" w:rsidRPr="002F078A">
          <w:rPr>
            <w:color w:val="0000FF"/>
            <w:u w:val="single"/>
            <w:rtl/>
          </w:rPr>
          <w:t>מ"ת 49343-12-16</w:t>
        </w:r>
      </w:hyperlink>
      <w:r>
        <w:rPr>
          <w:rFonts w:hint="cs"/>
          <w:rtl/>
        </w:rPr>
        <w:t xml:space="preserve">. </w:t>
      </w:r>
    </w:p>
    <w:p w14:paraId="16891810" w14:textId="77777777" w:rsidR="003A32D2" w:rsidRDefault="003A32D2" w:rsidP="003A32D2">
      <w:pPr>
        <w:spacing w:line="360" w:lineRule="auto"/>
        <w:ind w:left="1440" w:hanging="636"/>
        <w:jc w:val="both"/>
        <w:rPr>
          <w:sz w:val="18"/>
          <w:szCs w:val="18"/>
          <w:rtl/>
        </w:rPr>
      </w:pPr>
    </w:p>
    <w:p w14:paraId="246CD770" w14:textId="77777777" w:rsidR="003A32D2" w:rsidRDefault="003A32D2" w:rsidP="003A32D2">
      <w:pPr>
        <w:spacing w:line="360" w:lineRule="auto"/>
        <w:ind w:left="1440" w:hanging="636"/>
        <w:jc w:val="both"/>
        <w:rPr>
          <w:rtl/>
        </w:rPr>
      </w:pPr>
      <w:r>
        <w:rPr>
          <w:rFonts w:hint="cs"/>
          <w:rtl/>
        </w:rPr>
        <w:t>2.7.</w:t>
      </w:r>
      <w:r>
        <w:rPr>
          <w:rFonts w:hint="cs"/>
          <w:rtl/>
        </w:rPr>
        <w:tab/>
        <w:t>נטען כי במעשיהם המתוארים לעיל:</w:t>
      </w:r>
    </w:p>
    <w:p w14:paraId="7E91A1F3" w14:textId="77777777" w:rsidR="003A32D2" w:rsidRDefault="003A32D2" w:rsidP="003A32D2">
      <w:pPr>
        <w:spacing w:line="360" w:lineRule="auto"/>
        <w:ind w:left="1440" w:hanging="636"/>
        <w:jc w:val="both"/>
        <w:rPr>
          <w:rtl/>
        </w:rPr>
      </w:pPr>
    </w:p>
    <w:p w14:paraId="33FEE54F" w14:textId="77777777" w:rsidR="003A32D2" w:rsidRDefault="003A32D2" w:rsidP="003A32D2">
      <w:pPr>
        <w:spacing w:line="360" w:lineRule="auto"/>
        <w:ind w:left="2076" w:hanging="636"/>
        <w:jc w:val="both"/>
        <w:rPr>
          <w:rtl/>
        </w:rPr>
      </w:pPr>
      <w:r>
        <w:rPr>
          <w:rFonts w:hint="cs"/>
          <w:rtl/>
        </w:rPr>
        <w:t>א.</w:t>
      </w:r>
      <w:r>
        <w:rPr>
          <w:rFonts w:hint="cs"/>
          <w:rtl/>
        </w:rPr>
        <w:tab/>
        <w:t>הנאשם ועלאא, נשאו והובילו, בצוותא חדא, נשק בלא רשות על פי דין.</w:t>
      </w:r>
    </w:p>
    <w:p w14:paraId="54AFCF41" w14:textId="77777777" w:rsidR="003A32D2" w:rsidRDefault="003A32D2" w:rsidP="003A32D2">
      <w:pPr>
        <w:spacing w:line="360" w:lineRule="auto"/>
        <w:ind w:left="2076" w:hanging="636"/>
        <w:jc w:val="both"/>
        <w:rPr>
          <w:rtl/>
        </w:rPr>
      </w:pPr>
    </w:p>
    <w:p w14:paraId="77AEDC5B" w14:textId="77777777" w:rsidR="003A32D2" w:rsidRDefault="003A32D2" w:rsidP="003A32D2">
      <w:pPr>
        <w:spacing w:line="360" w:lineRule="auto"/>
        <w:ind w:left="2076" w:hanging="636"/>
        <w:jc w:val="both"/>
        <w:rPr>
          <w:rtl/>
        </w:rPr>
      </w:pPr>
      <w:r>
        <w:rPr>
          <w:rFonts w:hint="cs"/>
          <w:rtl/>
        </w:rPr>
        <w:t>ב.</w:t>
      </w:r>
      <w:r>
        <w:rPr>
          <w:rFonts w:hint="cs"/>
          <w:rtl/>
        </w:rPr>
        <w:tab/>
        <w:t>הנאשם ועלאא גנבו, בצוותא חדא, מהמתלונן את התיק, כאשר בשעת מעשה               ובתכוף לפניו ביצעו מעשה אלימות כדי להשיג את הדבר הנגנב ולמנוע התנגדות לגניבתו או להתגבר עליה, כשהם מזויינים בנשק, ובחבורה.</w:t>
      </w:r>
    </w:p>
    <w:p w14:paraId="0A4896E8" w14:textId="77777777" w:rsidR="003A32D2" w:rsidRDefault="003A32D2" w:rsidP="003A32D2">
      <w:pPr>
        <w:spacing w:line="360" w:lineRule="auto"/>
        <w:ind w:left="2076" w:hanging="636"/>
        <w:jc w:val="both"/>
        <w:rPr>
          <w:rtl/>
        </w:rPr>
      </w:pPr>
    </w:p>
    <w:p w14:paraId="1DD201E6" w14:textId="77777777" w:rsidR="003A32D2" w:rsidRDefault="003A32D2" w:rsidP="003A32D2">
      <w:pPr>
        <w:spacing w:line="360" w:lineRule="auto"/>
        <w:ind w:left="2076" w:hanging="636"/>
        <w:jc w:val="both"/>
        <w:rPr>
          <w:rtl/>
        </w:rPr>
      </w:pPr>
      <w:r>
        <w:rPr>
          <w:rFonts w:hint="cs"/>
          <w:rtl/>
        </w:rPr>
        <w:lastRenderedPageBreak/>
        <w:t>ג.</w:t>
      </w:r>
      <w:r>
        <w:rPr>
          <w:rFonts w:hint="cs"/>
          <w:rtl/>
        </w:rPr>
        <w:tab/>
        <w:t xml:space="preserve">הנאשם הפר הוראה שניתנה מאת בית משפט. </w:t>
      </w:r>
    </w:p>
    <w:p w14:paraId="1C9F9033" w14:textId="77777777" w:rsidR="003A32D2" w:rsidRDefault="003A32D2" w:rsidP="003A32D2">
      <w:pPr>
        <w:spacing w:line="360" w:lineRule="auto"/>
        <w:ind w:left="2076" w:hanging="636"/>
        <w:jc w:val="both"/>
        <w:rPr>
          <w:rtl/>
        </w:rPr>
      </w:pPr>
    </w:p>
    <w:p w14:paraId="306BBE7C" w14:textId="77777777" w:rsidR="003A32D2" w:rsidRDefault="003A32D2" w:rsidP="003A32D2">
      <w:pPr>
        <w:ind w:left="1440" w:hanging="636"/>
        <w:rPr>
          <w:sz w:val="12"/>
          <w:szCs w:val="12"/>
          <w:rtl/>
        </w:rPr>
      </w:pPr>
    </w:p>
    <w:p w14:paraId="3077593D" w14:textId="77777777" w:rsidR="003A32D2" w:rsidRDefault="003A32D2" w:rsidP="003A32D2">
      <w:pPr>
        <w:tabs>
          <w:tab w:val="left" w:pos="720"/>
        </w:tabs>
        <w:spacing w:after="240" w:line="360" w:lineRule="auto"/>
        <w:ind w:left="720" w:hanging="720"/>
        <w:jc w:val="both"/>
        <w:rPr>
          <w:rtl/>
        </w:rPr>
      </w:pPr>
      <w:r>
        <w:rPr>
          <w:rFonts w:hint="cs"/>
          <w:rtl/>
        </w:rPr>
        <w:t>3.</w:t>
      </w:r>
      <w:r>
        <w:rPr>
          <w:rFonts w:hint="cs"/>
          <w:rtl/>
        </w:rPr>
        <w:tab/>
        <w:t>ביום 26.9.2017 הודיעו הצדדים כי הגיעו להסדר טיעון, כפי שפורט לעיל בפתח גזר הדין.</w:t>
      </w:r>
    </w:p>
    <w:p w14:paraId="6DA749DB" w14:textId="77777777" w:rsidR="003A32D2" w:rsidRDefault="003A32D2" w:rsidP="003A32D2">
      <w:pPr>
        <w:spacing w:line="360" w:lineRule="auto"/>
        <w:ind w:left="567" w:hanging="567"/>
        <w:jc w:val="both"/>
        <w:rPr>
          <w:rFonts w:ascii="David" w:hAnsi="David"/>
          <w:u w:val="single"/>
          <w:rtl/>
        </w:rPr>
      </w:pPr>
      <w:r>
        <w:rPr>
          <w:rFonts w:ascii="David" w:hAnsi="David" w:hint="cs"/>
          <w:u w:val="single"/>
          <w:rtl/>
        </w:rPr>
        <w:t>ראיות הצדדים לעונש</w:t>
      </w:r>
    </w:p>
    <w:p w14:paraId="45C94873" w14:textId="77777777" w:rsidR="003A32D2" w:rsidRDefault="003A32D2" w:rsidP="003A32D2">
      <w:pPr>
        <w:spacing w:line="360" w:lineRule="auto"/>
        <w:ind w:left="567" w:hanging="567"/>
        <w:jc w:val="both"/>
        <w:rPr>
          <w:rFonts w:ascii="David" w:hAnsi="David"/>
          <w:u w:val="single"/>
          <w:rtl/>
        </w:rPr>
      </w:pPr>
    </w:p>
    <w:p w14:paraId="55ED4136" w14:textId="77777777" w:rsidR="003A32D2" w:rsidRPr="003A32D2" w:rsidRDefault="003A32D2" w:rsidP="003A32D2">
      <w:pPr>
        <w:tabs>
          <w:tab w:val="left" w:pos="720"/>
        </w:tabs>
        <w:spacing w:after="240" w:line="360" w:lineRule="auto"/>
        <w:ind w:left="720" w:hanging="720"/>
        <w:jc w:val="both"/>
        <w:rPr>
          <w:rFonts w:ascii="Calibri" w:eastAsia="Calibri" w:hAnsi="Calibri"/>
          <w:rtl/>
        </w:rPr>
      </w:pPr>
      <w:r>
        <w:rPr>
          <w:rFonts w:hint="cs"/>
          <w:rtl/>
        </w:rPr>
        <w:t>4.</w:t>
      </w:r>
      <w:r>
        <w:rPr>
          <w:rFonts w:hint="cs"/>
          <w:rtl/>
        </w:rPr>
        <w:tab/>
        <w:t xml:space="preserve">מטעם המאשימה העיד המתלונן, מר מחמד אדריס, שסיפר כי האירוע שחווה היה טראומטי בעבורו וכי בעקבותיו הוא אושפז בבית חולים ומטופל בתרופות. לעניין זה הוגש תיעוד רפואי (מע/1). </w:t>
      </w:r>
    </w:p>
    <w:p w14:paraId="09EBA1DE" w14:textId="77777777" w:rsidR="003A32D2" w:rsidRDefault="003A32D2" w:rsidP="003A32D2">
      <w:pPr>
        <w:tabs>
          <w:tab w:val="left" w:pos="720"/>
        </w:tabs>
        <w:spacing w:after="240" w:line="360" w:lineRule="auto"/>
        <w:ind w:left="720" w:hanging="720"/>
        <w:jc w:val="both"/>
        <w:rPr>
          <w:rtl/>
        </w:rPr>
      </w:pPr>
      <w:r>
        <w:rPr>
          <w:rFonts w:hint="cs"/>
          <w:rtl/>
        </w:rPr>
        <w:t>5.</w:t>
      </w:r>
      <w:r>
        <w:rPr>
          <w:rFonts w:hint="cs"/>
          <w:rtl/>
        </w:rPr>
        <w:tab/>
        <w:t xml:space="preserve">מטעם הנאשם הוגשו מסמכים רפואיים בעניינם של הוריו (נע/1) ומסמכי הוצל"פ של הליכים המתנהלים כנגד אביו ואחותו (נע/2). </w:t>
      </w:r>
    </w:p>
    <w:p w14:paraId="2FAD6EAF" w14:textId="77777777" w:rsidR="003A32D2" w:rsidRDefault="003A32D2" w:rsidP="003A32D2">
      <w:pPr>
        <w:spacing w:line="360" w:lineRule="auto"/>
        <w:ind w:left="567" w:hanging="567"/>
        <w:jc w:val="both"/>
        <w:rPr>
          <w:rtl/>
        </w:rPr>
      </w:pPr>
      <w:r>
        <w:rPr>
          <w:rFonts w:ascii="David" w:hAnsi="David" w:hint="cs"/>
          <w:u w:val="single"/>
          <w:rtl/>
        </w:rPr>
        <w:t xml:space="preserve">טיעוני המאשימה לעונש </w:t>
      </w:r>
    </w:p>
    <w:p w14:paraId="2B7BE96C" w14:textId="77777777" w:rsidR="003A32D2" w:rsidRDefault="002F078A" w:rsidP="003A32D2">
      <w:pPr>
        <w:spacing w:line="360" w:lineRule="auto"/>
        <w:ind w:left="567" w:hanging="567"/>
        <w:jc w:val="both"/>
        <w:rPr>
          <w:sz w:val="12"/>
          <w:szCs w:val="12"/>
        </w:rPr>
      </w:pPr>
      <w:r>
        <w:rPr>
          <w:rFonts w:ascii="David" w:hAnsi="David" w:hint="cs"/>
          <w:sz w:val="12"/>
          <w:szCs w:val="12"/>
          <w:rtl/>
        </w:rPr>
        <w:t xml:space="preserve"> </w:t>
      </w:r>
    </w:p>
    <w:p w14:paraId="4BB69067" w14:textId="77777777" w:rsidR="003A32D2" w:rsidRPr="003A32D2" w:rsidRDefault="003A32D2" w:rsidP="003A32D2">
      <w:pPr>
        <w:spacing w:after="240" w:line="360" w:lineRule="auto"/>
        <w:jc w:val="both"/>
        <w:rPr>
          <w:rFonts w:ascii="Calibri" w:eastAsia="Calibri" w:hAnsi="Calibri"/>
          <w:sz w:val="2"/>
          <w:szCs w:val="2"/>
          <w:u w:val="single"/>
          <w:rtl/>
        </w:rPr>
      </w:pPr>
    </w:p>
    <w:p w14:paraId="35CE93CA" w14:textId="77777777" w:rsidR="003A32D2" w:rsidRDefault="003A32D2" w:rsidP="003A32D2">
      <w:pPr>
        <w:tabs>
          <w:tab w:val="left" w:pos="720"/>
        </w:tabs>
        <w:spacing w:after="240" w:line="360" w:lineRule="auto"/>
        <w:ind w:left="720" w:hanging="720"/>
        <w:jc w:val="both"/>
        <w:rPr>
          <w:rtl/>
        </w:rPr>
      </w:pPr>
      <w:r>
        <w:rPr>
          <w:rFonts w:hint="cs"/>
          <w:rtl/>
        </w:rPr>
        <w:t>6.</w:t>
      </w:r>
      <w:r>
        <w:rPr>
          <w:rFonts w:hint="cs"/>
          <w:rtl/>
        </w:rPr>
        <w:tab/>
        <w:t>בטיעוניה, ציינה המאשימה כי בגיבוש הסדר הטיעון נתנה דעתה לחומרת העבירות בהן הורשע הנאשם וכן לערכים המוגנים שנפגעו כתוצאה מביצוע העבירות. זאת לצד העובדה שהנאשם נעדר עבר פלילי, אשר נטל אחריות על מעשיו.</w:t>
      </w:r>
    </w:p>
    <w:p w14:paraId="51087417" w14:textId="77777777" w:rsidR="003A32D2" w:rsidRDefault="003A32D2" w:rsidP="003A32D2">
      <w:pPr>
        <w:tabs>
          <w:tab w:val="left" w:pos="720"/>
        </w:tabs>
        <w:spacing w:line="360" w:lineRule="auto"/>
        <w:ind w:left="720" w:hanging="720"/>
        <w:jc w:val="both"/>
        <w:rPr>
          <w:rtl/>
        </w:rPr>
      </w:pPr>
      <w:r>
        <w:rPr>
          <w:rFonts w:hint="cs"/>
          <w:rtl/>
        </w:rPr>
        <w:t>7.</w:t>
      </w:r>
      <w:r>
        <w:rPr>
          <w:rFonts w:hint="cs"/>
          <w:rtl/>
        </w:rPr>
        <w:tab/>
        <w:t xml:space="preserve">ביחס לנסיבות ביצוע העבירה, הדגישה המאשימה את העובדה שלביצוע העבירה קדם תכנון, כאשר הנאשם ועלאא הגיחו מאחורי המתלונן, שבידו הפדיון היומי מן העסק, כשהם מצוידים בנשק חם.  כן התייחסה המאשימה לנזק שהיה צפוי להיגרם כתוצאה מביצוע העבירה, וציינה כי נשיאת הנשק ברחבי הכפר מג'ד אל כרום העמידה בסיכון פוטנציאלי את כל מי שנקרה בדרכו של הנאשם, זאת כאשר הנאשם לא הסתפק בנשיאת הנשק אלא אף עשה בו שימוש לאחר שהמתלונן ניסה להתנגד לגניבת התיק, וירה בו לעבר רגליו. למרבה המזל, ולאור תושייתו, לא נפגע המתלונן מן הירי. לעניין הנזק שנגרם מן העבירות ציינה המאשימה את הפחד והאימה שנגרמו למתלונן, כמו גם את הנזק הכספי שנגרם לו. עוד ציינה המאשימה לחומרה את העובדה, כי הנאשם ביצע את העבירות שעה שהיה עליו להימצא במעצר בית. עובדה זו מלמדת, לשיטתה, על תעוזה עבריינית יוצאת דופן ומוכיחה כי מדובר במי שאין לו חשש מפני החוק ומערכת המשפט. כנסיבה נוספת לחומרה צוינה העובדה כי הנשק בו נעשה שימוש לביצוע העבירות לא נתפס. </w:t>
      </w:r>
    </w:p>
    <w:p w14:paraId="4C5A69AD" w14:textId="77777777" w:rsidR="003A32D2" w:rsidRDefault="003A32D2" w:rsidP="003A32D2">
      <w:pPr>
        <w:tabs>
          <w:tab w:val="left" w:pos="720"/>
        </w:tabs>
        <w:spacing w:line="360" w:lineRule="auto"/>
        <w:ind w:left="720" w:hanging="720"/>
        <w:jc w:val="both"/>
        <w:rPr>
          <w:sz w:val="12"/>
          <w:szCs w:val="12"/>
          <w:rtl/>
        </w:rPr>
      </w:pPr>
    </w:p>
    <w:p w14:paraId="4394EB16" w14:textId="77777777" w:rsidR="003A32D2" w:rsidRPr="003A32D2" w:rsidRDefault="003A32D2" w:rsidP="003A32D2">
      <w:pPr>
        <w:tabs>
          <w:tab w:val="left" w:pos="720"/>
        </w:tabs>
        <w:spacing w:after="240" w:line="360" w:lineRule="auto"/>
        <w:ind w:left="720" w:hanging="720"/>
        <w:jc w:val="both"/>
        <w:rPr>
          <w:rFonts w:ascii="Calibri" w:eastAsia="Calibri" w:hAnsi="Calibri"/>
          <w:rtl/>
        </w:rPr>
      </w:pPr>
      <w:r>
        <w:rPr>
          <w:rFonts w:hint="cs"/>
          <w:rtl/>
        </w:rPr>
        <w:t>8.</w:t>
      </w:r>
      <w:r>
        <w:rPr>
          <w:rFonts w:hint="cs"/>
          <w:rtl/>
        </w:rPr>
        <w:tab/>
        <w:t>המאשימה הפנתה לפסקי דין בהם נגזרו על מורשעים בעבירת השוד (בחלק מהמקרים בצירוף עם עבירות בנשק) עונשים הנעים בין 4.5 ל-5.5 שנות מאסר בפועל.</w:t>
      </w:r>
    </w:p>
    <w:p w14:paraId="430B91A5" w14:textId="77777777" w:rsidR="003A32D2" w:rsidRDefault="003A32D2" w:rsidP="003A32D2">
      <w:pPr>
        <w:tabs>
          <w:tab w:val="left" w:pos="720"/>
        </w:tabs>
        <w:spacing w:after="360" w:line="360" w:lineRule="auto"/>
        <w:ind w:left="720" w:hanging="720"/>
        <w:jc w:val="both"/>
        <w:rPr>
          <w:u w:val="single"/>
          <w:rtl/>
        </w:rPr>
      </w:pPr>
      <w:r>
        <w:rPr>
          <w:rFonts w:hint="cs"/>
          <w:rtl/>
        </w:rPr>
        <w:t>9.</w:t>
      </w:r>
      <w:r>
        <w:rPr>
          <w:rFonts w:hint="cs"/>
          <w:rtl/>
        </w:rPr>
        <w:tab/>
        <w:t>נוכח האמור, ביקשה המאשימה מבית המשפט להטיל על הנאשם מאסר בפועל ברף העליון של ההסדר, קרי 5 שנים, זאת בנוסף למאסר מותנה לתקופה משמעותית, קנס כספי ופיצויים לטובת המתלונן.</w:t>
      </w:r>
    </w:p>
    <w:p w14:paraId="2DDF3AF0" w14:textId="77777777" w:rsidR="003A32D2" w:rsidRDefault="003A32D2" w:rsidP="003A32D2">
      <w:pPr>
        <w:spacing w:after="360" w:line="360" w:lineRule="auto"/>
        <w:jc w:val="both"/>
        <w:rPr>
          <w:u w:val="single"/>
          <w:rtl/>
        </w:rPr>
      </w:pPr>
      <w:r>
        <w:rPr>
          <w:rFonts w:hint="cs"/>
          <w:u w:val="single"/>
          <w:rtl/>
        </w:rPr>
        <w:t>טיעוני ההגנה לעונש</w:t>
      </w:r>
    </w:p>
    <w:p w14:paraId="67E4D46A" w14:textId="77777777" w:rsidR="003A32D2" w:rsidRDefault="003A32D2" w:rsidP="003A32D2">
      <w:pPr>
        <w:tabs>
          <w:tab w:val="left" w:pos="720"/>
        </w:tabs>
        <w:spacing w:after="240" w:line="360" w:lineRule="auto"/>
        <w:ind w:left="720" w:hanging="720"/>
        <w:jc w:val="both"/>
        <w:rPr>
          <w:rFonts w:ascii="David" w:hAnsi="David"/>
        </w:rPr>
      </w:pPr>
      <w:r>
        <w:rPr>
          <w:rFonts w:hint="cs"/>
          <w:rtl/>
        </w:rPr>
        <w:t>10.</w:t>
      </w:r>
      <w:r>
        <w:rPr>
          <w:rFonts w:hint="cs"/>
          <w:rtl/>
        </w:rPr>
        <w:tab/>
        <w:t xml:space="preserve">בטיעוניו לעונש, ביקש הסנגור לאמץ את הסדר הטיעון על הטווחים שנקבעו בו. בדבריו, ציין כי בטרם הסתבכותו של הנאשם בתיק זה, </w:t>
      </w:r>
      <w:r>
        <w:rPr>
          <w:rFonts w:ascii="David" w:hAnsi="David" w:hint="cs"/>
          <w:rtl/>
        </w:rPr>
        <w:t xml:space="preserve">חרב עליו עולמו עת נעצר לחודשים רבים ונחקר בגין מעורבות בביצוע עבירת רצח, ואולם בסופו של יום הואשם בעבירת סיוע לאחר מעשה, בלבד. בגין אותו תיק הוא שהה במעצר בית, שהופר על ידו במסגרת התיק דנא. </w:t>
      </w:r>
    </w:p>
    <w:p w14:paraId="50B5CE6F" w14:textId="77777777" w:rsidR="003A32D2" w:rsidRDefault="003A32D2" w:rsidP="003A32D2">
      <w:pPr>
        <w:tabs>
          <w:tab w:val="left" w:pos="720"/>
        </w:tabs>
        <w:spacing w:after="240" w:line="360" w:lineRule="auto"/>
        <w:ind w:left="720"/>
        <w:jc w:val="both"/>
        <w:rPr>
          <w:rFonts w:ascii="David" w:hAnsi="David"/>
          <w:rtl/>
        </w:rPr>
      </w:pPr>
    </w:p>
    <w:p w14:paraId="69BD4FB0" w14:textId="77777777" w:rsidR="003A32D2" w:rsidRDefault="003A32D2" w:rsidP="003A32D2">
      <w:pPr>
        <w:tabs>
          <w:tab w:val="left" w:pos="720"/>
        </w:tabs>
        <w:spacing w:after="240" w:line="360" w:lineRule="auto"/>
        <w:ind w:left="720"/>
        <w:jc w:val="both"/>
        <w:rPr>
          <w:rFonts w:ascii="David" w:hAnsi="David"/>
          <w:rtl/>
        </w:rPr>
      </w:pPr>
    </w:p>
    <w:p w14:paraId="1EA70B33" w14:textId="77777777" w:rsidR="003A32D2" w:rsidRDefault="003A32D2" w:rsidP="003A32D2">
      <w:pPr>
        <w:tabs>
          <w:tab w:val="left" w:pos="720"/>
        </w:tabs>
        <w:spacing w:after="240" w:line="360" w:lineRule="auto"/>
        <w:ind w:left="720"/>
        <w:jc w:val="both"/>
        <w:rPr>
          <w:rFonts w:ascii="David" w:hAnsi="David"/>
          <w:rtl/>
        </w:rPr>
      </w:pPr>
      <w:r>
        <w:rPr>
          <w:rFonts w:ascii="David" w:hAnsi="David" w:hint="cs"/>
          <w:rtl/>
        </w:rPr>
        <w:t xml:space="preserve">הסנגור הרחיב על אודות הנסיבות שהביאו את הנאשם לביצוע העבירות במקרה דנא. לדבריו, בעקבות ניהול ההגנה המשפטית בתיק הסיוע ומעצר הבית בו היה נתון, נקלעו הנאשם ומשפחתו לקשיים כלכליים, ועובדה זו הביאה אותו לביצוע המעשים נשוא כתב האישום. הנאשם לקח אחריות על מעשיו בהזדמנות הראשונה, חסך זמן שיפוטי ניכר וכן חסך את עדות המתלונן. </w:t>
      </w:r>
    </w:p>
    <w:p w14:paraId="09656B76" w14:textId="77777777" w:rsidR="003A32D2" w:rsidRPr="003A32D2" w:rsidRDefault="003A32D2" w:rsidP="003A32D2">
      <w:pPr>
        <w:tabs>
          <w:tab w:val="left" w:pos="720"/>
        </w:tabs>
        <w:spacing w:after="360" w:line="360" w:lineRule="auto"/>
        <w:ind w:left="720" w:hanging="720"/>
        <w:jc w:val="both"/>
        <w:rPr>
          <w:rFonts w:ascii="Calibri" w:eastAsia="Calibri" w:hAnsi="Calibri"/>
          <w:rtl/>
        </w:rPr>
      </w:pPr>
      <w:r>
        <w:rPr>
          <w:rFonts w:hint="cs"/>
          <w:rtl/>
        </w:rPr>
        <w:t>11.</w:t>
      </w:r>
      <w:r>
        <w:rPr>
          <w:rFonts w:hint="cs"/>
          <w:rtl/>
        </w:rPr>
        <w:tab/>
        <w:t xml:space="preserve">הסניגור הפנה לפסיקה התומכת בעמדתו ביחס לעונש שיש להטיל על הנאשם. נוכח כל האמור לעיל, ביקש הסנגור להטיל על הנאשם מאסר ברף התחתון של הטווח המוסכם, קרי 3 שנים. </w:t>
      </w:r>
    </w:p>
    <w:p w14:paraId="12D84FBB" w14:textId="77777777" w:rsidR="003A32D2" w:rsidRDefault="003A32D2" w:rsidP="003A32D2">
      <w:pPr>
        <w:tabs>
          <w:tab w:val="left" w:pos="720"/>
        </w:tabs>
        <w:spacing w:after="240" w:line="360" w:lineRule="auto"/>
        <w:ind w:left="720" w:hanging="720"/>
        <w:jc w:val="both"/>
        <w:rPr>
          <w:u w:val="single"/>
          <w:rtl/>
        </w:rPr>
      </w:pPr>
      <w:r>
        <w:rPr>
          <w:rFonts w:hint="cs"/>
          <w:u w:val="single"/>
          <w:rtl/>
        </w:rPr>
        <w:t>דבר הנאשם</w:t>
      </w:r>
    </w:p>
    <w:p w14:paraId="0F7785D0" w14:textId="77777777" w:rsidR="003A32D2" w:rsidRDefault="003A32D2" w:rsidP="003A32D2">
      <w:pPr>
        <w:tabs>
          <w:tab w:val="left" w:pos="720"/>
        </w:tabs>
        <w:spacing w:after="360" w:line="360" w:lineRule="auto"/>
        <w:ind w:left="720" w:hanging="720"/>
        <w:jc w:val="both"/>
      </w:pPr>
      <w:r>
        <w:rPr>
          <w:rFonts w:hint="cs"/>
          <w:rtl/>
        </w:rPr>
        <w:t>12.</w:t>
      </w:r>
      <w:r>
        <w:rPr>
          <w:rFonts w:hint="cs"/>
          <w:rtl/>
        </w:rPr>
        <w:tab/>
        <w:t>בדברו האחרון ביקש הנאשם סליחה על מעשיו הן מבית המשפט והן מהמתלונן.</w:t>
      </w:r>
    </w:p>
    <w:p w14:paraId="77553DF9" w14:textId="77777777" w:rsidR="003A32D2" w:rsidRDefault="003A32D2" w:rsidP="003A32D2">
      <w:pPr>
        <w:tabs>
          <w:tab w:val="left" w:pos="720"/>
        </w:tabs>
        <w:spacing w:after="240" w:line="360" w:lineRule="auto"/>
        <w:ind w:left="720" w:hanging="720"/>
        <w:jc w:val="both"/>
        <w:rPr>
          <w:u w:val="single"/>
          <w:rtl/>
        </w:rPr>
      </w:pPr>
      <w:r>
        <w:rPr>
          <w:rFonts w:hint="cs"/>
          <w:u w:val="single"/>
          <w:rtl/>
        </w:rPr>
        <w:t>דיון והכרעה – קביעת מתחם הענישה ההולם</w:t>
      </w:r>
    </w:p>
    <w:p w14:paraId="1C376941" w14:textId="77777777" w:rsidR="003A32D2" w:rsidRDefault="003A32D2" w:rsidP="003A32D2">
      <w:pPr>
        <w:tabs>
          <w:tab w:val="left" w:pos="720"/>
        </w:tabs>
        <w:spacing w:after="240" w:line="360" w:lineRule="auto"/>
        <w:ind w:left="720" w:hanging="720"/>
        <w:jc w:val="both"/>
      </w:pPr>
      <w:r>
        <w:rPr>
          <w:rFonts w:hint="cs"/>
          <w:rtl/>
        </w:rPr>
        <w:t>13.</w:t>
      </w:r>
      <w:r>
        <w:rPr>
          <w:rFonts w:hint="cs"/>
          <w:rtl/>
        </w:rPr>
        <w:tab/>
        <w:t xml:space="preserve">ככלל, מתחם העונש ההולם ייקבע בהתאם לעקרון ההלימה, ולשם כך נדרש בית המשפט להתחשב בערכים החברתיים שנפגעו מביצוע העבירה, במידת הפגיעה בהם, במדיניות הענישה הנהוגה ובנסיבות הקשורות בביצוע העבירה, כמפורט </w:t>
      </w:r>
      <w:hyperlink r:id="rId18" w:history="1">
        <w:r w:rsidR="00957FDA" w:rsidRPr="00957FDA">
          <w:rPr>
            <w:color w:val="0000FF"/>
            <w:u w:val="single"/>
            <w:rtl/>
          </w:rPr>
          <w:t>בסעיף 40ט'</w:t>
        </w:r>
      </w:hyperlink>
      <w:r>
        <w:rPr>
          <w:rFonts w:hint="cs"/>
          <w:rtl/>
        </w:rPr>
        <w:t xml:space="preserve"> ל</w:t>
      </w:r>
      <w:hyperlink r:id="rId19" w:history="1">
        <w:r w:rsidR="002F078A" w:rsidRPr="002F078A">
          <w:rPr>
            <w:color w:val="0000FF"/>
            <w:u w:val="single"/>
            <w:rtl/>
          </w:rPr>
          <w:t>חוק העונשין</w:t>
        </w:r>
      </w:hyperlink>
      <w:r>
        <w:rPr>
          <w:rFonts w:hint="cs"/>
          <w:rtl/>
        </w:rPr>
        <w:t>.</w:t>
      </w:r>
    </w:p>
    <w:p w14:paraId="14CD9664" w14:textId="77777777" w:rsidR="003A32D2" w:rsidRDefault="003A32D2" w:rsidP="003A32D2">
      <w:pPr>
        <w:spacing w:line="360" w:lineRule="auto"/>
        <w:ind w:left="720" w:hanging="720"/>
        <w:jc w:val="both"/>
      </w:pPr>
      <w:r>
        <w:rPr>
          <w:rFonts w:hint="cs"/>
          <w:rtl/>
        </w:rPr>
        <w:t>14.</w:t>
      </w:r>
      <w:r>
        <w:rPr>
          <w:rFonts w:hint="cs"/>
          <w:rtl/>
        </w:rPr>
        <w:tab/>
        <w:t xml:space="preserve">מעשיו של הנאשם הם קשים וחמורים. בעת שהיה אמור לשהות במעצר בית בגין מעורבותו בתיק אחר, הפר את הוראות בית המשפט, במטרה לבצע עבירות נוספות. בתוך כך, נשא הנאשם נשק על גופו, חבר לאחֵר ויחד הם שדדו את המתלונן, כשהנאשם אף יורה לעברו, ירייה שלמרבה המזל החטיאה את מטרתה. </w:t>
      </w:r>
    </w:p>
    <w:p w14:paraId="2E0F4183" w14:textId="77777777" w:rsidR="003A32D2" w:rsidRDefault="003A32D2" w:rsidP="003A32D2">
      <w:pPr>
        <w:spacing w:line="360" w:lineRule="auto"/>
        <w:ind w:left="720" w:hanging="720"/>
        <w:jc w:val="both"/>
        <w:rPr>
          <w:rtl/>
        </w:rPr>
      </w:pPr>
    </w:p>
    <w:p w14:paraId="1A51077F" w14:textId="77777777" w:rsidR="003A32D2" w:rsidRDefault="003A32D2" w:rsidP="003A32D2">
      <w:pPr>
        <w:spacing w:line="360" w:lineRule="auto"/>
        <w:ind w:left="720" w:hanging="720"/>
        <w:jc w:val="both"/>
        <w:rPr>
          <w:rtl/>
        </w:rPr>
      </w:pPr>
      <w:r>
        <w:rPr>
          <w:rFonts w:hint="cs"/>
          <w:rtl/>
        </w:rPr>
        <w:t>15.</w:t>
      </w:r>
      <w:r>
        <w:rPr>
          <w:rFonts w:hint="cs"/>
          <w:rtl/>
        </w:rPr>
        <w:tab/>
        <w:t>הנאשם במעשיו החמורים פגע בערכים חברתיים רבים. כך, בביצוע עבירות בנשק יצר הנאשם סיכון ממשי לשלום הציבור; בעבירת השוד פגע הנאשם בביטחונו של הציבור להלך בחופשיות ברחובות וכן בשלמות גופם ורכושם של יחידים בחברה; בהפירו את מעצר הבית בו היה נתון פגע בשלטון החוק, במעמדו של בית המשפט ובאפקטיביות של חלופות מעצר (</w:t>
      </w:r>
      <w:hyperlink r:id="rId20" w:history="1">
        <w:r w:rsidR="002F078A" w:rsidRPr="002F078A">
          <w:rPr>
            <w:color w:val="0000FF"/>
            <w:u w:val="single"/>
            <w:rtl/>
          </w:rPr>
          <w:t>ע"פ 1261/15</w:t>
        </w:r>
      </w:hyperlink>
      <w:r>
        <w:rPr>
          <w:rFonts w:hint="cs"/>
          <w:rtl/>
        </w:rPr>
        <w:t xml:space="preserve"> </w:t>
      </w:r>
      <w:r>
        <w:rPr>
          <w:rFonts w:hint="cs"/>
          <w:b/>
          <w:bCs/>
          <w:rtl/>
        </w:rPr>
        <w:t>מדינת ישראל נ' יוסף דלאל</w:t>
      </w:r>
      <w:r>
        <w:rPr>
          <w:rFonts w:hint="cs"/>
          <w:rtl/>
        </w:rPr>
        <w:t xml:space="preserve"> [3.9.2015] לעניין: "עניין דלאל").</w:t>
      </w:r>
    </w:p>
    <w:p w14:paraId="319962DD" w14:textId="77777777" w:rsidR="003A32D2" w:rsidRDefault="003A32D2" w:rsidP="003A32D2">
      <w:pPr>
        <w:spacing w:line="360" w:lineRule="auto"/>
        <w:ind w:left="720" w:hanging="720"/>
        <w:jc w:val="both"/>
        <w:rPr>
          <w:rtl/>
        </w:rPr>
      </w:pPr>
    </w:p>
    <w:p w14:paraId="647275F3" w14:textId="77777777" w:rsidR="003A32D2" w:rsidRDefault="003A32D2" w:rsidP="003A32D2">
      <w:pPr>
        <w:spacing w:line="360" w:lineRule="auto"/>
        <w:ind w:left="720" w:hanging="720"/>
        <w:jc w:val="both"/>
        <w:rPr>
          <w:rtl/>
        </w:rPr>
      </w:pPr>
    </w:p>
    <w:p w14:paraId="1623D7ED" w14:textId="77777777" w:rsidR="003A32D2" w:rsidRDefault="003A32D2" w:rsidP="003A32D2">
      <w:pPr>
        <w:spacing w:line="360" w:lineRule="auto"/>
        <w:ind w:left="720" w:hanging="720"/>
        <w:jc w:val="both"/>
      </w:pPr>
    </w:p>
    <w:p w14:paraId="781F611B" w14:textId="77777777" w:rsidR="003A32D2" w:rsidRDefault="003A32D2" w:rsidP="003A32D2">
      <w:pPr>
        <w:spacing w:line="360" w:lineRule="auto"/>
        <w:ind w:left="720" w:hanging="720"/>
        <w:jc w:val="both"/>
        <w:rPr>
          <w:rtl/>
        </w:rPr>
      </w:pPr>
      <w:r>
        <w:rPr>
          <w:rFonts w:hint="cs"/>
          <w:rtl/>
        </w:rPr>
        <w:t>16.</w:t>
      </w:r>
      <w:r>
        <w:rPr>
          <w:rFonts w:hint="cs"/>
          <w:rtl/>
        </w:rPr>
        <w:tab/>
        <w:t xml:space="preserve">עבירות אלה ראויות לתגובה עונשית הולמת. בית המשפט העליון עמד לא אחת על כך שעבירות בנשק הפכו זה מכבר למכת מדינה של ממש שיש צורך להתייחס אליהן בחומרה, זאת מן הטעם שהן פוגעות בשלום הציבור. (ראו: ע"פ </w:t>
      </w:r>
      <w:hyperlink r:id="rId21" w:history="1">
        <w:r w:rsidR="00921E97" w:rsidRPr="00921E97">
          <w:rPr>
            <w:color w:val="0000FF"/>
            <w:u w:val="single"/>
            <w:rtl/>
          </w:rPr>
          <w:t xml:space="preserve">3877/16‏ </w:t>
        </w:r>
      </w:hyperlink>
      <w:r>
        <w:rPr>
          <w:rFonts w:hint="cs"/>
          <w:rtl/>
        </w:rPr>
        <w:t xml:space="preserve"> </w:t>
      </w:r>
      <w:r>
        <w:rPr>
          <w:rFonts w:hint="cs"/>
          <w:b/>
          <w:bCs/>
          <w:rtl/>
        </w:rPr>
        <w:t>פאדי ג'באלי נ' מדינת ישראל</w:t>
      </w:r>
      <w:r>
        <w:rPr>
          <w:rFonts w:hint="cs"/>
          <w:rtl/>
        </w:rPr>
        <w:t xml:space="preserve"> (17.11.2016); </w:t>
      </w:r>
      <w:hyperlink r:id="rId22" w:history="1">
        <w:r w:rsidR="002F078A" w:rsidRPr="002F078A">
          <w:rPr>
            <w:color w:val="0000FF"/>
            <w:u w:val="single"/>
            <w:rtl/>
          </w:rPr>
          <w:t>ע"פ 5900/15</w:t>
        </w:r>
      </w:hyperlink>
      <w:r>
        <w:rPr>
          <w:rFonts w:hint="cs"/>
          <w:rtl/>
        </w:rPr>
        <w:t xml:space="preserve"> </w:t>
      </w:r>
      <w:r>
        <w:rPr>
          <w:rFonts w:hint="cs"/>
          <w:b/>
          <w:bCs/>
          <w:rtl/>
        </w:rPr>
        <w:t>אייל מעוז נ' מדינת ישראל</w:t>
      </w:r>
      <w:r>
        <w:rPr>
          <w:rFonts w:hint="cs"/>
          <w:rtl/>
        </w:rPr>
        <w:t xml:space="preserve"> (10.5.2016); </w:t>
      </w:r>
      <w:hyperlink r:id="rId23" w:history="1">
        <w:r w:rsidR="002F078A" w:rsidRPr="002F078A">
          <w:rPr>
            <w:color w:val="0000FF"/>
            <w:u w:val="single"/>
            <w:rtl/>
          </w:rPr>
          <w:t>ע"פ 8959/14</w:t>
        </w:r>
      </w:hyperlink>
      <w:r>
        <w:rPr>
          <w:rFonts w:hint="cs"/>
          <w:rtl/>
        </w:rPr>
        <w:t xml:space="preserve"> </w:t>
      </w:r>
      <w:r>
        <w:rPr>
          <w:rFonts w:hint="cs"/>
          <w:b/>
          <w:bCs/>
          <w:rtl/>
        </w:rPr>
        <w:t>דניאל בן סימון נ' מדינת ישראל</w:t>
      </w:r>
      <w:r>
        <w:rPr>
          <w:rFonts w:hint="cs"/>
          <w:rtl/>
        </w:rPr>
        <w:t xml:space="preserve"> (24.6.2015). ואם כך הוא המצב ביחס לנשיאת נשק כשלעצמה, הרי שהדברים מתעצמים, מכוח קל וחומר, כאשר נעשה בנשק שימוש של ממש. אשר לעבירת השוד נפסק כי "</w:t>
      </w:r>
      <w:r>
        <w:rPr>
          <w:rFonts w:hint="cs"/>
          <w:u w:val="single"/>
          <w:rtl/>
        </w:rPr>
        <w:t>התופעה של שוד אזרחים תמימים בצהרי היום היא מן התופעות הקשות שהפכו נפוצות במקומותינו והן מחייבות ענישה מחמירה שתבטיח עקירת דפוס התנהגות זה, הפוגע בביטחון האישי של הציבור</w:t>
      </w:r>
      <w:r>
        <w:rPr>
          <w:rFonts w:hint="cs"/>
          <w:rtl/>
        </w:rPr>
        <w:t>" (</w:t>
      </w:r>
      <w:hyperlink r:id="rId24" w:history="1">
        <w:r w:rsidR="002F078A" w:rsidRPr="002F078A">
          <w:rPr>
            <w:color w:val="0000FF"/>
            <w:u w:val="single"/>
            <w:rtl/>
          </w:rPr>
          <w:t>ע"פ 1803/07</w:t>
        </w:r>
      </w:hyperlink>
      <w:r>
        <w:rPr>
          <w:rFonts w:hint="cs"/>
          <w:rtl/>
        </w:rPr>
        <w:t xml:space="preserve"> </w:t>
      </w:r>
      <w:r>
        <w:rPr>
          <w:rFonts w:hint="cs"/>
          <w:b/>
          <w:bCs/>
          <w:rtl/>
        </w:rPr>
        <w:t>אברמוב נ' מדינת ישראל</w:t>
      </w:r>
      <w:r>
        <w:rPr>
          <w:rFonts w:hint="cs"/>
          <w:rtl/>
        </w:rPr>
        <w:t xml:space="preserve"> (27.5.2007); ראו גם </w:t>
      </w:r>
      <w:hyperlink r:id="rId25" w:history="1">
        <w:r w:rsidR="002F078A" w:rsidRPr="002F078A">
          <w:rPr>
            <w:color w:val="0000FF"/>
            <w:u w:val="single"/>
            <w:rtl/>
          </w:rPr>
          <w:t>ע"פ 4572/13</w:t>
        </w:r>
      </w:hyperlink>
      <w:r>
        <w:rPr>
          <w:rFonts w:hint="cs"/>
          <w:rtl/>
        </w:rPr>
        <w:t xml:space="preserve"> </w:t>
      </w:r>
      <w:r>
        <w:rPr>
          <w:rFonts w:hint="cs"/>
          <w:b/>
          <w:bCs/>
          <w:rtl/>
        </w:rPr>
        <w:t>אבו נאג'י נ' מדינת ישראל</w:t>
      </w:r>
      <w:r>
        <w:rPr>
          <w:rFonts w:hint="cs"/>
          <w:rtl/>
        </w:rPr>
        <w:t xml:space="preserve"> (2.2.2014).</w:t>
      </w:r>
    </w:p>
    <w:p w14:paraId="66DD49FC" w14:textId="77777777" w:rsidR="003A32D2" w:rsidRDefault="003A32D2" w:rsidP="003A32D2">
      <w:pPr>
        <w:spacing w:line="360" w:lineRule="auto"/>
        <w:ind w:left="720" w:hanging="720"/>
        <w:jc w:val="both"/>
        <w:rPr>
          <w:rtl/>
        </w:rPr>
      </w:pPr>
    </w:p>
    <w:p w14:paraId="526C2814" w14:textId="77777777" w:rsidR="003A32D2" w:rsidRDefault="003A32D2" w:rsidP="003A32D2">
      <w:pPr>
        <w:spacing w:line="360" w:lineRule="auto"/>
        <w:ind w:left="720" w:hanging="720"/>
        <w:jc w:val="both"/>
        <w:rPr>
          <w:rtl/>
        </w:rPr>
      </w:pPr>
      <w:r>
        <w:rPr>
          <w:rFonts w:hint="cs"/>
          <w:rtl/>
        </w:rPr>
        <w:t>17.</w:t>
      </w:r>
      <w:r>
        <w:rPr>
          <w:rFonts w:hint="cs"/>
          <w:rtl/>
        </w:rPr>
        <w:tab/>
        <w:t>לא בכדי נקבע בצידה של עבירת השוד בנסיבות מחמירות עונש כבד של 20 שנות מאסר. הצורך להילחם בתופעת עבירות השוד המבוצעות, למרבה הצער, חדשות לבקרים הודגש גם ב</w:t>
      </w:r>
      <w:hyperlink r:id="rId26" w:history="1">
        <w:r w:rsidR="002F078A" w:rsidRPr="002F078A">
          <w:rPr>
            <w:color w:val="0000FF"/>
            <w:u w:val="single"/>
            <w:rtl/>
          </w:rPr>
          <w:t>ע"פ 6339/12</w:t>
        </w:r>
      </w:hyperlink>
      <w:r>
        <w:rPr>
          <w:rFonts w:hint="cs"/>
          <w:rtl/>
        </w:rPr>
        <w:t xml:space="preserve"> </w:t>
      </w:r>
      <w:r>
        <w:rPr>
          <w:rFonts w:hint="cs"/>
          <w:b/>
          <w:bCs/>
          <w:rtl/>
        </w:rPr>
        <w:t>פלוני נ' מדינת ישראל</w:t>
      </w:r>
      <w:r>
        <w:rPr>
          <w:rFonts w:hint="cs"/>
          <w:rtl/>
        </w:rPr>
        <w:t xml:space="preserve"> (21.4.2013) שם נקבע כי:</w:t>
      </w:r>
    </w:p>
    <w:p w14:paraId="1A4A77CF" w14:textId="77777777" w:rsidR="003A32D2" w:rsidRDefault="003A32D2" w:rsidP="003A32D2">
      <w:pPr>
        <w:spacing w:line="360" w:lineRule="auto"/>
        <w:ind w:left="720" w:hanging="720"/>
        <w:jc w:val="both"/>
        <w:rPr>
          <w:sz w:val="12"/>
          <w:szCs w:val="12"/>
        </w:rPr>
      </w:pPr>
    </w:p>
    <w:p w14:paraId="35E3134C" w14:textId="77777777" w:rsidR="003A32D2" w:rsidRDefault="003A32D2" w:rsidP="003A32D2">
      <w:pPr>
        <w:pStyle w:val="Ruller40"/>
        <w:shd w:val="clear" w:color="auto" w:fill="FFFFFF"/>
        <w:ind w:left="1655" w:right="1560"/>
        <w:rPr>
          <w:rFonts w:ascii="Century" w:hAnsi="Century" w:cs="David"/>
          <w:sz w:val="24"/>
          <w:szCs w:val="24"/>
          <w:rtl/>
        </w:rPr>
      </w:pPr>
      <w:r>
        <w:rPr>
          <w:rFonts w:ascii="Century" w:hAnsi="Century" w:cs="David" w:hint="cs"/>
          <w:sz w:val="24"/>
          <w:szCs w:val="24"/>
          <w:rtl/>
        </w:rPr>
        <w:t xml:space="preserve">"ככלל, עבירת השוד היא עבירה חמורה, שכורכת בתוכה איום על הסדר החברתי, כמו גם על הביטחון האישי של אחד ואחת מיחידי החברה. הנזק הכרוך בה מתבטא לא רק בפגיעות הממשיות – ברכוש ובגוף שכרוכות בביצועה – אלא גם בצל שהיא מטילה על חיי היומיום. יש להילחם בתופעה שהליכה הביתה בשעת ערב, שאמורה להיות פעולה שגרתית ומשרת שלווה, תהפוך להיות "משימה" שצריך לצלוח אותה באומץ ובנחישות".  </w:t>
      </w:r>
    </w:p>
    <w:p w14:paraId="63680EF1" w14:textId="77777777" w:rsidR="003A32D2" w:rsidRPr="003A32D2" w:rsidRDefault="003A32D2" w:rsidP="003A32D2">
      <w:pPr>
        <w:spacing w:line="360" w:lineRule="auto"/>
        <w:ind w:left="720" w:hanging="720"/>
        <w:jc w:val="both"/>
        <w:rPr>
          <w:rFonts w:ascii="Calibri" w:hAnsi="Calibri"/>
          <w:rtl/>
        </w:rPr>
      </w:pPr>
    </w:p>
    <w:p w14:paraId="2A122691" w14:textId="77777777" w:rsidR="003A32D2" w:rsidRDefault="003A32D2" w:rsidP="003A32D2">
      <w:pPr>
        <w:spacing w:line="360" w:lineRule="auto"/>
        <w:ind w:left="720" w:hanging="720"/>
        <w:jc w:val="both"/>
        <w:rPr>
          <w:rtl/>
        </w:rPr>
      </w:pPr>
      <w:r>
        <w:rPr>
          <w:rFonts w:hint="cs"/>
          <w:rtl/>
        </w:rPr>
        <w:tab/>
        <w:t>כן ראו דברי בית המשפט ב</w:t>
      </w:r>
      <w:hyperlink r:id="rId27" w:history="1">
        <w:r w:rsidR="002F078A" w:rsidRPr="002F078A">
          <w:rPr>
            <w:color w:val="0000FF"/>
            <w:u w:val="single"/>
            <w:rtl/>
          </w:rPr>
          <w:t>ע"פ 4125/14</w:t>
        </w:r>
      </w:hyperlink>
      <w:r>
        <w:rPr>
          <w:rFonts w:hint="cs"/>
          <w:rtl/>
        </w:rPr>
        <w:t xml:space="preserve"> ‏</w:t>
      </w:r>
      <w:r>
        <w:rPr>
          <w:rFonts w:hint="cs"/>
          <w:b/>
          <w:bCs/>
          <w:rtl/>
        </w:rPr>
        <w:t xml:space="preserve">תאופיק חרב נ' מדינת ישראל </w:t>
      </w:r>
      <w:r>
        <w:rPr>
          <w:rFonts w:hint="cs"/>
          <w:rtl/>
        </w:rPr>
        <w:t>(6.1.2015), לעניין מנעד החומרה של העבירה, וכפועל יוצא ממנו רמת הענישה המתבקשת:</w:t>
      </w:r>
    </w:p>
    <w:p w14:paraId="155E5B8D" w14:textId="77777777" w:rsidR="003A32D2" w:rsidRDefault="003A32D2" w:rsidP="003A32D2">
      <w:pPr>
        <w:pStyle w:val="Ruller40"/>
        <w:shd w:val="clear" w:color="auto" w:fill="FFFFFF"/>
        <w:ind w:left="1655" w:right="1560"/>
        <w:rPr>
          <w:rFonts w:ascii="Century" w:hAnsi="Century" w:cs="David"/>
          <w:sz w:val="12"/>
          <w:szCs w:val="12"/>
        </w:rPr>
      </w:pPr>
    </w:p>
    <w:p w14:paraId="5FEADFA7" w14:textId="77777777" w:rsidR="003A32D2" w:rsidRDefault="003A32D2" w:rsidP="003A32D2">
      <w:pPr>
        <w:pStyle w:val="Ruller40"/>
        <w:shd w:val="clear" w:color="auto" w:fill="FFFFFF"/>
        <w:ind w:left="1655" w:right="1560"/>
        <w:rPr>
          <w:rFonts w:cs="David"/>
          <w:sz w:val="24"/>
          <w:szCs w:val="24"/>
          <w:rtl/>
        </w:rPr>
      </w:pPr>
      <w:r>
        <w:rPr>
          <w:rFonts w:ascii="Century" w:hAnsi="Century" w:cs="David" w:hint="cs"/>
          <w:sz w:val="24"/>
          <w:szCs w:val="24"/>
          <w:rtl/>
        </w:rPr>
        <w:t>"עבירת השוד היא עבירת אלימות קשה הפוגעת לא רק בנפגעי העבירה עצמם אלא גם בתחושת הביטחון של הציבור בכללותו, ובית משפט זה עמד לא פעם על הצורך בעונשים ממשיים ההולמים את החומרה הרבה הגלומה בה ואת הנזקים הנגרמים בעטיה (</w:t>
      </w:r>
      <w:hyperlink r:id="rId28" w:history="1">
        <w:r w:rsidR="002F078A" w:rsidRPr="002F078A">
          <w:rPr>
            <w:rFonts w:ascii="Century" w:hAnsi="Century" w:cs="David" w:hint="cs"/>
            <w:color w:val="0000FF"/>
            <w:sz w:val="24"/>
            <w:szCs w:val="24"/>
            <w:u w:val="single"/>
            <w:rtl/>
          </w:rPr>
          <w:t>ע</w:t>
        </w:r>
        <w:r w:rsidR="002F078A" w:rsidRPr="002F078A">
          <w:rPr>
            <w:rFonts w:ascii="Century" w:hAnsi="Century" w:cs="David"/>
            <w:color w:val="0000FF"/>
            <w:sz w:val="24"/>
            <w:szCs w:val="24"/>
            <w:u w:val="single"/>
            <w:rtl/>
          </w:rPr>
          <w:t>"</w:t>
        </w:r>
        <w:r w:rsidR="002F078A" w:rsidRPr="002F078A">
          <w:rPr>
            <w:rFonts w:ascii="Century" w:hAnsi="Century" w:cs="David" w:hint="cs"/>
            <w:color w:val="0000FF"/>
            <w:sz w:val="24"/>
            <w:szCs w:val="24"/>
            <w:u w:val="single"/>
            <w:rtl/>
          </w:rPr>
          <w:t>פ</w:t>
        </w:r>
        <w:r w:rsidR="002F078A" w:rsidRPr="002F078A">
          <w:rPr>
            <w:rFonts w:ascii="Century" w:hAnsi="Century" w:cs="David"/>
            <w:color w:val="0000FF"/>
            <w:sz w:val="24"/>
            <w:szCs w:val="24"/>
            <w:u w:val="single"/>
            <w:rtl/>
          </w:rPr>
          <w:t xml:space="preserve"> 588/13</w:t>
        </w:r>
      </w:hyperlink>
      <w:r>
        <w:rPr>
          <w:rFonts w:ascii="Century" w:hAnsi="Century" w:cs="David" w:hint="cs"/>
          <w:sz w:val="24"/>
          <w:szCs w:val="24"/>
          <w:rtl/>
        </w:rPr>
        <w:t xml:space="preserve"> </w:t>
      </w:r>
      <w:r>
        <w:rPr>
          <w:rFonts w:ascii="Century" w:hAnsi="Century" w:cs="David" w:hint="cs"/>
          <w:b/>
          <w:spacing w:val="0"/>
          <w:sz w:val="24"/>
          <w:szCs w:val="24"/>
          <w:rtl/>
        </w:rPr>
        <w:t xml:space="preserve">פלוני נ' מדינת ישראל, </w:t>
      </w:r>
      <w:r>
        <w:rPr>
          <w:rFonts w:ascii="Times New Roman" w:hAnsi="Times New Roman" w:cs="David" w:hint="cs"/>
          <w:spacing w:val="0"/>
          <w:sz w:val="24"/>
          <w:szCs w:val="24"/>
          <w:rtl/>
        </w:rPr>
        <w:t xml:space="preserve">[פורסם בנבו] </w:t>
      </w:r>
      <w:r>
        <w:rPr>
          <w:rFonts w:ascii="Century" w:hAnsi="Century" w:cs="David" w:hint="cs"/>
          <w:sz w:val="24"/>
          <w:szCs w:val="24"/>
          <w:rtl/>
        </w:rPr>
        <w:t xml:space="preserve">פסקה 13 (27.8.2013); </w:t>
      </w:r>
      <w:hyperlink r:id="rId29" w:history="1">
        <w:r w:rsidR="002F078A" w:rsidRPr="002F078A">
          <w:rPr>
            <w:rFonts w:ascii="Century" w:hAnsi="Century" w:cs="David" w:hint="cs"/>
            <w:color w:val="0000FF"/>
            <w:sz w:val="24"/>
            <w:szCs w:val="24"/>
            <w:u w:val="single"/>
            <w:rtl/>
          </w:rPr>
          <w:t>ע</w:t>
        </w:r>
        <w:r w:rsidR="002F078A" w:rsidRPr="002F078A">
          <w:rPr>
            <w:rFonts w:ascii="Century" w:hAnsi="Century" w:cs="David"/>
            <w:color w:val="0000FF"/>
            <w:sz w:val="24"/>
            <w:szCs w:val="24"/>
            <w:u w:val="single"/>
            <w:rtl/>
          </w:rPr>
          <w:t>"</w:t>
        </w:r>
        <w:r w:rsidR="002F078A" w:rsidRPr="002F078A">
          <w:rPr>
            <w:rFonts w:ascii="Century" w:hAnsi="Century" w:cs="David" w:hint="cs"/>
            <w:color w:val="0000FF"/>
            <w:sz w:val="24"/>
            <w:szCs w:val="24"/>
            <w:u w:val="single"/>
            <w:rtl/>
          </w:rPr>
          <w:t>פ</w:t>
        </w:r>
        <w:r w:rsidR="002F078A" w:rsidRPr="002F078A">
          <w:rPr>
            <w:rFonts w:ascii="Century" w:hAnsi="Century" w:cs="David"/>
            <w:color w:val="0000FF"/>
            <w:sz w:val="24"/>
            <w:szCs w:val="24"/>
            <w:u w:val="single"/>
            <w:rtl/>
          </w:rPr>
          <w:t xml:space="preserve"> 5617/13</w:t>
        </w:r>
      </w:hyperlink>
      <w:r>
        <w:rPr>
          <w:rFonts w:ascii="Century" w:hAnsi="Century" w:cs="David" w:hint="cs"/>
          <w:sz w:val="24"/>
          <w:szCs w:val="24"/>
          <w:rtl/>
        </w:rPr>
        <w:t xml:space="preserve"> </w:t>
      </w:r>
      <w:r>
        <w:rPr>
          <w:rFonts w:ascii="Century" w:hAnsi="Century" w:cs="David" w:hint="cs"/>
          <w:b/>
          <w:spacing w:val="0"/>
          <w:sz w:val="24"/>
          <w:szCs w:val="24"/>
          <w:rtl/>
        </w:rPr>
        <w:t>כהן נ' מדינת ישראל</w:t>
      </w:r>
      <w:r>
        <w:rPr>
          <w:rFonts w:ascii="Century" w:hAnsi="Century" w:cs="David" w:hint="cs"/>
          <w:sz w:val="24"/>
          <w:szCs w:val="24"/>
          <w:rtl/>
        </w:rPr>
        <w:t xml:space="preserve">, </w:t>
      </w:r>
      <w:r>
        <w:rPr>
          <w:rFonts w:ascii="Times New Roman" w:hAnsi="Times New Roman" w:cs="David" w:hint="cs"/>
          <w:spacing w:val="0"/>
          <w:sz w:val="24"/>
          <w:szCs w:val="24"/>
          <w:rtl/>
        </w:rPr>
        <w:t xml:space="preserve">[פורסם בנבו] </w:t>
      </w:r>
      <w:r>
        <w:rPr>
          <w:rFonts w:ascii="Century" w:hAnsi="Century" w:cs="David" w:hint="cs"/>
          <w:sz w:val="24"/>
          <w:szCs w:val="24"/>
          <w:rtl/>
        </w:rPr>
        <w:t>פסקה ט' (27.5.2014)). עם זאת חשוב לזכור כי "קיימת קשת רחבה של מעשי שוד אפשריים הנבדלים זה מזה בנסיבותיהם ובמדרג חומרתם. מידת הפגיעה בערכים החברתיים, וכך גם מדיניות הענישה הנוהגת, תלויים, אפוא, בנסיבותיו הקונקרטיות של מעשה השוד וחומרתו." (</w:t>
      </w:r>
      <w:hyperlink r:id="rId30" w:history="1">
        <w:r w:rsidR="002F078A" w:rsidRPr="002F078A">
          <w:rPr>
            <w:rFonts w:ascii="Century" w:hAnsi="Century" w:cs="David" w:hint="cs"/>
            <w:color w:val="0000FF"/>
            <w:sz w:val="24"/>
            <w:szCs w:val="24"/>
            <w:u w:val="single"/>
            <w:rtl/>
          </w:rPr>
          <w:t>ע</w:t>
        </w:r>
        <w:r w:rsidR="002F078A" w:rsidRPr="002F078A">
          <w:rPr>
            <w:rFonts w:ascii="Century" w:hAnsi="Century" w:cs="David"/>
            <w:color w:val="0000FF"/>
            <w:sz w:val="24"/>
            <w:szCs w:val="24"/>
            <w:u w:val="single"/>
            <w:rtl/>
          </w:rPr>
          <w:t>"</w:t>
        </w:r>
        <w:r w:rsidR="002F078A" w:rsidRPr="002F078A">
          <w:rPr>
            <w:rFonts w:ascii="Century" w:hAnsi="Century" w:cs="David" w:hint="cs"/>
            <w:color w:val="0000FF"/>
            <w:sz w:val="24"/>
            <w:szCs w:val="24"/>
            <w:u w:val="single"/>
            <w:rtl/>
          </w:rPr>
          <w:t>פ</w:t>
        </w:r>
        <w:r w:rsidR="002F078A" w:rsidRPr="002F078A">
          <w:rPr>
            <w:rFonts w:ascii="Century" w:hAnsi="Century" w:cs="David"/>
            <w:color w:val="0000FF"/>
            <w:sz w:val="24"/>
            <w:szCs w:val="24"/>
            <w:u w:val="single"/>
            <w:rtl/>
          </w:rPr>
          <w:t xml:space="preserve"> 772/13</w:t>
        </w:r>
      </w:hyperlink>
      <w:r>
        <w:rPr>
          <w:rFonts w:ascii="Century" w:hAnsi="Century" w:cs="David" w:hint="cs"/>
          <w:sz w:val="24"/>
          <w:szCs w:val="24"/>
          <w:rtl/>
        </w:rPr>
        <w:t xml:space="preserve"> </w:t>
      </w:r>
      <w:r>
        <w:rPr>
          <w:rFonts w:ascii="Century" w:hAnsi="Century" w:cs="David" w:hint="cs"/>
          <w:b/>
          <w:spacing w:val="0"/>
          <w:sz w:val="24"/>
          <w:szCs w:val="24"/>
          <w:rtl/>
        </w:rPr>
        <w:t>יחיא נ' מדינת ישראל</w:t>
      </w:r>
      <w:r>
        <w:rPr>
          <w:rFonts w:ascii="Century" w:hAnsi="Century" w:cs="David" w:hint="cs"/>
          <w:sz w:val="24"/>
          <w:szCs w:val="24"/>
          <w:rtl/>
        </w:rPr>
        <w:t xml:space="preserve">, </w:t>
      </w:r>
      <w:r>
        <w:rPr>
          <w:rFonts w:ascii="Times New Roman" w:hAnsi="Times New Roman" w:cs="David" w:hint="cs"/>
          <w:spacing w:val="0"/>
          <w:sz w:val="24"/>
          <w:szCs w:val="24"/>
          <w:rtl/>
        </w:rPr>
        <w:t xml:space="preserve">[פורסם בנבו] </w:t>
      </w:r>
      <w:r>
        <w:rPr>
          <w:rFonts w:ascii="Century" w:hAnsi="Century" w:cs="David" w:hint="cs"/>
          <w:sz w:val="24"/>
          <w:szCs w:val="24"/>
          <w:rtl/>
        </w:rPr>
        <w:t xml:space="preserve">פסקה 10 (29.6.2014) (להלן: </w:t>
      </w:r>
      <w:r>
        <w:rPr>
          <w:rFonts w:ascii="Century" w:hAnsi="Century" w:cs="David" w:hint="cs"/>
          <w:b/>
          <w:spacing w:val="0"/>
          <w:sz w:val="24"/>
          <w:szCs w:val="24"/>
          <w:rtl/>
        </w:rPr>
        <w:t>עניין יחיא</w:t>
      </w:r>
      <w:r>
        <w:rPr>
          <w:rFonts w:ascii="Century" w:hAnsi="Century" w:cs="David" w:hint="cs"/>
          <w:sz w:val="24"/>
          <w:szCs w:val="24"/>
          <w:rtl/>
        </w:rPr>
        <w:t>)). כך, לא זהה חומרתו של שוד המתבצע בצוותא באישון לילה לאחר תכנון מוקדם ותוך שימוש בנשק, לחומרתו של שוד המתבצע באופן ספונטני ובלתי מתוכנן על-ידי היחיד (ראו למשל</w:t>
      </w:r>
      <w:r>
        <w:rPr>
          <w:rFonts w:ascii="Century" w:hAnsi="Century" w:cs="David" w:hint="cs"/>
          <w:b/>
          <w:spacing w:val="0"/>
          <w:sz w:val="24"/>
          <w:szCs w:val="24"/>
          <w:rtl/>
        </w:rPr>
        <w:t xml:space="preserve">: </w:t>
      </w:r>
      <w:hyperlink r:id="rId31" w:history="1">
        <w:r w:rsidR="002F078A" w:rsidRPr="002F078A">
          <w:rPr>
            <w:rFonts w:ascii="Century" w:hAnsi="Century" w:cs="David" w:hint="cs"/>
            <w:b/>
            <w:color w:val="0000FF"/>
            <w:spacing w:val="0"/>
            <w:sz w:val="24"/>
            <w:szCs w:val="24"/>
            <w:u w:val="single"/>
            <w:rtl/>
          </w:rPr>
          <w:t>ע</w:t>
        </w:r>
        <w:r w:rsidR="002F078A" w:rsidRPr="002F078A">
          <w:rPr>
            <w:rFonts w:ascii="Century" w:hAnsi="Century" w:cs="David"/>
            <w:b/>
            <w:color w:val="0000FF"/>
            <w:spacing w:val="0"/>
            <w:sz w:val="24"/>
            <w:szCs w:val="24"/>
            <w:u w:val="single"/>
            <w:rtl/>
          </w:rPr>
          <w:t>"</w:t>
        </w:r>
        <w:r w:rsidR="002F078A" w:rsidRPr="002F078A">
          <w:rPr>
            <w:rFonts w:ascii="Century" w:hAnsi="Century" w:cs="David" w:hint="cs"/>
            <w:b/>
            <w:color w:val="0000FF"/>
            <w:spacing w:val="0"/>
            <w:sz w:val="24"/>
            <w:szCs w:val="24"/>
            <w:u w:val="single"/>
            <w:rtl/>
          </w:rPr>
          <w:t>פ</w:t>
        </w:r>
        <w:r w:rsidR="002F078A" w:rsidRPr="002F078A">
          <w:rPr>
            <w:rFonts w:ascii="Century" w:hAnsi="Century" w:cs="David"/>
            <w:b/>
            <w:color w:val="0000FF"/>
            <w:spacing w:val="0"/>
            <w:sz w:val="24"/>
            <w:szCs w:val="24"/>
            <w:u w:val="single"/>
            <w:rtl/>
          </w:rPr>
          <w:t xml:space="preserve"> 1286/13</w:t>
        </w:r>
      </w:hyperlink>
      <w:r>
        <w:rPr>
          <w:rFonts w:ascii="Century" w:hAnsi="Century" w:cs="David" w:hint="cs"/>
          <w:b/>
          <w:spacing w:val="0"/>
          <w:sz w:val="24"/>
          <w:szCs w:val="24"/>
          <w:rtl/>
        </w:rPr>
        <w:t xml:space="preserve"> אבו ג'ומעה נ' מדינת ישראל, </w:t>
      </w:r>
      <w:r>
        <w:rPr>
          <w:rFonts w:ascii="Times New Roman" w:hAnsi="Times New Roman" w:cs="David" w:hint="cs"/>
          <w:spacing w:val="0"/>
          <w:sz w:val="24"/>
          <w:szCs w:val="24"/>
          <w:rtl/>
        </w:rPr>
        <w:t xml:space="preserve">[פורסם בנבו] </w:t>
      </w:r>
      <w:r>
        <w:rPr>
          <w:rFonts w:ascii="Century" w:hAnsi="Century" w:cs="David" w:hint="cs"/>
          <w:b/>
          <w:spacing w:val="0"/>
          <w:sz w:val="24"/>
          <w:szCs w:val="24"/>
          <w:rtl/>
        </w:rPr>
        <w:t xml:space="preserve">פסקה 14 </w:t>
      </w:r>
      <w:r>
        <w:rPr>
          <w:rFonts w:ascii="Century" w:hAnsi="Century" w:cs="David" w:hint="cs"/>
          <w:sz w:val="24"/>
          <w:szCs w:val="24"/>
          <w:rtl/>
        </w:rPr>
        <w:t>(20.1.2014)".</w:t>
      </w:r>
    </w:p>
    <w:p w14:paraId="5092E2AF" w14:textId="77777777" w:rsidR="003A32D2" w:rsidRDefault="003A32D2" w:rsidP="003A32D2">
      <w:pPr>
        <w:pStyle w:val="Ruller40"/>
        <w:shd w:val="clear" w:color="auto" w:fill="FFFFFF"/>
        <w:ind w:left="1655" w:right="1560"/>
        <w:rPr>
          <w:rFonts w:cs="David"/>
          <w:sz w:val="24"/>
          <w:szCs w:val="24"/>
          <w:rtl/>
        </w:rPr>
      </w:pPr>
    </w:p>
    <w:p w14:paraId="2E0F2553" w14:textId="77777777" w:rsidR="003A32D2" w:rsidRDefault="003A32D2" w:rsidP="003A32D2">
      <w:pPr>
        <w:spacing w:line="360" w:lineRule="auto"/>
        <w:ind w:left="720" w:hanging="720"/>
        <w:jc w:val="both"/>
        <w:rPr>
          <w:rtl/>
        </w:rPr>
      </w:pPr>
      <w:r>
        <w:rPr>
          <w:rFonts w:hint="cs"/>
          <w:rtl/>
        </w:rPr>
        <w:t>18.</w:t>
      </w:r>
      <w:r>
        <w:rPr>
          <w:rFonts w:hint="cs"/>
          <w:rtl/>
        </w:rPr>
        <w:tab/>
        <w:t xml:space="preserve">בענייננו, עבירת השוד בנסיבות מחמירות בוצעה בצוותא, לאחר תכנון, ותוך שימוש בנשק חם. לא מדובר באירוע ספונטי או מעידה רגעית אלא במעשה שתוכנן היטב, כפי שעולה מנסיבותיו, תוך שהנאשם ועלאא מצטיידים באקדח, קטנוע ובוחרים להם קרבן שזה עתה סגר את עסקו ונושא עמו את פידיון יומו. נשיאת הנשק מוסיפה נדבך נוסף של חומרה יתרה. השימוש באותו נשק אף הוא מלמד על תעוזה והעדר מורא מפני החוק. ניתן לתאר על נקלה כיצד יכול היה האירוע להסתיים באופן שונה לגמרי, ולהוביל לפגיעה בשלמות גופו של המתלונן שלא לומר לקיפוח חייו.  </w:t>
      </w:r>
    </w:p>
    <w:p w14:paraId="16179B26" w14:textId="77777777" w:rsidR="003A32D2" w:rsidRDefault="003A32D2" w:rsidP="003A32D2">
      <w:pPr>
        <w:spacing w:line="360" w:lineRule="auto"/>
        <w:ind w:left="720" w:hanging="720"/>
        <w:jc w:val="both"/>
        <w:rPr>
          <w:rtl/>
        </w:rPr>
      </w:pPr>
    </w:p>
    <w:p w14:paraId="22A7CAE9" w14:textId="77777777" w:rsidR="003A32D2" w:rsidRDefault="003A32D2" w:rsidP="003A32D2">
      <w:pPr>
        <w:spacing w:line="360" w:lineRule="auto"/>
        <w:ind w:left="720" w:hanging="720"/>
        <w:jc w:val="both"/>
        <w:rPr>
          <w:rtl/>
        </w:rPr>
      </w:pPr>
      <w:r>
        <w:rPr>
          <w:rFonts w:hint="cs"/>
          <w:rtl/>
        </w:rPr>
        <w:tab/>
        <w:t>כאילו בכך לא די, המעשים הקשים האמורים בוצעו שעה שהנאשם היה מצווה להימצא במעצר בית, תוך הפרת החלטה שיפוטית שניתנה בעניינו. בכך הוכיח הנאשם כי אין הוא ראוי לאמון שנתן בו בית המשפט, ואין החוק מטיל עליו את מוראו. העבירה שעניינה הפרת הוראה חוקית היא אמנם קלה יותר ביחס ליתר העבירות בהן הורשע הנאשם, ואולם אין היא חסרת משקל לעניין העונש. יפים לעניין זה דברי בית המשפט ב</w:t>
      </w:r>
      <w:r>
        <w:rPr>
          <w:rFonts w:hint="cs"/>
          <w:b/>
          <w:bCs/>
          <w:rtl/>
        </w:rPr>
        <w:t>עניין דלאל</w:t>
      </w:r>
      <w:r>
        <w:rPr>
          <w:rFonts w:hint="cs"/>
          <w:rtl/>
        </w:rPr>
        <w:t xml:space="preserve"> הנ"ל:</w:t>
      </w:r>
    </w:p>
    <w:p w14:paraId="1A2018C6" w14:textId="77777777" w:rsidR="003A32D2" w:rsidRDefault="003A32D2" w:rsidP="003A32D2">
      <w:pPr>
        <w:spacing w:line="360" w:lineRule="auto"/>
        <w:ind w:left="720" w:hanging="720"/>
        <w:jc w:val="both"/>
        <w:rPr>
          <w:sz w:val="12"/>
          <w:szCs w:val="12"/>
          <w:rtl/>
        </w:rPr>
      </w:pPr>
    </w:p>
    <w:p w14:paraId="5C632C62" w14:textId="77777777" w:rsidR="003A32D2" w:rsidRDefault="003A32D2" w:rsidP="003A32D2">
      <w:pPr>
        <w:pStyle w:val="Ruller40"/>
        <w:shd w:val="clear" w:color="auto" w:fill="FFFFFF"/>
        <w:ind w:left="1655" w:right="1560"/>
        <w:rPr>
          <w:rFonts w:ascii="Century" w:hAnsi="Century" w:cs="David"/>
          <w:sz w:val="24"/>
          <w:szCs w:val="24"/>
          <w:rtl/>
        </w:rPr>
      </w:pPr>
      <w:r>
        <w:rPr>
          <w:rFonts w:ascii="Century" w:hAnsi="Century" w:cs="David" w:hint="cs"/>
          <w:sz w:val="24"/>
          <w:szCs w:val="24"/>
          <w:rtl/>
        </w:rPr>
        <w:t xml:space="preserve">"כאמור, יוסף הפר את תנאי 'מעצר הבית', פרק את האזיק האלקטרוני, נמלט לטבריה, לא התייצב להעיד במשפטם של שותפיו ולא להישפט במשפטו-שלו. מעשיו אלו, בתיק שצורף, פוגעים בשלטון החוק, במעמדו של בית המשפט, ובאפקטיביות של חלופות מעצר. עבירות אלו – הפרת הוראה חוקית ושיבוש מהלכי משפט – אינן זניחות, לא טפלות, ואין הצדקה ל'בליעתן' בעבירת השוד ובכך 'לטשטש' ולעמעם את פגיעתן הרעה... </w:t>
      </w:r>
    </w:p>
    <w:p w14:paraId="63AA9E3D" w14:textId="77777777" w:rsidR="003A32D2" w:rsidRDefault="003A32D2" w:rsidP="003A32D2">
      <w:pPr>
        <w:pStyle w:val="Ruller40"/>
        <w:shd w:val="clear" w:color="auto" w:fill="FFFFFF"/>
        <w:ind w:left="1655" w:right="1560"/>
        <w:rPr>
          <w:rFonts w:ascii="Century" w:hAnsi="Century" w:cs="David"/>
          <w:sz w:val="24"/>
          <w:szCs w:val="24"/>
          <w:rtl/>
        </w:rPr>
      </w:pPr>
    </w:p>
    <w:p w14:paraId="238586EB" w14:textId="77777777" w:rsidR="003A32D2" w:rsidRDefault="003A32D2" w:rsidP="003A32D2">
      <w:pPr>
        <w:pStyle w:val="Ruller40"/>
        <w:shd w:val="clear" w:color="auto" w:fill="FFFFFF"/>
        <w:ind w:left="1655" w:right="1560"/>
        <w:rPr>
          <w:rFonts w:ascii="Century" w:hAnsi="Century" w:cs="David"/>
          <w:sz w:val="24"/>
          <w:szCs w:val="24"/>
          <w:rtl/>
        </w:rPr>
      </w:pPr>
    </w:p>
    <w:p w14:paraId="5495A968" w14:textId="77777777" w:rsidR="003A32D2" w:rsidRDefault="003A32D2" w:rsidP="003A32D2">
      <w:pPr>
        <w:pStyle w:val="Ruller40"/>
        <w:shd w:val="clear" w:color="auto" w:fill="FFFFFF"/>
        <w:ind w:left="1655" w:right="1560"/>
        <w:rPr>
          <w:rFonts w:ascii="Century" w:hAnsi="Century" w:cs="David"/>
          <w:sz w:val="24"/>
          <w:szCs w:val="24"/>
          <w:rtl/>
        </w:rPr>
      </w:pPr>
      <w:r>
        <w:rPr>
          <w:rFonts w:ascii="Century" w:hAnsi="Century" w:cs="David" w:hint="cs"/>
          <w:sz w:val="24"/>
          <w:szCs w:val="24"/>
          <w:rtl/>
        </w:rPr>
        <w:t xml:space="preserve">...מוצב תמרור אזהרה ליוסף ולשכמותו, </w:t>
      </w:r>
      <w:r>
        <w:rPr>
          <w:rFonts w:ascii="Century" w:hAnsi="Century" w:cs="David" w:hint="cs"/>
          <w:sz w:val="24"/>
          <w:szCs w:val="24"/>
          <w:u w:val="single"/>
          <w:rtl/>
        </w:rPr>
        <w:t>שלא יחשבו בלבם שאם שדדו, הרי שבריחה ממעצר איננה אלא סרח עודף זניח. לעת מתן גזר הדין, גם אותו תיק משני ילקח בחשבון</w:t>
      </w:r>
      <w:r>
        <w:rPr>
          <w:rFonts w:ascii="Century" w:hAnsi="Century" w:cs="David" w:hint="cs"/>
          <w:sz w:val="24"/>
          <w:szCs w:val="24"/>
          <w:rtl/>
        </w:rPr>
        <w:t>". (ההדגשה שלי - א.ט.)</w:t>
      </w:r>
    </w:p>
    <w:p w14:paraId="0C90D1ED" w14:textId="77777777" w:rsidR="003A32D2" w:rsidRDefault="003A32D2" w:rsidP="003A32D2">
      <w:pPr>
        <w:pStyle w:val="Ruller40"/>
        <w:shd w:val="clear" w:color="auto" w:fill="FFFFFF"/>
        <w:ind w:left="1655" w:right="1560"/>
        <w:rPr>
          <w:rFonts w:ascii="Century" w:hAnsi="Century" w:cs="David"/>
          <w:sz w:val="24"/>
          <w:szCs w:val="24"/>
          <w:rtl/>
        </w:rPr>
      </w:pPr>
    </w:p>
    <w:p w14:paraId="2AD22E17" w14:textId="77777777" w:rsidR="003A32D2" w:rsidRDefault="003A32D2" w:rsidP="003A32D2">
      <w:pPr>
        <w:tabs>
          <w:tab w:val="left" w:pos="720"/>
        </w:tabs>
        <w:spacing w:after="240" w:line="360" w:lineRule="auto"/>
        <w:ind w:left="720" w:hanging="720"/>
        <w:jc w:val="both"/>
        <w:rPr>
          <w:rFonts w:ascii="David" w:hAnsi="David"/>
          <w:rtl/>
        </w:rPr>
      </w:pPr>
      <w:r>
        <w:rPr>
          <w:rFonts w:hint="cs"/>
          <w:rtl/>
        </w:rPr>
        <w:t>19.</w:t>
      </w:r>
      <w:r>
        <w:rPr>
          <w:rFonts w:hint="cs"/>
          <w:rtl/>
        </w:rPr>
        <w:tab/>
        <w:t>לאור כל האמור לעיל, ולאחר ששקלתי את העבירות בהן הורשע הנאשם, חומרתן ונסיבות ביצוען, כמו גם את מדיניות הענישה הנוהגת בפסיקה, אני רואה להעמיד את מתחם העונש הראוי, בהתבסס על עקרון ההלימה, בטווח שבין 4 ל- 6.5 שנות מאסר</w:t>
      </w:r>
      <w:r>
        <w:rPr>
          <w:rFonts w:ascii="Calibri" w:hAnsi="Calibri" w:hint="cs"/>
          <w:rtl/>
        </w:rPr>
        <w:t xml:space="preserve"> לכלל העבירות.</w:t>
      </w:r>
    </w:p>
    <w:p w14:paraId="5C3EFCA6" w14:textId="77777777" w:rsidR="003A32D2" w:rsidRPr="003A32D2" w:rsidRDefault="003A32D2" w:rsidP="003A32D2">
      <w:pPr>
        <w:tabs>
          <w:tab w:val="left" w:pos="720"/>
        </w:tabs>
        <w:spacing w:after="240" w:line="360" w:lineRule="auto"/>
        <w:ind w:left="720" w:hanging="720"/>
        <w:jc w:val="both"/>
        <w:rPr>
          <w:rFonts w:ascii="Calibri" w:eastAsia="Calibri" w:hAnsi="Calibri"/>
          <w:u w:val="single"/>
          <w:rtl/>
        </w:rPr>
      </w:pPr>
      <w:r>
        <w:rPr>
          <w:rFonts w:hint="cs"/>
          <w:u w:val="single"/>
          <w:rtl/>
        </w:rPr>
        <w:t xml:space="preserve">גזירת העונש בתוך המתחם </w:t>
      </w:r>
    </w:p>
    <w:p w14:paraId="776F5367" w14:textId="77777777" w:rsidR="003A32D2" w:rsidRDefault="003A32D2" w:rsidP="003A32D2">
      <w:pPr>
        <w:tabs>
          <w:tab w:val="left" w:pos="720"/>
        </w:tabs>
        <w:spacing w:after="240" w:line="360" w:lineRule="auto"/>
        <w:ind w:left="720" w:hanging="720"/>
        <w:jc w:val="both"/>
        <w:rPr>
          <w:rFonts w:ascii="David" w:hAnsi="David"/>
        </w:rPr>
      </w:pPr>
      <w:r>
        <w:rPr>
          <w:rFonts w:hint="cs"/>
          <w:rtl/>
        </w:rPr>
        <w:t>20.</w:t>
      </w:r>
      <w:r>
        <w:rPr>
          <w:rFonts w:hint="cs"/>
          <w:rtl/>
        </w:rPr>
        <w:tab/>
        <w:t xml:space="preserve">בשלב גזירת עונשו של הנאשם מצווה בית המשפט לשקול שיקולים אינדיבידואליים הנוגעים לעברו של הנאשם, נסיבותיו האישיות, לקיחת אחריות על ידו וכיו"ב. </w:t>
      </w:r>
    </w:p>
    <w:p w14:paraId="04DF943A" w14:textId="77777777" w:rsidR="003A32D2" w:rsidRPr="003A32D2" w:rsidRDefault="003A32D2" w:rsidP="003A32D2">
      <w:pPr>
        <w:spacing w:before="100" w:beforeAutospacing="1" w:after="100" w:afterAutospacing="1" w:line="360" w:lineRule="auto"/>
        <w:ind w:left="720" w:firstLine="3"/>
        <w:jc w:val="both"/>
        <w:rPr>
          <w:rFonts w:ascii="Calibri" w:hAnsi="Calibri"/>
        </w:rPr>
      </w:pPr>
      <w:r>
        <w:rPr>
          <w:rFonts w:hint="cs"/>
          <w:rtl/>
        </w:rPr>
        <w:t xml:space="preserve">לקולא אני רואה להתחשב בגילו הצעיר יחסית של הנאשם – 24 בעת ביצוע העבירות, בהודייתו בכתב האישום, בלקיחת האחריות על מעשיו ובצער שהביע. </w:t>
      </w:r>
      <w:r>
        <w:rPr>
          <w:rFonts w:ascii="David" w:hAnsi="David" w:hint="cs"/>
          <w:rtl/>
        </w:rPr>
        <w:t xml:space="preserve">מדובר במי שזו הסתבכותו הראשונה בפלילים ואין לחובתו הרשעות קודמות וגם נתון זה מובא בחשבון בעת גזירת עונשו.  </w:t>
      </w:r>
    </w:p>
    <w:p w14:paraId="104627A6" w14:textId="77777777" w:rsidR="003A32D2" w:rsidRDefault="003A32D2" w:rsidP="003A32D2">
      <w:pPr>
        <w:tabs>
          <w:tab w:val="left" w:pos="720"/>
        </w:tabs>
        <w:spacing w:after="240" w:line="360" w:lineRule="auto"/>
        <w:ind w:left="720" w:hanging="720"/>
        <w:jc w:val="both"/>
        <w:rPr>
          <w:rtl/>
        </w:rPr>
      </w:pPr>
      <w:r>
        <w:rPr>
          <w:rFonts w:hint="cs"/>
          <w:rtl/>
        </w:rPr>
        <w:t>21.</w:t>
      </w:r>
      <w:r>
        <w:rPr>
          <w:rFonts w:hint="cs"/>
          <w:rtl/>
        </w:rPr>
        <w:tab/>
        <w:t>על יסוד מקבץ השיקולים שמניתי לעיל, אני גוזר על הנאשם את העונשים הבאים:</w:t>
      </w:r>
    </w:p>
    <w:p w14:paraId="6E6BD615" w14:textId="77777777" w:rsidR="003A32D2" w:rsidRDefault="003A32D2" w:rsidP="003A32D2">
      <w:pPr>
        <w:tabs>
          <w:tab w:val="left" w:pos="720"/>
        </w:tabs>
        <w:spacing w:after="240" w:line="360" w:lineRule="auto"/>
        <w:ind w:left="1440" w:hanging="720"/>
        <w:jc w:val="both"/>
      </w:pPr>
      <w:r>
        <w:rPr>
          <w:rFonts w:hint="cs"/>
          <w:rtl/>
        </w:rPr>
        <w:t>א.</w:t>
      </w:r>
      <w:r>
        <w:rPr>
          <w:rFonts w:hint="cs"/>
          <w:rtl/>
        </w:rPr>
        <w:tab/>
        <w:t>4.5 שנות מאסר בפועל. למען הסר ספק, ימי המעצר עד תום ההליכים בו מצוי הנאשם בגין תיק הסיוע (</w:t>
      </w:r>
      <w:hyperlink r:id="rId32" w:history="1">
        <w:r w:rsidR="002F078A" w:rsidRPr="002F078A">
          <w:rPr>
            <w:color w:val="0000FF"/>
            <w:u w:val="single"/>
            <w:rtl/>
          </w:rPr>
          <w:t>תפ"ח 49325-12-16</w:t>
        </w:r>
      </w:hyperlink>
      <w:r>
        <w:rPr>
          <w:rFonts w:hint="cs"/>
          <w:rtl/>
        </w:rPr>
        <w:t xml:space="preserve">) - </w:t>
      </w:r>
      <w:r>
        <w:rPr>
          <w:rFonts w:hint="cs"/>
          <w:u w:val="single"/>
          <w:rtl/>
        </w:rPr>
        <w:t>לא ינוכו מן העונש</w:t>
      </w:r>
      <w:r>
        <w:rPr>
          <w:rFonts w:hint="cs"/>
          <w:rtl/>
        </w:rPr>
        <w:t>; ככל שיורשע הנאשם בתיק האמור וייגזר עליו עונש מאסר, יש להניח כי בית המשפט שם יורה על ניכוי ימי המעצר מתוך אותו עונש, ככל שימצא לנכון.</w:t>
      </w:r>
    </w:p>
    <w:p w14:paraId="3A00C81C" w14:textId="77777777" w:rsidR="003A32D2" w:rsidRDefault="003A32D2" w:rsidP="003A32D2">
      <w:pPr>
        <w:tabs>
          <w:tab w:val="left" w:pos="720"/>
        </w:tabs>
        <w:spacing w:after="240" w:line="360" w:lineRule="auto"/>
        <w:ind w:left="1440" w:hanging="1440"/>
        <w:jc w:val="both"/>
        <w:rPr>
          <w:rFonts w:ascii="David" w:hAnsi="David"/>
          <w:rtl/>
        </w:rPr>
      </w:pPr>
      <w:r>
        <w:rPr>
          <w:rFonts w:hint="cs"/>
          <w:rtl/>
        </w:rPr>
        <w:tab/>
        <w:t>ב.</w:t>
      </w:r>
      <w:r>
        <w:rPr>
          <w:rFonts w:hint="cs"/>
          <w:rtl/>
        </w:rPr>
        <w:tab/>
        <w:t xml:space="preserve">12 חודשי מאסר על תנאי למשך 3 שנים לבל יעבור עבירות </w:t>
      </w:r>
      <w:r>
        <w:rPr>
          <w:rFonts w:ascii="David" w:hAnsi="David" w:hint="cs"/>
          <w:rtl/>
        </w:rPr>
        <w:t>נשק או עבירת שוד ויורשע בגינן.</w:t>
      </w:r>
    </w:p>
    <w:p w14:paraId="4B09A3FA" w14:textId="77777777" w:rsidR="003A32D2" w:rsidRDefault="003A32D2" w:rsidP="003A32D2">
      <w:pPr>
        <w:tabs>
          <w:tab w:val="left" w:pos="720"/>
        </w:tabs>
        <w:spacing w:after="240" w:line="360" w:lineRule="auto"/>
        <w:ind w:left="1440" w:hanging="1440"/>
        <w:jc w:val="both"/>
        <w:rPr>
          <w:rFonts w:ascii="David" w:hAnsi="David"/>
          <w:rtl/>
        </w:rPr>
      </w:pPr>
    </w:p>
    <w:p w14:paraId="4BE48470" w14:textId="77777777" w:rsidR="003A32D2" w:rsidRDefault="003A32D2" w:rsidP="003A32D2">
      <w:pPr>
        <w:tabs>
          <w:tab w:val="left" w:pos="720"/>
        </w:tabs>
        <w:spacing w:after="240" w:line="360" w:lineRule="auto"/>
        <w:ind w:left="1440" w:hanging="1440"/>
        <w:jc w:val="both"/>
        <w:rPr>
          <w:rFonts w:ascii="David" w:hAnsi="David"/>
          <w:rtl/>
        </w:rPr>
      </w:pPr>
    </w:p>
    <w:p w14:paraId="18B995A1" w14:textId="77777777" w:rsidR="003A32D2" w:rsidRDefault="003A32D2" w:rsidP="003A32D2">
      <w:pPr>
        <w:tabs>
          <w:tab w:val="left" w:pos="720"/>
        </w:tabs>
        <w:spacing w:after="240" w:line="360" w:lineRule="auto"/>
        <w:ind w:left="1440" w:hanging="720"/>
        <w:jc w:val="both"/>
        <w:rPr>
          <w:rFonts w:ascii="David" w:hAnsi="David"/>
          <w:rtl/>
        </w:rPr>
      </w:pPr>
      <w:r>
        <w:rPr>
          <w:rFonts w:ascii="David" w:hAnsi="David" w:hint="cs"/>
          <w:rtl/>
        </w:rPr>
        <w:t xml:space="preserve">ג. </w:t>
      </w:r>
      <w:r>
        <w:rPr>
          <w:rFonts w:ascii="David" w:hAnsi="David" w:hint="cs"/>
          <w:rtl/>
        </w:rPr>
        <w:tab/>
        <w:t xml:space="preserve">פיצוי כספי למתלונן בסך 10,000 ₪, </w:t>
      </w:r>
      <w:r>
        <w:rPr>
          <w:rFonts w:hint="cs"/>
          <w:rtl/>
        </w:rPr>
        <w:t>שישולם ב- 10 תשלומים חודשיים שווים ורצופים בסך 1,000 ₪ כל אחד. מועד התשלום הראשון יחול ביום 1.4.2018 ויתר התשלומים ב-1 לכל חודש שלאחריו. לא שולם אחד התשלומים במועדו, יעמוד כל סכום הפיצוי לפירעון מיידי, בניכוי הסכומים ששולמו על חשבון ובתוספת הפרשי ריבית והצמדה כחוק על יתרת הסכום, וזאת החל מהיום ועד התשלום המלא בפועל.</w:t>
      </w:r>
    </w:p>
    <w:p w14:paraId="22AE0C45" w14:textId="77777777" w:rsidR="003A32D2" w:rsidRDefault="003A32D2" w:rsidP="003A32D2">
      <w:pPr>
        <w:tabs>
          <w:tab w:val="left" w:pos="720"/>
        </w:tabs>
        <w:spacing w:after="240" w:line="360" w:lineRule="auto"/>
        <w:ind w:left="1440" w:hanging="720"/>
        <w:jc w:val="both"/>
        <w:rPr>
          <w:rFonts w:ascii="David" w:hAnsi="David"/>
          <w:u w:val="single"/>
          <w:rtl/>
        </w:rPr>
      </w:pPr>
      <w:r>
        <w:rPr>
          <w:rFonts w:ascii="David" w:hAnsi="David" w:hint="cs"/>
          <w:u w:val="single"/>
          <w:rtl/>
        </w:rPr>
        <w:t>זכות ערעור לבית המשפט העליון תוך 45 ימים.</w:t>
      </w:r>
    </w:p>
    <w:p w14:paraId="0A197130" w14:textId="77777777" w:rsidR="003A32D2" w:rsidRPr="00B05847" w:rsidRDefault="003A32D2" w:rsidP="003A32D2">
      <w:pPr>
        <w:rPr>
          <w:rtl/>
        </w:rPr>
      </w:pPr>
    </w:p>
    <w:p w14:paraId="0D17E1CF" w14:textId="77777777" w:rsidR="003A32D2" w:rsidRPr="00B05847" w:rsidRDefault="003A32D2" w:rsidP="003A32D2">
      <w:pPr>
        <w:rPr>
          <w:rtl/>
        </w:rPr>
      </w:pPr>
    </w:p>
    <w:p w14:paraId="683E6B7C" w14:textId="77777777" w:rsidR="003A32D2" w:rsidRDefault="002F078A" w:rsidP="003A32D2">
      <w:pPr>
        <w:spacing w:line="360" w:lineRule="auto"/>
        <w:jc w:val="both"/>
        <w:rPr>
          <w:rFonts w:ascii="Arial" w:hAnsi="Arial"/>
        </w:rPr>
      </w:pPr>
      <w:r w:rsidRPr="002F078A">
        <w:rPr>
          <w:rFonts w:ascii="Arial" w:hAnsi="Arial"/>
          <w:color w:val="FFFFFF"/>
          <w:sz w:val="2"/>
          <w:szCs w:val="2"/>
          <w:rtl/>
        </w:rPr>
        <w:t>5129371</w:t>
      </w:r>
      <w:r>
        <w:rPr>
          <w:rFonts w:ascii="Arial" w:hAnsi="Arial"/>
          <w:rtl/>
        </w:rPr>
        <w:t xml:space="preserve">ניתן היום,  י"ג שבט תשע"ח, 29 ינואר 2018, בנוכחות הצדדים. </w:t>
      </w:r>
    </w:p>
    <w:p w14:paraId="3DAE511C" w14:textId="77777777" w:rsidR="003A32D2" w:rsidRPr="002F078A" w:rsidRDefault="002F078A" w:rsidP="003A32D2">
      <w:pPr>
        <w:rPr>
          <w:rFonts w:cs="FrankRuehl"/>
          <w:color w:val="FFFFFF"/>
          <w:sz w:val="2"/>
          <w:szCs w:val="2"/>
          <w:rtl/>
        </w:rPr>
      </w:pPr>
      <w:r w:rsidRPr="002F078A">
        <w:rPr>
          <w:rFonts w:cs="FrankRuehl"/>
          <w:color w:val="FFFFFF"/>
          <w:sz w:val="2"/>
          <w:szCs w:val="2"/>
          <w:rtl/>
        </w:rPr>
        <w:t>54678313</w:t>
      </w:r>
    </w:p>
    <w:p w14:paraId="636A6993" w14:textId="77777777" w:rsidR="003A32D2" w:rsidRDefault="003A32D2" w:rsidP="003A32D2">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04611468" w14:textId="77777777" w:rsidR="003A32D2" w:rsidRDefault="003A32D2" w:rsidP="003A32D2">
      <w:pPr>
        <w:jc w:val="center"/>
        <w:rPr>
          <w:rFonts w:ascii="Arial" w:hAnsi="Arial" w:cs="FrankRuehl"/>
          <w:sz w:val="28"/>
          <w:szCs w:val="28"/>
          <w:rtl/>
        </w:rPr>
      </w:pPr>
    </w:p>
    <w:p w14:paraId="1B5891C1" w14:textId="77777777" w:rsidR="003A32D2" w:rsidRDefault="003A32D2" w:rsidP="003A32D2">
      <w:pPr>
        <w:rPr>
          <w:rFonts w:cs="FrankRuehl"/>
          <w:sz w:val="28"/>
          <w:szCs w:val="28"/>
          <w:rtl/>
        </w:rPr>
      </w:pPr>
    </w:p>
    <w:p w14:paraId="2FDC66E4" w14:textId="77777777" w:rsidR="003A32D2" w:rsidRPr="00957FDA" w:rsidRDefault="00957FDA" w:rsidP="003A32D2">
      <w:pPr>
        <w:pStyle w:val="a3"/>
        <w:jc w:val="center"/>
        <w:rPr>
          <w:color w:val="FFFFFF"/>
          <w:sz w:val="2"/>
          <w:szCs w:val="2"/>
          <w:rtl/>
        </w:rPr>
      </w:pPr>
      <w:r w:rsidRPr="00957FDA">
        <w:rPr>
          <w:color w:val="FFFFFF"/>
          <w:sz w:val="2"/>
          <w:szCs w:val="2"/>
          <w:rtl/>
        </w:rPr>
        <w:t>5129371</w:t>
      </w:r>
    </w:p>
    <w:p w14:paraId="35640123" w14:textId="77777777" w:rsidR="002D7B2F" w:rsidRPr="00957FDA" w:rsidRDefault="00957FDA" w:rsidP="002F078A">
      <w:pPr>
        <w:keepNext/>
        <w:rPr>
          <w:rFonts w:ascii="David" w:hAnsi="David"/>
          <w:color w:val="FFFFFF"/>
          <w:sz w:val="2"/>
          <w:szCs w:val="2"/>
          <w:rtl/>
        </w:rPr>
      </w:pPr>
      <w:r w:rsidRPr="00957FDA">
        <w:rPr>
          <w:rFonts w:ascii="David" w:hAnsi="David"/>
          <w:color w:val="FFFFFF"/>
          <w:sz w:val="2"/>
          <w:szCs w:val="2"/>
          <w:rtl/>
        </w:rPr>
        <w:t>54678313</w:t>
      </w:r>
    </w:p>
    <w:p w14:paraId="588C5A0E" w14:textId="77777777" w:rsidR="002F078A" w:rsidRPr="002F078A" w:rsidRDefault="002F078A" w:rsidP="002F078A">
      <w:pPr>
        <w:keepNext/>
        <w:rPr>
          <w:rFonts w:ascii="David" w:hAnsi="David"/>
          <w:color w:val="000000"/>
          <w:sz w:val="22"/>
          <w:szCs w:val="22"/>
          <w:rtl/>
        </w:rPr>
      </w:pPr>
      <w:r w:rsidRPr="002F078A">
        <w:rPr>
          <w:rFonts w:ascii="David" w:hAnsi="David"/>
          <w:color w:val="000000"/>
          <w:sz w:val="22"/>
          <w:szCs w:val="22"/>
          <w:rtl/>
        </w:rPr>
        <w:t>אמיר טובי 54678313</w:t>
      </w:r>
    </w:p>
    <w:p w14:paraId="1B67A9B9" w14:textId="77777777" w:rsidR="002F078A" w:rsidRDefault="002F078A" w:rsidP="002F078A">
      <w:r w:rsidRPr="002F078A">
        <w:rPr>
          <w:color w:val="000000"/>
          <w:rtl/>
        </w:rPr>
        <w:t>נוסח מסמך זה כפוף לשינויי ניסוח ועריכה</w:t>
      </w:r>
    </w:p>
    <w:p w14:paraId="72E6E17D" w14:textId="77777777" w:rsidR="002F078A" w:rsidRDefault="002F078A" w:rsidP="002F078A">
      <w:pPr>
        <w:rPr>
          <w:rtl/>
        </w:rPr>
      </w:pPr>
    </w:p>
    <w:p w14:paraId="1E657CF6" w14:textId="77777777" w:rsidR="002F078A" w:rsidRDefault="002F078A" w:rsidP="002F078A">
      <w:pPr>
        <w:jc w:val="center"/>
        <w:rPr>
          <w:color w:val="0000FF"/>
          <w:u w:val="single"/>
        </w:rPr>
      </w:pPr>
      <w:hyperlink r:id="rId33" w:history="1">
        <w:r>
          <w:rPr>
            <w:color w:val="0000FF"/>
            <w:u w:val="single"/>
            <w:rtl/>
          </w:rPr>
          <w:t>בעניין עריכה ושינויים במסמכי פסיקה, חקיקה ועוד באתר נבו – הקש כאן</w:t>
        </w:r>
      </w:hyperlink>
    </w:p>
    <w:p w14:paraId="3677A948" w14:textId="77777777" w:rsidR="002F078A" w:rsidRPr="002F078A" w:rsidRDefault="002F078A" w:rsidP="00957FDA">
      <w:pPr>
        <w:rPr>
          <w:color w:val="0000FF"/>
          <w:u w:val="single"/>
        </w:rPr>
      </w:pPr>
    </w:p>
    <w:sectPr w:rsidR="002F078A" w:rsidRPr="002F078A" w:rsidSect="00957FDA">
      <w:headerReference w:type="even" r:id="rId34"/>
      <w:headerReference w:type="default" r:id="rId35"/>
      <w:footerReference w:type="even" r:id="rId36"/>
      <w:footerReference w:type="default" r:id="rId3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9D72FB" w14:textId="77777777" w:rsidR="00960102" w:rsidRDefault="00960102" w:rsidP="006C2925">
      <w:r>
        <w:separator/>
      </w:r>
    </w:p>
  </w:endnote>
  <w:endnote w:type="continuationSeparator" w:id="0">
    <w:p w14:paraId="16EFAAB6" w14:textId="77777777" w:rsidR="00960102" w:rsidRDefault="00960102" w:rsidP="006C29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1097CD" w14:textId="77777777" w:rsidR="00D1654E" w:rsidRDefault="00D1654E" w:rsidP="00957FD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49C6586" w14:textId="77777777" w:rsidR="00D1654E" w:rsidRPr="00957FDA" w:rsidRDefault="00D1654E" w:rsidP="00957FDA">
    <w:pPr>
      <w:pStyle w:val="a5"/>
      <w:pBdr>
        <w:top w:val="single" w:sz="4" w:space="1" w:color="auto"/>
        <w:between w:val="single" w:sz="4" w:space="0" w:color="auto"/>
      </w:pBdr>
      <w:spacing w:after="60"/>
      <w:jc w:val="center"/>
      <w:rPr>
        <w:rFonts w:ascii="FrankRuehl" w:hAnsi="FrankRuehl" w:cs="FrankRuehl"/>
        <w:color w:val="000000"/>
      </w:rPr>
    </w:pPr>
    <w:r w:rsidRPr="00957FD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6F6C0F" w14:textId="77777777" w:rsidR="00D1654E" w:rsidRDefault="00D1654E" w:rsidP="00957FD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B73BC">
      <w:rPr>
        <w:rFonts w:ascii="FrankRuehl" w:hAnsi="FrankRuehl" w:cs="FrankRuehl"/>
        <w:noProof/>
        <w:rtl/>
      </w:rPr>
      <w:t>1</w:t>
    </w:r>
    <w:r>
      <w:rPr>
        <w:rFonts w:ascii="FrankRuehl" w:hAnsi="FrankRuehl" w:cs="FrankRuehl"/>
        <w:rtl/>
      </w:rPr>
      <w:fldChar w:fldCharType="end"/>
    </w:r>
  </w:p>
  <w:p w14:paraId="24914927" w14:textId="77777777" w:rsidR="00D1654E" w:rsidRPr="00957FDA" w:rsidRDefault="00D1654E" w:rsidP="00957FDA">
    <w:pPr>
      <w:pStyle w:val="a5"/>
      <w:pBdr>
        <w:top w:val="single" w:sz="4" w:space="1" w:color="auto"/>
        <w:between w:val="single" w:sz="4" w:space="0" w:color="auto"/>
      </w:pBdr>
      <w:spacing w:after="60"/>
      <w:jc w:val="center"/>
      <w:rPr>
        <w:rFonts w:ascii="FrankRuehl" w:hAnsi="FrankRuehl" w:cs="FrankRuehl"/>
        <w:color w:val="000000"/>
      </w:rPr>
    </w:pPr>
    <w:r w:rsidRPr="00957FDA">
      <w:rPr>
        <w:rFonts w:ascii="FrankRuehl" w:hAnsi="FrankRuehl" w:cs="FrankRuehl"/>
        <w:color w:val="000000"/>
      </w:rPr>
      <w:pict w14:anchorId="4558F5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5AD452" w14:textId="77777777" w:rsidR="00960102" w:rsidRDefault="00960102" w:rsidP="006C2925">
      <w:r>
        <w:separator/>
      </w:r>
    </w:p>
  </w:footnote>
  <w:footnote w:type="continuationSeparator" w:id="0">
    <w:p w14:paraId="4B61EA4B" w14:textId="77777777" w:rsidR="00960102" w:rsidRDefault="00960102" w:rsidP="006C29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223E52" w14:textId="77777777" w:rsidR="00D1654E" w:rsidRPr="00957FDA" w:rsidRDefault="00D1654E" w:rsidP="00957FD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45747-05-17</w:t>
    </w:r>
    <w:r>
      <w:rPr>
        <w:rFonts w:ascii="David" w:hAnsi="David"/>
        <w:color w:val="000000"/>
        <w:sz w:val="22"/>
        <w:szCs w:val="22"/>
        <w:rtl/>
      </w:rPr>
      <w:tab/>
      <w:t xml:space="preserve"> מדינת ישראל נ' אמיר סרחאן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5AD493" w14:textId="77777777" w:rsidR="00D1654E" w:rsidRPr="00957FDA" w:rsidRDefault="00D1654E" w:rsidP="00957FD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45747-05-17</w:t>
    </w:r>
    <w:r>
      <w:rPr>
        <w:rFonts w:ascii="David" w:hAnsi="David"/>
        <w:color w:val="000000"/>
        <w:sz w:val="22"/>
        <w:szCs w:val="22"/>
        <w:rtl/>
      </w:rPr>
      <w:tab/>
      <w:t xml:space="preserve"> מדינת ישראל נ' אמיר סרחאן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A32D2"/>
    <w:rsid w:val="0006485B"/>
    <w:rsid w:val="00125B42"/>
    <w:rsid w:val="002D7B2F"/>
    <w:rsid w:val="002F078A"/>
    <w:rsid w:val="003A32D2"/>
    <w:rsid w:val="004B73BC"/>
    <w:rsid w:val="006C2925"/>
    <w:rsid w:val="00921E97"/>
    <w:rsid w:val="00957FDA"/>
    <w:rsid w:val="00960102"/>
    <w:rsid w:val="00B8337D"/>
    <w:rsid w:val="00BA16A0"/>
    <w:rsid w:val="00D1654E"/>
    <w:rsid w:val="00F03CFD"/>
    <w:rsid w:val="00FE0BE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5266558F"/>
  <w15:chartTrackingRefBased/>
  <w15:docId w15:val="{C12B2938-B082-4040-9017-C10EC584D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A32D2"/>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A32D2"/>
    <w:pPr>
      <w:tabs>
        <w:tab w:val="center" w:pos="4153"/>
        <w:tab w:val="right" w:pos="8306"/>
      </w:tabs>
    </w:pPr>
  </w:style>
  <w:style w:type="character" w:customStyle="1" w:styleId="a4">
    <w:name w:val="כותרת עליונה תו"/>
    <w:link w:val="a3"/>
    <w:rsid w:val="003A32D2"/>
    <w:rPr>
      <w:rFonts w:ascii="Times New Roman" w:eastAsia="Times New Roman" w:hAnsi="Times New Roman" w:cs="David"/>
      <w:sz w:val="24"/>
      <w:szCs w:val="24"/>
    </w:rPr>
  </w:style>
  <w:style w:type="paragraph" w:styleId="a5">
    <w:name w:val="footer"/>
    <w:basedOn w:val="a"/>
    <w:link w:val="a6"/>
    <w:rsid w:val="003A32D2"/>
    <w:pPr>
      <w:tabs>
        <w:tab w:val="center" w:pos="4153"/>
        <w:tab w:val="right" w:pos="8306"/>
      </w:tabs>
    </w:pPr>
  </w:style>
  <w:style w:type="character" w:customStyle="1" w:styleId="a6">
    <w:name w:val="כותרת תחתונה תו"/>
    <w:link w:val="a5"/>
    <w:rsid w:val="003A32D2"/>
    <w:rPr>
      <w:rFonts w:ascii="Times New Roman" w:eastAsia="Times New Roman" w:hAnsi="Times New Roman" w:cs="David"/>
      <w:sz w:val="24"/>
      <w:szCs w:val="24"/>
    </w:rPr>
  </w:style>
  <w:style w:type="table" w:styleId="a7">
    <w:name w:val="Table Grid"/>
    <w:basedOn w:val="a1"/>
    <w:rsid w:val="003A32D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A32D2"/>
  </w:style>
  <w:style w:type="character" w:customStyle="1" w:styleId="TimesNewRomanTimesNewRoman">
    <w:name w:val="סגנון (לטיני) Times New Roman (עברית ושפות אחרות) Times New Roman..."/>
    <w:rsid w:val="003A32D2"/>
    <w:rPr>
      <w:rFonts w:ascii="Times New Roman" w:hAnsi="Times New Roman" w:cs="David" w:hint="default"/>
      <w:b/>
      <w:bCs/>
      <w:sz w:val="26"/>
      <w:szCs w:val="26"/>
    </w:rPr>
  </w:style>
  <w:style w:type="character" w:styleId="Hyperlink">
    <w:name w:val="Hyperlink"/>
    <w:rsid w:val="003A32D2"/>
    <w:rPr>
      <w:color w:val="0000FF"/>
      <w:u w:val="single"/>
    </w:rPr>
  </w:style>
  <w:style w:type="character" w:customStyle="1" w:styleId="Ruller4">
    <w:name w:val="Ruller4 תו"/>
    <w:link w:val="Ruller40"/>
    <w:locked/>
    <w:rsid w:val="003A32D2"/>
    <w:rPr>
      <w:rFonts w:ascii="Arial TUR" w:hAnsi="Arial TUR" w:cs="FrankRuehl"/>
      <w:spacing w:val="10"/>
      <w:szCs w:val="28"/>
    </w:rPr>
  </w:style>
  <w:style w:type="paragraph" w:customStyle="1" w:styleId="Ruller40">
    <w:name w:val="Ruller4"/>
    <w:basedOn w:val="a"/>
    <w:link w:val="Ruller4"/>
    <w:rsid w:val="003A32D2"/>
    <w:pPr>
      <w:tabs>
        <w:tab w:val="left" w:pos="800"/>
      </w:tabs>
      <w:overflowPunct w:val="0"/>
      <w:autoSpaceDE w:val="0"/>
      <w:autoSpaceDN w:val="0"/>
      <w:adjustRightInd w:val="0"/>
      <w:spacing w:line="360" w:lineRule="auto"/>
      <w:jc w:val="both"/>
    </w:pPr>
    <w:rPr>
      <w:rFonts w:ascii="Arial TUR" w:eastAsia="Calibri" w:hAnsi="Arial TUR" w:cs="FrankRuehl"/>
      <w:spacing w:val="10"/>
      <w:sz w:val="22"/>
      <w:szCs w:val="28"/>
    </w:rPr>
  </w:style>
  <w:style w:type="character" w:styleId="a9">
    <w:name w:val="Unresolved Mention"/>
    <w:rsid w:val="002F078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9" TargetMode="External"/><Relationship Id="rId18" Type="http://schemas.openxmlformats.org/officeDocument/2006/relationships/hyperlink" Target="http://www.nevo.co.il/law/70301/40i" TargetMode="External"/><Relationship Id="rId26" Type="http://schemas.openxmlformats.org/officeDocument/2006/relationships/hyperlink" Target="http://www.nevo.co.il/case/5594268" TargetMode="External"/><Relationship Id="rId39" Type="http://schemas.openxmlformats.org/officeDocument/2006/relationships/theme" Target="theme/theme1.xml"/><Relationship Id="rId21" Type="http://schemas.openxmlformats.org/officeDocument/2006/relationships/hyperlink" Target="http://www.nevo.co.il/case/21474168" TargetMode="External"/><Relationship Id="rId34" Type="http://schemas.openxmlformats.org/officeDocument/2006/relationships/header" Target="header1.xml"/><Relationship Id="rId7" Type="http://schemas.openxmlformats.org/officeDocument/2006/relationships/hyperlink" Target="http://www.nevo.co.il/law/70301/29" TargetMode="External"/><Relationship Id="rId12" Type="http://schemas.openxmlformats.org/officeDocument/2006/relationships/hyperlink" Target="http://www.nevo.co.il/law/70301/144.b" TargetMode="External"/><Relationship Id="rId17" Type="http://schemas.openxmlformats.org/officeDocument/2006/relationships/hyperlink" Target="http://www.nevo.co.il/case/21823278" TargetMode="External"/><Relationship Id="rId25" Type="http://schemas.openxmlformats.org/officeDocument/2006/relationships/hyperlink" Target="http://www.nevo.co.il/case/7697241" TargetMode="External"/><Relationship Id="rId33" Type="http://schemas.openxmlformats.org/officeDocument/2006/relationships/hyperlink" Target="http://www.nevo.co.il/advertisements/nevo-100.doc"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law/70301/287.a" TargetMode="External"/><Relationship Id="rId20" Type="http://schemas.openxmlformats.org/officeDocument/2006/relationships/hyperlink" Target="http://www.nevo.co.il/case/20033641" TargetMode="External"/><Relationship Id="rId29" Type="http://schemas.openxmlformats.org/officeDocument/2006/relationships/hyperlink" Target="http://www.nevo.co.il/case/7948442"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402.b" TargetMode="External"/><Relationship Id="rId24" Type="http://schemas.openxmlformats.org/officeDocument/2006/relationships/hyperlink" Target="http://www.nevo.co.il/case/5792459" TargetMode="External"/><Relationship Id="rId32" Type="http://schemas.openxmlformats.org/officeDocument/2006/relationships/hyperlink" Target="http://www.nevo.co.il/case/21823260" TargetMode="External"/><Relationship Id="rId37"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70301/29;402.b" TargetMode="External"/><Relationship Id="rId23" Type="http://schemas.openxmlformats.org/officeDocument/2006/relationships/hyperlink" Target="http://www.nevo.co.il/case/20395125" TargetMode="External"/><Relationship Id="rId28" Type="http://schemas.openxmlformats.org/officeDocument/2006/relationships/hyperlink" Target="http://www.nevo.co.il/case/5569378" TargetMode="External"/><Relationship Id="rId36" Type="http://schemas.openxmlformats.org/officeDocument/2006/relationships/footer" Target="footer1.xml"/><Relationship Id="rId10" Type="http://schemas.openxmlformats.org/officeDocument/2006/relationships/hyperlink" Target="http://www.nevo.co.il/law/70301/287.a"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6426140" TargetMode="External"/><Relationship Id="rId4" Type="http://schemas.openxmlformats.org/officeDocument/2006/relationships/footnotes" Target="footnotes.xml"/><Relationship Id="rId9" Type="http://schemas.openxmlformats.org/officeDocument/2006/relationships/hyperlink" Target="http://www.nevo.co.il/law/70301/144.b"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21472954" TargetMode="External"/><Relationship Id="rId27" Type="http://schemas.openxmlformats.org/officeDocument/2006/relationships/hyperlink" Target="http://www.nevo.co.il/case/16987351" TargetMode="External"/><Relationship Id="rId30" Type="http://schemas.openxmlformats.org/officeDocument/2006/relationships/hyperlink" Target="http://www.nevo.co.il/case/5172599" TargetMode="External"/><Relationship Id="rId35" Type="http://schemas.openxmlformats.org/officeDocument/2006/relationships/header" Target="header2.xml"/><Relationship Id="rId8" Type="http://schemas.openxmlformats.org/officeDocument/2006/relationships/hyperlink" Target="http://www.nevo.co.il/law/70301/40i" TargetMode="Externa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2182</Words>
  <Characters>10911</Characters>
  <Application>Microsoft Office Word</Application>
  <DocSecurity>0</DocSecurity>
  <Lines>90</Lines>
  <Paragraphs>26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13067</CharactersWithSpaces>
  <SharedDoc>false</SharedDoc>
  <HLinks>
    <vt:vector size="168" baseType="variant">
      <vt:variant>
        <vt:i4>393283</vt:i4>
      </vt:variant>
      <vt:variant>
        <vt:i4>81</vt:i4>
      </vt:variant>
      <vt:variant>
        <vt:i4>0</vt:i4>
      </vt:variant>
      <vt:variant>
        <vt:i4>5</vt:i4>
      </vt:variant>
      <vt:variant>
        <vt:lpwstr>http://www.nevo.co.il/advertisements/nevo-100.doc</vt:lpwstr>
      </vt:variant>
      <vt:variant>
        <vt:lpwstr/>
      </vt:variant>
      <vt:variant>
        <vt:i4>4128885</vt:i4>
      </vt:variant>
      <vt:variant>
        <vt:i4>78</vt:i4>
      </vt:variant>
      <vt:variant>
        <vt:i4>0</vt:i4>
      </vt:variant>
      <vt:variant>
        <vt:i4>5</vt:i4>
      </vt:variant>
      <vt:variant>
        <vt:lpwstr>http://www.nevo.co.il/case/21823260</vt:lpwstr>
      </vt:variant>
      <vt:variant>
        <vt:lpwstr/>
      </vt:variant>
      <vt:variant>
        <vt:i4>3473522</vt:i4>
      </vt:variant>
      <vt:variant>
        <vt:i4>75</vt:i4>
      </vt:variant>
      <vt:variant>
        <vt:i4>0</vt:i4>
      </vt:variant>
      <vt:variant>
        <vt:i4>5</vt:i4>
      </vt:variant>
      <vt:variant>
        <vt:lpwstr>http://www.nevo.co.il/case/6426140</vt:lpwstr>
      </vt:variant>
      <vt:variant>
        <vt:lpwstr/>
      </vt:variant>
      <vt:variant>
        <vt:i4>4063358</vt:i4>
      </vt:variant>
      <vt:variant>
        <vt:i4>72</vt:i4>
      </vt:variant>
      <vt:variant>
        <vt:i4>0</vt:i4>
      </vt:variant>
      <vt:variant>
        <vt:i4>5</vt:i4>
      </vt:variant>
      <vt:variant>
        <vt:lpwstr>http://www.nevo.co.il/case/5172599</vt:lpwstr>
      </vt:variant>
      <vt:variant>
        <vt:lpwstr/>
      </vt:variant>
      <vt:variant>
        <vt:i4>3473521</vt:i4>
      </vt:variant>
      <vt:variant>
        <vt:i4>69</vt:i4>
      </vt:variant>
      <vt:variant>
        <vt:i4>0</vt:i4>
      </vt:variant>
      <vt:variant>
        <vt:i4>5</vt:i4>
      </vt:variant>
      <vt:variant>
        <vt:lpwstr>http://www.nevo.co.il/case/7948442</vt:lpwstr>
      </vt:variant>
      <vt:variant>
        <vt:lpwstr/>
      </vt:variant>
      <vt:variant>
        <vt:i4>3670143</vt:i4>
      </vt:variant>
      <vt:variant>
        <vt:i4>66</vt:i4>
      </vt:variant>
      <vt:variant>
        <vt:i4>0</vt:i4>
      </vt:variant>
      <vt:variant>
        <vt:i4>5</vt:i4>
      </vt:variant>
      <vt:variant>
        <vt:lpwstr>http://www.nevo.co.il/case/5569378</vt:lpwstr>
      </vt:variant>
      <vt:variant>
        <vt:lpwstr/>
      </vt:variant>
      <vt:variant>
        <vt:i4>3801209</vt:i4>
      </vt:variant>
      <vt:variant>
        <vt:i4>63</vt:i4>
      </vt:variant>
      <vt:variant>
        <vt:i4>0</vt:i4>
      </vt:variant>
      <vt:variant>
        <vt:i4>5</vt:i4>
      </vt:variant>
      <vt:variant>
        <vt:lpwstr>http://www.nevo.co.il/case/16987351</vt:lpwstr>
      </vt:variant>
      <vt:variant>
        <vt:lpwstr/>
      </vt:variant>
      <vt:variant>
        <vt:i4>3539059</vt:i4>
      </vt:variant>
      <vt:variant>
        <vt:i4>60</vt:i4>
      </vt:variant>
      <vt:variant>
        <vt:i4>0</vt:i4>
      </vt:variant>
      <vt:variant>
        <vt:i4>5</vt:i4>
      </vt:variant>
      <vt:variant>
        <vt:lpwstr>http://www.nevo.co.il/case/5594268</vt:lpwstr>
      </vt:variant>
      <vt:variant>
        <vt:lpwstr/>
      </vt:variant>
      <vt:variant>
        <vt:i4>3997809</vt:i4>
      </vt:variant>
      <vt:variant>
        <vt:i4>57</vt:i4>
      </vt:variant>
      <vt:variant>
        <vt:i4>0</vt:i4>
      </vt:variant>
      <vt:variant>
        <vt:i4>5</vt:i4>
      </vt:variant>
      <vt:variant>
        <vt:lpwstr>http://www.nevo.co.il/case/7697241</vt:lpwstr>
      </vt:variant>
      <vt:variant>
        <vt:lpwstr/>
      </vt:variant>
      <vt:variant>
        <vt:i4>3211380</vt:i4>
      </vt:variant>
      <vt:variant>
        <vt:i4>54</vt:i4>
      </vt:variant>
      <vt:variant>
        <vt:i4>0</vt:i4>
      </vt:variant>
      <vt:variant>
        <vt:i4>5</vt:i4>
      </vt:variant>
      <vt:variant>
        <vt:lpwstr>http://www.nevo.co.il/case/5792459</vt:lpwstr>
      </vt:variant>
      <vt:variant>
        <vt:lpwstr/>
      </vt:variant>
      <vt:variant>
        <vt:i4>3539068</vt:i4>
      </vt:variant>
      <vt:variant>
        <vt:i4>51</vt:i4>
      </vt:variant>
      <vt:variant>
        <vt:i4>0</vt:i4>
      </vt:variant>
      <vt:variant>
        <vt:i4>5</vt:i4>
      </vt:variant>
      <vt:variant>
        <vt:lpwstr>http://www.nevo.co.il/case/20395125</vt:lpwstr>
      </vt:variant>
      <vt:variant>
        <vt:lpwstr/>
      </vt:variant>
      <vt:variant>
        <vt:i4>3211387</vt:i4>
      </vt:variant>
      <vt:variant>
        <vt:i4>48</vt:i4>
      </vt:variant>
      <vt:variant>
        <vt:i4>0</vt:i4>
      </vt:variant>
      <vt:variant>
        <vt:i4>5</vt:i4>
      </vt:variant>
      <vt:variant>
        <vt:lpwstr>http://www.nevo.co.il/case/21472954</vt:lpwstr>
      </vt:variant>
      <vt:variant>
        <vt:lpwstr/>
      </vt:variant>
      <vt:variant>
        <vt:i4>3407987</vt:i4>
      </vt:variant>
      <vt:variant>
        <vt:i4>45</vt:i4>
      </vt:variant>
      <vt:variant>
        <vt:i4>0</vt:i4>
      </vt:variant>
      <vt:variant>
        <vt:i4>5</vt:i4>
      </vt:variant>
      <vt:variant>
        <vt:lpwstr>http://www.nevo.co.il/case/21474168</vt:lpwstr>
      </vt:variant>
      <vt:variant>
        <vt:lpwstr/>
      </vt:variant>
      <vt:variant>
        <vt:i4>3473521</vt:i4>
      </vt:variant>
      <vt:variant>
        <vt:i4>42</vt:i4>
      </vt:variant>
      <vt:variant>
        <vt:i4>0</vt:i4>
      </vt:variant>
      <vt:variant>
        <vt:i4>5</vt:i4>
      </vt:variant>
      <vt:variant>
        <vt:lpwstr>http://www.nevo.co.il/case/20033641</vt:lpwstr>
      </vt:variant>
      <vt:variant>
        <vt:lpwstr/>
      </vt:variant>
      <vt:variant>
        <vt:i4>7995492</vt:i4>
      </vt:variant>
      <vt:variant>
        <vt:i4>39</vt:i4>
      </vt:variant>
      <vt:variant>
        <vt:i4>0</vt:i4>
      </vt:variant>
      <vt:variant>
        <vt:i4>5</vt:i4>
      </vt:variant>
      <vt:variant>
        <vt:lpwstr>http://www.nevo.co.il/law/70301</vt:lpwstr>
      </vt:variant>
      <vt:variant>
        <vt:lpwstr/>
      </vt:variant>
      <vt:variant>
        <vt:i4>6619233</vt:i4>
      </vt:variant>
      <vt:variant>
        <vt:i4>36</vt:i4>
      </vt:variant>
      <vt:variant>
        <vt:i4>0</vt:i4>
      </vt:variant>
      <vt:variant>
        <vt:i4>5</vt:i4>
      </vt:variant>
      <vt:variant>
        <vt:lpwstr>http://www.nevo.co.il/law/70301/40i</vt:lpwstr>
      </vt:variant>
      <vt:variant>
        <vt:lpwstr/>
      </vt:variant>
      <vt:variant>
        <vt:i4>4063349</vt:i4>
      </vt:variant>
      <vt:variant>
        <vt:i4>33</vt:i4>
      </vt:variant>
      <vt:variant>
        <vt:i4>0</vt:i4>
      </vt:variant>
      <vt:variant>
        <vt:i4>5</vt:i4>
      </vt:variant>
      <vt:variant>
        <vt:lpwstr>http://www.nevo.co.il/case/21823278</vt:lpwstr>
      </vt:variant>
      <vt:variant>
        <vt:lpwstr/>
      </vt:variant>
      <vt:variant>
        <vt:i4>4390992</vt:i4>
      </vt:variant>
      <vt:variant>
        <vt:i4>30</vt:i4>
      </vt:variant>
      <vt:variant>
        <vt:i4>0</vt:i4>
      </vt:variant>
      <vt:variant>
        <vt:i4>5</vt:i4>
      </vt:variant>
      <vt:variant>
        <vt:lpwstr>http://www.nevo.co.il/law/70301/287.a</vt:lpwstr>
      </vt:variant>
      <vt:variant>
        <vt:lpwstr/>
      </vt:variant>
      <vt:variant>
        <vt:i4>524354</vt:i4>
      </vt:variant>
      <vt:variant>
        <vt:i4>27</vt:i4>
      </vt:variant>
      <vt:variant>
        <vt:i4>0</vt:i4>
      </vt:variant>
      <vt:variant>
        <vt:i4>5</vt:i4>
      </vt:variant>
      <vt:variant>
        <vt:lpwstr>http://www.nevo.co.il/law/70301/29;402.b</vt:lpwstr>
      </vt:variant>
      <vt:variant>
        <vt:lpwstr/>
      </vt:variant>
      <vt:variant>
        <vt:i4>7995492</vt:i4>
      </vt:variant>
      <vt:variant>
        <vt:i4>24</vt:i4>
      </vt:variant>
      <vt:variant>
        <vt:i4>0</vt:i4>
      </vt:variant>
      <vt:variant>
        <vt:i4>5</vt:i4>
      </vt:variant>
      <vt:variant>
        <vt:lpwstr>http://www.nevo.co.il/law/70301</vt:lpwstr>
      </vt:variant>
      <vt:variant>
        <vt:lpwstr/>
      </vt:variant>
      <vt:variant>
        <vt:i4>7077991</vt:i4>
      </vt:variant>
      <vt:variant>
        <vt:i4>21</vt:i4>
      </vt:variant>
      <vt:variant>
        <vt:i4>0</vt:i4>
      </vt:variant>
      <vt:variant>
        <vt:i4>5</vt:i4>
      </vt:variant>
      <vt:variant>
        <vt:lpwstr>http://www.nevo.co.il/law/70301/29</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4915283</vt:i4>
      </vt:variant>
      <vt:variant>
        <vt:i4>15</vt:i4>
      </vt:variant>
      <vt:variant>
        <vt:i4>0</vt:i4>
      </vt:variant>
      <vt:variant>
        <vt:i4>5</vt:i4>
      </vt:variant>
      <vt:variant>
        <vt:lpwstr>http://www.nevo.co.il/law/70301/402.b</vt:lpwstr>
      </vt:variant>
      <vt:variant>
        <vt:lpwstr/>
      </vt:variant>
      <vt:variant>
        <vt:i4>4390992</vt:i4>
      </vt:variant>
      <vt:variant>
        <vt:i4>12</vt:i4>
      </vt:variant>
      <vt:variant>
        <vt:i4>0</vt:i4>
      </vt:variant>
      <vt:variant>
        <vt:i4>5</vt:i4>
      </vt:variant>
      <vt:variant>
        <vt:lpwstr>http://www.nevo.co.il/law/70301/287.a</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6619233</vt:i4>
      </vt:variant>
      <vt:variant>
        <vt:i4>6</vt:i4>
      </vt:variant>
      <vt:variant>
        <vt:i4>0</vt:i4>
      </vt:variant>
      <vt:variant>
        <vt:i4>5</vt:i4>
      </vt:variant>
      <vt:variant>
        <vt:lpwstr>http://www.nevo.co.il/law/70301/40i</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2025-01-19T16:16:00Z</dcterms:created>
  <dcterms:modified xsi:type="dcterms:W3CDTF">2025-01-19T16:16:00Z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45747</vt:lpwstr>
  </property>
  <property fmtid="{D5CDD505-2E9C-101B-9397-08002B2CF9AE}" pid="6" name="NEWPARTB">
    <vt:lpwstr>05</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אמיר סרחאן</vt:lpwstr>
  </property>
  <property fmtid="{D5CDD505-2E9C-101B-9397-08002B2CF9AE}" pid="10" name="LAWYER">
    <vt:lpwstr>שגב אדלר;מיכאל כרמל</vt:lpwstr>
  </property>
  <property fmtid="{D5CDD505-2E9C-101B-9397-08002B2CF9AE}" pid="11" name="JUDGE">
    <vt:lpwstr>אמיר טובי</vt:lpwstr>
  </property>
  <property fmtid="{D5CDD505-2E9C-101B-9397-08002B2CF9AE}" pid="12" name="CITY">
    <vt:lpwstr>חי'</vt:lpwstr>
  </property>
  <property fmtid="{D5CDD505-2E9C-101B-9397-08002B2CF9AE}" pid="13" name="DATE">
    <vt:lpwstr>20180129</vt:lpwstr>
  </property>
  <property fmtid="{D5CDD505-2E9C-101B-9397-08002B2CF9AE}" pid="14" name="TYPE_N_DATE">
    <vt:lpwstr>39020180129</vt:lpwstr>
  </property>
  <property fmtid="{D5CDD505-2E9C-101B-9397-08002B2CF9AE}" pid="15" name="WORDNUMPAGES">
    <vt:lpwstr>8</vt:lpwstr>
  </property>
  <property fmtid="{D5CDD505-2E9C-101B-9397-08002B2CF9AE}" pid="16" name="TYPE_ABS_DATE">
    <vt:lpwstr>390020180129</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21823278;20033641;21474168;21472954;20395125;5792459;7697241;5594268;16987351;5569378;7948442;5172599;6426140;21823260</vt:lpwstr>
  </property>
  <property fmtid="{D5CDD505-2E9C-101B-9397-08002B2CF9AE}" pid="36" name="LAWLISTTMP1">
    <vt:lpwstr>70301/144.b;029:2;402.b;287.a;040i</vt:lpwstr>
  </property>
</Properties>
</file>