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E7F3C" w:rsidRPr="00DA2A8F" w14:paraId="0F8A0022" w14:textId="77777777" w:rsidTr="00DA2A8F">
        <w:trPr>
          <w:trHeight w:hRule="exact" w:val="418"/>
          <w:jc w:val="center"/>
        </w:trPr>
        <w:tc>
          <w:tcPr>
            <w:tcW w:w="8721" w:type="dxa"/>
            <w:gridSpan w:val="2"/>
          </w:tcPr>
          <w:p w14:paraId="13FDED6C" w14:textId="77777777" w:rsidR="009E7F3C" w:rsidRPr="00DA2A8F" w:rsidRDefault="009E7F3C" w:rsidP="002E7E6C">
            <w:pPr>
              <w:pStyle w:val="a3"/>
              <w:jc w:val="center"/>
              <w:rPr>
                <w:rFonts w:ascii="Tahoma" w:hAnsi="Tahoma"/>
                <w:color w:val="000080"/>
                <w:rtl/>
              </w:rPr>
            </w:pPr>
            <w:bookmarkStart w:id="0" w:name="LastJudge"/>
            <w:r w:rsidRPr="00DA2A8F">
              <w:rPr>
                <w:rFonts w:ascii="Tahoma" w:hAnsi="Tahoma"/>
                <w:b/>
                <w:bCs/>
                <w:color w:val="000080"/>
                <w:rtl/>
              </w:rPr>
              <w:t>בית המשפט המחוזי מרכז-לוד</w:t>
            </w:r>
          </w:p>
        </w:tc>
      </w:tr>
      <w:tr w:rsidR="009E7F3C" w:rsidRPr="00DA2A8F" w14:paraId="3D12AB0E" w14:textId="77777777" w:rsidTr="00DA2A8F">
        <w:trPr>
          <w:trHeight w:val="337"/>
          <w:jc w:val="center"/>
        </w:trPr>
        <w:tc>
          <w:tcPr>
            <w:tcW w:w="5058" w:type="dxa"/>
          </w:tcPr>
          <w:p w14:paraId="3C33DF29" w14:textId="77777777" w:rsidR="009E7F3C" w:rsidRPr="00DA2A8F" w:rsidRDefault="009E7F3C" w:rsidP="002E7E6C">
            <w:pPr>
              <w:rPr>
                <w:sz w:val="28"/>
                <w:szCs w:val="28"/>
                <w:rtl/>
              </w:rPr>
            </w:pPr>
            <w:r w:rsidRPr="00DA2A8F">
              <w:rPr>
                <w:sz w:val="28"/>
                <w:szCs w:val="28"/>
                <w:rtl/>
              </w:rPr>
              <w:t>ת"פ</w:t>
            </w:r>
            <w:r w:rsidRPr="00DA2A8F">
              <w:rPr>
                <w:rFonts w:hint="cs"/>
                <w:sz w:val="28"/>
                <w:szCs w:val="28"/>
                <w:rtl/>
              </w:rPr>
              <w:t xml:space="preserve"> </w:t>
            </w:r>
            <w:r w:rsidRPr="00DA2A8F">
              <w:rPr>
                <w:sz w:val="28"/>
                <w:szCs w:val="28"/>
                <w:rtl/>
              </w:rPr>
              <w:t>45761-05-17</w:t>
            </w:r>
            <w:r w:rsidRPr="00DA2A8F">
              <w:rPr>
                <w:rFonts w:hint="cs"/>
                <w:sz w:val="28"/>
                <w:szCs w:val="28"/>
                <w:rtl/>
              </w:rPr>
              <w:t xml:space="preserve"> </w:t>
            </w:r>
            <w:r w:rsidRPr="00DA2A8F">
              <w:rPr>
                <w:sz w:val="28"/>
                <w:szCs w:val="28"/>
                <w:rtl/>
              </w:rPr>
              <w:t>מדינת ישראל נ' דסוקי(עציר) ואח'</w:t>
            </w:r>
          </w:p>
          <w:p w14:paraId="2D04F453" w14:textId="77777777" w:rsidR="009E7F3C" w:rsidRPr="00DA2A8F" w:rsidRDefault="009E7F3C" w:rsidP="002E7E6C">
            <w:pPr>
              <w:pStyle w:val="a3"/>
              <w:rPr>
                <w:sz w:val="28"/>
                <w:szCs w:val="28"/>
                <w:rtl/>
              </w:rPr>
            </w:pPr>
          </w:p>
        </w:tc>
        <w:tc>
          <w:tcPr>
            <w:tcW w:w="3663" w:type="dxa"/>
          </w:tcPr>
          <w:p w14:paraId="321DD21F" w14:textId="77777777" w:rsidR="009E7F3C" w:rsidRPr="00DA2A8F" w:rsidRDefault="009E7F3C" w:rsidP="002E7E6C">
            <w:pPr>
              <w:pStyle w:val="a3"/>
              <w:jc w:val="right"/>
              <w:rPr>
                <w:sz w:val="28"/>
                <w:szCs w:val="28"/>
                <w:rtl/>
              </w:rPr>
            </w:pPr>
          </w:p>
        </w:tc>
      </w:tr>
    </w:tbl>
    <w:p w14:paraId="10390FFB" w14:textId="77777777" w:rsidR="009E7F3C" w:rsidRPr="00DA2A8F" w:rsidRDefault="009E7F3C" w:rsidP="009E7F3C">
      <w:pPr>
        <w:pStyle w:val="a3"/>
        <w:rPr>
          <w:rtl/>
        </w:rPr>
      </w:pPr>
      <w:r w:rsidRPr="00DA2A8F">
        <w:rPr>
          <w:rFonts w:hint="cs"/>
          <w:rtl/>
        </w:rPr>
        <w:t xml:space="preserve"> </w:t>
      </w:r>
    </w:p>
    <w:p w14:paraId="7826C621" w14:textId="77777777" w:rsidR="009E7F3C" w:rsidRPr="00DA2A8F" w:rsidRDefault="009E7F3C" w:rsidP="009E7F3C">
      <w:pPr>
        <w:rPr>
          <w:rtl/>
        </w:rPr>
      </w:pPr>
    </w:p>
    <w:p w14:paraId="028BD7CD" w14:textId="77777777" w:rsidR="009E7F3C" w:rsidRPr="00DA2A8F" w:rsidRDefault="009E7F3C" w:rsidP="009E7F3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E7F3C" w:rsidRPr="00DA2A8F" w14:paraId="5C210CA6" w14:textId="77777777" w:rsidTr="009E7F3C">
        <w:trPr>
          <w:trHeight w:val="295"/>
          <w:jc w:val="center"/>
        </w:trPr>
        <w:tc>
          <w:tcPr>
            <w:tcW w:w="923" w:type="dxa"/>
            <w:tcBorders>
              <w:top w:val="nil"/>
              <w:left w:val="nil"/>
              <w:bottom w:val="nil"/>
              <w:right w:val="nil"/>
            </w:tcBorders>
            <w:shd w:val="clear" w:color="auto" w:fill="auto"/>
          </w:tcPr>
          <w:p w14:paraId="49E29808" w14:textId="77777777" w:rsidR="009E7F3C" w:rsidRPr="00DA2A8F" w:rsidRDefault="009E7F3C" w:rsidP="009E7F3C">
            <w:pPr>
              <w:jc w:val="both"/>
              <w:rPr>
                <w:rFonts w:ascii="Arial" w:hAnsi="Arial"/>
                <w:sz w:val="28"/>
                <w:szCs w:val="28"/>
              </w:rPr>
            </w:pPr>
            <w:r w:rsidRPr="00DA2A8F">
              <w:rPr>
                <w:rFonts w:ascii="Arial" w:hAnsi="Arial" w:hint="cs"/>
                <w:sz w:val="28"/>
                <w:szCs w:val="28"/>
                <w:rtl/>
              </w:rPr>
              <w:t>ב</w:t>
            </w:r>
            <w:r w:rsidRPr="00DA2A8F">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14EF4C78" w14:textId="77777777" w:rsidR="009E7F3C" w:rsidRPr="00DA2A8F" w:rsidRDefault="009E7F3C" w:rsidP="002E7E6C">
            <w:pPr>
              <w:rPr>
                <w:rFonts w:ascii="Arial" w:hAnsi="Arial"/>
                <w:b/>
                <w:bCs/>
                <w:rtl/>
              </w:rPr>
            </w:pPr>
            <w:r w:rsidRPr="00DA2A8F">
              <w:rPr>
                <w:rFonts w:ascii="Arial" w:hAnsi="Arial" w:hint="cs"/>
                <w:b/>
                <w:bCs/>
                <w:rtl/>
              </w:rPr>
              <w:t>כבוד ה</w:t>
            </w:r>
            <w:r w:rsidRPr="00DA2A8F">
              <w:rPr>
                <w:rFonts w:ascii="Arial" w:hAnsi="Arial"/>
                <w:b/>
                <w:bCs/>
                <w:rtl/>
              </w:rPr>
              <w:t>שופטת</w:t>
            </w:r>
            <w:r w:rsidRPr="00DA2A8F">
              <w:rPr>
                <w:rFonts w:ascii="Arial" w:hAnsi="Arial" w:hint="cs"/>
                <w:b/>
                <w:bCs/>
                <w:rtl/>
              </w:rPr>
              <w:t xml:space="preserve">  </w:t>
            </w:r>
            <w:r w:rsidRPr="00DA2A8F">
              <w:rPr>
                <w:rFonts w:ascii="Arial" w:hAnsi="Arial"/>
                <w:b/>
                <w:bCs/>
                <w:rtl/>
              </w:rPr>
              <w:t>דנה מרשק מרום</w:t>
            </w:r>
          </w:p>
          <w:p w14:paraId="3B554EBE" w14:textId="77777777" w:rsidR="009E7F3C" w:rsidRPr="00DA2A8F" w:rsidRDefault="009E7F3C" w:rsidP="002E7E6C">
            <w:pPr>
              <w:rPr>
                <w:rtl/>
              </w:rPr>
            </w:pPr>
          </w:p>
          <w:p w14:paraId="52BA9CE0" w14:textId="77777777" w:rsidR="009E7F3C" w:rsidRPr="00DA2A8F" w:rsidRDefault="009E7F3C" w:rsidP="009E7F3C">
            <w:pPr>
              <w:jc w:val="both"/>
              <w:rPr>
                <w:rFonts w:ascii="Arial" w:hAnsi="Arial"/>
                <w:sz w:val="28"/>
                <w:szCs w:val="28"/>
              </w:rPr>
            </w:pPr>
          </w:p>
        </w:tc>
      </w:tr>
      <w:tr w:rsidR="009E7F3C" w:rsidRPr="00DA2A8F" w14:paraId="2B78C493" w14:textId="77777777" w:rsidTr="009E7F3C">
        <w:trPr>
          <w:trHeight w:val="355"/>
          <w:jc w:val="center"/>
        </w:trPr>
        <w:tc>
          <w:tcPr>
            <w:tcW w:w="923" w:type="dxa"/>
            <w:tcBorders>
              <w:top w:val="nil"/>
              <w:left w:val="nil"/>
              <w:bottom w:val="nil"/>
              <w:right w:val="nil"/>
            </w:tcBorders>
            <w:shd w:val="clear" w:color="auto" w:fill="auto"/>
          </w:tcPr>
          <w:p w14:paraId="7AEF1CE2" w14:textId="77777777" w:rsidR="009E7F3C" w:rsidRPr="00DA2A8F" w:rsidRDefault="009E7F3C" w:rsidP="009E7F3C">
            <w:pPr>
              <w:jc w:val="both"/>
              <w:rPr>
                <w:rFonts w:ascii="Arial" w:hAnsi="Arial"/>
                <w:sz w:val="28"/>
                <w:szCs w:val="28"/>
              </w:rPr>
            </w:pPr>
            <w:bookmarkStart w:id="1" w:name="FirstAppellant"/>
            <w:bookmarkStart w:id="2" w:name="FirstLawyer"/>
            <w:r w:rsidRPr="00DA2A8F">
              <w:rPr>
                <w:rFonts w:ascii="Arial" w:hAnsi="Arial" w:hint="cs"/>
                <w:sz w:val="28"/>
                <w:szCs w:val="28"/>
                <w:rtl/>
              </w:rPr>
              <w:t>בעניין:</w:t>
            </w:r>
          </w:p>
        </w:tc>
        <w:tc>
          <w:tcPr>
            <w:tcW w:w="4126" w:type="dxa"/>
            <w:tcBorders>
              <w:top w:val="nil"/>
              <w:left w:val="nil"/>
              <w:bottom w:val="nil"/>
              <w:right w:val="nil"/>
            </w:tcBorders>
            <w:shd w:val="clear" w:color="auto" w:fill="auto"/>
          </w:tcPr>
          <w:p w14:paraId="42340F79" w14:textId="77777777" w:rsidR="009E7F3C" w:rsidRPr="00DA2A8F" w:rsidRDefault="009E7F3C" w:rsidP="002E7E6C">
            <w:r w:rsidRPr="00DA2A8F">
              <w:rPr>
                <w:rFonts w:ascii="Arial" w:hAnsi="Arial"/>
                <w:sz w:val="28"/>
                <w:szCs w:val="28"/>
                <w:rtl/>
              </w:rPr>
              <w:t>מדינת ישראל</w:t>
            </w:r>
            <w:r w:rsidRPr="00DA2A8F">
              <w:rPr>
                <w:rtl/>
              </w:rPr>
              <w:t xml:space="preserve"> – באמצעות </w:t>
            </w:r>
            <w:r w:rsidRPr="00DA2A8F">
              <w:rPr>
                <w:rFonts w:hint="cs"/>
                <w:rtl/>
              </w:rPr>
              <w:t>פמ"מ וע"י עו"ד עינת לב ארי</w:t>
            </w:r>
          </w:p>
        </w:tc>
        <w:tc>
          <w:tcPr>
            <w:tcW w:w="3771" w:type="dxa"/>
            <w:tcBorders>
              <w:top w:val="nil"/>
              <w:left w:val="nil"/>
              <w:bottom w:val="nil"/>
              <w:right w:val="nil"/>
            </w:tcBorders>
            <w:shd w:val="clear" w:color="auto" w:fill="auto"/>
          </w:tcPr>
          <w:p w14:paraId="62427B15" w14:textId="77777777" w:rsidR="009E7F3C" w:rsidRPr="00DA2A8F" w:rsidRDefault="009E7F3C" w:rsidP="009E7F3C">
            <w:pPr>
              <w:jc w:val="both"/>
              <w:rPr>
                <w:rFonts w:ascii="Arial" w:hAnsi="Arial"/>
                <w:sz w:val="28"/>
                <w:szCs w:val="28"/>
              </w:rPr>
            </w:pPr>
          </w:p>
        </w:tc>
      </w:tr>
      <w:bookmarkEnd w:id="1"/>
      <w:bookmarkEnd w:id="2"/>
      <w:tr w:rsidR="009E7F3C" w:rsidRPr="00DA2A8F" w14:paraId="1A653486" w14:textId="77777777" w:rsidTr="009E7F3C">
        <w:trPr>
          <w:trHeight w:val="355"/>
          <w:jc w:val="center"/>
        </w:trPr>
        <w:tc>
          <w:tcPr>
            <w:tcW w:w="923" w:type="dxa"/>
            <w:tcBorders>
              <w:top w:val="nil"/>
              <w:left w:val="nil"/>
              <w:bottom w:val="nil"/>
              <w:right w:val="nil"/>
            </w:tcBorders>
            <w:shd w:val="clear" w:color="auto" w:fill="auto"/>
          </w:tcPr>
          <w:p w14:paraId="5319FD1D" w14:textId="77777777" w:rsidR="009E7F3C" w:rsidRPr="00DA2A8F" w:rsidRDefault="009E7F3C" w:rsidP="009E7F3C">
            <w:pPr>
              <w:jc w:val="both"/>
              <w:rPr>
                <w:rFonts w:ascii="Arial" w:hAnsi="Arial"/>
                <w:sz w:val="28"/>
                <w:szCs w:val="28"/>
                <w:rtl/>
              </w:rPr>
            </w:pPr>
          </w:p>
        </w:tc>
        <w:tc>
          <w:tcPr>
            <w:tcW w:w="4126" w:type="dxa"/>
            <w:tcBorders>
              <w:top w:val="nil"/>
              <w:left w:val="nil"/>
              <w:bottom w:val="nil"/>
              <w:right w:val="nil"/>
            </w:tcBorders>
            <w:shd w:val="clear" w:color="auto" w:fill="auto"/>
          </w:tcPr>
          <w:p w14:paraId="271026D7" w14:textId="77777777" w:rsidR="009E7F3C" w:rsidRPr="00DA2A8F" w:rsidRDefault="009E7F3C" w:rsidP="009E7F3C">
            <w:pPr>
              <w:jc w:val="both"/>
              <w:rPr>
                <w:rtl/>
              </w:rPr>
            </w:pPr>
          </w:p>
        </w:tc>
        <w:tc>
          <w:tcPr>
            <w:tcW w:w="3771" w:type="dxa"/>
            <w:tcBorders>
              <w:top w:val="nil"/>
              <w:left w:val="nil"/>
              <w:bottom w:val="nil"/>
              <w:right w:val="nil"/>
            </w:tcBorders>
            <w:shd w:val="clear" w:color="auto" w:fill="auto"/>
          </w:tcPr>
          <w:p w14:paraId="31AECFC3" w14:textId="77777777" w:rsidR="009E7F3C" w:rsidRPr="00DA2A8F" w:rsidRDefault="009E7F3C" w:rsidP="009E7F3C">
            <w:pPr>
              <w:jc w:val="right"/>
              <w:rPr>
                <w:rFonts w:ascii="Arial" w:hAnsi="Arial"/>
                <w:sz w:val="28"/>
                <w:szCs w:val="28"/>
                <w:rtl/>
              </w:rPr>
            </w:pPr>
            <w:r w:rsidRPr="00DA2A8F">
              <w:rPr>
                <w:rFonts w:ascii="Arial" w:hAnsi="Arial" w:hint="cs"/>
                <w:sz w:val="28"/>
                <w:szCs w:val="28"/>
                <w:rtl/>
              </w:rPr>
              <w:t>ה</w:t>
            </w:r>
            <w:r w:rsidRPr="00DA2A8F">
              <w:rPr>
                <w:rFonts w:ascii="Arial" w:hAnsi="Arial"/>
                <w:sz w:val="28"/>
                <w:szCs w:val="28"/>
                <w:rtl/>
              </w:rPr>
              <w:t>מאשימה</w:t>
            </w:r>
          </w:p>
        </w:tc>
      </w:tr>
      <w:tr w:rsidR="009E7F3C" w:rsidRPr="00DA2A8F" w14:paraId="73136583" w14:textId="77777777" w:rsidTr="009E7F3C">
        <w:trPr>
          <w:trHeight w:val="355"/>
          <w:jc w:val="center"/>
        </w:trPr>
        <w:tc>
          <w:tcPr>
            <w:tcW w:w="923" w:type="dxa"/>
            <w:tcBorders>
              <w:top w:val="nil"/>
              <w:left w:val="nil"/>
              <w:bottom w:val="nil"/>
              <w:right w:val="nil"/>
            </w:tcBorders>
            <w:shd w:val="clear" w:color="auto" w:fill="auto"/>
          </w:tcPr>
          <w:p w14:paraId="379CB380" w14:textId="77777777" w:rsidR="009E7F3C" w:rsidRPr="00DA2A8F" w:rsidRDefault="009E7F3C" w:rsidP="009E7F3C">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119EFF88" w14:textId="77777777" w:rsidR="009E7F3C" w:rsidRPr="00DA2A8F" w:rsidRDefault="009E7F3C" w:rsidP="009E7F3C">
            <w:pPr>
              <w:jc w:val="center"/>
              <w:rPr>
                <w:rFonts w:ascii="Arial" w:hAnsi="Arial"/>
                <w:b/>
                <w:bCs/>
                <w:sz w:val="28"/>
                <w:szCs w:val="28"/>
                <w:rtl/>
              </w:rPr>
            </w:pPr>
          </w:p>
          <w:p w14:paraId="1BBDC991" w14:textId="77777777" w:rsidR="009E7F3C" w:rsidRPr="00DA2A8F" w:rsidRDefault="009E7F3C" w:rsidP="009E7F3C">
            <w:pPr>
              <w:jc w:val="center"/>
              <w:rPr>
                <w:rFonts w:ascii="Arial" w:hAnsi="Arial"/>
                <w:b/>
                <w:bCs/>
                <w:sz w:val="28"/>
                <w:szCs w:val="28"/>
                <w:rtl/>
              </w:rPr>
            </w:pPr>
            <w:r w:rsidRPr="00DA2A8F">
              <w:rPr>
                <w:rFonts w:ascii="Arial" w:hAnsi="Arial"/>
                <w:b/>
                <w:bCs/>
                <w:sz w:val="28"/>
                <w:szCs w:val="28"/>
                <w:rtl/>
              </w:rPr>
              <w:t>נגד</w:t>
            </w:r>
          </w:p>
          <w:p w14:paraId="5AEA8C40" w14:textId="77777777" w:rsidR="009E7F3C" w:rsidRPr="00DA2A8F" w:rsidRDefault="009E7F3C" w:rsidP="009E7F3C">
            <w:pPr>
              <w:jc w:val="both"/>
              <w:rPr>
                <w:rFonts w:ascii="Arial" w:hAnsi="Arial"/>
                <w:sz w:val="28"/>
                <w:szCs w:val="28"/>
              </w:rPr>
            </w:pPr>
          </w:p>
        </w:tc>
      </w:tr>
      <w:tr w:rsidR="009E7F3C" w:rsidRPr="00DA2A8F" w14:paraId="7AEAD726" w14:textId="77777777" w:rsidTr="009E7F3C">
        <w:trPr>
          <w:trHeight w:val="355"/>
          <w:jc w:val="center"/>
        </w:trPr>
        <w:tc>
          <w:tcPr>
            <w:tcW w:w="923" w:type="dxa"/>
            <w:tcBorders>
              <w:top w:val="nil"/>
              <w:left w:val="nil"/>
              <w:bottom w:val="nil"/>
              <w:right w:val="nil"/>
            </w:tcBorders>
            <w:shd w:val="clear" w:color="auto" w:fill="auto"/>
          </w:tcPr>
          <w:p w14:paraId="4A2A52DE" w14:textId="77777777" w:rsidR="009E7F3C" w:rsidRPr="00DA2A8F" w:rsidRDefault="009E7F3C" w:rsidP="009E7F3C">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54B9E74A" w14:textId="77777777" w:rsidR="009E7F3C" w:rsidRPr="00DA2A8F" w:rsidRDefault="009E7F3C" w:rsidP="009E7F3C">
            <w:pPr>
              <w:jc w:val="center"/>
              <w:rPr>
                <w:rFonts w:ascii="Arial" w:hAnsi="Arial"/>
                <w:b/>
                <w:bCs/>
                <w:sz w:val="28"/>
                <w:szCs w:val="28"/>
                <w:rtl/>
              </w:rPr>
            </w:pPr>
          </w:p>
        </w:tc>
      </w:tr>
      <w:tr w:rsidR="009E7F3C" w:rsidRPr="00DA2A8F" w14:paraId="35D1B130" w14:textId="77777777" w:rsidTr="009E7F3C">
        <w:trPr>
          <w:trHeight w:val="355"/>
          <w:jc w:val="center"/>
        </w:trPr>
        <w:tc>
          <w:tcPr>
            <w:tcW w:w="923" w:type="dxa"/>
            <w:tcBorders>
              <w:top w:val="nil"/>
              <w:left w:val="nil"/>
              <w:bottom w:val="nil"/>
              <w:right w:val="nil"/>
            </w:tcBorders>
            <w:shd w:val="clear" w:color="auto" w:fill="auto"/>
          </w:tcPr>
          <w:p w14:paraId="1E4CC1C5" w14:textId="77777777" w:rsidR="009E7F3C" w:rsidRPr="00DA2A8F" w:rsidRDefault="009E7F3C" w:rsidP="002E7E6C">
            <w:pPr>
              <w:rPr>
                <w:rFonts w:ascii="Arial" w:hAnsi="Arial"/>
                <w:sz w:val="28"/>
                <w:szCs w:val="28"/>
                <w:rtl/>
              </w:rPr>
            </w:pPr>
          </w:p>
        </w:tc>
        <w:tc>
          <w:tcPr>
            <w:tcW w:w="4126" w:type="dxa"/>
            <w:tcBorders>
              <w:top w:val="nil"/>
              <w:left w:val="nil"/>
              <w:bottom w:val="nil"/>
              <w:right w:val="nil"/>
            </w:tcBorders>
            <w:shd w:val="clear" w:color="auto" w:fill="auto"/>
          </w:tcPr>
          <w:p w14:paraId="01B26AE0" w14:textId="77777777" w:rsidR="009E7F3C" w:rsidRPr="00DA2A8F" w:rsidRDefault="009E7F3C" w:rsidP="002E7E6C">
            <w:pPr>
              <w:rPr>
                <w:rtl/>
              </w:rPr>
            </w:pPr>
            <w:r w:rsidRPr="00DA2A8F">
              <w:rPr>
                <w:rFonts w:ascii="Arial" w:hAnsi="Arial"/>
                <w:sz w:val="28"/>
                <w:szCs w:val="28"/>
                <w:rtl/>
              </w:rPr>
              <w:t>1</w:t>
            </w:r>
            <w:r w:rsidRPr="00DA2A8F">
              <w:rPr>
                <w:rFonts w:ascii="Arial" w:hAnsi="Arial" w:hint="cs"/>
                <w:sz w:val="28"/>
                <w:szCs w:val="28"/>
                <w:rtl/>
              </w:rPr>
              <w:t>.</w:t>
            </w:r>
            <w:r w:rsidRPr="00DA2A8F">
              <w:rPr>
                <w:rFonts w:ascii="Arial" w:hAnsi="Arial"/>
                <w:sz w:val="28"/>
                <w:szCs w:val="28"/>
                <w:rtl/>
              </w:rPr>
              <w:t>חמוס דסוקי (עציר)</w:t>
            </w:r>
            <w:r w:rsidRPr="00DA2A8F">
              <w:rPr>
                <w:rFonts w:hint="cs"/>
                <w:rtl/>
              </w:rPr>
              <w:t xml:space="preserve"> - נדון</w:t>
            </w:r>
          </w:p>
          <w:p w14:paraId="34BAD1B7" w14:textId="77777777" w:rsidR="009E7F3C" w:rsidRPr="00DA2A8F" w:rsidRDefault="009E7F3C" w:rsidP="002E7E6C">
            <w:pPr>
              <w:rPr>
                <w:rtl/>
              </w:rPr>
            </w:pPr>
            <w:r w:rsidRPr="00DA2A8F">
              <w:rPr>
                <w:rFonts w:ascii="Arial" w:hAnsi="Arial"/>
                <w:sz w:val="28"/>
                <w:szCs w:val="28"/>
                <w:rtl/>
              </w:rPr>
              <w:t>2</w:t>
            </w:r>
            <w:r w:rsidRPr="00DA2A8F">
              <w:rPr>
                <w:rFonts w:ascii="Arial" w:hAnsi="Arial" w:hint="cs"/>
                <w:sz w:val="28"/>
                <w:szCs w:val="28"/>
                <w:rtl/>
              </w:rPr>
              <w:t>.</w:t>
            </w:r>
            <w:r w:rsidRPr="00DA2A8F">
              <w:rPr>
                <w:rFonts w:ascii="Arial" w:hAnsi="Arial"/>
                <w:sz w:val="28"/>
                <w:szCs w:val="28"/>
                <w:rtl/>
              </w:rPr>
              <w:t>עאהד אלטורי (עצור/אסיר בפיקוח) – ע"</w:t>
            </w:r>
            <w:r w:rsidRPr="00DA2A8F">
              <w:rPr>
                <w:rFonts w:ascii="Arial" w:hAnsi="Arial" w:hint="cs"/>
                <w:sz w:val="28"/>
                <w:szCs w:val="28"/>
                <w:rtl/>
              </w:rPr>
              <w:t>י עו"ד צבי אבנון</w:t>
            </w:r>
          </w:p>
        </w:tc>
        <w:tc>
          <w:tcPr>
            <w:tcW w:w="3771" w:type="dxa"/>
            <w:tcBorders>
              <w:top w:val="nil"/>
              <w:left w:val="nil"/>
              <w:bottom w:val="nil"/>
              <w:right w:val="nil"/>
            </w:tcBorders>
            <w:shd w:val="clear" w:color="auto" w:fill="auto"/>
          </w:tcPr>
          <w:p w14:paraId="7E0C381D" w14:textId="77777777" w:rsidR="009E7F3C" w:rsidRPr="00DA2A8F" w:rsidRDefault="009E7F3C" w:rsidP="009E7F3C">
            <w:pPr>
              <w:jc w:val="right"/>
              <w:rPr>
                <w:rFonts w:ascii="Arial" w:hAnsi="Arial"/>
                <w:sz w:val="28"/>
                <w:szCs w:val="28"/>
              </w:rPr>
            </w:pPr>
          </w:p>
        </w:tc>
      </w:tr>
      <w:tr w:rsidR="009E7F3C" w:rsidRPr="00DA2A8F" w14:paraId="47D3006A" w14:textId="77777777" w:rsidTr="009E7F3C">
        <w:trPr>
          <w:trHeight w:val="355"/>
          <w:jc w:val="center"/>
        </w:trPr>
        <w:tc>
          <w:tcPr>
            <w:tcW w:w="923" w:type="dxa"/>
            <w:tcBorders>
              <w:top w:val="nil"/>
              <w:left w:val="nil"/>
              <w:bottom w:val="nil"/>
              <w:right w:val="nil"/>
            </w:tcBorders>
            <w:shd w:val="clear" w:color="auto" w:fill="auto"/>
          </w:tcPr>
          <w:p w14:paraId="488753A1" w14:textId="77777777" w:rsidR="009E7F3C" w:rsidRPr="00DA2A8F" w:rsidRDefault="009E7F3C" w:rsidP="009E7F3C">
            <w:pPr>
              <w:jc w:val="both"/>
              <w:rPr>
                <w:rFonts w:ascii="Arial" w:hAnsi="Arial"/>
                <w:sz w:val="28"/>
                <w:szCs w:val="28"/>
                <w:rtl/>
              </w:rPr>
            </w:pPr>
          </w:p>
        </w:tc>
        <w:tc>
          <w:tcPr>
            <w:tcW w:w="4126" w:type="dxa"/>
            <w:tcBorders>
              <w:top w:val="nil"/>
              <w:left w:val="nil"/>
              <w:bottom w:val="nil"/>
              <w:right w:val="nil"/>
            </w:tcBorders>
            <w:shd w:val="clear" w:color="auto" w:fill="auto"/>
          </w:tcPr>
          <w:p w14:paraId="0AA0357D" w14:textId="77777777" w:rsidR="009E7F3C" w:rsidRPr="00DA2A8F" w:rsidRDefault="009E7F3C" w:rsidP="009E7F3C">
            <w:pPr>
              <w:jc w:val="both"/>
              <w:rPr>
                <w:rtl/>
              </w:rPr>
            </w:pPr>
          </w:p>
        </w:tc>
        <w:tc>
          <w:tcPr>
            <w:tcW w:w="3771" w:type="dxa"/>
            <w:tcBorders>
              <w:top w:val="nil"/>
              <w:left w:val="nil"/>
              <w:bottom w:val="nil"/>
              <w:right w:val="nil"/>
            </w:tcBorders>
            <w:shd w:val="clear" w:color="auto" w:fill="auto"/>
          </w:tcPr>
          <w:p w14:paraId="3F30A266" w14:textId="77777777" w:rsidR="009E7F3C" w:rsidRPr="00DA2A8F" w:rsidRDefault="009E7F3C" w:rsidP="009E7F3C">
            <w:pPr>
              <w:jc w:val="right"/>
              <w:rPr>
                <w:rFonts w:ascii="Arial" w:hAnsi="Arial"/>
                <w:sz w:val="28"/>
                <w:szCs w:val="28"/>
              </w:rPr>
            </w:pPr>
            <w:r w:rsidRPr="00DA2A8F">
              <w:rPr>
                <w:rFonts w:ascii="Arial" w:hAnsi="Arial" w:hint="cs"/>
                <w:sz w:val="28"/>
                <w:szCs w:val="28"/>
                <w:rtl/>
              </w:rPr>
              <w:t>ה</w:t>
            </w:r>
            <w:r w:rsidRPr="00DA2A8F">
              <w:rPr>
                <w:rFonts w:ascii="Arial" w:hAnsi="Arial"/>
                <w:sz w:val="28"/>
                <w:szCs w:val="28"/>
                <w:rtl/>
              </w:rPr>
              <w:t>נאשמים</w:t>
            </w:r>
          </w:p>
        </w:tc>
      </w:tr>
    </w:tbl>
    <w:p w14:paraId="04C3C8CA" w14:textId="77777777" w:rsidR="00DA2A8F" w:rsidRDefault="00DA2A8F" w:rsidP="009E7F3C">
      <w:pPr>
        <w:rPr>
          <w:rtl/>
        </w:rPr>
      </w:pPr>
      <w:bookmarkStart w:id="3" w:name="LawTable"/>
      <w:bookmarkEnd w:id="3"/>
    </w:p>
    <w:p w14:paraId="65FA9E89" w14:textId="77777777" w:rsidR="00DA2A8F" w:rsidRPr="00DA2A8F" w:rsidRDefault="00DA2A8F" w:rsidP="00DA2A8F">
      <w:pPr>
        <w:spacing w:after="120" w:line="240" w:lineRule="exact"/>
        <w:ind w:left="283" w:hanging="283"/>
        <w:jc w:val="both"/>
        <w:rPr>
          <w:rFonts w:ascii="FrankRuehl" w:hAnsi="FrankRuehl" w:cs="FrankRuehl"/>
          <w:rtl/>
        </w:rPr>
      </w:pPr>
    </w:p>
    <w:p w14:paraId="5AA0CD9A" w14:textId="77777777" w:rsidR="00DA2A8F" w:rsidRPr="00DA2A8F" w:rsidRDefault="00DA2A8F" w:rsidP="00DA2A8F">
      <w:pPr>
        <w:spacing w:after="120" w:line="240" w:lineRule="exact"/>
        <w:ind w:left="283" w:hanging="283"/>
        <w:jc w:val="both"/>
        <w:rPr>
          <w:rFonts w:ascii="FrankRuehl" w:hAnsi="FrankRuehl" w:cs="FrankRuehl"/>
          <w:rtl/>
        </w:rPr>
      </w:pPr>
      <w:r w:rsidRPr="00DA2A8F">
        <w:rPr>
          <w:rFonts w:ascii="FrankRuehl" w:hAnsi="FrankRuehl" w:cs="FrankRuehl"/>
          <w:rtl/>
        </w:rPr>
        <w:t xml:space="preserve">חקיקה שאוזכרה: </w:t>
      </w:r>
    </w:p>
    <w:p w14:paraId="65FC72FF" w14:textId="77777777" w:rsidR="00DA2A8F" w:rsidRPr="00DA2A8F" w:rsidRDefault="00DA2A8F" w:rsidP="00DA2A8F">
      <w:pPr>
        <w:spacing w:after="120" w:line="240" w:lineRule="exact"/>
        <w:ind w:left="283" w:hanging="283"/>
        <w:jc w:val="both"/>
        <w:rPr>
          <w:rFonts w:ascii="FrankRuehl" w:hAnsi="FrankRuehl" w:cs="FrankRuehl"/>
          <w:rtl/>
        </w:rPr>
      </w:pPr>
      <w:hyperlink r:id="rId7" w:history="1">
        <w:r w:rsidRPr="00DA2A8F">
          <w:rPr>
            <w:rFonts w:ascii="FrankRuehl" w:hAnsi="FrankRuehl" w:cs="FrankRuehl"/>
            <w:color w:val="0000FF"/>
            <w:u w:val="single"/>
            <w:rtl/>
          </w:rPr>
          <w:t>חוק העונשין, תשל"ז-1977</w:t>
        </w:r>
      </w:hyperlink>
      <w:r w:rsidRPr="00DA2A8F">
        <w:rPr>
          <w:rFonts w:ascii="FrankRuehl" w:hAnsi="FrankRuehl" w:cs="FrankRuehl"/>
          <w:rtl/>
        </w:rPr>
        <w:t xml:space="preserve">: סע'  </w:t>
      </w:r>
      <w:hyperlink r:id="rId8" w:history="1">
        <w:r w:rsidRPr="00DA2A8F">
          <w:rPr>
            <w:rFonts w:ascii="FrankRuehl" w:hAnsi="FrankRuehl" w:cs="FrankRuehl"/>
            <w:color w:val="0000FF"/>
            <w:u w:val="single"/>
            <w:rtl/>
          </w:rPr>
          <w:t>40ג(א)</w:t>
        </w:r>
      </w:hyperlink>
      <w:r w:rsidRPr="00DA2A8F">
        <w:rPr>
          <w:rFonts w:ascii="FrankRuehl" w:hAnsi="FrankRuehl" w:cs="FrankRuehl"/>
          <w:rtl/>
        </w:rPr>
        <w:t xml:space="preserve">, </w:t>
      </w:r>
      <w:hyperlink r:id="rId9" w:history="1">
        <w:r w:rsidRPr="00DA2A8F">
          <w:rPr>
            <w:rFonts w:ascii="FrankRuehl" w:hAnsi="FrankRuehl" w:cs="FrankRuehl"/>
            <w:color w:val="0000FF"/>
            <w:u w:val="single"/>
            <w:rtl/>
          </w:rPr>
          <w:t>40ט(א)</w:t>
        </w:r>
      </w:hyperlink>
      <w:r w:rsidRPr="00DA2A8F">
        <w:rPr>
          <w:rFonts w:ascii="FrankRuehl" w:hAnsi="FrankRuehl" w:cs="FrankRuehl"/>
          <w:rtl/>
        </w:rPr>
        <w:t xml:space="preserve">, </w:t>
      </w:r>
      <w:hyperlink r:id="rId10" w:history="1">
        <w:r w:rsidRPr="00DA2A8F">
          <w:rPr>
            <w:rFonts w:ascii="FrankRuehl" w:hAnsi="FrankRuehl" w:cs="FrankRuehl"/>
            <w:color w:val="0000FF"/>
            <w:u w:val="single"/>
            <w:rtl/>
          </w:rPr>
          <w:t>144 (ב)</w:t>
        </w:r>
      </w:hyperlink>
      <w:r w:rsidRPr="00DA2A8F">
        <w:rPr>
          <w:rFonts w:ascii="FrankRuehl" w:hAnsi="FrankRuehl" w:cs="FrankRuehl"/>
          <w:rtl/>
        </w:rPr>
        <w:t xml:space="preserve">, </w:t>
      </w:r>
      <w:hyperlink r:id="rId11" w:history="1">
        <w:r w:rsidRPr="00DA2A8F">
          <w:rPr>
            <w:rFonts w:ascii="FrankRuehl" w:hAnsi="FrankRuehl" w:cs="FrankRuehl"/>
            <w:color w:val="0000FF"/>
            <w:u w:val="single"/>
            <w:rtl/>
          </w:rPr>
          <w:t>144 (ב2)</w:t>
        </w:r>
      </w:hyperlink>
      <w:r w:rsidRPr="00DA2A8F">
        <w:rPr>
          <w:rFonts w:ascii="FrankRuehl" w:hAnsi="FrankRuehl" w:cs="FrankRuehl"/>
          <w:rtl/>
        </w:rPr>
        <w:t xml:space="preserve">, </w:t>
      </w:r>
      <w:hyperlink r:id="rId12" w:history="1">
        <w:r w:rsidRPr="00DA2A8F">
          <w:rPr>
            <w:rFonts w:ascii="FrankRuehl" w:hAnsi="FrankRuehl" w:cs="FrankRuehl"/>
            <w:color w:val="0000FF"/>
            <w:u w:val="single"/>
            <w:rtl/>
          </w:rPr>
          <w:t>40יא'</w:t>
        </w:r>
      </w:hyperlink>
    </w:p>
    <w:p w14:paraId="20D4899D" w14:textId="77777777" w:rsidR="00DA2A8F" w:rsidRPr="00DA2A8F" w:rsidRDefault="00DA2A8F" w:rsidP="00DA2A8F">
      <w:pPr>
        <w:spacing w:after="120" w:line="240" w:lineRule="exact"/>
        <w:ind w:left="283" w:hanging="283"/>
        <w:jc w:val="both"/>
        <w:rPr>
          <w:rFonts w:ascii="FrankRuehl" w:hAnsi="FrankRuehl" w:cs="FrankRuehl"/>
          <w:rtl/>
        </w:rPr>
      </w:pPr>
    </w:p>
    <w:p w14:paraId="14B011DF" w14:textId="77777777" w:rsidR="00DA2A8F" w:rsidRPr="00DA2A8F" w:rsidRDefault="00DA2A8F" w:rsidP="009E7F3C">
      <w:pPr>
        <w:rPr>
          <w:rtl/>
        </w:rPr>
      </w:pPr>
      <w:bookmarkStart w:id="4" w:name="LawTable_End"/>
      <w:bookmarkEnd w:id="4"/>
    </w:p>
    <w:p w14:paraId="41AA5694" w14:textId="77777777" w:rsidR="00F81468" w:rsidRPr="00DA2A8F" w:rsidRDefault="00F81468" w:rsidP="009E7F3C">
      <w:pPr>
        <w:rPr>
          <w:rtl/>
        </w:rPr>
      </w:pPr>
    </w:p>
    <w:p w14:paraId="3EC838F1" w14:textId="77777777" w:rsidR="00F81468" w:rsidRPr="00DA2A8F" w:rsidRDefault="00F81468" w:rsidP="009E7F3C">
      <w:pPr>
        <w:rPr>
          <w:rtl/>
        </w:rPr>
      </w:pPr>
    </w:p>
    <w:p w14:paraId="223D52D7" w14:textId="77777777" w:rsidR="009E7F3C" w:rsidRPr="00DA2A8F" w:rsidRDefault="009E7F3C" w:rsidP="009E7F3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7F3C" w:rsidRPr="00DA2A8F" w14:paraId="1E8851E2" w14:textId="77777777" w:rsidTr="009E7F3C">
        <w:trPr>
          <w:trHeight w:val="355"/>
          <w:jc w:val="center"/>
        </w:trPr>
        <w:tc>
          <w:tcPr>
            <w:tcW w:w="8820" w:type="dxa"/>
            <w:tcBorders>
              <w:top w:val="nil"/>
              <w:left w:val="nil"/>
              <w:bottom w:val="nil"/>
              <w:right w:val="nil"/>
            </w:tcBorders>
            <w:shd w:val="clear" w:color="auto" w:fill="auto"/>
          </w:tcPr>
          <w:p w14:paraId="259FBB0E" w14:textId="77777777" w:rsidR="00F81468" w:rsidRPr="00DA2A8F" w:rsidRDefault="00F81468" w:rsidP="00F81468">
            <w:pPr>
              <w:jc w:val="center"/>
              <w:rPr>
                <w:rFonts w:ascii="Arial" w:hAnsi="Arial"/>
                <w:b/>
                <w:bCs/>
                <w:sz w:val="32"/>
                <w:szCs w:val="32"/>
                <w:u w:val="single"/>
                <w:rtl/>
              </w:rPr>
            </w:pPr>
            <w:bookmarkStart w:id="5" w:name="PsakDin" w:colFirst="0" w:colLast="0"/>
            <w:bookmarkEnd w:id="0"/>
            <w:r w:rsidRPr="00DA2A8F">
              <w:rPr>
                <w:rFonts w:ascii="Arial" w:hAnsi="Arial"/>
                <w:b/>
                <w:bCs/>
                <w:sz w:val="32"/>
                <w:szCs w:val="32"/>
                <w:u w:val="single"/>
                <w:rtl/>
              </w:rPr>
              <w:t>גזר דין</w:t>
            </w:r>
          </w:p>
          <w:p w14:paraId="7BD7BD5B" w14:textId="77777777" w:rsidR="009E7F3C" w:rsidRPr="00DA2A8F" w:rsidRDefault="009E7F3C" w:rsidP="00F81468">
            <w:pPr>
              <w:jc w:val="center"/>
              <w:rPr>
                <w:rFonts w:ascii="Arial" w:hAnsi="Arial"/>
                <w:bCs/>
                <w:sz w:val="32"/>
                <w:szCs w:val="32"/>
                <w:u w:val="single"/>
                <w:rtl/>
              </w:rPr>
            </w:pPr>
          </w:p>
        </w:tc>
      </w:tr>
      <w:bookmarkEnd w:id="5"/>
    </w:tbl>
    <w:p w14:paraId="6EBA0E76" w14:textId="77777777" w:rsidR="009E7F3C" w:rsidRPr="00DA2A8F" w:rsidRDefault="009E7F3C" w:rsidP="009E7F3C">
      <w:pPr>
        <w:rPr>
          <w:rFonts w:ascii="Arial" w:hAnsi="Arial"/>
          <w:rtl/>
        </w:rPr>
      </w:pPr>
    </w:p>
    <w:p w14:paraId="72C9AA05" w14:textId="77777777" w:rsidR="009E7F3C" w:rsidRPr="00DA2A8F" w:rsidRDefault="009E7F3C" w:rsidP="009E7F3C">
      <w:pPr>
        <w:rPr>
          <w:rFonts w:ascii="Arial" w:hAnsi="Arial"/>
          <w:rtl/>
        </w:rPr>
      </w:pPr>
    </w:p>
    <w:p w14:paraId="3D8C640C" w14:textId="77777777" w:rsidR="009E7F3C" w:rsidRPr="00DA2A8F" w:rsidRDefault="009E7F3C" w:rsidP="009E7F3C">
      <w:pPr>
        <w:spacing w:line="360" w:lineRule="auto"/>
        <w:ind w:left="720" w:hanging="720"/>
        <w:jc w:val="both"/>
        <w:rPr>
          <w:rFonts w:ascii="David" w:hAnsi="David"/>
          <w:b/>
          <w:bCs/>
          <w:u w:val="single"/>
          <w:rtl/>
        </w:rPr>
      </w:pPr>
      <w:r w:rsidRPr="00DA2A8F">
        <w:rPr>
          <w:rFonts w:ascii="David" w:hAnsi="David"/>
          <w:b/>
          <w:bCs/>
          <w:u w:val="single"/>
          <w:rtl/>
        </w:rPr>
        <w:t>כתב-האישום</w:t>
      </w:r>
    </w:p>
    <w:p w14:paraId="4DE6FF4B" w14:textId="77777777" w:rsidR="009E7F3C" w:rsidRPr="00DA2A8F" w:rsidRDefault="009E7F3C" w:rsidP="009E7F3C">
      <w:pPr>
        <w:spacing w:line="360" w:lineRule="auto"/>
        <w:ind w:left="720" w:hanging="720"/>
        <w:jc w:val="both"/>
        <w:rPr>
          <w:rFonts w:ascii="David" w:hAnsi="David"/>
          <w:rtl/>
        </w:rPr>
      </w:pPr>
    </w:p>
    <w:p w14:paraId="31DCBF68" w14:textId="77777777" w:rsidR="009E7F3C" w:rsidRPr="00DA2A8F" w:rsidRDefault="009E7F3C" w:rsidP="009E7F3C">
      <w:pPr>
        <w:numPr>
          <w:ilvl w:val="0"/>
          <w:numId w:val="1"/>
        </w:numPr>
        <w:spacing w:line="360" w:lineRule="auto"/>
        <w:contextualSpacing/>
        <w:jc w:val="both"/>
        <w:rPr>
          <w:rFonts w:ascii="David" w:hAnsi="David"/>
        </w:rPr>
      </w:pPr>
      <w:bookmarkStart w:id="6" w:name="ABSTRACT_START"/>
      <w:bookmarkEnd w:id="6"/>
      <w:r w:rsidRPr="00DA2A8F">
        <w:rPr>
          <w:rFonts w:ascii="David" w:hAnsi="David"/>
          <w:rtl/>
        </w:rPr>
        <w:t xml:space="preserve">נאשם 2 הורשע על יסוד הודאתו בעובדות כתב אישום מתוקן שגובש במסגרת הסדר דיוני, בעבירות של </w:t>
      </w:r>
      <w:r w:rsidRPr="00DA2A8F">
        <w:rPr>
          <w:rFonts w:ascii="Arial" w:hAnsi="Arial"/>
          <w:b/>
          <w:bCs/>
          <w:rtl/>
        </w:rPr>
        <w:t>עסקה אחרת בנשק ותחמושת</w:t>
      </w:r>
      <w:r w:rsidRPr="00DA2A8F">
        <w:rPr>
          <w:rFonts w:ascii="Arial" w:hAnsi="Arial"/>
          <w:rtl/>
        </w:rPr>
        <w:t xml:space="preserve"> לפי סעיף </w:t>
      </w:r>
      <w:hyperlink r:id="rId13" w:history="1">
        <w:r w:rsidR="00DA2A8F" w:rsidRPr="00DA2A8F">
          <w:rPr>
            <w:rFonts w:ascii="Arial" w:hAnsi="Arial"/>
            <w:color w:val="0000FF"/>
            <w:u w:val="single"/>
            <w:rtl/>
          </w:rPr>
          <w:t>144 (ב2)</w:t>
        </w:r>
      </w:hyperlink>
      <w:r w:rsidRPr="00DA2A8F">
        <w:rPr>
          <w:rFonts w:ascii="Arial" w:hAnsi="Arial"/>
          <w:rtl/>
        </w:rPr>
        <w:t xml:space="preserve"> ל</w:t>
      </w:r>
      <w:hyperlink r:id="rId14" w:history="1">
        <w:r w:rsidR="00F81468" w:rsidRPr="00DA2A8F">
          <w:rPr>
            <w:rFonts w:ascii="Arial" w:hAnsi="Arial"/>
            <w:color w:val="0000FF"/>
            <w:u w:val="single"/>
            <w:rtl/>
          </w:rPr>
          <w:t>חוק העונשין</w:t>
        </w:r>
      </w:hyperlink>
      <w:r w:rsidRPr="00DA2A8F">
        <w:rPr>
          <w:rFonts w:ascii="Arial" w:hAnsi="Arial"/>
          <w:rtl/>
        </w:rPr>
        <w:t xml:space="preserve">, התשל"ז – 1977 (להלן: "חוק העונשין"), </w:t>
      </w:r>
      <w:r w:rsidRPr="00DA2A8F">
        <w:rPr>
          <w:rFonts w:ascii="Arial" w:hAnsi="Arial"/>
          <w:b/>
          <w:bCs/>
          <w:rtl/>
        </w:rPr>
        <w:t xml:space="preserve">ונשיאת נשק ותחמושת </w:t>
      </w:r>
      <w:r w:rsidRPr="00DA2A8F">
        <w:rPr>
          <w:rFonts w:ascii="Arial" w:hAnsi="Arial"/>
          <w:rtl/>
        </w:rPr>
        <w:t xml:space="preserve">לפי סעיף </w:t>
      </w:r>
      <w:hyperlink r:id="rId15" w:history="1">
        <w:r w:rsidR="00DA2A8F" w:rsidRPr="00DA2A8F">
          <w:rPr>
            <w:rFonts w:ascii="Arial" w:hAnsi="Arial"/>
            <w:color w:val="0000FF"/>
            <w:u w:val="single"/>
            <w:rtl/>
          </w:rPr>
          <w:t>144 (ב)</w:t>
        </w:r>
      </w:hyperlink>
      <w:r w:rsidRPr="00DA2A8F">
        <w:rPr>
          <w:rFonts w:ascii="Arial" w:hAnsi="Arial"/>
          <w:rtl/>
        </w:rPr>
        <w:t xml:space="preserve"> רישא לחוק העונשין.</w:t>
      </w:r>
    </w:p>
    <w:p w14:paraId="7CA7C67A" w14:textId="77777777" w:rsidR="009E7F3C" w:rsidRPr="00DA2A8F" w:rsidRDefault="009E7F3C" w:rsidP="009E7F3C">
      <w:pPr>
        <w:spacing w:line="360" w:lineRule="auto"/>
        <w:ind w:left="720" w:hanging="720"/>
        <w:contextualSpacing/>
        <w:jc w:val="both"/>
        <w:rPr>
          <w:rFonts w:ascii="David" w:hAnsi="David"/>
          <w:rtl/>
        </w:rPr>
      </w:pPr>
    </w:p>
    <w:p w14:paraId="4B764462" w14:textId="77777777" w:rsidR="009E7F3C" w:rsidRPr="00DA2A8F" w:rsidRDefault="009E7F3C" w:rsidP="009E7F3C">
      <w:pPr>
        <w:numPr>
          <w:ilvl w:val="0"/>
          <w:numId w:val="1"/>
        </w:numPr>
        <w:spacing w:line="360" w:lineRule="auto"/>
        <w:contextualSpacing/>
        <w:jc w:val="both"/>
        <w:rPr>
          <w:rFonts w:ascii="David" w:hAnsi="David"/>
        </w:rPr>
      </w:pPr>
      <w:bookmarkStart w:id="7" w:name="ABSTRACT_END"/>
      <w:bookmarkEnd w:id="7"/>
      <w:r w:rsidRPr="00DA2A8F">
        <w:rPr>
          <w:rFonts w:ascii="David" w:hAnsi="David"/>
          <w:rtl/>
        </w:rPr>
        <w:lastRenderedPageBreak/>
        <w:t>מכתב האישום המתוקן</w:t>
      </w:r>
      <w:r w:rsidRPr="00DA2A8F">
        <w:rPr>
          <w:rFonts w:ascii="David" w:hAnsi="David"/>
          <w:b/>
          <w:bCs/>
          <w:rtl/>
        </w:rPr>
        <w:t xml:space="preserve"> </w:t>
      </w:r>
      <w:r w:rsidRPr="00DA2A8F">
        <w:rPr>
          <w:rFonts w:ascii="David" w:hAnsi="David"/>
          <w:rtl/>
        </w:rPr>
        <w:t>בעניינו של נאשם 2 בלבד עולה, כי עובר ליום 3.5.17, פנה נאשם 1 לנאשם 2 וביקש לרכוש אקדח, ונאשם 2 נענה לבקשה. בהמשך, ביום 3.5.17 בשעה 15:27 שוחח נאשם 2 עם נאשם 1 והודיע לו כי האקדח ברשותו ומסר את מחירו. לבקשתו של נאשם 1 סוכם כי נאשם 2 יבדוק עם אחר שזהותו אינה ידועה (להלן: "האחר"), ממנו הגיע האקדח, את סוגיית המחיר.</w:t>
      </w:r>
    </w:p>
    <w:p w14:paraId="132A4C6E" w14:textId="77777777" w:rsidR="009E7F3C" w:rsidRPr="00DA2A8F" w:rsidRDefault="009E7F3C" w:rsidP="009E7F3C">
      <w:pPr>
        <w:spacing w:line="360" w:lineRule="auto"/>
        <w:ind w:left="720" w:hanging="720"/>
        <w:contextualSpacing/>
        <w:jc w:val="both"/>
        <w:rPr>
          <w:rFonts w:ascii="David" w:hAnsi="David"/>
          <w:rtl/>
        </w:rPr>
      </w:pPr>
      <w:r w:rsidRPr="00DA2A8F">
        <w:rPr>
          <w:rFonts w:ascii="David" w:hAnsi="David"/>
          <w:rtl/>
        </w:rPr>
        <w:tab/>
        <w:t>בשעה 17:41 בשיחה נוספת, הודיע נאשם 2 לנאשם 1 כי האחר עומד על המחיר וכי נאשם 2 בדק את האקדח. סוכם שנאשם 1 יגיע לנאשם 2 לרהט על מנת לרכוש את האקדח כשברשותו סכום הכסף הנדרש. בסמוך לאחר מכן, יצא נאשם 1 מלוד לרהט ברכב.</w:t>
      </w:r>
    </w:p>
    <w:p w14:paraId="58C2CFDB" w14:textId="77777777" w:rsidR="009E7F3C" w:rsidRPr="00DA2A8F" w:rsidRDefault="009E7F3C" w:rsidP="009E7F3C">
      <w:pPr>
        <w:spacing w:line="360" w:lineRule="auto"/>
        <w:ind w:left="720" w:hanging="720"/>
        <w:contextualSpacing/>
        <w:jc w:val="both"/>
        <w:rPr>
          <w:rFonts w:ascii="David" w:hAnsi="David"/>
          <w:rtl/>
        </w:rPr>
      </w:pPr>
      <w:r w:rsidRPr="00DA2A8F">
        <w:rPr>
          <w:rFonts w:ascii="David" w:hAnsi="David"/>
          <w:rtl/>
        </w:rPr>
        <w:tab/>
        <w:t>ברהט פגש נאשם 1 את נאשם 2, העביר לו תמורה, ונאשם 2 העביר לרשותו אקדח חצי אוטומטי מסוג יריחו, שחסרה בו לוחית מספר סידורי, ומחסנית שהכילה שני כדורים.</w:t>
      </w:r>
    </w:p>
    <w:p w14:paraId="44ACF1BB" w14:textId="77777777" w:rsidR="009E7F3C" w:rsidRPr="00DA2A8F" w:rsidRDefault="009E7F3C" w:rsidP="009E7F3C">
      <w:pPr>
        <w:spacing w:line="360" w:lineRule="auto"/>
        <w:ind w:left="720" w:hanging="720"/>
        <w:contextualSpacing/>
        <w:jc w:val="both"/>
        <w:rPr>
          <w:rFonts w:ascii="David" w:hAnsi="David"/>
          <w:rtl/>
        </w:rPr>
      </w:pPr>
      <w:r w:rsidRPr="00DA2A8F">
        <w:rPr>
          <w:rFonts w:ascii="David" w:hAnsi="David"/>
          <w:rtl/>
        </w:rPr>
        <w:tab/>
        <w:t xml:space="preserve">בהמשך, נסעו הנאשמים ברכב מרהט ללוד כשנאשם 2 נהג ברכב, נאשם 1 ישב מקדימה במושב הנוסע, והאקדח ובתוכו המחסנית היו מונחים לרגליו של נאשם 1. בשעה 20:40 לערך ובסמוך ללוד נעצרו הנאשמים ברכב. בחיפוש שנערך ברכב נתפסו האקדח ובתוכו המחסנית במיקום שפורט לעיל, וכן סך של 5,760 ₪ שנתפסו ברשותו של נאשם 1. </w:t>
      </w:r>
    </w:p>
    <w:p w14:paraId="39C25F5C" w14:textId="77777777" w:rsidR="009E7F3C" w:rsidRPr="00DA2A8F" w:rsidRDefault="009E7F3C" w:rsidP="009E7F3C">
      <w:pPr>
        <w:spacing w:line="360" w:lineRule="auto"/>
        <w:ind w:left="720" w:hanging="720"/>
        <w:contextualSpacing/>
        <w:jc w:val="both"/>
        <w:rPr>
          <w:rFonts w:ascii="David" w:hAnsi="David"/>
          <w:rtl/>
        </w:rPr>
      </w:pPr>
    </w:p>
    <w:p w14:paraId="70D130C0" w14:textId="77777777" w:rsidR="009E7F3C" w:rsidRPr="00DA2A8F" w:rsidRDefault="009E7F3C" w:rsidP="009E7F3C">
      <w:pPr>
        <w:numPr>
          <w:ilvl w:val="0"/>
          <w:numId w:val="1"/>
        </w:numPr>
        <w:spacing w:line="360" w:lineRule="auto"/>
        <w:contextualSpacing/>
        <w:jc w:val="both"/>
        <w:rPr>
          <w:rFonts w:ascii="David" w:hAnsi="David"/>
        </w:rPr>
      </w:pPr>
      <w:r w:rsidRPr="00DA2A8F">
        <w:rPr>
          <w:rFonts w:ascii="David" w:hAnsi="David"/>
          <w:rtl/>
        </w:rPr>
        <w:t xml:space="preserve">גזר-דין בעניינו של נאשם 1, אשר הורשע בעבירות של רכישת נשק ותחמושת ונשיאת נשק ותחמושת, ניתן ביום 14.3.19 לאחר שב"כ הצדדים הציגו הסדר טיעון סגור. בהתאם להסדר, הוטל עליו עונש מאסר בפועל בן 30 חודשים ויום, והופעל מאסר מותנה בן 12 חודשים - חלקו במצטבר, כך שבסך הכל הוטל עליו עונש מאסר בפועל בן 36 חודשים ויום, קנס בסך 7500 ₪, וחילוט הכסף שנתפס ברשותו. </w:t>
      </w:r>
    </w:p>
    <w:p w14:paraId="244817E8" w14:textId="77777777" w:rsidR="009E7F3C" w:rsidRPr="00DA2A8F" w:rsidRDefault="009E7F3C" w:rsidP="009E7F3C">
      <w:pPr>
        <w:spacing w:line="360" w:lineRule="auto"/>
        <w:ind w:left="720" w:hanging="720"/>
        <w:contextualSpacing/>
        <w:jc w:val="both"/>
        <w:rPr>
          <w:rFonts w:ascii="David" w:hAnsi="David"/>
          <w:rtl/>
        </w:rPr>
      </w:pPr>
    </w:p>
    <w:p w14:paraId="7CC9F752" w14:textId="77777777" w:rsidR="009E7F3C" w:rsidRPr="00DA2A8F" w:rsidRDefault="009E7F3C" w:rsidP="009E7F3C">
      <w:pPr>
        <w:spacing w:line="360" w:lineRule="auto"/>
        <w:ind w:left="720" w:hanging="720"/>
        <w:jc w:val="both"/>
        <w:rPr>
          <w:rFonts w:ascii="David" w:hAnsi="David"/>
          <w:b/>
          <w:bCs/>
          <w:u w:val="single"/>
          <w:rtl/>
        </w:rPr>
      </w:pPr>
      <w:r w:rsidRPr="00DA2A8F">
        <w:rPr>
          <w:rFonts w:ascii="David" w:hAnsi="David"/>
          <w:b/>
          <w:bCs/>
          <w:u w:val="single"/>
          <w:rtl/>
        </w:rPr>
        <w:t>תסקיר שירות המבחן</w:t>
      </w:r>
    </w:p>
    <w:p w14:paraId="6B21EF09" w14:textId="77777777" w:rsidR="009E7F3C" w:rsidRPr="00DA2A8F" w:rsidRDefault="009E7F3C" w:rsidP="009E7F3C">
      <w:pPr>
        <w:spacing w:line="360" w:lineRule="auto"/>
        <w:ind w:left="720" w:hanging="720"/>
        <w:jc w:val="both"/>
        <w:rPr>
          <w:rFonts w:ascii="David" w:hAnsi="David"/>
          <w:b/>
          <w:bCs/>
          <w:u w:val="single"/>
          <w:rtl/>
        </w:rPr>
      </w:pPr>
    </w:p>
    <w:p w14:paraId="0FDC1BFE" w14:textId="77777777" w:rsidR="009E7F3C" w:rsidRPr="00DA2A8F" w:rsidRDefault="009E7F3C" w:rsidP="009E7F3C">
      <w:pPr>
        <w:numPr>
          <w:ilvl w:val="0"/>
          <w:numId w:val="1"/>
        </w:numPr>
        <w:spacing w:line="360" w:lineRule="auto"/>
        <w:contextualSpacing/>
        <w:jc w:val="both"/>
        <w:rPr>
          <w:rFonts w:ascii="David" w:hAnsi="David"/>
          <w:rtl/>
        </w:rPr>
      </w:pPr>
      <w:r w:rsidRPr="00DA2A8F">
        <w:rPr>
          <w:rFonts w:ascii="David" w:hAnsi="David"/>
          <w:rtl/>
        </w:rPr>
        <w:t xml:space="preserve">הנאשם 2 (אשר ייקרא משלב זה "הנאשם") נשלח בהסכמה לקבלת תסקיר שירות המבחן ממנו עולה, כי הוא כבן 26, נשוי ואב לשלושה ילדים בגילאים 4 חודשים עד 5 שנים, שוהה ב"מעצר בית" לילי ברהט ועובד כשנה אצל בן דודו במוסך ברהט. לפני מעצרו התגורר עם משפחתו בלוד ועבד עם אחיו בעסק שבבעלותם בתחום הבניין ברהט, כשבמהלך 6 השנים האחרונות הוכיח מוסר עבודה ויציבות ברמה התעסוקתית. סיים 12 שנות לימוד, אך אינו יודע קרוא וכתוב, ותיאר בעיות התנהגות וקשיים לימודיים במשך השנים ומצב כלכלי קשה בבית ההורים. </w:t>
      </w:r>
    </w:p>
    <w:p w14:paraId="0A2A8C29" w14:textId="77777777" w:rsidR="009E7F3C" w:rsidRPr="00DA2A8F" w:rsidRDefault="009E7F3C" w:rsidP="009E7F3C">
      <w:pPr>
        <w:spacing w:line="360" w:lineRule="auto"/>
        <w:ind w:left="720" w:hanging="720"/>
        <w:jc w:val="both"/>
        <w:rPr>
          <w:rFonts w:ascii="David" w:hAnsi="David"/>
          <w:rtl/>
        </w:rPr>
      </w:pPr>
    </w:p>
    <w:p w14:paraId="1D4FACCE"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 xml:space="preserve">הנאשם, נעדר עבר פלילי, מודה בביצוע העבירה, ומסר כי שותפו לעבירה, אותו הכיר מהשכונה בה התגורר בלוד, התקשר אליו וביקש שימצא לו נשק בדחיפות, הוא רצה לעזור ולא הבין שמדובר בעבירה. עוד שיתף כי נאשם 1 אינו בגדר חבר, והתקשה להסביר מדוע פנה דווקא אליו. תיאר כי החיפוש אחר נשק והקשר עם נאשם 1 ריגש אותו. שירות המבחן </w:t>
      </w:r>
      <w:r w:rsidRPr="00DA2A8F">
        <w:rPr>
          <w:rFonts w:ascii="David" w:hAnsi="David"/>
          <w:rtl/>
        </w:rPr>
        <w:lastRenderedPageBreak/>
        <w:t xml:space="preserve">התרשם מיכולות ורבליות תקינות של הנאשם, שהצליח להימנע ממעורבות קודמות בפלילים ומתאמץ להשתלב בתעסוקה באופן רציף. </w:t>
      </w:r>
    </w:p>
    <w:p w14:paraId="14A51F40"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 xml:space="preserve">שירות המבחן מעריך, כי קיימת רמת סיכון להישנות התנהגות עוברת חוק. הנאשם מודה באופן חלקי במיוחס לו, אינו לוקח אחריות על הנסיבות שהובילו לביצוע העבירות, נוטה להשליך אחריות על אחרים, מתקשה בבחינה עצמית של בחירותיו ושל קשריו השוליים, ובולט כי נוטה לטשטש את הליך תכנון מעשיו. </w:t>
      </w:r>
    </w:p>
    <w:p w14:paraId="1DAC8782"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הנאשם הביע צער וחרטה על מעשיו, מבין כי עליו להיענש על מעשיו, אך הביע תקווה כי ייענש בעבודות שירות, כך שיוכל לחזור להתגורר עם משפחתו, לאחר תקופה ממושכת של שהייה בתנאים מגבילים. הביע רצון ומוטיבציה להשתלב בהליך טיפולי, והשתתף בקבוצה חד-פעמית שמטרתה לבחון התאמתו ויכולתו להיתרם מהליך טיפולי. במפגש בלט כי הוא מתקשה לראות בעייתיות כלשהי במעשיו, עסוק בהשלכת אחריות על סביבתו ומתקשה לקחת אחריות אישית. צוין כי בשלב זה השירות מתקשה להעריך את יכולתו של הנאשם להפיק תועלת מהליך טיפולי, וככל שבית-המשפט יהיה סבור שיש מקום לבחון התאמה להליך טיפולי, יש צורך בדחיית הדיון.</w:t>
      </w:r>
    </w:p>
    <w:p w14:paraId="7ED754F9" w14:textId="77777777" w:rsidR="009E7F3C" w:rsidRPr="00DA2A8F" w:rsidRDefault="009E7F3C" w:rsidP="009E7F3C">
      <w:pPr>
        <w:spacing w:line="360" w:lineRule="auto"/>
        <w:ind w:left="720" w:hanging="720"/>
        <w:jc w:val="both"/>
        <w:rPr>
          <w:rFonts w:ascii="David" w:hAnsi="David"/>
          <w:rtl/>
        </w:rPr>
      </w:pPr>
    </w:p>
    <w:p w14:paraId="25E3D0FD" w14:textId="77777777" w:rsidR="009E7F3C" w:rsidRPr="00DA2A8F" w:rsidRDefault="009E7F3C" w:rsidP="009E7F3C">
      <w:pPr>
        <w:spacing w:line="360" w:lineRule="auto"/>
        <w:ind w:left="720" w:hanging="720"/>
        <w:jc w:val="both"/>
        <w:rPr>
          <w:rFonts w:ascii="David" w:hAnsi="David"/>
          <w:b/>
          <w:bCs/>
          <w:u w:val="single"/>
          <w:rtl/>
        </w:rPr>
      </w:pPr>
      <w:r w:rsidRPr="00DA2A8F">
        <w:rPr>
          <w:rFonts w:ascii="David" w:hAnsi="David"/>
          <w:b/>
          <w:bCs/>
          <w:u w:val="single"/>
          <w:rtl/>
        </w:rPr>
        <w:t>טיעוני הצדדים</w:t>
      </w:r>
    </w:p>
    <w:p w14:paraId="2FD54F8E" w14:textId="77777777" w:rsidR="009E7F3C" w:rsidRPr="00DA2A8F" w:rsidRDefault="009E7F3C" w:rsidP="009E7F3C">
      <w:pPr>
        <w:spacing w:line="360" w:lineRule="auto"/>
        <w:ind w:left="720" w:hanging="720"/>
        <w:jc w:val="both"/>
        <w:rPr>
          <w:rFonts w:ascii="David" w:hAnsi="David"/>
          <w:b/>
          <w:bCs/>
          <w:u w:val="single"/>
          <w:rtl/>
        </w:rPr>
      </w:pPr>
    </w:p>
    <w:p w14:paraId="2559C5AB" w14:textId="77777777" w:rsidR="009E7F3C" w:rsidRPr="00DA2A8F" w:rsidRDefault="009E7F3C" w:rsidP="009E7F3C">
      <w:pPr>
        <w:numPr>
          <w:ilvl w:val="0"/>
          <w:numId w:val="1"/>
        </w:numPr>
        <w:spacing w:line="360" w:lineRule="auto"/>
        <w:jc w:val="both"/>
      </w:pPr>
      <w:r w:rsidRPr="00DA2A8F">
        <w:rPr>
          <w:rtl/>
        </w:rPr>
        <w:t xml:space="preserve">העתירה העונשית של המדינה זהה לעונש שנגזר על נאשם 1  - 30 חודשי מאסר, נוכח המרכזיות של הנאשם בביצוע העבירות, חומרתן ונסיבותיהן, הצורך בהרתעה והגנה על האינטרס הציבורי.  </w:t>
      </w:r>
    </w:p>
    <w:p w14:paraId="0000E4C0" w14:textId="77777777" w:rsidR="009E7F3C" w:rsidRPr="00DA2A8F" w:rsidRDefault="009E7F3C" w:rsidP="009E7F3C">
      <w:pPr>
        <w:spacing w:line="360" w:lineRule="auto"/>
        <w:ind w:left="720" w:hanging="720"/>
        <w:jc w:val="both"/>
        <w:rPr>
          <w:rtl/>
        </w:rPr>
      </w:pPr>
      <w:r w:rsidRPr="00DA2A8F">
        <w:rPr>
          <w:rtl/>
        </w:rPr>
        <w:tab/>
        <w:t xml:space="preserve">ב"כ המאשימה ציינה, כי הנאשם, נעדר עבר פלילי, הודה והורשע לאחר שנשמעו ראיות בתיק. תסקיר שירות המבחן הוא תסקיר שלילי, שלא בא בהמלצה טיפולית, אלא עוסק בנאשם המתקשה לבחון את דפוסיו, את קשריו השוליים, מודה באופן חלקי במיוחס לו, אינו לוקח אחריות ונוטה להשליך אחריות על אחרים. </w:t>
      </w:r>
    </w:p>
    <w:p w14:paraId="3D5452FF" w14:textId="77777777" w:rsidR="009E7F3C" w:rsidRPr="00DA2A8F" w:rsidRDefault="009E7F3C" w:rsidP="009E7F3C">
      <w:pPr>
        <w:spacing w:line="360" w:lineRule="auto"/>
        <w:ind w:left="720" w:hanging="720"/>
        <w:jc w:val="both"/>
        <w:rPr>
          <w:rtl/>
        </w:rPr>
      </w:pPr>
      <w:r w:rsidRPr="00DA2A8F">
        <w:rPr>
          <w:rtl/>
        </w:rPr>
        <w:tab/>
        <w:t xml:space="preserve">טענה, כי הנאשמים שותפים לביצוע העבירה, אבל חלקו של הנאשם, לא רק זהה אלא אף גדול יותר משל שותפו, שכן הוא ביצע את העסקה עצמה. הנאשמים נסעו ביחד והאקדח נמצא ברכב, אך הנאשם הוא זה שיצר את העסקה וגרם לכך שהאקדח יעבור מגורם כלשהו לידיו של נאשם 1. </w:t>
      </w:r>
    </w:p>
    <w:p w14:paraId="6700D1C9" w14:textId="77777777" w:rsidR="009E7F3C" w:rsidRPr="00DA2A8F" w:rsidRDefault="009E7F3C" w:rsidP="009E7F3C">
      <w:pPr>
        <w:spacing w:line="360" w:lineRule="auto"/>
        <w:ind w:left="720" w:hanging="720"/>
        <w:jc w:val="both"/>
        <w:rPr>
          <w:rtl/>
        </w:rPr>
      </w:pPr>
      <w:r w:rsidRPr="00DA2A8F">
        <w:rPr>
          <w:rtl/>
        </w:rPr>
        <w:tab/>
        <w:t xml:space="preserve">ב"כ המאשימה הפנתה להנחיות פרקליט המדינה ועתרה לקביעת מתחם עונש הולם שנע בין 2 ל- 6 שנות מאסר, ובנסיבות בהן התיק החל להיות מנוהל, התקבל תסקיר שלילי, וחלקו בביצוע העבירה זהה אם לא חמור יותר מחלקו של נאשם 1 שקנה את הנשק, העונש של הנאשם  צריך להיות קצת מעל הרף התחתון. על כן, עונש של 30 חודשי מאסר הוא עונש ראוי, ויש להטיל בנוסף להטיל מאסר על תנאי וקנס משמעותי. </w:t>
      </w:r>
    </w:p>
    <w:p w14:paraId="257CE8C8" w14:textId="77777777" w:rsidR="009E7F3C" w:rsidRPr="00DA2A8F" w:rsidRDefault="009E7F3C" w:rsidP="009E7F3C">
      <w:pPr>
        <w:spacing w:line="360" w:lineRule="auto"/>
        <w:ind w:left="720" w:hanging="720"/>
        <w:jc w:val="both"/>
        <w:rPr>
          <w:rFonts w:ascii="David" w:hAnsi="David"/>
          <w:rtl/>
        </w:rPr>
      </w:pPr>
    </w:p>
    <w:p w14:paraId="43FB158D" w14:textId="77777777" w:rsidR="009E7F3C" w:rsidRPr="00DA2A8F" w:rsidRDefault="009E7F3C" w:rsidP="009E7F3C">
      <w:pPr>
        <w:numPr>
          <w:ilvl w:val="0"/>
          <w:numId w:val="1"/>
        </w:numPr>
        <w:spacing w:line="360" w:lineRule="auto"/>
        <w:jc w:val="both"/>
      </w:pPr>
      <w:r w:rsidRPr="00DA2A8F">
        <w:rPr>
          <w:rtl/>
        </w:rPr>
        <w:t xml:space="preserve">הסניגור הדגיש, כי הנאשם היה במעצר מעל לחודשיים, הועבר למעצר בתנאי איזוק למשך כ – 8 חודשים, ומאז מרץ 2018 מצוי בתנאים מגבילים בשעות הלילה, כשלאורך כל התקופה הוא מורחק מאשתו וילדיו, אשר מתגוררים בלוד. </w:t>
      </w:r>
    </w:p>
    <w:p w14:paraId="12769459" w14:textId="77777777" w:rsidR="009E7F3C" w:rsidRPr="00DA2A8F" w:rsidRDefault="009E7F3C" w:rsidP="009E7F3C">
      <w:pPr>
        <w:spacing w:line="360" w:lineRule="auto"/>
        <w:ind w:left="720" w:hanging="720"/>
        <w:jc w:val="both"/>
      </w:pPr>
      <w:r w:rsidRPr="00DA2A8F">
        <w:rPr>
          <w:rtl/>
        </w:rPr>
        <w:tab/>
        <w:t>הדגיש, כי הגיע להבנות עם הפרקליטות עוד בתחילת ההליך, אך נאלץ לנהל הוכחות בשל  עמדת הפרקליטות ועמדתו של הנאשם 1, כשהוא חשש מלשמש כעד תביעה. הנאשם מודה במיוחס לו, מתחרט על מעשיו, ובעל תובנה לחומרתם.</w:t>
      </w:r>
    </w:p>
    <w:p w14:paraId="6A25D0CD" w14:textId="77777777" w:rsidR="009E7F3C" w:rsidRPr="00DA2A8F" w:rsidRDefault="009E7F3C" w:rsidP="009E7F3C">
      <w:pPr>
        <w:spacing w:line="360" w:lineRule="auto"/>
        <w:ind w:left="720" w:hanging="720"/>
        <w:jc w:val="both"/>
        <w:rPr>
          <w:rtl/>
        </w:rPr>
      </w:pPr>
      <w:r w:rsidRPr="00DA2A8F">
        <w:rPr>
          <w:rtl/>
        </w:rPr>
        <w:tab/>
        <w:t>הזכיר, כי לנאשם 1 עבר פלילי כבד, הוא זה שפנה ולחץ על הנאשם, שלא קיבל כל תמורה על חלקו. האזנות הסתר בתיק מעידות כי הנאשם לא היה מוכר למשטרה.</w:t>
      </w:r>
    </w:p>
    <w:p w14:paraId="47C84AB3" w14:textId="77777777" w:rsidR="009E7F3C" w:rsidRPr="00DA2A8F" w:rsidRDefault="009E7F3C" w:rsidP="009E7F3C">
      <w:pPr>
        <w:spacing w:line="360" w:lineRule="auto"/>
        <w:ind w:left="720" w:hanging="720"/>
        <w:jc w:val="both"/>
      </w:pPr>
      <w:r w:rsidRPr="00DA2A8F">
        <w:rPr>
          <w:rtl/>
        </w:rPr>
        <w:tab/>
        <w:t xml:space="preserve">לעומתו, הנאשם נעדר עבר פלילי, ואינו יודע קרוא וכתוב. הסניגור תקף את האמור בתסקיר שירות המבחן, ובין השאר הכחיש את האמירה לפיה הנאשם מנהל קשרים שוליים – גם אם חלק מבני משפחתו נחשבים עבריינים. </w:t>
      </w:r>
    </w:p>
    <w:p w14:paraId="69E68307" w14:textId="77777777" w:rsidR="009E7F3C" w:rsidRPr="00DA2A8F" w:rsidRDefault="009E7F3C" w:rsidP="009E7F3C">
      <w:pPr>
        <w:spacing w:line="360" w:lineRule="auto"/>
        <w:ind w:left="720" w:hanging="720"/>
        <w:jc w:val="both"/>
        <w:rPr>
          <w:rtl/>
        </w:rPr>
      </w:pPr>
      <w:r w:rsidRPr="00DA2A8F">
        <w:rPr>
          <w:rtl/>
        </w:rPr>
        <w:tab/>
        <w:t>ניתוח גזר-הדין של נאשם 1 מעיד על כך, שעל הנאשם ראוי שייגזר עונש של שנת מאסר. בהתחשב בתקופה בה שהה במעצר ממש ובמעצר בתנאי איזוק בהרחקה מבני משפחתו, יש להשית עליו עונש של עבודות שירות לתקופה של 9 חודשים (ללא ניכוי תקופת המעצר), כך שהתוצאה הסופית ממילא מתקרבת לענישה הראויה של שנת מאסר בפועל. טען, כי אינו מתייחס לעבירה של הובלת הנשק, שהיא עבירה נלווית, הרכב הוא של הנאשם 1 ואלמלא הנאשם 1 נסע ברכב, מעשיו של הנאשם לא היו מגיעים לכדי ביצוע עבירה.</w:t>
      </w:r>
    </w:p>
    <w:p w14:paraId="4B3D80C1" w14:textId="77777777" w:rsidR="009E7F3C" w:rsidRPr="00DA2A8F" w:rsidRDefault="009E7F3C" w:rsidP="009E7F3C">
      <w:pPr>
        <w:spacing w:line="360" w:lineRule="auto"/>
        <w:ind w:left="720" w:hanging="720"/>
        <w:jc w:val="both"/>
        <w:rPr>
          <w:rFonts w:ascii="David" w:hAnsi="David"/>
          <w:rtl/>
        </w:rPr>
      </w:pPr>
    </w:p>
    <w:p w14:paraId="11814475" w14:textId="77777777" w:rsidR="009E7F3C" w:rsidRPr="00DA2A8F" w:rsidRDefault="009E7F3C" w:rsidP="009E7F3C">
      <w:pPr>
        <w:numPr>
          <w:ilvl w:val="0"/>
          <w:numId w:val="1"/>
        </w:numPr>
        <w:spacing w:line="360" w:lineRule="auto"/>
        <w:jc w:val="both"/>
        <w:rPr>
          <w:rtl/>
        </w:rPr>
      </w:pPr>
      <w:r w:rsidRPr="00DA2A8F">
        <w:rPr>
          <w:rtl/>
        </w:rPr>
        <w:t>בדברו לבית-המשפט, מסר הנאשם כי: "</w:t>
      </w:r>
      <w:r w:rsidRPr="00DA2A8F">
        <w:rPr>
          <w:b/>
          <w:bCs/>
          <w:rtl/>
        </w:rPr>
        <w:t>אני מתנצל על זה, אני הודיתי בתיק וזה היה לחץ מהנאשם 1 ואני אף פעם לא היו לי עבירות. אני יש לי 3 ילדים ויש לי אישה ואני מורחק מהם ואני לא יודע מה לעשות ואני מתנצל על זה. אם הייתי מגיע הביתה היו הורגים אותי על העבירה הזו, האחים שלי לא עבריינים ואני מודה בעבירה ואני מתנצל על זה.</w:t>
      </w:r>
      <w:r w:rsidRPr="00DA2A8F">
        <w:rPr>
          <w:rtl/>
        </w:rPr>
        <w:t xml:space="preserve">" (עמ' 60- 61 לפרוטוקול).  </w:t>
      </w:r>
    </w:p>
    <w:p w14:paraId="272BF5E7" w14:textId="77777777" w:rsidR="009E7F3C" w:rsidRPr="00DA2A8F" w:rsidRDefault="009E7F3C" w:rsidP="009E7F3C">
      <w:pPr>
        <w:spacing w:line="360" w:lineRule="auto"/>
        <w:ind w:left="720" w:hanging="720"/>
        <w:jc w:val="both"/>
        <w:rPr>
          <w:rFonts w:ascii="David" w:hAnsi="David"/>
          <w:rtl/>
        </w:rPr>
      </w:pPr>
    </w:p>
    <w:p w14:paraId="5C8557A3" w14:textId="77777777" w:rsidR="009E7F3C" w:rsidRPr="00DA2A8F" w:rsidRDefault="009E7F3C" w:rsidP="009E7F3C">
      <w:pPr>
        <w:spacing w:line="360" w:lineRule="auto"/>
        <w:ind w:left="720" w:hanging="720"/>
        <w:jc w:val="both"/>
        <w:rPr>
          <w:rFonts w:ascii="David" w:hAnsi="David"/>
          <w:b/>
          <w:bCs/>
          <w:u w:val="single"/>
          <w:rtl/>
        </w:rPr>
      </w:pPr>
      <w:r w:rsidRPr="00DA2A8F">
        <w:rPr>
          <w:rFonts w:ascii="David" w:hAnsi="David"/>
          <w:b/>
          <w:bCs/>
          <w:u w:val="single"/>
          <w:rtl/>
        </w:rPr>
        <w:t>דיון והכרעה</w:t>
      </w:r>
    </w:p>
    <w:p w14:paraId="027FF551" w14:textId="77777777" w:rsidR="009E7F3C" w:rsidRPr="00DA2A8F" w:rsidRDefault="009E7F3C" w:rsidP="009E7F3C">
      <w:pPr>
        <w:spacing w:line="360" w:lineRule="auto"/>
        <w:ind w:left="720" w:hanging="720"/>
        <w:jc w:val="both"/>
        <w:rPr>
          <w:rFonts w:ascii="David" w:hAnsi="David"/>
          <w:b/>
          <w:bCs/>
          <w:u w:val="single"/>
          <w:rtl/>
        </w:rPr>
      </w:pPr>
    </w:p>
    <w:p w14:paraId="01F2C386" w14:textId="77777777" w:rsidR="009E7F3C" w:rsidRPr="00DA2A8F" w:rsidRDefault="009E7F3C" w:rsidP="009E7F3C">
      <w:pPr>
        <w:numPr>
          <w:ilvl w:val="0"/>
          <w:numId w:val="1"/>
        </w:numPr>
        <w:spacing w:line="360" w:lineRule="auto"/>
        <w:jc w:val="both"/>
        <w:rPr>
          <w:rFonts w:ascii="Calibri" w:hAnsi="Calibri"/>
        </w:rPr>
      </w:pPr>
      <w:r w:rsidRPr="00DA2A8F">
        <w:rPr>
          <w:rtl/>
        </w:rPr>
        <w:t>בהתאם להוראות תיקון 113 ל</w:t>
      </w:r>
      <w:hyperlink r:id="rId16" w:history="1">
        <w:r w:rsidR="00F81468" w:rsidRPr="00DA2A8F">
          <w:rPr>
            <w:color w:val="0000FF"/>
            <w:u w:val="single"/>
            <w:rtl/>
          </w:rPr>
          <w:t>חוק העונשין</w:t>
        </w:r>
      </w:hyperlink>
      <w:r w:rsidRPr="00DA2A8F">
        <w:rPr>
          <w:rtl/>
        </w:rPr>
        <w:t xml:space="preserve"> </w:t>
      </w:r>
      <w:hyperlink r:id="rId17" w:history="1">
        <w:r w:rsidR="00DA2A8F" w:rsidRPr="00DA2A8F">
          <w:rPr>
            <w:color w:val="0000FF"/>
            <w:u w:val="single"/>
            <w:rtl/>
          </w:rPr>
          <w:t>בסעיף 40ג(א)</w:t>
        </w:r>
      </w:hyperlink>
      <w:r w:rsidRPr="00DA2A8F">
        <w:rPr>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5943ADC4" w14:textId="77777777" w:rsidR="009E7F3C" w:rsidRPr="00DA2A8F" w:rsidRDefault="009E7F3C" w:rsidP="009E7F3C">
      <w:pPr>
        <w:spacing w:line="360" w:lineRule="auto"/>
        <w:ind w:left="720"/>
        <w:jc w:val="both"/>
        <w:rPr>
          <w:rFonts w:ascii="Calibri" w:hAnsi="Calibri"/>
        </w:rPr>
      </w:pPr>
    </w:p>
    <w:p w14:paraId="146E30FC" w14:textId="77777777" w:rsidR="009E7F3C" w:rsidRPr="00DA2A8F" w:rsidRDefault="009E7F3C" w:rsidP="009E7F3C">
      <w:pPr>
        <w:numPr>
          <w:ilvl w:val="0"/>
          <w:numId w:val="1"/>
        </w:numPr>
        <w:spacing w:line="360" w:lineRule="auto"/>
        <w:jc w:val="both"/>
        <w:rPr>
          <w:rFonts w:ascii="Calibri" w:hAnsi="Calibri"/>
        </w:rPr>
      </w:pPr>
      <w:r w:rsidRPr="00DA2A8F">
        <w:rPr>
          <w:rtl/>
        </w:rPr>
        <w:t xml:space="preserve">העבירה המרכזית אותה ביצע הנאשם היא עבירת נשק חמורה, לצידה קבע המחוקק עונש של 15 שנות מאסר, ובמעשיו פגע </w:t>
      </w:r>
      <w:r w:rsidRPr="00DA2A8F">
        <w:rPr>
          <w:u w:val="single"/>
          <w:rtl/>
        </w:rPr>
        <w:t>בערך המוגן</w:t>
      </w:r>
      <w:r w:rsidRPr="00DA2A8F">
        <w:rPr>
          <w:rtl/>
        </w:rPr>
        <w:t xml:space="preserve"> של שלום הציבור ובטחונו: </w:t>
      </w:r>
    </w:p>
    <w:p w14:paraId="6259FE40" w14:textId="77777777" w:rsidR="009E7F3C" w:rsidRPr="00DA2A8F" w:rsidRDefault="009E7F3C" w:rsidP="009E7F3C">
      <w:pPr>
        <w:ind w:left="720"/>
        <w:contextualSpacing/>
        <w:rPr>
          <w:rFonts w:ascii="David" w:hAnsi="David"/>
          <w:rtl/>
        </w:rPr>
      </w:pPr>
    </w:p>
    <w:p w14:paraId="317BBAC3" w14:textId="77777777" w:rsidR="009E7F3C" w:rsidRPr="00DA2A8F" w:rsidRDefault="009E7F3C" w:rsidP="009E7F3C">
      <w:pPr>
        <w:spacing w:line="360" w:lineRule="auto"/>
        <w:ind w:left="1444"/>
        <w:jc w:val="both"/>
        <w:rPr>
          <w:rtl/>
        </w:rPr>
      </w:pPr>
      <w:r w:rsidRPr="00DA2A8F">
        <w:rPr>
          <w:b/>
          <w:bCs/>
          <w:rtl/>
        </w:rPr>
        <w:t>"להעברתם של כלי נשק מיד ליד באופן בלתי חוקי, ללא פיקוח או בקרה, עלולות להיות השלכות הרות אסון. פעילות עבריינית כזו יכולה להוליד תוצאות קשות ועל כן היא מהווה סיכון ממשי לשלומו של הציבור..."</w:t>
      </w:r>
      <w:r w:rsidRPr="00DA2A8F">
        <w:rPr>
          <w:rtl/>
        </w:rPr>
        <w:t xml:space="preserve"> (</w:t>
      </w:r>
      <w:hyperlink r:id="rId18" w:history="1">
        <w:r w:rsidR="00F81468" w:rsidRPr="00DA2A8F">
          <w:rPr>
            <w:color w:val="0000FF"/>
            <w:u w:val="single"/>
            <w:rtl/>
          </w:rPr>
          <w:t>ע"פ 1903/13</w:t>
        </w:r>
      </w:hyperlink>
      <w:r w:rsidRPr="00DA2A8F">
        <w:rPr>
          <w:rtl/>
        </w:rPr>
        <w:t xml:space="preserve"> </w:t>
      </w:r>
      <w:r w:rsidRPr="00DA2A8F">
        <w:rPr>
          <w:b/>
          <w:bCs/>
          <w:rtl/>
        </w:rPr>
        <w:t xml:space="preserve">עאישה נגד מדינת ישראל </w:t>
      </w:r>
      <w:r w:rsidRPr="00DA2A8F">
        <w:rPr>
          <w:rtl/>
        </w:rPr>
        <w:t>[14.7.13]).</w:t>
      </w:r>
    </w:p>
    <w:p w14:paraId="72B898B0" w14:textId="77777777" w:rsidR="009E7F3C" w:rsidRPr="00DA2A8F" w:rsidRDefault="009E7F3C" w:rsidP="009E7F3C">
      <w:pPr>
        <w:spacing w:line="360" w:lineRule="auto"/>
        <w:ind w:left="720" w:hanging="720"/>
        <w:jc w:val="both"/>
        <w:rPr>
          <w:rFonts w:ascii="Calibri" w:hAnsi="Calibri"/>
          <w:u w:val="single"/>
          <w:rtl/>
        </w:rPr>
      </w:pPr>
    </w:p>
    <w:p w14:paraId="2EC68D94" w14:textId="77777777" w:rsidR="009E7F3C" w:rsidRPr="00DA2A8F" w:rsidRDefault="009E7F3C" w:rsidP="009E7F3C">
      <w:pPr>
        <w:spacing w:line="360" w:lineRule="auto"/>
        <w:ind w:left="720" w:hanging="720"/>
        <w:contextualSpacing/>
        <w:jc w:val="both"/>
        <w:rPr>
          <w:rFonts w:ascii="Calibri" w:hAnsi="Calibri"/>
          <w:rtl/>
        </w:rPr>
      </w:pPr>
      <w:r w:rsidRPr="00DA2A8F">
        <w:rPr>
          <w:rFonts w:ascii="Calibri" w:hAnsi="Calibri"/>
          <w:rtl/>
        </w:rPr>
        <w:tab/>
      </w:r>
      <w:r w:rsidRPr="00DA2A8F">
        <w:rPr>
          <w:rFonts w:ascii="Calibri" w:hAnsi="Calibri" w:hint="eastAsia"/>
          <w:rtl/>
        </w:rPr>
        <w:t>במקרה</w:t>
      </w:r>
      <w:r w:rsidRPr="00DA2A8F">
        <w:rPr>
          <w:rFonts w:ascii="Calibri" w:hAnsi="Calibri"/>
          <w:rtl/>
        </w:rPr>
        <w:t xml:space="preserve"> </w:t>
      </w:r>
      <w:r w:rsidRPr="00DA2A8F">
        <w:rPr>
          <w:rFonts w:ascii="Calibri" w:hAnsi="Calibri" w:hint="eastAsia"/>
          <w:rtl/>
        </w:rPr>
        <w:t>דנן</w:t>
      </w:r>
      <w:r w:rsidRPr="00DA2A8F">
        <w:rPr>
          <w:rFonts w:ascii="Calibri" w:hAnsi="Calibri"/>
          <w:rtl/>
        </w:rPr>
        <w:t xml:space="preserve"> </w:t>
      </w:r>
      <w:r w:rsidRPr="00DA2A8F">
        <w:rPr>
          <w:rFonts w:ascii="Calibri" w:hAnsi="Calibri" w:hint="eastAsia"/>
          <w:rtl/>
        </w:rPr>
        <w:t>הפגיעה</w:t>
      </w:r>
      <w:r w:rsidRPr="00DA2A8F">
        <w:rPr>
          <w:rFonts w:ascii="Calibri" w:hAnsi="Calibri"/>
          <w:rtl/>
        </w:rPr>
        <w:t xml:space="preserve"> </w:t>
      </w:r>
      <w:r w:rsidRPr="00DA2A8F">
        <w:rPr>
          <w:rFonts w:ascii="Calibri" w:hAnsi="Calibri" w:hint="eastAsia"/>
          <w:rtl/>
        </w:rPr>
        <w:t>בערך</w:t>
      </w:r>
      <w:r w:rsidRPr="00DA2A8F">
        <w:rPr>
          <w:rFonts w:ascii="Calibri" w:hAnsi="Calibri"/>
          <w:rtl/>
        </w:rPr>
        <w:t xml:space="preserve"> </w:t>
      </w:r>
      <w:r w:rsidRPr="00DA2A8F">
        <w:rPr>
          <w:rFonts w:ascii="Calibri" w:hAnsi="Calibri" w:hint="eastAsia"/>
          <w:rtl/>
        </w:rPr>
        <w:t>המוגן</w:t>
      </w:r>
      <w:r w:rsidRPr="00DA2A8F">
        <w:rPr>
          <w:rFonts w:ascii="Calibri" w:hAnsi="Calibri"/>
          <w:rtl/>
        </w:rPr>
        <w:t xml:space="preserve"> </w:t>
      </w:r>
      <w:r w:rsidRPr="00DA2A8F">
        <w:rPr>
          <w:rFonts w:ascii="Calibri" w:hAnsi="Calibri" w:hint="eastAsia"/>
          <w:rtl/>
        </w:rPr>
        <w:t>היא</w:t>
      </w:r>
      <w:r w:rsidRPr="00DA2A8F">
        <w:rPr>
          <w:rFonts w:ascii="Calibri" w:hAnsi="Calibri"/>
          <w:rtl/>
        </w:rPr>
        <w:t xml:space="preserve"> </w:t>
      </w:r>
      <w:r w:rsidRPr="00DA2A8F">
        <w:rPr>
          <w:rFonts w:ascii="Calibri" w:hAnsi="Calibri" w:hint="eastAsia"/>
          <w:rtl/>
        </w:rPr>
        <w:t>בעוצמה</w:t>
      </w:r>
      <w:r w:rsidRPr="00DA2A8F">
        <w:rPr>
          <w:rFonts w:ascii="Calibri" w:hAnsi="Calibri"/>
          <w:rtl/>
        </w:rPr>
        <w:t xml:space="preserve"> </w:t>
      </w:r>
      <w:r w:rsidRPr="00DA2A8F">
        <w:rPr>
          <w:rFonts w:ascii="Calibri" w:hAnsi="Calibri" w:hint="eastAsia"/>
          <w:rtl/>
        </w:rPr>
        <w:t>גבוהה</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רקע</w:t>
      </w:r>
      <w:r w:rsidRPr="00DA2A8F">
        <w:rPr>
          <w:rFonts w:ascii="Calibri" w:hAnsi="Calibri"/>
          <w:rtl/>
        </w:rPr>
        <w:t xml:space="preserve"> </w:t>
      </w:r>
      <w:r w:rsidRPr="00DA2A8F">
        <w:rPr>
          <w:rFonts w:ascii="Calibri" w:hAnsi="Calibri" w:hint="eastAsia"/>
          <w:rtl/>
        </w:rPr>
        <w:t>מעורבותו</w:t>
      </w:r>
      <w:r w:rsidRPr="00DA2A8F">
        <w:rPr>
          <w:rFonts w:ascii="Calibri" w:hAnsi="Calibri"/>
          <w:rtl/>
        </w:rPr>
        <w:t xml:space="preserve"> </w:t>
      </w:r>
      <w:r w:rsidRPr="00DA2A8F">
        <w:rPr>
          <w:rFonts w:ascii="Calibri" w:hAnsi="Calibri" w:hint="eastAsia"/>
          <w:rtl/>
        </w:rPr>
        <w:t>הדומיננטית</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הנאשם</w:t>
      </w:r>
      <w:r w:rsidRPr="00DA2A8F">
        <w:rPr>
          <w:rFonts w:ascii="Calibri" w:hAnsi="Calibri"/>
          <w:rtl/>
        </w:rPr>
        <w:t xml:space="preserve"> </w:t>
      </w:r>
      <w:r w:rsidRPr="00DA2A8F">
        <w:rPr>
          <w:rFonts w:ascii="Calibri" w:hAnsi="Calibri" w:hint="eastAsia"/>
          <w:rtl/>
        </w:rPr>
        <w:t>באירוע</w:t>
      </w:r>
      <w:r w:rsidRPr="00DA2A8F">
        <w:rPr>
          <w:rFonts w:ascii="Calibri" w:hAnsi="Calibri"/>
          <w:rtl/>
        </w:rPr>
        <w:t xml:space="preserve"> </w:t>
      </w:r>
      <w:r w:rsidRPr="00DA2A8F">
        <w:rPr>
          <w:rFonts w:ascii="Calibri" w:hAnsi="Calibri" w:hint="eastAsia"/>
          <w:rtl/>
        </w:rPr>
        <w:t>והעובדה</w:t>
      </w:r>
      <w:r w:rsidRPr="00DA2A8F">
        <w:rPr>
          <w:rFonts w:ascii="Calibri" w:hAnsi="Calibri"/>
          <w:rtl/>
        </w:rPr>
        <w:t xml:space="preserve"> </w:t>
      </w:r>
      <w:r w:rsidRPr="00DA2A8F">
        <w:rPr>
          <w:rFonts w:ascii="Calibri" w:hAnsi="Calibri" w:hint="eastAsia"/>
          <w:rtl/>
        </w:rPr>
        <w:t>שהביא</w:t>
      </w:r>
      <w:r w:rsidRPr="00DA2A8F">
        <w:rPr>
          <w:rFonts w:ascii="Calibri" w:hAnsi="Calibri"/>
          <w:rtl/>
        </w:rPr>
        <w:t xml:space="preserve"> </w:t>
      </w:r>
      <w:r w:rsidRPr="00DA2A8F">
        <w:rPr>
          <w:rFonts w:ascii="Calibri" w:hAnsi="Calibri" w:hint="eastAsia"/>
          <w:rtl/>
        </w:rPr>
        <w:t>לכך</w:t>
      </w:r>
      <w:r w:rsidRPr="00DA2A8F">
        <w:rPr>
          <w:rFonts w:ascii="Calibri" w:hAnsi="Calibri"/>
          <w:rtl/>
        </w:rPr>
        <w:t xml:space="preserve"> </w:t>
      </w:r>
      <w:r w:rsidRPr="00DA2A8F">
        <w:rPr>
          <w:rFonts w:ascii="Calibri" w:hAnsi="Calibri" w:hint="eastAsia"/>
          <w:rtl/>
        </w:rPr>
        <w:t>שנשק</w:t>
      </w:r>
      <w:r w:rsidRPr="00DA2A8F">
        <w:rPr>
          <w:rFonts w:ascii="Calibri" w:hAnsi="Calibri"/>
          <w:rtl/>
        </w:rPr>
        <w:t xml:space="preserve"> </w:t>
      </w:r>
      <w:r w:rsidRPr="00DA2A8F">
        <w:rPr>
          <w:rFonts w:ascii="Calibri" w:hAnsi="Calibri" w:hint="eastAsia"/>
          <w:rtl/>
        </w:rPr>
        <w:t>קטלני</w:t>
      </w:r>
      <w:r w:rsidRPr="00DA2A8F">
        <w:rPr>
          <w:rFonts w:ascii="Calibri" w:hAnsi="Calibri"/>
          <w:rtl/>
        </w:rPr>
        <w:t xml:space="preserve"> </w:t>
      </w:r>
      <w:r w:rsidRPr="00DA2A8F">
        <w:rPr>
          <w:rFonts w:ascii="Calibri" w:hAnsi="Calibri" w:hint="eastAsia"/>
          <w:rtl/>
        </w:rPr>
        <w:t>יחד</w:t>
      </w:r>
      <w:r w:rsidRPr="00DA2A8F">
        <w:rPr>
          <w:rFonts w:ascii="Calibri" w:hAnsi="Calibri"/>
          <w:rtl/>
        </w:rPr>
        <w:t xml:space="preserve"> </w:t>
      </w:r>
      <w:r w:rsidRPr="00DA2A8F">
        <w:rPr>
          <w:rFonts w:ascii="Calibri" w:hAnsi="Calibri" w:hint="eastAsia"/>
          <w:rtl/>
        </w:rPr>
        <w:t>עם</w:t>
      </w:r>
      <w:r w:rsidRPr="00DA2A8F">
        <w:rPr>
          <w:rFonts w:ascii="Calibri" w:hAnsi="Calibri"/>
          <w:rtl/>
        </w:rPr>
        <w:t xml:space="preserve"> </w:t>
      </w:r>
      <w:r w:rsidRPr="00DA2A8F">
        <w:rPr>
          <w:rFonts w:ascii="Calibri" w:hAnsi="Calibri" w:hint="eastAsia"/>
          <w:rtl/>
        </w:rPr>
        <w:t>תחמושת</w:t>
      </w:r>
      <w:r w:rsidRPr="00DA2A8F">
        <w:rPr>
          <w:rFonts w:ascii="Calibri" w:hAnsi="Calibri"/>
          <w:rtl/>
        </w:rPr>
        <w:t xml:space="preserve"> </w:t>
      </w:r>
      <w:r w:rsidRPr="00DA2A8F">
        <w:rPr>
          <w:rFonts w:ascii="Calibri" w:hAnsi="Calibri" w:hint="eastAsia"/>
          <w:rtl/>
        </w:rPr>
        <w:t>מותאמת</w:t>
      </w:r>
      <w:r w:rsidRPr="00DA2A8F">
        <w:rPr>
          <w:rFonts w:ascii="Calibri" w:hAnsi="Calibri"/>
          <w:rtl/>
        </w:rPr>
        <w:t xml:space="preserve"> </w:t>
      </w:r>
      <w:r w:rsidRPr="00DA2A8F">
        <w:rPr>
          <w:rFonts w:ascii="Calibri" w:hAnsi="Calibri" w:hint="eastAsia"/>
          <w:rtl/>
        </w:rPr>
        <w:t>התגלגל</w:t>
      </w:r>
      <w:r w:rsidRPr="00DA2A8F">
        <w:rPr>
          <w:rFonts w:ascii="Calibri" w:hAnsi="Calibri"/>
          <w:rtl/>
        </w:rPr>
        <w:t xml:space="preserve"> </w:t>
      </w:r>
      <w:r w:rsidRPr="00DA2A8F">
        <w:rPr>
          <w:rFonts w:ascii="Calibri" w:hAnsi="Calibri" w:hint="eastAsia"/>
          <w:rtl/>
        </w:rPr>
        <w:t>לידי</w:t>
      </w:r>
      <w:r w:rsidRPr="00DA2A8F">
        <w:rPr>
          <w:rFonts w:ascii="Calibri" w:hAnsi="Calibri"/>
          <w:rtl/>
        </w:rPr>
        <w:t xml:space="preserve"> </w:t>
      </w:r>
      <w:r w:rsidRPr="00DA2A8F">
        <w:rPr>
          <w:rFonts w:ascii="Calibri" w:hAnsi="Calibri" w:hint="eastAsia"/>
          <w:rtl/>
        </w:rPr>
        <w:t>ידיים</w:t>
      </w:r>
      <w:r w:rsidRPr="00DA2A8F">
        <w:rPr>
          <w:rFonts w:ascii="Calibri" w:hAnsi="Calibri"/>
          <w:rtl/>
        </w:rPr>
        <w:t xml:space="preserve"> </w:t>
      </w:r>
      <w:r w:rsidRPr="00DA2A8F">
        <w:rPr>
          <w:rFonts w:ascii="Calibri" w:hAnsi="Calibri" w:hint="eastAsia"/>
          <w:rtl/>
        </w:rPr>
        <w:t>עברייניות</w:t>
      </w:r>
      <w:r w:rsidRPr="00DA2A8F">
        <w:rPr>
          <w:rFonts w:ascii="Calibri" w:hAnsi="Calibri"/>
          <w:rtl/>
        </w:rPr>
        <w:t xml:space="preserve">.  </w:t>
      </w:r>
    </w:p>
    <w:p w14:paraId="12322123"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b/>
          <w:bCs/>
          <w:rtl/>
        </w:rPr>
      </w:pPr>
    </w:p>
    <w:p w14:paraId="282E024D" w14:textId="77777777" w:rsidR="009E7F3C" w:rsidRPr="00DA2A8F" w:rsidRDefault="009E7F3C" w:rsidP="009E7F3C">
      <w:pPr>
        <w:numPr>
          <w:ilvl w:val="0"/>
          <w:numId w:val="1"/>
        </w:numPr>
        <w:spacing w:line="360" w:lineRule="auto"/>
        <w:jc w:val="both"/>
      </w:pPr>
      <w:r w:rsidRPr="00DA2A8F">
        <w:rPr>
          <w:rtl/>
        </w:rPr>
        <w:t xml:space="preserve">באשר </w:t>
      </w:r>
      <w:r w:rsidRPr="00DA2A8F">
        <w:rPr>
          <w:u w:val="single"/>
          <w:rtl/>
        </w:rPr>
        <w:t>לנסיבות הקשורות בביצוע העבירה</w:t>
      </w:r>
      <w:r w:rsidRPr="00DA2A8F">
        <w:rPr>
          <w:rtl/>
        </w:rPr>
        <w:t xml:space="preserve">, לפי </w:t>
      </w:r>
      <w:hyperlink r:id="rId19" w:history="1">
        <w:r w:rsidR="00DA2A8F" w:rsidRPr="00DA2A8F">
          <w:rPr>
            <w:color w:val="0000FF"/>
            <w:u w:val="single"/>
            <w:rtl/>
          </w:rPr>
          <w:t>סעיף 40ט(א)</w:t>
        </w:r>
      </w:hyperlink>
      <w:r w:rsidRPr="00DA2A8F">
        <w:rPr>
          <w:rtl/>
        </w:rPr>
        <w:t xml:space="preserve"> ל</w:t>
      </w:r>
      <w:hyperlink r:id="rId20" w:history="1">
        <w:r w:rsidR="00F81468" w:rsidRPr="00DA2A8F">
          <w:rPr>
            <w:color w:val="0000FF"/>
            <w:u w:val="single"/>
            <w:rtl/>
          </w:rPr>
          <w:t>חוק העונשין</w:t>
        </w:r>
      </w:hyperlink>
      <w:r w:rsidRPr="00DA2A8F">
        <w:rPr>
          <w:rtl/>
        </w:rPr>
        <w:t xml:space="preserve"> ייאמר, כי הנאשם </w:t>
      </w:r>
      <w:r w:rsidRPr="00DA2A8F">
        <w:rPr>
          <w:rFonts w:ascii="Calibri" w:hAnsi="Calibri" w:hint="eastAsia"/>
          <w:rtl/>
        </w:rPr>
        <w:t>הוכיח</w:t>
      </w:r>
      <w:r w:rsidRPr="00DA2A8F">
        <w:rPr>
          <w:rFonts w:ascii="Calibri" w:hAnsi="Calibri"/>
          <w:rtl/>
        </w:rPr>
        <w:t xml:space="preserve"> </w:t>
      </w:r>
      <w:r w:rsidRPr="00DA2A8F">
        <w:rPr>
          <w:rFonts w:ascii="Calibri" w:hAnsi="Calibri" w:hint="eastAsia"/>
          <w:rtl/>
        </w:rPr>
        <w:t>שכלי</w:t>
      </w:r>
      <w:r w:rsidRPr="00DA2A8F">
        <w:rPr>
          <w:rFonts w:ascii="Calibri" w:hAnsi="Calibri"/>
          <w:rtl/>
        </w:rPr>
        <w:t xml:space="preserve"> </w:t>
      </w:r>
      <w:r w:rsidRPr="00DA2A8F">
        <w:rPr>
          <w:rFonts w:ascii="Calibri" w:hAnsi="Calibri" w:hint="eastAsia"/>
          <w:rtl/>
        </w:rPr>
        <w:t>נשק</w:t>
      </w:r>
      <w:r w:rsidRPr="00DA2A8F">
        <w:rPr>
          <w:rFonts w:ascii="Calibri" w:hAnsi="Calibri"/>
          <w:rtl/>
        </w:rPr>
        <w:t xml:space="preserve"> </w:t>
      </w:r>
      <w:r w:rsidRPr="00DA2A8F">
        <w:rPr>
          <w:rFonts w:ascii="Calibri" w:hAnsi="Calibri" w:hint="eastAsia"/>
          <w:rtl/>
        </w:rPr>
        <w:t>הוא</w:t>
      </w:r>
      <w:r w:rsidRPr="00DA2A8F">
        <w:rPr>
          <w:rFonts w:ascii="Calibri" w:hAnsi="Calibri"/>
          <w:rtl/>
        </w:rPr>
        <w:t xml:space="preserve"> </w:t>
      </w:r>
      <w:r w:rsidRPr="00DA2A8F">
        <w:rPr>
          <w:rFonts w:ascii="Calibri" w:hAnsi="Calibri" w:hint="eastAsia"/>
          <w:rtl/>
        </w:rPr>
        <w:t>דבר</w:t>
      </w:r>
      <w:r w:rsidRPr="00DA2A8F">
        <w:rPr>
          <w:rFonts w:ascii="Calibri" w:hAnsi="Calibri"/>
          <w:rtl/>
        </w:rPr>
        <w:t xml:space="preserve"> </w:t>
      </w:r>
      <w:r w:rsidRPr="00DA2A8F">
        <w:rPr>
          <w:rFonts w:ascii="Calibri" w:hAnsi="Calibri" w:hint="eastAsia"/>
          <w:rtl/>
        </w:rPr>
        <w:t>זמין</w:t>
      </w:r>
      <w:r w:rsidRPr="00DA2A8F">
        <w:rPr>
          <w:rFonts w:ascii="Calibri" w:hAnsi="Calibri"/>
          <w:rtl/>
        </w:rPr>
        <w:t xml:space="preserve"> </w:t>
      </w:r>
      <w:r w:rsidRPr="00DA2A8F">
        <w:rPr>
          <w:rFonts w:ascii="Calibri" w:hAnsi="Calibri" w:hint="eastAsia"/>
          <w:rtl/>
        </w:rPr>
        <w:t>עבורו</w:t>
      </w:r>
      <w:r w:rsidRPr="00DA2A8F">
        <w:rPr>
          <w:rFonts w:ascii="Calibri" w:hAnsi="Calibri"/>
          <w:rtl/>
        </w:rPr>
        <w:t xml:space="preserve">, </w:t>
      </w:r>
      <w:r w:rsidRPr="00DA2A8F">
        <w:rPr>
          <w:rFonts w:ascii="Calibri" w:hAnsi="Calibri" w:hint="eastAsia"/>
          <w:rtl/>
        </w:rPr>
        <w:t>והוא</w:t>
      </w:r>
      <w:r w:rsidRPr="00DA2A8F">
        <w:rPr>
          <w:rFonts w:ascii="Calibri" w:hAnsi="Calibri"/>
          <w:rtl/>
        </w:rPr>
        <w:t xml:space="preserve"> </w:t>
      </w:r>
      <w:r w:rsidRPr="00DA2A8F">
        <w:rPr>
          <w:rFonts w:ascii="Calibri" w:hAnsi="Calibri" w:hint="eastAsia"/>
          <w:rtl/>
        </w:rPr>
        <w:t>לא</w:t>
      </w:r>
      <w:r w:rsidRPr="00DA2A8F">
        <w:rPr>
          <w:rFonts w:ascii="Calibri" w:hAnsi="Calibri"/>
          <w:rtl/>
        </w:rPr>
        <w:t xml:space="preserve"> </w:t>
      </w:r>
      <w:r w:rsidRPr="00DA2A8F">
        <w:rPr>
          <w:rFonts w:ascii="Calibri" w:hAnsi="Calibri" w:hint="eastAsia"/>
          <w:rtl/>
        </w:rPr>
        <w:t>היסס</w:t>
      </w:r>
      <w:r w:rsidRPr="00DA2A8F">
        <w:rPr>
          <w:rFonts w:ascii="Calibri" w:hAnsi="Calibri"/>
          <w:rtl/>
        </w:rPr>
        <w:t xml:space="preserve"> </w:t>
      </w:r>
      <w:r w:rsidRPr="00DA2A8F">
        <w:rPr>
          <w:rFonts w:ascii="Calibri" w:hAnsi="Calibri" w:hint="eastAsia"/>
          <w:rtl/>
        </w:rPr>
        <w:t>למלא</w:t>
      </w:r>
      <w:r w:rsidRPr="00DA2A8F">
        <w:rPr>
          <w:rFonts w:ascii="Calibri" w:hAnsi="Calibri"/>
          <w:rtl/>
        </w:rPr>
        <w:t xml:space="preserve"> </w:t>
      </w:r>
      <w:r w:rsidRPr="00DA2A8F">
        <w:rPr>
          <w:rFonts w:ascii="Calibri" w:hAnsi="Calibri" w:hint="eastAsia"/>
          <w:rtl/>
        </w:rPr>
        <w:t>תפקיד</w:t>
      </w:r>
      <w:r w:rsidRPr="00DA2A8F">
        <w:rPr>
          <w:rFonts w:ascii="Calibri" w:hAnsi="Calibri"/>
          <w:rtl/>
        </w:rPr>
        <w:t xml:space="preserve"> </w:t>
      </w:r>
      <w:r w:rsidRPr="00DA2A8F">
        <w:rPr>
          <w:rFonts w:ascii="Calibri" w:hAnsi="Calibri" w:hint="eastAsia"/>
          <w:rtl/>
        </w:rPr>
        <w:t>משמעותי</w:t>
      </w:r>
      <w:r w:rsidRPr="00DA2A8F">
        <w:rPr>
          <w:rFonts w:ascii="Calibri" w:hAnsi="Calibri"/>
          <w:rtl/>
        </w:rPr>
        <w:t xml:space="preserve"> </w:t>
      </w:r>
      <w:r w:rsidRPr="00DA2A8F">
        <w:rPr>
          <w:rFonts w:ascii="Calibri" w:hAnsi="Calibri" w:hint="eastAsia"/>
          <w:rtl/>
        </w:rPr>
        <w:t>בעסקת</w:t>
      </w:r>
      <w:r w:rsidRPr="00DA2A8F">
        <w:rPr>
          <w:rFonts w:ascii="Calibri" w:hAnsi="Calibri"/>
          <w:rtl/>
        </w:rPr>
        <w:t xml:space="preserve"> </w:t>
      </w:r>
      <w:r w:rsidRPr="00DA2A8F">
        <w:rPr>
          <w:rFonts w:ascii="Calibri" w:hAnsi="Calibri" w:hint="eastAsia"/>
          <w:rtl/>
        </w:rPr>
        <w:t>הנשק</w:t>
      </w:r>
      <w:r w:rsidRPr="00DA2A8F">
        <w:rPr>
          <w:rFonts w:ascii="Calibri" w:hAnsi="Calibri"/>
          <w:rtl/>
        </w:rPr>
        <w:t xml:space="preserve">, </w:t>
      </w:r>
      <w:r w:rsidRPr="00DA2A8F">
        <w:rPr>
          <w:rFonts w:ascii="Calibri" w:hAnsi="Calibri" w:hint="eastAsia"/>
          <w:rtl/>
        </w:rPr>
        <w:t>גם</w:t>
      </w:r>
      <w:r w:rsidRPr="00DA2A8F">
        <w:rPr>
          <w:rFonts w:ascii="Calibri" w:hAnsi="Calibri"/>
          <w:rtl/>
        </w:rPr>
        <w:t xml:space="preserve"> </w:t>
      </w:r>
      <w:r w:rsidRPr="00DA2A8F">
        <w:rPr>
          <w:rFonts w:ascii="Calibri" w:hAnsi="Calibri" w:hint="eastAsia"/>
          <w:rtl/>
        </w:rPr>
        <w:t>אם</w:t>
      </w:r>
      <w:r w:rsidRPr="00DA2A8F">
        <w:rPr>
          <w:rFonts w:ascii="Calibri" w:hAnsi="Calibri"/>
          <w:rtl/>
        </w:rPr>
        <w:t xml:space="preserve"> </w:t>
      </w:r>
      <w:r w:rsidRPr="00DA2A8F">
        <w:rPr>
          <w:rFonts w:ascii="Calibri" w:hAnsi="Calibri" w:hint="eastAsia"/>
          <w:rtl/>
        </w:rPr>
        <w:t>הנאשם</w:t>
      </w:r>
      <w:r w:rsidRPr="00DA2A8F">
        <w:rPr>
          <w:rFonts w:ascii="Calibri" w:hAnsi="Calibri"/>
          <w:rtl/>
        </w:rPr>
        <w:t xml:space="preserve"> 1 </w:t>
      </w:r>
      <w:r w:rsidRPr="00DA2A8F">
        <w:rPr>
          <w:rFonts w:ascii="Calibri" w:hAnsi="Calibri" w:hint="eastAsia"/>
          <w:rtl/>
        </w:rPr>
        <w:t>הוא</w:t>
      </w:r>
      <w:r w:rsidRPr="00DA2A8F">
        <w:rPr>
          <w:rFonts w:ascii="Calibri" w:hAnsi="Calibri"/>
          <w:rtl/>
        </w:rPr>
        <w:t xml:space="preserve"> </w:t>
      </w:r>
      <w:r w:rsidRPr="00DA2A8F">
        <w:rPr>
          <w:rFonts w:ascii="Calibri" w:hAnsi="Calibri" w:hint="eastAsia"/>
          <w:rtl/>
        </w:rPr>
        <w:t>מי</w:t>
      </w:r>
      <w:r w:rsidRPr="00DA2A8F">
        <w:rPr>
          <w:rFonts w:ascii="Calibri" w:hAnsi="Calibri"/>
          <w:rtl/>
        </w:rPr>
        <w:t xml:space="preserve"> </w:t>
      </w:r>
      <w:r w:rsidRPr="00DA2A8F">
        <w:rPr>
          <w:rFonts w:ascii="Calibri" w:hAnsi="Calibri" w:hint="eastAsia"/>
          <w:rtl/>
        </w:rPr>
        <w:t>שחולל</w:t>
      </w:r>
      <w:r w:rsidRPr="00DA2A8F">
        <w:rPr>
          <w:rFonts w:ascii="Calibri" w:hAnsi="Calibri"/>
          <w:rtl/>
        </w:rPr>
        <w:t xml:space="preserve"> </w:t>
      </w:r>
      <w:r w:rsidRPr="00DA2A8F">
        <w:rPr>
          <w:rFonts w:ascii="Calibri" w:hAnsi="Calibri" w:hint="eastAsia"/>
          <w:rtl/>
        </w:rPr>
        <w:t>אותה</w:t>
      </w:r>
      <w:r w:rsidRPr="00DA2A8F">
        <w:rPr>
          <w:rFonts w:ascii="Calibri" w:hAnsi="Calibri"/>
          <w:rtl/>
        </w:rPr>
        <w:t xml:space="preserve">. </w:t>
      </w:r>
      <w:r w:rsidRPr="00DA2A8F">
        <w:rPr>
          <w:rtl/>
        </w:rPr>
        <w:t xml:space="preserve">הנאשם הוכיח מעורבות אינטנסיבית בעולם הנשק, בכך שידע למי עליו לפנות כדי להשיג נשק, ניהל מו"מ בקשר למחיר ולדבריו אף בדק בעצמו את הנשק. לאחר שהנאשם 1 הגיע אליו עוד באותו היום, הנאשם הוא זה שקיבל את התמורה לידיו – והביא למימוש העסקה כאשר הוא מסר לידי הנאשם 1 אקדח, מחסנית ושני כדורים. בסוף האירוע, הנאשם הוא שנהג ברכבו של הנאשם 1, למרגלותיו נמצאו הנשק והתחמושת. החלק האופרטיבי של העסקה, מהנקודה שהנאשם הודיע שיש ברשותו נשק, ועד לתפיסה, התרחש באותו היום – מה שמוכיח את הזמינות הגבוהה של הנאשם לנשק ולגורמים המעורים בו. </w:t>
      </w:r>
    </w:p>
    <w:p w14:paraId="081AFB80" w14:textId="77777777" w:rsidR="009E7F3C" w:rsidRPr="00DA2A8F" w:rsidRDefault="009E7F3C" w:rsidP="009E7F3C">
      <w:pPr>
        <w:spacing w:line="360" w:lineRule="auto"/>
        <w:ind w:left="720" w:hanging="720"/>
        <w:contextualSpacing/>
        <w:jc w:val="both"/>
        <w:rPr>
          <w:rFonts w:ascii="David" w:hAnsi="David"/>
          <w:rtl/>
        </w:rPr>
      </w:pPr>
      <w:r w:rsidRPr="00DA2A8F">
        <w:rPr>
          <w:rFonts w:ascii="David" w:hAnsi="David"/>
          <w:rtl/>
        </w:rPr>
        <w:tab/>
      </w:r>
      <w:r w:rsidRPr="00DA2A8F">
        <w:rPr>
          <w:rFonts w:ascii="Calibri" w:hAnsi="Calibri" w:hint="eastAsia"/>
          <w:rtl/>
        </w:rPr>
        <w:t>פוטנציאל</w:t>
      </w:r>
      <w:r w:rsidRPr="00DA2A8F">
        <w:rPr>
          <w:rFonts w:ascii="Calibri" w:hAnsi="Calibri"/>
          <w:rtl/>
        </w:rPr>
        <w:t xml:space="preserve"> </w:t>
      </w:r>
      <w:r w:rsidRPr="00DA2A8F">
        <w:rPr>
          <w:rFonts w:ascii="Calibri" w:hAnsi="Calibri" w:hint="eastAsia"/>
          <w:rtl/>
        </w:rPr>
        <w:t>הנזק</w:t>
      </w:r>
      <w:r w:rsidRPr="00DA2A8F">
        <w:rPr>
          <w:rFonts w:ascii="Calibri" w:hAnsi="Calibri"/>
          <w:rtl/>
        </w:rPr>
        <w:t xml:space="preserve"> </w:t>
      </w:r>
      <w:r w:rsidRPr="00DA2A8F">
        <w:rPr>
          <w:rFonts w:ascii="Calibri" w:hAnsi="Calibri" w:hint="eastAsia"/>
          <w:rtl/>
        </w:rPr>
        <w:t>הוא</w:t>
      </w:r>
      <w:r w:rsidRPr="00DA2A8F">
        <w:rPr>
          <w:rFonts w:ascii="Calibri" w:hAnsi="Calibri"/>
          <w:rtl/>
        </w:rPr>
        <w:t xml:space="preserve"> </w:t>
      </w:r>
      <w:r w:rsidRPr="00DA2A8F">
        <w:rPr>
          <w:rFonts w:ascii="Calibri" w:hAnsi="Calibri" w:hint="eastAsia"/>
          <w:rtl/>
        </w:rPr>
        <w:t>גבוה</w:t>
      </w:r>
      <w:r w:rsidRPr="00DA2A8F">
        <w:rPr>
          <w:rFonts w:ascii="Calibri" w:hAnsi="Calibri"/>
          <w:rtl/>
        </w:rPr>
        <w:t xml:space="preserve"> – </w:t>
      </w:r>
      <w:r w:rsidRPr="00DA2A8F">
        <w:rPr>
          <w:rFonts w:ascii="Calibri" w:hAnsi="Calibri" w:hint="eastAsia"/>
          <w:rtl/>
        </w:rPr>
        <w:t>שכן</w:t>
      </w:r>
      <w:r w:rsidRPr="00DA2A8F">
        <w:rPr>
          <w:rFonts w:ascii="Calibri" w:hAnsi="Calibri"/>
          <w:rtl/>
        </w:rPr>
        <w:t xml:space="preserve"> </w:t>
      </w:r>
      <w:r w:rsidRPr="00DA2A8F">
        <w:rPr>
          <w:rFonts w:ascii="Calibri" w:hAnsi="Calibri" w:hint="eastAsia"/>
          <w:rtl/>
        </w:rPr>
        <w:t>אלמלא</w:t>
      </w:r>
      <w:r w:rsidRPr="00DA2A8F">
        <w:rPr>
          <w:rFonts w:ascii="Calibri" w:hAnsi="Calibri"/>
          <w:rtl/>
        </w:rPr>
        <w:t xml:space="preserve"> </w:t>
      </w:r>
      <w:r w:rsidRPr="00DA2A8F">
        <w:rPr>
          <w:rFonts w:ascii="Calibri" w:hAnsi="Calibri" w:hint="eastAsia"/>
          <w:rtl/>
        </w:rPr>
        <w:t>התפיסה</w:t>
      </w:r>
      <w:r w:rsidRPr="00DA2A8F">
        <w:rPr>
          <w:rFonts w:ascii="Calibri" w:hAnsi="Calibri"/>
          <w:rtl/>
        </w:rPr>
        <w:t xml:space="preserve">, </w:t>
      </w:r>
      <w:r w:rsidRPr="00DA2A8F">
        <w:rPr>
          <w:rFonts w:ascii="Calibri" w:hAnsi="Calibri" w:hint="eastAsia"/>
          <w:rtl/>
        </w:rPr>
        <w:t>היה</w:t>
      </w:r>
      <w:r w:rsidRPr="00DA2A8F">
        <w:rPr>
          <w:rFonts w:ascii="Calibri" w:hAnsi="Calibri"/>
          <w:rtl/>
        </w:rPr>
        <w:t xml:space="preserve"> </w:t>
      </w:r>
      <w:r w:rsidRPr="00DA2A8F">
        <w:rPr>
          <w:rFonts w:ascii="Calibri" w:hAnsi="Calibri" w:hint="eastAsia"/>
          <w:rtl/>
        </w:rPr>
        <w:t>הנשק</w:t>
      </w:r>
      <w:r w:rsidRPr="00DA2A8F">
        <w:rPr>
          <w:rFonts w:ascii="Calibri" w:hAnsi="Calibri"/>
          <w:rtl/>
        </w:rPr>
        <w:t xml:space="preserve"> </w:t>
      </w:r>
      <w:r w:rsidRPr="00DA2A8F">
        <w:rPr>
          <w:rFonts w:ascii="Calibri" w:hAnsi="Calibri" w:hint="eastAsia"/>
          <w:rtl/>
        </w:rPr>
        <w:t>מתגלגל</w:t>
      </w:r>
      <w:r w:rsidRPr="00DA2A8F">
        <w:rPr>
          <w:rFonts w:ascii="Calibri" w:hAnsi="Calibri"/>
          <w:rtl/>
        </w:rPr>
        <w:t xml:space="preserve"> </w:t>
      </w:r>
      <w:r w:rsidRPr="00DA2A8F">
        <w:rPr>
          <w:rFonts w:ascii="Calibri" w:hAnsi="Calibri" w:hint="eastAsia"/>
          <w:rtl/>
        </w:rPr>
        <w:t>ליעד</w:t>
      </w:r>
      <w:r w:rsidRPr="00DA2A8F">
        <w:rPr>
          <w:rFonts w:ascii="Calibri" w:hAnsi="Calibri"/>
          <w:rtl/>
        </w:rPr>
        <w:t xml:space="preserve"> </w:t>
      </w:r>
      <w:r w:rsidRPr="00DA2A8F">
        <w:rPr>
          <w:rFonts w:ascii="Calibri" w:hAnsi="Calibri" w:hint="eastAsia"/>
          <w:rtl/>
        </w:rPr>
        <w:t>לא</w:t>
      </w:r>
      <w:r w:rsidRPr="00DA2A8F">
        <w:rPr>
          <w:rFonts w:ascii="Calibri" w:hAnsi="Calibri"/>
          <w:rtl/>
        </w:rPr>
        <w:t xml:space="preserve"> </w:t>
      </w:r>
      <w:r w:rsidRPr="00DA2A8F">
        <w:rPr>
          <w:rFonts w:ascii="Calibri" w:hAnsi="Calibri" w:hint="eastAsia"/>
          <w:rtl/>
        </w:rPr>
        <w:t>ידוע</w:t>
      </w:r>
      <w:r w:rsidRPr="00DA2A8F">
        <w:rPr>
          <w:rFonts w:ascii="Calibri" w:hAnsi="Calibri"/>
          <w:rtl/>
        </w:rPr>
        <w:t xml:space="preserve">, </w:t>
      </w:r>
      <w:r w:rsidRPr="00DA2A8F">
        <w:rPr>
          <w:rFonts w:ascii="Calibri" w:hAnsi="Calibri" w:hint="eastAsia"/>
          <w:rtl/>
        </w:rPr>
        <w:t>ועלול</w:t>
      </w:r>
      <w:r w:rsidRPr="00DA2A8F">
        <w:rPr>
          <w:rFonts w:ascii="Calibri" w:hAnsi="Calibri"/>
          <w:rtl/>
        </w:rPr>
        <w:t xml:space="preserve"> </w:t>
      </w:r>
      <w:r w:rsidRPr="00DA2A8F">
        <w:rPr>
          <w:rFonts w:ascii="Calibri" w:hAnsi="Calibri" w:hint="eastAsia"/>
          <w:rtl/>
        </w:rPr>
        <w:t>היה</w:t>
      </w:r>
      <w:r w:rsidRPr="00DA2A8F">
        <w:rPr>
          <w:rFonts w:ascii="Calibri" w:hAnsi="Calibri"/>
          <w:rtl/>
        </w:rPr>
        <w:t xml:space="preserve"> </w:t>
      </w:r>
      <w:r w:rsidRPr="00DA2A8F">
        <w:rPr>
          <w:rFonts w:ascii="Calibri" w:hAnsi="Calibri" w:hint="eastAsia"/>
          <w:rtl/>
        </w:rPr>
        <w:t>להיגרם</w:t>
      </w:r>
      <w:r w:rsidRPr="00DA2A8F">
        <w:rPr>
          <w:rFonts w:ascii="Calibri" w:hAnsi="Calibri"/>
          <w:rtl/>
        </w:rPr>
        <w:t xml:space="preserve"> </w:t>
      </w:r>
      <w:r w:rsidRPr="00DA2A8F">
        <w:rPr>
          <w:rFonts w:ascii="Calibri" w:hAnsi="Calibri" w:hint="eastAsia"/>
          <w:rtl/>
        </w:rPr>
        <w:t>נזק</w:t>
      </w:r>
      <w:r w:rsidRPr="00DA2A8F">
        <w:rPr>
          <w:rFonts w:ascii="Calibri" w:hAnsi="Calibri"/>
          <w:rtl/>
        </w:rPr>
        <w:t xml:space="preserve"> </w:t>
      </w:r>
      <w:r w:rsidRPr="00DA2A8F">
        <w:rPr>
          <w:rFonts w:ascii="Calibri" w:hAnsi="Calibri" w:hint="eastAsia"/>
          <w:rtl/>
        </w:rPr>
        <w:t>ממשי</w:t>
      </w:r>
      <w:r w:rsidRPr="00DA2A8F">
        <w:rPr>
          <w:rFonts w:ascii="Calibri" w:hAnsi="Calibri"/>
          <w:rtl/>
        </w:rPr>
        <w:t xml:space="preserve"> </w:t>
      </w:r>
      <w:r w:rsidRPr="00DA2A8F">
        <w:rPr>
          <w:rFonts w:ascii="Calibri" w:hAnsi="Calibri" w:hint="eastAsia"/>
          <w:rtl/>
        </w:rPr>
        <w:t>שנמנע</w:t>
      </w:r>
      <w:r w:rsidRPr="00DA2A8F">
        <w:rPr>
          <w:rFonts w:ascii="Calibri" w:hAnsi="Calibri"/>
          <w:rtl/>
        </w:rPr>
        <w:t xml:space="preserve"> </w:t>
      </w:r>
      <w:r w:rsidRPr="00DA2A8F">
        <w:rPr>
          <w:rFonts w:ascii="Calibri" w:hAnsi="Calibri" w:hint="eastAsia"/>
          <w:rtl/>
        </w:rPr>
        <w:t>בשל</w:t>
      </w:r>
      <w:r w:rsidRPr="00DA2A8F">
        <w:rPr>
          <w:rFonts w:ascii="Calibri" w:hAnsi="Calibri"/>
          <w:rtl/>
        </w:rPr>
        <w:t xml:space="preserve"> </w:t>
      </w:r>
      <w:r w:rsidRPr="00DA2A8F">
        <w:rPr>
          <w:rFonts w:ascii="Calibri" w:hAnsi="Calibri" w:hint="eastAsia"/>
          <w:rtl/>
        </w:rPr>
        <w:t>פעילות</w:t>
      </w:r>
      <w:r w:rsidRPr="00DA2A8F">
        <w:rPr>
          <w:rFonts w:ascii="Calibri" w:hAnsi="Calibri"/>
          <w:rtl/>
        </w:rPr>
        <w:t xml:space="preserve"> </w:t>
      </w:r>
      <w:r w:rsidRPr="00DA2A8F">
        <w:rPr>
          <w:rFonts w:ascii="Calibri" w:hAnsi="Calibri" w:hint="eastAsia"/>
          <w:rtl/>
        </w:rPr>
        <w:t>אכיפה</w:t>
      </w:r>
      <w:r w:rsidRPr="00DA2A8F">
        <w:rPr>
          <w:rFonts w:ascii="Calibri" w:hAnsi="Calibri"/>
          <w:rtl/>
        </w:rPr>
        <w:t xml:space="preserve"> </w:t>
      </w:r>
      <w:r w:rsidRPr="00DA2A8F">
        <w:rPr>
          <w:rFonts w:ascii="Calibri" w:hAnsi="Calibri" w:hint="eastAsia"/>
          <w:rtl/>
        </w:rPr>
        <w:t>מוצלחת</w:t>
      </w:r>
      <w:r w:rsidRPr="00DA2A8F">
        <w:rPr>
          <w:rFonts w:ascii="Calibri" w:hAnsi="Calibri"/>
          <w:rtl/>
        </w:rPr>
        <w:t>.</w:t>
      </w:r>
      <w:r w:rsidRPr="00DA2A8F">
        <w:rPr>
          <w:rFonts w:ascii="David" w:hAnsi="David"/>
          <w:rtl/>
        </w:rPr>
        <w:t xml:space="preserve"> </w:t>
      </w:r>
    </w:p>
    <w:p w14:paraId="0E2F0178" w14:textId="77777777" w:rsidR="009E7F3C" w:rsidRPr="00DA2A8F" w:rsidRDefault="009E7F3C" w:rsidP="009E7F3C">
      <w:pPr>
        <w:spacing w:line="360" w:lineRule="auto"/>
        <w:jc w:val="both"/>
      </w:pPr>
    </w:p>
    <w:p w14:paraId="3C581343"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tl/>
        </w:rPr>
      </w:pPr>
      <w:r w:rsidRPr="00DA2A8F">
        <w:rPr>
          <w:rtl/>
        </w:rPr>
        <w:t xml:space="preserve">הנאשם הורשע בהוראת החיקוק אשר יוחסה לו מלכתחילה – </w:t>
      </w:r>
      <w:hyperlink r:id="rId21" w:history="1">
        <w:r w:rsidR="00DA2A8F" w:rsidRPr="00DA2A8F">
          <w:rPr>
            <w:color w:val="0000FF"/>
            <w:u w:val="single"/>
            <w:rtl/>
          </w:rPr>
          <w:t>סעיף 144(ב2)</w:t>
        </w:r>
      </w:hyperlink>
      <w:r w:rsidRPr="00DA2A8F">
        <w:rPr>
          <w:rtl/>
        </w:rPr>
        <w:t xml:space="preserve"> ל</w:t>
      </w:r>
      <w:hyperlink r:id="rId22" w:history="1">
        <w:r w:rsidR="00F81468" w:rsidRPr="00DA2A8F">
          <w:rPr>
            <w:color w:val="0000FF"/>
            <w:u w:val="single"/>
            <w:rtl/>
          </w:rPr>
          <w:t>חוק העונשין</w:t>
        </w:r>
      </w:hyperlink>
      <w:r w:rsidRPr="00DA2A8F">
        <w:rPr>
          <w:rtl/>
        </w:rPr>
        <w:t xml:space="preserve"> – אך לבסוף, חלף עבירת הסחר בנשק, לאחר שסוגיית התמורה המדויקת נמחקה מכתב-האישום, ובמסגרת ההסדר הדיוני, הובהר שלנאשם מיוחסת עבירה של ביצוע עסקה אחרת בנשק.  נזכיר לעניין זה, כי המונח "עסקה אחרת" בא להרחיב את האיסורים לעסקאות בנשק מכל סוג שהוא – ולא רק עסקאות בגדר סחר במובנו הקלאסי, כאשר הגדרה זו טומנת בחובה מגוון עסקאות לא טריוויאליות בנשק (ראו ב</w:t>
      </w:r>
      <w:hyperlink r:id="rId23" w:history="1">
        <w:r w:rsidR="00F81468" w:rsidRPr="00DA2A8F">
          <w:rPr>
            <w:color w:val="0000FF"/>
            <w:u w:val="single"/>
            <w:rtl/>
          </w:rPr>
          <w:t>ע"פ 8959/14</w:t>
        </w:r>
      </w:hyperlink>
      <w:r w:rsidRPr="00DA2A8F">
        <w:rPr>
          <w:rtl/>
        </w:rPr>
        <w:t xml:space="preserve"> </w:t>
      </w:r>
      <w:r w:rsidRPr="00DA2A8F">
        <w:rPr>
          <w:b/>
          <w:bCs/>
          <w:rtl/>
        </w:rPr>
        <w:t>דניאל בן סימון נ' מדינת ישראל</w:t>
      </w:r>
      <w:r w:rsidRPr="00DA2A8F">
        <w:rPr>
          <w:rtl/>
        </w:rPr>
        <w:t xml:space="preserve"> [24.6.15], פסקאות 39- 40). אמנם, לצורך קביעת מתחם העונש ההולם יש לקחת בחשבון את העובדה שסוגיית התמורה נותרה לא ברורה, אך מעבר לכך אין בשינוי האמור כשלעצמו כדי להשפיע על מתחם העונש ההולם. </w:t>
      </w:r>
    </w:p>
    <w:p w14:paraId="19E7D3CC"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DA2A8F">
        <w:rPr>
          <w:rtl/>
        </w:rPr>
        <w:t xml:space="preserve"> </w:t>
      </w:r>
    </w:p>
    <w:p w14:paraId="6DB50682"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Fonts w:ascii="Calibri" w:hAnsi="Calibri"/>
          <w:b/>
          <w:bCs/>
          <w:rtl/>
        </w:rPr>
      </w:pPr>
      <w:r w:rsidRPr="00DA2A8F">
        <w:rPr>
          <w:rtl/>
        </w:rPr>
        <w:t>באשר</w:t>
      </w:r>
      <w:r w:rsidRPr="00DA2A8F">
        <w:rPr>
          <w:rFonts w:ascii="Calibri" w:hAnsi="Calibri"/>
          <w:rtl/>
        </w:rPr>
        <w:t xml:space="preserve"> </w:t>
      </w:r>
      <w:r w:rsidRPr="00DA2A8F">
        <w:rPr>
          <w:rFonts w:ascii="Calibri" w:hAnsi="Calibri" w:hint="eastAsia"/>
          <w:rtl/>
        </w:rPr>
        <w:t>למדיניות</w:t>
      </w:r>
      <w:r w:rsidRPr="00DA2A8F">
        <w:rPr>
          <w:rFonts w:ascii="Calibri" w:hAnsi="Calibri"/>
          <w:rtl/>
        </w:rPr>
        <w:t xml:space="preserve"> </w:t>
      </w:r>
      <w:r w:rsidRPr="00DA2A8F">
        <w:rPr>
          <w:rFonts w:ascii="Calibri" w:hAnsi="Calibri" w:hint="eastAsia"/>
          <w:rtl/>
        </w:rPr>
        <w:t>ענישה</w:t>
      </w:r>
      <w:r w:rsidRPr="00DA2A8F">
        <w:rPr>
          <w:rFonts w:ascii="Calibri" w:hAnsi="Calibri"/>
          <w:rtl/>
        </w:rPr>
        <w:t xml:space="preserve"> </w:t>
      </w:r>
      <w:r w:rsidRPr="00DA2A8F">
        <w:rPr>
          <w:rFonts w:ascii="Calibri" w:hAnsi="Calibri" w:hint="eastAsia"/>
          <w:rtl/>
        </w:rPr>
        <w:t>באופן</w:t>
      </w:r>
      <w:r w:rsidRPr="00DA2A8F">
        <w:rPr>
          <w:rFonts w:ascii="Calibri" w:hAnsi="Calibri"/>
          <w:rtl/>
        </w:rPr>
        <w:t xml:space="preserve"> </w:t>
      </w:r>
      <w:r w:rsidRPr="00DA2A8F">
        <w:rPr>
          <w:rFonts w:ascii="Calibri" w:hAnsi="Calibri" w:hint="eastAsia"/>
          <w:rtl/>
        </w:rPr>
        <w:t>כללי</w:t>
      </w:r>
      <w:r w:rsidRPr="00DA2A8F">
        <w:rPr>
          <w:rFonts w:ascii="Calibri" w:hAnsi="Calibri"/>
          <w:rtl/>
        </w:rPr>
        <w:t xml:space="preserve">, </w:t>
      </w:r>
      <w:r w:rsidRPr="00DA2A8F">
        <w:rPr>
          <w:rFonts w:ascii="Calibri" w:hAnsi="Calibri" w:hint="eastAsia"/>
          <w:rtl/>
        </w:rPr>
        <w:t>בית</w:t>
      </w:r>
      <w:r w:rsidRPr="00DA2A8F">
        <w:rPr>
          <w:rFonts w:ascii="Calibri" w:hAnsi="Calibri"/>
          <w:rtl/>
        </w:rPr>
        <w:t>-</w:t>
      </w:r>
      <w:r w:rsidRPr="00DA2A8F">
        <w:rPr>
          <w:rFonts w:ascii="Calibri" w:hAnsi="Calibri" w:hint="eastAsia"/>
          <w:rtl/>
        </w:rPr>
        <w:t>המשפט</w:t>
      </w:r>
      <w:r w:rsidRPr="00DA2A8F">
        <w:rPr>
          <w:rFonts w:ascii="Calibri" w:hAnsi="Calibri"/>
          <w:rtl/>
        </w:rPr>
        <w:t xml:space="preserve"> </w:t>
      </w:r>
      <w:r w:rsidRPr="00DA2A8F">
        <w:rPr>
          <w:rFonts w:ascii="Calibri" w:hAnsi="Calibri" w:hint="eastAsia"/>
          <w:rtl/>
        </w:rPr>
        <w:t>העליון</w:t>
      </w:r>
      <w:r w:rsidRPr="00DA2A8F">
        <w:rPr>
          <w:rFonts w:ascii="Calibri" w:hAnsi="Calibri"/>
          <w:rtl/>
        </w:rPr>
        <w:t xml:space="preserve"> </w:t>
      </w:r>
      <w:r w:rsidRPr="00DA2A8F">
        <w:rPr>
          <w:rFonts w:ascii="Calibri" w:hAnsi="Calibri" w:hint="eastAsia"/>
          <w:rtl/>
        </w:rPr>
        <w:t>קורא</w:t>
      </w:r>
      <w:r w:rsidRPr="00DA2A8F">
        <w:rPr>
          <w:rFonts w:ascii="Calibri" w:hAnsi="Calibri"/>
          <w:rtl/>
        </w:rPr>
        <w:t xml:space="preserve"> </w:t>
      </w:r>
      <w:r w:rsidRPr="00DA2A8F">
        <w:rPr>
          <w:rFonts w:ascii="Calibri" w:hAnsi="Calibri" w:hint="eastAsia"/>
          <w:rtl/>
        </w:rPr>
        <w:t>להחמרה</w:t>
      </w:r>
      <w:r w:rsidRPr="00DA2A8F">
        <w:rPr>
          <w:rFonts w:ascii="Calibri" w:hAnsi="Calibri"/>
          <w:rtl/>
        </w:rPr>
        <w:t xml:space="preserve"> </w:t>
      </w:r>
      <w:r w:rsidRPr="00DA2A8F">
        <w:rPr>
          <w:rFonts w:ascii="Calibri" w:hAnsi="Calibri" w:hint="eastAsia"/>
          <w:rtl/>
        </w:rPr>
        <w:t>בענישה</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כל</w:t>
      </w:r>
      <w:r w:rsidRPr="00DA2A8F">
        <w:rPr>
          <w:rFonts w:ascii="Calibri" w:hAnsi="Calibri"/>
          <w:rtl/>
        </w:rPr>
        <w:t xml:space="preserve"> </w:t>
      </w:r>
      <w:r w:rsidRPr="00DA2A8F">
        <w:rPr>
          <w:rFonts w:ascii="Calibri" w:hAnsi="Calibri" w:hint="eastAsia"/>
          <w:rtl/>
        </w:rPr>
        <w:t>המעורבים</w:t>
      </w:r>
      <w:r w:rsidRPr="00DA2A8F">
        <w:rPr>
          <w:rFonts w:ascii="Calibri" w:hAnsi="Calibri"/>
          <w:rtl/>
        </w:rPr>
        <w:t xml:space="preserve"> </w:t>
      </w:r>
      <w:r w:rsidRPr="00DA2A8F">
        <w:rPr>
          <w:rFonts w:ascii="Calibri" w:hAnsi="Calibri" w:hint="eastAsia"/>
          <w:rtl/>
        </w:rPr>
        <w:t>בפעילות</w:t>
      </w:r>
      <w:r w:rsidRPr="00DA2A8F">
        <w:rPr>
          <w:rFonts w:ascii="Calibri" w:hAnsi="Calibri"/>
          <w:rtl/>
        </w:rPr>
        <w:t xml:space="preserve"> </w:t>
      </w:r>
      <w:r w:rsidRPr="00DA2A8F">
        <w:rPr>
          <w:rFonts w:ascii="Calibri" w:hAnsi="Calibri" w:hint="eastAsia"/>
          <w:rtl/>
        </w:rPr>
        <w:t>פלילית</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אם</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בהדרגה</w:t>
      </w:r>
      <w:r w:rsidRPr="00DA2A8F">
        <w:rPr>
          <w:rFonts w:ascii="Calibri" w:hAnsi="Calibri"/>
          <w:rtl/>
        </w:rPr>
        <w:t xml:space="preserve">. </w:t>
      </w:r>
      <w:r w:rsidRPr="00DA2A8F">
        <w:rPr>
          <w:rFonts w:ascii="Calibri" w:hAnsi="Calibri" w:hint="eastAsia"/>
          <w:rtl/>
        </w:rPr>
        <w:t>ראו</w:t>
      </w:r>
      <w:r w:rsidRPr="00DA2A8F">
        <w:rPr>
          <w:rFonts w:ascii="Calibri" w:hAnsi="Calibri"/>
          <w:rtl/>
        </w:rPr>
        <w:t xml:space="preserve">, </w:t>
      </w:r>
      <w:r w:rsidRPr="00DA2A8F">
        <w:rPr>
          <w:rFonts w:ascii="Calibri" w:hAnsi="Calibri" w:hint="eastAsia"/>
          <w:rtl/>
        </w:rPr>
        <w:t>למשל</w:t>
      </w:r>
      <w:r w:rsidRPr="00DA2A8F">
        <w:rPr>
          <w:rFonts w:ascii="Calibri" w:hAnsi="Calibri"/>
          <w:rtl/>
        </w:rPr>
        <w:t xml:space="preserve">, </w:t>
      </w:r>
      <w:r w:rsidRPr="00DA2A8F">
        <w:rPr>
          <w:rFonts w:ascii="Calibri" w:hAnsi="Calibri" w:hint="eastAsia"/>
          <w:rtl/>
        </w:rPr>
        <w:t>דבריה</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כב</w:t>
      </w:r>
      <w:r w:rsidRPr="00DA2A8F">
        <w:rPr>
          <w:rFonts w:ascii="Calibri" w:hAnsi="Calibri"/>
          <w:rtl/>
        </w:rPr>
        <w:t xml:space="preserve">' </w:t>
      </w:r>
      <w:r w:rsidRPr="00DA2A8F">
        <w:rPr>
          <w:rFonts w:ascii="Calibri" w:hAnsi="Calibri" w:hint="eastAsia"/>
          <w:rtl/>
        </w:rPr>
        <w:t>השופטת</w:t>
      </w:r>
      <w:r w:rsidRPr="00DA2A8F">
        <w:rPr>
          <w:rFonts w:ascii="Calibri" w:hAnsi="Calibri"/>
          <w:rtl/>
        </w:rPr>
        <w:t xml:space="preserve"> </w:t>
      </w:r>
      <w:r w:rsidRPr="00DA2A8F">
        <w:rPr>
          <w:rFonts w:ascii="Calibri" w:hAnsi="Calibri" w:hint="eastAsia"/>
          <w:rtl/>
        </w:rPr>
        <w:t>ארבל</w:t>
      </w:r>
      <w:r w:rsidRPr="00DA2A8F">
        <w:rPr>
          <w:rFonts w:ascii="Calibri" w:hAnsi="Calibri"/>
          <w:rtl/>
        </w:rPr>
        <w:t xml:space="preserve"> </w:t>
      </w:r>
      <w:r w:rsidRPr="00DA2A8F">
        <w:rPr>
          <w:rFonts w:ascii="Arial" w:hAnsi="Arial"/>
          <w:rtl/>
        </w:rPr>
        <w:t>ב</w:t>
      </w:r>
      <w:hyperlink r:id="rId24" w:history="1">
        <w:r w:rsidR="00F81468" w:rsidRPr="00DA2A8F">
          <w:rPr>
            <w:rFonts w:ascii="Arial" w:hAnsi="Arial"/>
            <w:color w:val="0000FF"/>
            <w:u w:val="single"/>
            <w:rtl/>
          </w:rPr>
          <w:t>ע"פ 4945/13</w:t>
        </w:r>
      </w:hyperlink>
      <w:r w:rsidRPr="00DA2A8F">
        <w:rPr>
          <w:rFonts w:ascii="Arial" w:hAnsi="Arial"/>
          <w:rtl/>
        </w:rPr>
        <w:t xml:space="preserve"> </w:t>
      </w:r>
      <w:r w:rsidRPr="00DA2A8F">
        <w:rPr>
          <w:rFonts w:ascii="Arial" w:hAnsi="Arial"/>
          <w:b/>
          <w:bCs/>
          <w:rtl/>
        </w:rPr>
        <w:t xml:space="preserve">מדינת ישראל נ' סלימאן </w:t>
      </w:r>
      <w:r w:rsidRPr="00DA2A8F">
        <w:rPr>
          <w:rFonts w:ascii="Arial" w:hAnsi="Arial"/>
          <w:rtl/>
        </w:rPr>
        <w:t>[19.1.2014]ׂׂׂ:</w:t>
      </w:r>
    </w:p>
    <w:p w14:paraId="54C79B6B" w14:textId="77777777" w:rsidR="009E7F3C" w:rsidRPr="00DA2A8F" w:rsidRDefault="009E7F3C" w:rsidP="009E7F3C">
      <w:pPr>
        <w:spacing w:line="360" w:lineRule="auto"/>
        <w:ind w:left="720" w:hanging="720"/>
        <w:jc w:val="both"/>
        <w:rPr>
          <w:rFonts w:ascii="Calibri" w:hAnsi="Calibri"/>
          <w:rtl/>
        </w:rPr>
      </w:pPr>
    </w:p>
    <w:p w14:paraId="08A22AD2" w14:textId="77777777" w:rsidR="009E7F3C" w:rsidRPr="00DA2A8F" w:rsidRDefault="009E7F3C" w:rsidP="009E7F3C">
      <w:pPr>
        <w:spacing w:line="360" w:lineRule="auto"/>
        <w:ind w:left="1444"/>
        <w:jc w:val="both"/>
        <w:rPr>
          <w:b/>
          <w:bCs/>
          <w:rtl/>
        </w:rPr>
      </w:pPr>
      <w:r w:rsidRPr="00DA2A8F">
        <w:rPr>
          <w:b/>
          <w:bCs/>
          <w:rtl/>
        </w:rPr>
        <w:t xml:space="preserve">"... תחילה יש להזכיר את מגמת ההחמרה שחלה בעונשי המאסר הנגזרים על נאשמים בעבירות נשק (עבירת הסחר בפרט, אך גם ביתר עבירות הנשק), אשר באה לידי ביטוי בשורת פסקי דין של בית משפט זה מהשנים האחרונות...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r w:rsidRPr="00DA2A8F">
        <w:rPr>
          <w:rtl/>
        </w:rPr>
        <w:t>(פסקה 14).</w:t>
      </w:r>
    </w:p>
    <w:p w14:paraId="505170B0" w14:textId="77777777" w:rsidR="009E7F3C" w:rsidRPr="00DA2A8F" w:rsidRDefault="009E7F3C" w:rsidP="009E7F3C">
      <w:pPr>
        <w:spacing w:line="360" w:lineRule="auto"/>
        <w:ind w:left="1444"/>
        <w:jc w:val="both"/>
        <w:rPr>
          <w:b/>
          <w:bCs/>
          <w:rtl/>
        </w:rPr>
      </w:pPr>
    </w:p>
    <w:p w14:paraId="5F5CE4D4" w14:textId="77777777" w:rsidR="009E7F3C" w:rsidRPr="00DA2A8F" w:rsidRDefault="009E7F3C" w:rsidP="009E7F3C">
      <w:pPr>
        <w:spacing w:line="360" w:lineRule="auto"/>
        <w:ind w:left="720" w:hanging="720"/>
        <w:jc w:val="both"/>
        <w:rPr>
          <w:rFonts w:ascii="Calibri" w:hAnsi="Calibri"/>
          <w:rtl/>
        </w:rPr>
      </w:pPr>
      <w:r w:rsidRPr="00DA2A8F">
        <w:rPr>
          <w:rFonts w:ascii="Calibri" w:hAnsi="Calibri"/>
          <w:rtl/>
        </w:rPr>
        <w:tab/>
      </w:r>
      <w:r w:rsidRPr="00DA2A8F">
        <w:rPr>
          <w:rFonts w:ascii="Calibri" w:hAnsi="Calibri" w:hint="eastAsia"/>
          <w:rtl/>
        </w:rPr>
        <w:t>וכן</w:t>
      </w:r>
      <w:r w:rsidRPr="00DA2A8F">
        <w:rPr>
          <w:rFonts w:ascii="Calibri" w:hAnsi="Calibri"/>
          <w:rtl/>
        </w:rPr>
        <w:t xml:space="preserve"> </w:t>
      </w:r>
      <w:r w:rsidRPr="00DA2A8F">
        <w:rPr>
          <w:rFonts w:ascii="Calibri" w:hAnsi="Calibri" w:hint="eastAsia"/>
          <w:rtl/>
        </w:rPr>
        <w:t>ראו</w:t>
      </w:r>
      <w:r w:rsidRPr="00DA2A8F">
        <w:rPr>
          <w:rFonts w:ascii="Calibri" w:hAnsi="Calibri"/>
          <w:rtl/>
        </w:rPr>
        <w:t xml:space="preserve"> </w:t>
      </w:r>
      <w:r w:rsidRPr="00DA2A8F">
        <w:rPr>
          <w:rFonts w:ascii="Calibri" w:hAnsi="Calibri" w:hint="eastAsia"/>
          <w:rtl/>
        </w:rPr>
        <w:t>קביעותיו</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כב</w:t>
      </w:r>
      <w:r w:rsidRPr="00DA2A8F">
        <w:rPr>
          <w:rFonts w:ascii="Calibri" w:hAnsi="Calibri"/>
          <w:rtl/>
        </w:rPr>
        <w:t xml:space="preserve">' </w:t>
      </w:r>
      <w:r w:rsidRPr="00DA2A8F">
        <w:rPr>
          <w:rFonts w:ascii="Calibri" w:hAnsi="Calibri" w:hint="eastAsia"/>
          <w:rtl/>
        </w:rPr>
        <w:t>השופט</w:t>
      </w:r>
      <w:r w:rsidRPr="00DA2A8F">
        <w:rPr>
          <w:rFonts w:ascii="Calibri" w:hAnsi="Calibri"/>
          <w:rtl/>
        </w:rPr>
        <w:t xml:space="preserve"> (</w:t>
      </w:r>
      <w:r w:rsidRPr="00DA2A8F">
        <w:rPr>
          <w:rFonts w:ascii="Calibri" w:hAnsi="Calibri" w:hint="eastAsia"/>
          <w:rtl/>
        </w:rPr>
        <w:t>כתוארו</w:t>
      </w:r>
      <w:r w:rsidRPr="00DA2A8F">
        <w:rPr>
          <w:rFonts w:ascii="Calibri" w:hAnsi="Calibri"/>
          <w:rtl/>
        </w:rPr>
        <w:t xml:space="preserve"> </w:t>
      </w:r>
      <w:r w:rsidRPr="00DA2A8F">
        <w:rPr>
          <w:rFonts w:ascii="Calibri" w:hAnsi="Calibri" w:hint="eastAsia"/>
          <w:rtl/>
        </w:rPr>
        <w:t>אז</w:t>
      </w:r>
      <w:r w:rsidRPr="00DA2A8F">
        <w:rPr>
          <w:rFonts w:ascii="Calibri" w:hAnsi="Calibri"/>
          <w:rtl/>
        </w:rPr>
        <w:t xml:space="preserve">) </w:t>
      </w:r>
      <w:r w:rsidRPr="00DA2A8F">
        <w:rPr>
          <w:rFonts w:ascii="Calibri" w:hAnsi="Calibri" w:hint="eastAsia"/>
          <w:rtl/>
        </w:rPr>
        <w:t>רובינשטיין</w:t>
      </w:r>
      <w:r w:rsidRPr="00DA2A8F">
        <w:rPr>
          <w:rFonts w:ascii="Calibri" w:hAnsi="Calibri"/>
          <w:rtl/>
        </w:rPr>
        <w:t xml:space="preserve"> </w:t>
      </w:r>
      <w:r w:rsidRPr="00DA2A8F">
        <w:rPr>
          <w:rFonts w:ascii="Calibri" w:hAnsi="Calibri" w:hint="eastAsia"/>
          <w:rtl/>
        </w:rPr>
        <w:t>באותו</w:t>
      </w:r>
      <w:r w:rsidRPr="00DA2A8F">
        <w:rPr>
          <w:rFonts w:ascii="Calibri" w:hAnsi="Calibri"/>
          <w:rtl/>
        </w:rPr>
        <w:t xml:space="preserve"> </w:t>
      </w:r>
      <w:r w:rsidRPr="00DA2A8F">
        <w:rPr>
          <w:rFonts w:ascii="Calibri" w:hAnsi="Calibri" w:hint="eastAsia"/>
          <w:rtl/>
        </w:rPr>
        <w:t>פסק</w:t>
      </w:r>
      <w:r w:rsidRPr="00DA2A8F">
        <w:rPr>
          <w:rFonts w:ascii="Calibri" w:hAnsi="Calibri"/>
          <w:rtl/>
        </w:rPr>
        <w:t>-</w:t>
      </w:r>
      <w:r w:rsidRPr="00DA2A8F">
        <w:rPr>
          <w:rFonts w:ascii="Calibri" w:hAnsi="Calibri" w:hint="eastAsia"/>
          <w:rtl/>
        </w:rPr>
        <w:t>דין</w:t>
      </w:r>
      <w:r w:rsidRPr="00DA2A8F">
        <w:rPr>
          <w:rFonts w:ascii="Calibri" w:hAnsi="Calibri"/>
          <w:rtl/>
        </w:rPr>
        <w:t>:</w:t>
      </w:r>
    </w:p>
    <w:p w14:paraId="09C39181" w14:textId="77777777" w:rsidR="009E7F3C" w:rsidRPr="00DA2A8F" w:rsidRDefault="009E7F3C" w:rsidP="009E7F3C">
      <w:pPr>
        <w:spacing w:line="360" w:lineRule="auto"/>
        <w:ind w:left="720" w:hanging="720"/>
        <w:jc w:val="both"/>
        <w:rPr>
          <w:rFonts w:ascii="Calibri" w:hAnsi="Calibri"/>
          <w:b/>
          <w:bCs/>
          <w:rtl/>
        </w:rPr>
      </w:pPr>
    </w:p>
    <w:p w14:paraId="2EB1B856" w14:textId="77777777" w:rsidR="009E7F3C" w:rsidRPr="00DA2A8F" w:rsidRDefault="009E7F3C" w:rsidP="009E7F3C">
      <w:pPr>
        <w:spacing w:line="360" w:lineRule="auto"/>
        <w:ind w:left="1444"/>
        <w:jc w:val="both"/>
        <w:rPr>
          <w:rtl/>
        </w:rPr>
      </w:pPr>
      <w:r w:rsidRPr="00DA2A8F">
        <w:rPr>
          <w:b/>
          <w:bCs/>
          <w:rtl/>
        </w:rPr>
        <w:t xml:space="preserve">"באשר למדיניות הענישה ומתחם העונש מצטרף אני בלב שלם לחוות דעתה של חברתי השופטת ארבל. עבירות הנשק, שבית משפט זה ראה לטוב לפניו להחמיר בעונשיהן, כפי שהראתה חברתי,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 </w:t>
      </w:r>
      <w:r w:rsidRPr="00DA2A8F">
        <w:rPr>
          <w:rtl/>
        </w:rPr>
        <w:t>(פסקה א').</w:t>
      </w:r>
    </w:p>
    <w:p w14:paraId="72F9971A" w14:textId="77777777" w:rsidR="009E7F3C" w:rsidRPr="00DA2A8F" w:rsidRDefault="009E7F3C" w:rsidP="009E7F3C">
      <w:pPr>
        <w:spacing w:line="360" w:lineRule="auto"/>
        <w:ind w:left="720" w:hanging="720"/>
        <w:jc w:val="both"/>
        <w:rPr>
          <w:rFonts w:ascii="Calibri" w:hAnsi="Calibri"/>
          <w:b/>
          <w:bCs/>
          <w:rtl/>
        </w:rPr>
      </w:pPr>
    </w:p>
    <w:p w14:paraId="6C26B4CE" w14:textId="77777777" w:rsidR="009E7F3C" w:rsidRPr="00DA2A8F" w:rsidRDefault="009E7F3C" w:rsidP="009E7F3C">
      <w:pPr>
        <w:spacing w:line="360" w:lineRule="auto"/>
        <w:ind w:left="720" w:hanging="720"/>
        <w:jc w:val="both"/>
        <w:rPr>
          <w:rFonts w:ascii="Calibri" w:hAnsi="Calibri"/>
          <w:rtl/>
        </w:rPr>
      </w:pPr>
      <w:r w:rsidRPr="00DA2A8F">
        <w:rPr>
          <w:rFonts w:ascii="Calibri" w:hAnsi="Calibri"/>
          <w:b/>
          <w:bCs/>
          <w:rtl/>
        </w:rPr>
        <w:tab/>
      </w:r>
      <w:r w:rsidRPr="00DA2A8F">
        <w:rPr>
          <w:rFonts w:ascii="Calibri" w:hAnsi="Calibri" w:hint="eastAsia"/>
          <w:rtl/>
        </w:rPr>
        <w:t>ובאשר</w:t>
      </w:r>
      <w:r w:rsidRPr="00DA2A8F">
        <w:rPr>
          <w:rFonts w:ascii="Calibri" w:hAnsi="Calibri"/>
          <w:rtl/>
        </w:rPr>
        <w:t xml:space="preserve"> </w:t>
      </w:r>
      <w:r w:rsidRPr="00DA2A8F">
        <w:rPr>
          <w:rFonts w:ascii="Calibri" w:hAnsi="Calibri" w:hint="eastAsia"/>
          <w:rtl/>
        </w:rPr>
        <w:t>לעבירה</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והענישה</w:t>
      </w:r>
      <w:r w:rsidRPr="00DA2A8F">
        <w:rPr>
          <w:rFonts w:ascii="Calibri" w:hAnsi="Calibri"/>
          <w:rtl/>
        </w:rPr>
        <w:t xml:space="preserve"> </w:t>
      </w:r>
      <w:r w:rsidRPr="00DA2A8F">
        <w:rPr>
          <w:rFonts w:ascii="Calibri" w:hAnsi="Calibri" w:hint="eastAsia"/>
          <w:rtl/>
        </w:rPr>
        <w:t>המתחייבת</w:t>
      </w:r>
      <w:r w:rsidRPr="00DA2A8F">
        <w:rPr>
          <w:rFonts w:ascii="Calibri" w:hAnsi="Calibri"/>
          <w:rtl/>
        </w:rPr>
        <w:t xml:space="preserve"> </w:t>
      </w:r>
      <w:r w:rsidRPr="00DA2A8F">
        <w:rPr>
          <w:rFonts w:ascii="Calibri" w:hAnsi="Calibri" w:hint="eastAsia"/>
          <w:rtl/>
        </w:rPr>
        <w:t>לגבי</w:t>
      </w:r>
      <w:r w:rsidRPr="00DA2A8F">
        <w:rPr>
          <w:rFonts w:ascii="Calibri" w:hAnsi="Calibri"/>
          <w:rtl/>
        </w:rPr>
        <w:t xml:space="preserve"> </w:t>
      </w:r>
      <w:r w:rsidRPr="00DA2A8F">
        <w:rPr>
          <w:rFonts w:ascii="Calibri" w:hAnsi="Calibri" w:hint="eastAsia"/>
          <w:rtl/>
        </w:rPr>
        <w:t>כל</w:t>
      </w:r>
      <w:r w:rsidRPr="00DA2A8F">
        <w:rPr>
          <w:rFonts w:ascii="Calibri" w:hAnsi="Calibri"/>
          <w:rtl/>
        </w:rPr>
        <w:t xml:space="preserve"> </w:t>
      </w:r>
      <w:r w:rsidRPr="00DA2A8F">
        <w:rPr>
          <w:rFonts w:ascii="Calibri" w:hAnsi="Calibri" w:hint="eastAsia"/>
          <w:rtl/>
        </w:rPr>
        <w:t>חוליה</w:t>
      </w:r>
      <w:r w:rsidRPr="00DA2A8F">
        <w:rPr>
          <w:rFonts w:ascii="Calibri" w:hAnsi="Calibri"/>
          <w:rtl/>
        </w:rPr>
        <w:t xml:space="preserve"> </w:t>
      </w:r>
      <w:r w:rsidRPr="00DA2A8F">
        <w:rPr>
          <w:rFonts w:ascii="Calibri" w:hAnsi="Calibri" w:hint="eastAsia"/>
          <w:rtl/>
        </w:rPr>
        <w:t>המעורבת</w:t>
      </w:r>
      <w:r w:rsidRPr="00DA2A8F">
        <w:rPr>
          <w:rFonts w:ascii="Calibri" w:hAnsi="Calibri"/>
          <w:rtl/>
        </w:rPr>
        <w:t xml:space="preserve"> </w:t>
      </w:r>
      <w:r w:rsidRPr="00DA2A8F">
        <w:rPr>
          <w:rFonts w:ascii="Calibri" w:hAnsi="Calibri" w:hint="eastAsia"/>
          <w:rtl/>
        </w:rPr>
        <w:t>בשרשרת</w:t>
      </w:r>
      <w:r w:rsidRPr="00DA2A8F">
        <w:rPr>
          <w:rFonts w:ascii="Calibri" w:hAnsi="Calibri"/>
          <w:rtl/>
        </w:rPr>
        <w:t xml:space="preserve"> </w:t>
      </w:r>
      <w:r w:rsidRPr="00DA2A8F">
        <w:rPr>
          <w:rFonts w:ascii="Calibri" w:hAnsi="Calibri" w:hint="eastAsia"/>
          <w:rtl/>
        </w:rPr>
        <w:t>הסחר</w:t>
      </w:r>
      <w:r w:rsidRPr="00DA2A8F">
        <w:rPr>
          <w:rFonts w:ascii="Calibri" w:hAnsi="Calibri"/>
          <w:rtl/>
        </w:rPr>
        <w:t xml:space="preserve"> </w:t>
      </w:r>
      <w:r w:rsidRPr="00DA2A8F">
        <w:rPr>
          <w:rFonts w:ascii="Calibri" w:hAnsi="Calibri" w:hint="eastAsia"/>
          <w:rtl/>
        </w:rPr>
        <w:t>נקבע</w:t>
      </w:r>
      <w:r w:rsidRPr="00DA2A8F">
        <w:rPr>
          <w:rFonts w:ascii="Calibri" w:hAnsi="Calibri"/>
          <w:rtl/>
        </w:rPr>
        <w:t>:</w:t>
      </w:r>
    </w:p>
    <w:p w14:paraId="23F3467D" w14:textId="77777777" w:rsidR="009E7F3C" w:rsidRPr="00DA2A8F" w:rsidRDefault="009E7F3C" w:rsidP="009E7F3C">
      <w:pPr>
        <w:spacing w:line="360" w:lineRule="auto"/>
        <w:ind w:left="720" w:hanging="720"/>
        <w:jc w:val="both"/>
        <w:rPr>
          <w:rFonts w:ascii="Calibri" w:hAnsi="Calibri"/>
          <w:rtl/>
        </w:rPr>
      </w:pPr>
    </w:p>
    <w:p w14:paraId="46E3E26E" w14:textId="77777777" w:rsidR="009E7F3C" w:rsidRPr="00DA2A8F" w:rsidRDefault="009E7F3C" w:rsidP="009E7F3C">
      <w:pPr>
        <w:spacing w:line="360" w:lineRule="auto"/>
        <w:ind w:left="1444"/>
        <w:jc w:val="both"/>
        <w:rPr>
          <w:rtl/>
        </w:rPr>
      </w:pPr>
      <w:r w:rsidRPr="00DA2A8F">
        <w:rPr>
          <w:b/>
          <w:bCs/>
          <w:rtl/>
        </w:rPr>
        <w:t xml:space="preserve">"החומרה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כן יודגש, הגם שעסקאות סחר בנשק מערבות מטבע הדברים גורמים שונים שחלקו של כל אחד מהם בעסקה הוא משתנה, 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 </w:t>
      </w:r>
      <w:r w:rsidRPr="00DA2A8F">
        <w:rPr>
          <w:rtl/>
        </w:rPr>
        <w:t>(ראו ב</w:t>
      </w:r>
      <w:hyperlink r:id="rId25" w:history="1">
        <w:r w:rsidR="00F81468" w:rsidRPr="00DA2A8F">
          <w:rPr>
            <w:color w:val="0000FF"/>
            <w:u w:val="single"/>
            <w:rtl/>
          </w:rPr>
          <w:t>ע"פ 8045/17</w:t>
        </w:r>
      </w:hyperlink>
      <w:r w:rsidRPr="00DA2A8F">
        <w:rPr>
          <w:b/>
          <w:bCs/>
          <w:rtl/>
        </w:rPr>
        <w:t xml:space="preserve"> מחמוד בראנסי נגד מדינת ישראל </w:t>
      </w:r>
      <w:r w:rsidRPr="00DA2A8F">
        <w:rPr>
          <w:rtl/>
        </w:rPr>
        <w:t>[16.8.18], פסקה 11).</w:t>
      </w:r>
    </w:p>
    <w:p w14:paraId="2F727891" w14:textId="77777777" w:rsidR="009E7F3C" w:rsidRPr="00DA2A8F" w:rsidRDefault="009E7F3C" w:rsidP="009E7F3C">
      <w:pPr>
        <w:spacing w:line="360" w:lineRule="auto"/>
        <w:ind w:left="720" w:hanging="720"/>
        <w:jc w:val="both"/>
        <w:rPr>
          <w:rFonts w:ascii="Calibri" w:hAnsi="Calibri"/>
          <w:b/>
          <w:bCs/>
          <w:rtl/>
        </w:rPr>
      </w:pPr>
      <w:r w:rsidRPr="00DA2A8F">
        <w:rPr>
          <w:rFonts w:ascii="Calibri" w:hAnsi="Calibri"/>
          <w:b/>
          <w:bCs/>
          <w:rtl/>
        </w:rPr>
        <w:tab/>
      </w:r>
    </w:p>
    <w:p w14:paraId="55882E03"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Fonts w:ascii="Calibri" w:hAnsi="Calibri"/>
          <w:rtl/>
        </w:rPr>
      </w:pPr>
      <w:r w:rsidRPr="00DA2A8F">
        <w:rPr>
          <w:rtl/>
        </w:rPr>
        <w:t>בהקשר</w:t>
      </w:r>
      <w:r w:rsidRPr="00DA2A8F">
        <w:rPr>
          <w:rFonts w:ascii="Calibri" w:hAnsi="Calibri"/>
          <w:rtl/>
        </w:rPr>
        <w:t xml:space="preserve"> </w:t>
      </w:r>
      <w:r w:rsidRPr="00DA2A8F">
        <w:rPr>
          <w:rFonts w:ascii="Calibri" w:hAnsi="Calibri" w:hint="eastAsia"/>
          <w:rtl/>
        </w:rPr>
        <w:t>זה</w:t>
      </w:r>
      <w:r w:rsidRPr="00DA2A8F">
        <w:rPr>
          <w:rFonts w:ascii="Calibri" w:hAnsi="Calibri"/>
          <w:rtl/>
        </w:rPr>
        <w:t xml:space="preserve"> </w:t>
      </w:r>
      <w:r w:rsidRPr="00DA2A8F">
        <w:rPr>
          <w:rFonts w:ascii="Calibri" w:hAnsi="Calibri" w:hint="eastAsia"/>
          <w:rtl/>
        </w:rPr>
        <w:t>ייאמר</w:t>
      </w:r>
      <w:r w:rsidRPr="00DA2A8F">
        <w:rPr>
          <w:rFonts w:ascii="Calibri" w:hAnsi="Calibri"/>
          <w:rtl/>
        </w:rPr>
        <w:t xml:space="preserve"> </w:t>
      </w:r>
      <w:r w:rsidRPr="00DA2A8F">
        <w:rPr>
          <w:rFonts w:ascii="Calibri" w:hAnsi="Calibri" w:hint="eastAsia"/>
          <w:rtl/>
        </w:rPr>
        <w:t>עוד</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על</w:t>
      </w:r>
      <w:r w:rsidRPr="00DA2A8F">
        <w:rPr>
          <w:rFonts w:ascii="Calibri" w:hAnsi="Calibri"/>
          <w:rtl/>
        </w:rPr>
        <w:t>-</w:t>
      </w:r>
      <w:r w:rsidRPr="00DA2A8F">
        <w:rPr>
          <w:rFonts w:ascii="Calibri" w:hAnsi="Calibri" w:hint="eastAsia"/>
          <w:rtl/>
        </w:rPr>
        <w:t>פי</w:t>
      </w:r>
      <w:r w:rsidRPr="00DA2A8F">
        <w:rPr>
          <w:rFonts w:ascii="Calibri" w:hAnsi="Calibri"/>
          <w:rtl/>
        </w:rPr>
        <w:t xml:space="preserve"> </w:t>
      </w:r>
      <w:r w:rsidRPr="00DA2A8F">
        <w:rPr>
          <w:rFonts w:ascii="Calibri" w:hAnsi="Calibri" w:hint="eastAsia"/>
          <w:rtl/>
        </w:rPr>
        <w:t>פסיקת</w:t>
      </w:r>
      <w:r w:rsidRPr="00DA2A8F">
        <w:rPr>
          <w:rFonts w:ascii="Calibri" w:hAnsi="Calibri"/>
          <w:rtl/>
        </w:rPr>
        <w:t xml:space="preserve"> </w:t>
      </w:r>
      <w:r w:rsidRPr="00DA2A8F">
        <w:rPr>
          <w:rFonts w:ascii="Calibri" w:hAnsi="Calibri" w:hint="eastAsia"/>
          <w:rtl/>
        </w:rPr>
        <w:t>בית</w:t>
      </w:r>
      <w:r w:rsidRPr="00DA2A8F">
        <w:rPr>
          <w:rFonts w:ascii="Calibri" w:hAnsi="Calibri"/>
          <w:rtl/>
        </w:rPr>
        <w:t>-</w:t>
      </w:r>
      <w:r w:rsidRPr="00DA2A8F">
        <w:rPr>
          <w:rFonts w:ascii="Calibri" w:hAnsi="Calibri" w:hint="eastAsia"/>
          <w:rtl/>
        </w:rPr>
        <w:t>המשפט</w:t>
      </w:r>
      <w:r w:rsidRPr="00DA2A8F">
        <w:rPr>
          <w:rFonts w:ascii="Calibri" w:hAnsi="Calibri"/>
          <w:rtl/>
        </w:rPr>
        <w:t xml:space="preserve"> </w:t>
      </w:r>
      <w:r w:rsidRPr="00DA2A8F">
        <w:rPr>
          <w:rFonts w:ascii="Calibri" w:hAnsi="Calibri" w:hint="eastAsia"/>
          <w:rtl/>
        </w:rPr>
        <w:t>העליון</w:t>
      </w:r>
      <w:r w:rsidRPr="00DA2A8F">
        <w:rPr>
          <w:rFonts w:ascii="Calibri" w:hAnsi="Calibri"/>
          <w:rtl/>
        </w:rPr>
        <w:t xml:space="preserve">, </w:t>
      </w:r>
      <w:r w:rsidRPr="00DA2A8F">
        <w:rPr>
          <w:rFonts w:ascii="Calibri" w:hAnsi="Calibri" w:hint="eastAsia"/>
          <w:rtl/>
        </w:rPr>
        <w:t>יש</w:t>
      </w:r>
      <w:r w:rsidRPr="00DA2A8F">
        <w:rPr>
          <w:rFonts w:ascii="Calibri" w:hAnsi="Calibri"/>
          <w:rtl/>
        </w:rPr>
        <w:t xml:space="preserve"> </w:t>
      </w:r>
      <w:r w:rsidRPr="00DA2A8F">
        <w:rPr>
          <w:rFonts w:ascii="Calibri" w:hAnsi="Calibri" w:hint="eastAsia"/>
          <w:rtl/>
        </w:rPr>
        <w:t>להטיל</w:t>
      </w:r>
      <w:r w:rsidRPr="00DA2A8F">
        <w:rPr>
          <w:rFonts w:ascii="Calibri" w:hAnsi="Calibri"/>
          <w:rtl/>
        </w:rPr>
        <w:t xml:space="preserve"> </w:t>
      </w:r>
      <w:r w:rsidRPr="00DA2A8F">
        <w:rPr>
          <w:rFonts w:ascii="Calibri" w:hAnsi="Calibri" w:hint="eastAsia"/>
          <w:rtl/>
        </w:rPr>
        <w:t>עונשי</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r w:rsidRPr="00DA2A8F">
        <w:rPr>
          <w:rFonts w:ascii="Calibri" w:hAnsi="Calibri" w:hint="eastAsia"/>
          <w:rtl/>
        </w:rPr>
        <w:t>בגין</w:t>
      </w:r>
      <w:r w:rsidRPr="00DA2A8F">
        <w:rPr>
          <w:rFonts w:ascii="Calibri" w:hAnsi="Calibri"/>
          <w:rtl/>
        </w:rPr>
        <w:t xml:space="preserve"> </w:t>
      </w:r>
      <w:r w:rsidRPr="00DA2A8F">
        <w:rPr>
          <w:rFonts w:ascii="Calibri" w:hAnsi="Calibri" w:hint="eastAsia"/>
          <w:rtl/>
        </w:rPr>
        <w:t>עבירות</w:t>
      </w:r>
      <w:r w:rsidRPr="00DA2A8F">
        <w:rPr>
          <w:rFonts w:ascii="Calibri" w:hAnsi="Calibri"/>
          <w:rtl/>
        </w:rPr>
        <w:t xml:space="preserve"> </w:t>
      </w:r>
      <w:r w:rsidRPr="00DA2A8F">
        <w:rPr>
          <w:rFonts w:ascii="Calibri" w:hAnsi="Calibri" w:hint="eastAsia"/>
          <w:rtl/>
        </w:rPr>
        <w:t>נשק</w:t>
      </w:r>
      <w:r w:rsidRPr="00DA2A8F">
        <w:rPr>
          <w:rFonts w:ascii="Calibri" w:hAnsi="Calibri"/>
          <w:rtl/>
        </w:rPr>
        <w:t xml:space="preserve"> </w:t>
      </w:r>
      <w:r w:rsidRPr="00DA2A8F">
        <w:rPr>
          <w:rFonts w:ascii="Calibri" w:hAnsi="Calibri" w:hint="eastAsia"/>
          <w:rtl/>
        </w:rPr>
        <w:t>גם</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מי</w:t>
      </w:r>
      <w:r w:rsidRPr="00DA2A8F">
        <w:rPr>
          <w:rFonts w:ascii="Calibri" w:hAnsi="Calibri"/>
          <w:rtl/>
        </w:rPr>
        <w:t xml:space="preserve"> </w:t>
      </w:r>
      <w:r w:rsidRPr="00DA2A8F">
        <w:rPr>
          <w:rFonts w:ascii="Calibri" w:hAnsi="Calibri" w:hint="eastAsia"/>
          <w:rtl/>
        </w:rPr>
        <w:t>שזוהי</w:t>
      </w:r>
      <w:r w:rsidRPr="00DA2A8F">
        <w:rPr>
          <w:rFonts w:ascii="Calibri" w:hAnsi="Calibri"/>
          <w:rtl/>
        </w:rPr>
        <w:t xml:space="preserve"> </w:t>
      </w:r>
      <w:r w:rsidRPr="00DA2A8F">
        <w:rPr>
          <w:rFonts w:ascii="Calibri" w:hAnsi="Calibri" w:hint="eastAsia"/>
          <w:rtl/>
        </w:rPr>
        <w:t>הרשעתו</w:t>
      </w:r>
      <w:r w:rsidRPr="00DA2A8F">
        <w:rPr>
          <w:rFonts w:ascii="Calibri" w:hAnsi="Calibri"/>
          <w:rtl/>
        </w:rPr>
        <w:t xml:space="preserve"> </w:t>
      </w:r>
      <w:r w:rsidRPr="00DA2A8F">
        <w:rPr>
          <w:rFonts w:ascii="Calibri" w:hAnsi="Calibri" w:hint="eastAsia"/>
          <w:rtl/>
        </w:rPr>
        <w:t>הראשונה</w:t>
      </w:r>
      <w:r w:rsidRPr="00DA2A8F">
        <w:rPr>
          <w:rFonts w:ascii="Calibri" w:hAnsi="Calibri"/>
          <w:rtl/>
        </w:rPr>
        <w:t xml:space="preserve"> </w:t>
      </w:r>
      <w:r w:rsidRPr="00DA2A8F">
        <w:rPr>
          <w:rFonts w:ascii="Calibri" w:hAnsi="Calibri" w:hint="eastAsia"/>
          <w:rtl/>
        </w:rPr>
        <w:t>בפלילים</w:t>
      </w:r>
      <w:r w:rsidRPr="00DA2A8F">
        <w:rPr>
          <w:rFonts w:ascii="Calibri" w:hAnsi="Calibri"/>
          <w:rtl/>
        </w:rPr>
        <w:t xml:space="preserve"> (</w:t>
      </w:r>
      <w:r w:rsidRPr="00DA2A8F">
        <w:rPr>
          <w:rFonts w:ascii="Calibri" w:hAnsi="Calibri" w:hint="eastAsia"/>
          <w:rtl/>
        </w:rPr>
        <w:t>ראו</w:t>
      </w:r>
      <w:r w:rsidRPr="00DA2A8F">
        <w:rPr>
          <w:rFonts w:ascii="Calibri" w:hAnsi="Calibri"/>
          <w:rtl/>
        </w:rPr>
        <w:t xml:space="preserve">, </w:t>
      </w:r>
      <w:r w:rsidRPr="00DA2A8F">
        <w:rPr>
          <w:rFonts w:ascii="Calibri" w:hAnsi="Calibri" w:hint="eastAsia"/>
          <w:rtl/>
        </w:rPr>
        <w:t>למשל</w:t>
      </w:r>
      <w:r w:rsidRPr="00DA2A8F">
        <w:rPr>
          <w:rFonts w:ascii="Calibri" w:hAnsi="Calibri"/>
          <w:rtl/>
        </w:rPr>
        <w:t xml:space="preserve">: </w:t>
      </w:r>
      <w:hyperlink r:id="rId26" w:history="1">
        <w:r w:rsidR="00F81468" w:rsidRPr="00DA2A8F">
          <w:rPr>
            <w:color w:val="0000FF"/>
            <w:u w:val="single"/>
            <w:rtl/>
            <w:lang w:eastAsia="he-IL"/>
          </w:rPr>
          <w:t>ע"פ 6989/13</w:t>
        </w:r>
      </w:hyperlink>
      <w:r w:rsidRPr="00DA2A8F">
        <w:rPr>
          <w:rtl/>
          <w:lang w:eastAsia="he-IL"/>
        </w:rPr>
        <w:t xml:space="preserve"> </w:t>
      </w:r>
      <w:r w:rsidRPr="00DA2A8F">
        <w:rPr>
          <w:b/>
          <w:bCs/>
          <w:rtl/>
          <w:lang w:eastAsia="he-IL"/>
        </w:rPr>
        <w:t xml:space="preserve">פרח נ' מדינת ישראל </w:t>
      </w:r>
      <w:r w:rsidRPr="00DA2A8F">
        <w:rPr>
          <w:rtl/>
          <w:lang w:eastAsia="he-IL"/>
        </w:rPr>
        <w:t>[25.2.2014]).</w:t>
      </w:r>
      <w:r w:rsidRPr="00DA2A8F">
        <w:rPr>
          <w:rFonts w:ascii="Arial" w:hAnsi="Arial"/>
          <w:rtl/>
        </w:rPr>
        <w:t xml:space="preserve"> </w:t>
      </w:r>
    </w:p>
    <w:p w14:paraId="645A1309" w14:textId="77777777" w:rsidR="009E7F3C" w:rsidRPr="00DA2A8F" w:rsidRDefault="009E7F3C" w:rsidP="009E7F3C">
      <w:pPr>
        <w:overflowPunct w:val="0"/>
        <w:autoSpaceDE w:val="0"/>
        <w:autoSpaceDN w:val="0"/>
        <w:adjustRightInd w:val="0"/>
        <w:spacing w:line="360" w:lineRule="auto"/>
        <w:ind w:left="720" w:hanging="720"/>
        <w:jc w:val="both"/>
        <w:rPr>
          <w:rtl/>
        </w:rPr>
      </w:pPr>
    </w:p>
    <w:p w14:paraId="6E993A53"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tl/>
        </w:rPr>
      </w:pPr>
      <w:r w:rsidRPr="00DA2A8F">
        <w:rPr>
          <w:u w:val="single"/>
          <w:rtl/>
        </w:rPr>
        <w:t>מתחם העונש ההולם</w:t>
      </w:r>
      <w:r w:rsidRPr="00DA2A8F">
        <w:rPr>
          <w:rtl/>
        </w:rPr>
        <w:t xml:space="preserve"> ייקבע בהתחשב במדיניות ענישה זו ובנסיבות ביצוע העבירות, כשעסקינן במי שפנו אליו בבקשה להשיג נשק, והוא אשר הביא למימוש עסקה באקדח יחד עם מחסנית וכדורים, תוך שהועברה לו תמורה לא ידועה והנשק נתפס בעקבות פעילות משטרתית.</w:t>
      </w:r>
    </w:p>
    <w:p w14:paraId="075F7E3D"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rtl/>
        </w:rPr>
      </w:pPr>
    </w:p>
    <w:p w14:paraId="757A95D7"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Fonts w:ascii="Calibri" w:hAnsi="Calibri"/>
        </w:rPr>
      </w:pPr>
      <w:r w:rsidRPr="00DA2A8F">
        <w:rPr>
          <w:rtl/>
        </w:rPr>
        <w:t>עיינתי בפסיקה שהוצגה על-ידי ב"כ הצדדים ובפסיקה נוספת, ולצורך קביעת מתחם העונש ההולם אציין את המרכזיים שבהם:</w:t>
      </w:r>
    </w:p>
    <w:p w14:paraId="7AD35555" w14:textId="77777777" w:rsidR="009E7F3C" w:rsidRPr="00DA2A8F" w:rsidRDefault="009E7F3C" w:rsidP="009E7F3C">
      <w:pPr>
        <w:ind w:left="720"/>
        <w:contextualSpacing/>
        <w:rPr>
          <w:rFonts w:ascii="David" w:hAnsi="David"/>
          <w:rtl/>
        </w:rPr>
      </w:pPr>
    </w:p>
    <w:p w14:paraId="187DA461" w14:textId="77777777" w:rsidR="009E7F3C" w:rsidRPr="00DA2A8F" w:rsidRDefault="009E7F3C" w:rsidP="009E7F3C">
      <w:pPr>
        <w:spacing w:line="360" w:lineRule="auto"/>
        <w:ind w:left="720" w:hanging="720"/>
        <w:jc w:val="both"/>
        <w:rPr>
          <w:rFonts w:ascii="David" w:hAnsi="David"/>
        </w:rPr>
      </w:pPr>
      <w:r w:rsidRPr="00DA2A8F">
        <w:rPr>
          <w:rFonts w:ascii="David" w:hAnsi="David"/>
          <w:rtl/>
        </w:rPr>
        <w:tab/>
      </w:r>
      <w:hyperlink r:id="rId27" w:history="1">
        <w:r w:rsidR="00F81468" w:rsidRPr="00DA2A8F">
          <w:rPr>
            <w:rFonts w:ascii="David" w:hAnsi="David"/>
            <w:color w:val="0000FF"/>
            <w:u w:val="single"/>
            <w:rtl/>
          </w:rPr>
          <w:t>ע"פ 785/15</w:t>
        </w:r>
      </w:hyperlink>
      <w:r w:rsidRPr="00DA2A8F">
        <w:rPr>
          <w:rFonts w:ascii="David" w:hAnsi="David"/>
          <w:rtl/>
        </w:rPr>
        <w:t xml:space="preserve"> </w:t>
      </w:r>
      <w:r w:rsidRPr="00DA2A8F">
        <w:rPr>
          <w:rFonts w:ascii="David" w:hAnsi="David"/>
          <w:b/>
          <w:bCs/>
          <w:rtl/>
        </w:rPr>
        <w:t>פואקה נגד מדינת ישראל</w:t>
      </w:r>
      <w:r w:rsidRPr="00DA2A8F">
        <w:rPr>
          <w:rFonts w:ascii="David" w:hAnsi="David"/>
          <w:rtl/>
        </w:rPr>
        <w:t xml:space="preserve"> [6.12.15]: על המערער הושת עונש של 84 חודשי מאסר בפועל לאחר שהורשע על פי הודאתו בעבירות של תיווך בסם, שתי עבירות של עסקה בנשק לפי </w:t>
      </w:r>
      <w:hyperlink r:id="rId28" w:history="1">
        <w:r w:rsidR="00DA2A8F" w:rsidRPr="00DA2A8F">
          <w:rPr>
            <w:rFonts w:ascii="David" w:hAnsi="David"/>
            <w:color w:val="0000FF"/>
            <w:u w:val="single"/>
            <w:rtl/>
          </w:rPr>
          <w:t>סעיף 144(ב2)</w:t>
        </w:r>
      </w:hyperlink>
      <w:r w:rsidRPr="00DA2A8F">
        <w:rPr>
          <w:rFonts w:ascii="David" w:hAnsi="David"/>
          <w:rtl/>
        </w:rPr>
        <w:t xml:space="preserve"> ל</w:t>
      </w:r>
      <w:hyperlink r:id="rId29" w:history="1">
        <w:r w:rsidR="00F81468" w:rsidRPr="00DA2A8F">
          <w:rPr>
            <w:rFonts w:ascii="David" w:hAnsi="David"/>
            <w:color w:val="0000FF"/>
            <w:u w:val="single"/>
            <w:rtl/>
          </w:rPr>
          <w:t>חוק העונשין</w:t>
        </w:r>
      </w:hyperlink>
      <w:r w:rsidRPr="00DA2A8F">
        <w:rPr>
          <w:rFonts w:ascii="David" w:hAnsi="David"/>
          <w:rtl/>
        </w:rPr>
        <w:t xml:space="preserve">, ועבירה של ניסיון לעסקה בנשק. על-פי האישום השני, הרלבנטי לענייננו, המערער הוא שהתקשר לסוכן לבשר לו שביכולתו לארגן לו שלושה כלי נשק שישמשו אותו בסכסוך עם חמולה. לאחר משא ומתן ביניהם שכלל פגישה מקדמית, נפגש הסוכן עם המערער ומורשע נוסף - דבש, על מנת לרכוש אקדח חצי אוטומטי מסוג </w:t>
      </w:r>
      <w:r w:rsidRPr="00DA2A8F">
        <w:rPr>
          <w:rFonts w:ascii="David" w:hAnsi="David"/>
        </w:rPr>
        <w:t>COLT</w:t>
      </w:r>
      <w:r w:rsidRPr="00DA2A8F">
        <w:rPr>
          <w:rFonts w:ascii="David" w:hAnsi="David"/>
          <w:rtl/>
        </w:rPr>
        <w:t xml:space="preserve"> ומחסנית תואמת טעונת כדורים. המערער ודבש נכנסו לרכבו של הסוכן ולאחר חילופי דברים שלף דבש את האקדח שהוסתר מתחת לחולצתו ומסר אותו לסוכן. בתמורה לאקדח, המחסנית והכדורים, מסר הסוכן למערער סכום של 14,000 ש"ח, אותו העביר המערער לדבש. בנוסף, שילם הסוכן למערער סכום של 500 ש"ח עבור שירותיו. </w:t>
      </w:r>
    </w:p>
    <w:p w14:paraId="2717D284"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rtl/>
        </w:rPr>
      </w:pPr>
      <w:r w:rsidRPr="00DA2A8F">
        <w:rPr>
          <w:rFonts w:ascii="David" w:hAnsi="David"/>
          <w:rtl/>
        </w:rPr>
        <w:tab/>
        <w:t xml:space="preserve">בית- המשפט המחוזי קבע מתחם עונש הולם לאישום זה שנע בין 18 ל- 36 חודשי מאסר, והעמיד את עונשו של המערער על 24 חודשי מאסר בגין אישום זה.  </w:t>
      </w:r>
    </w:p>
    <w:p w14:paraId="57F3CB0C"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color w:val="FF0000"/>
          <w:rtl/>
        </w:rPr>
      </w:pPr>
      <w:r w:rsidRPr="00DA2A8F">
        <w:rPr>
          <w:rFonts w:ascii="David" w:hAnsi="David"/>
          <w:rtl/>
        </w:rPr>
        <w:tab/>
        <w:t xml:space="preserve">בית-המשפט העליון הפחית במעט את עונש המאסר הכולל שהוטל על המערער והעמידו על 78 חודשי מאסר בפועל על רקע גילו הצעיר, היעדר עבר פלילי, שיתוף הפעולה עם הרשויות ונסיבות חייו המורכבות. </w:t>
      </w:r>
    </w:p>
    <w:p w14:paraId="3EC174EF"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color w:val="FF0000"/>
          <w:rtl/>
        </w:rPr>
      </w:pPr>
      <w:r w:rsidRPr="00DA2A8F">
        <w:rPr>
          <w:rFonts w:ascii="David" w:hAnsi="David"/>
          <w:color w:val="FF0000"/>
          <w:rtl/>
        </w:rPr>
        <w:tab/>
      </w:r>
    </w:p>
    <w:p w14:paraId="1EAFCC0B"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rtl/>
        </w:rPr>
      </w:pPr>
      <w:r w:rsidRPr="00DA2A8F">
        <w:rPr>
          <w:rFonts w:ascii="David" w:hAnsi="David"/>
          <w:color w:val="FF0000"/>
          <w:rtl/>
        </w:rPr>
        <w:tab/>
      </w:r>
      <w:r w:rsidRPr="00DA2A8F">
        <w:rPr>
          <w:rFonts w:ascii="David" w:hAnsi="David"/>
          <w:rtl/>
        </w:rPr>
        <w:t xml:space="preserve">על דבש, שותפו של המערער, שהורשע בשתי עבירות של עסקה בנשק, נקבע מתחם זהה ובית-המשפט המחוזי הטיל עליו 20 חודשי מאסר בפועל בגין עסקה מכירת האקדח והכדורים. באישום הנוסף, דבש היה מעורב במכירת שני תתי-מקלע מסוג קרל גוסטב יחד עם מחסנית וכדורים – ובסך הכל הושתו עליו 5 שנות מאסר בפועל. </w:t>
      </w:r>
    </w:p>
    <w:p w14:paraId="593385F4"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color w:val="FF0000"/>
          <w:rtl/>
        </w:rPr>
      </w:pPr>
      <w:r w:rsidRPr="00DA2A8F">
        <w:rPr>
          <w:rFonts w:ascii="David" w:hAnsi="David"/>
          <w:rtl/>
        </w:rPr>
        <w:tab/>
        <w:t xml:space="preserve">בערעור שהגיש על חומרת העונש – </w:t>
      </w:r>
      <w:hyperlink r:id="rId30" w:history="1">
        <w:r w:rsidR="00F81468" w:rsidRPr="00DA2A8F">
          <w:rPr>
            <w:rFonts w:ascii="David" w:hAnsi="David"/>
            <w:color w:val="0000FF"/>
            <w:u w:val="single"/>
            <w:rtl/>
          </w:rPr>
          <w:t>ע"פ 448/15</w:t>
        </w:r>
      </w:hyperlink>
      <w:r w:rsidRPr="00DA2A8F">
        <w:rPr>
          <w:rFonts w:ascii="David" w:hAnsi="David"/>
          <w:rtl/>
        </w:rPr>
        <w:t xml:space="preserve"> </w:t>
      </w:r>
      <w:r w:rsidRPr="00DA2A8F">
        <w:rPr>
          <w:rFonts w:ascii="David" w:hAnsi="David"/>
          <w:b/>
          <w:bCs/>
          <w:rtl/>
        </w:rPr>
        <w:t xml:space="preserve">דבש נגד מדינת ישראל </w:t>
      </w:r>
      <w:r w:rsidRPr="00DA2A8F">
        <w:rPr>
          <w:rFonts w:ascii="David" w:hAnsi="David"/>
          <w:rtl/>
        </w:rPr>
        <w:t xml:space="preserve">[26.11.15], קיבל המערער את הצעת בית-המשפט להקלה בעונשו ל – 54 חודשי מאסר, לאחר שהחל לקחת חלק בטיפול קבוצתי ופרטני אינטנסיבי לגמילה מסמים. </w:t>
      </w:r>
      <w:r w:rsidRPr="00DA2A8F">
        <w:rPr>
          <w:rFonts w:ascii="David" w:hAnsi="David"/>
          <w:color w:val="FF0000"/>
          <w:rtl/>
        </w:rPr>
        <w:tab/>
      </w:r>
    </w:p>
    <w:p w14:paraId="28A6D82E"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rtl/>
        </w:rPr>
      </w:pPr>
    </w:p>
    <w:p w14:paraId="23C01DD3" w14:textId="77777777" w:rsidR="009E7F3C" w:rsidRPr="00DA2A8F" w:rsidRDefault="009E7F3C" w:rsidP="009E7F3C">
      <w:pPr>
        <w:overflowPunct w:val="0"/>
        <w:autoSpaceDE w:val="0"/>
        <w:autoSpaceDN w:val="0"/>
        <w:adjustRightInd w:val="0"/>
        <w:spacing w:line="360" w:lineRule="auto"/>
        <w:ind w:left="720" w:hanging="720"/>
        <w:jc w:val="both"/>
        <w:rPr>
          <w:rFonts w:ascii="Calibri" w:hAnsi="Calibri"/>
          <w:rtl/>
          <w:lang w:eastAsia="he-IL"/>
        </w:rPr>
      </w:pPr>
      <w:r w:rsidRPr="00DA2A8F">
        <w:rPr>
          <w:rFonts w:ascii="David" w:hAnsi="David"/>
          <w:rtl/>
        </w:rPr>
        <w:tab/>
      </w:r>
      <w:hyperlink r:id="rId31" w:history="1">
        <w:r w:rsidR="00F81468" w:rsidRPr="00DA2A8F">
          <w:rPr>
            <w:rFonts w:ascii="Arial" w:hAnsi="Arial"/>
            <w:color w:val="0000FF"/>
            <w:u w:val="single"/>
            <w:rtl/>
          </w:rPr>
          <w:t>ע"פ 1768/14</w:t>
        </w:r>
      </w:hyperlink>
      <w:r w:rsidRPr="00DA2A8F">
        <w:rPr>
          <w:rFonts w:ascii="Arial" w:hAnsi="Arial"/>
          <w:rtl/>
        </w:rPr>
        <w:t xml:space="preserve"> </w:t>
      </w:r>
      <w:r w:rsidRPr="00DA2A8F">
        <w:rPr>
          <w:rFonts w:ascii="Arial" w:hAnsi="Arial"/>
          <w:b/>
          <w:bCs/>
          <w:rtl/>
        </w:rPr>
        <w:t>גנאיים נ' מדינת ישראל</w:t>
      </w:r>
      <w:r w:rsidRPr="00DA2A8F">
        <w:rPr>
          <w:rFonts w:ascii="Arial" w:hAnsi="Arial"/>
          <w:rtl/>
        </w:rPr>
        <w:t xml:space="preserve"> [22.7.2014], ממנו עולה, כי המערער הורשע בשתי עבירות סחר בגין שתי עסקאות, אחת של מכירת אקדח ותחמושת תואמת, והשנייה מכירת תחמושת (62 כדורים ושתי מחסניות לנשק </w:t>
      </w:r>
      <w:r w:rsidRPr="00DA2A8F">
        <w:rPr>
          <w:rFonts w:ascii="Arial" w:hAnsi="Arial"/>
        </w:rPr>
        <w:t>M-16</w:t>
      </w:r>
      <w:r w:rsidRPr="00DA2A8F">
        <w:rPr>
          <w:rFonts w:ascii="Arial" w:hAnsi="Arial"/>
          <w:rtl/>
        </w:rPr>
        <w:t>). נקבע כי חלקו של הנאשם בביצוע המעשים היה העיקרי. על הנאשם נגזרו 36 חודשים מאסר בפועל וקנס בסך 50,000 ₪.</w:t>
      </w:r>
      <w:r w:rsidRPr="00DA2A8F">
        <w:rPr>
          <w:rFonts w:ascii="Calibri" w:hAnsi="Calibri"/>
          <w:rtl/>
          <w:lang w:eastAsia="he-IL"/>
        </w:rPr>
        <w:t xml:space="preserve"> </w:t>
      </w:r>
      <w:r w:rsidRPr="00DA2A8F">
        <w:rPr>
          <w:rFonts w:ascii="Calibri" w:hAnsi="Calibri" w:hint="eastAsia"/>
          <w:rtl/>
          <w:lang w:eastAsia="he-IL"/>
        </w:rPr>
        <w:t>ערעורו</w:t>
      </w:r>
      <w:r w:rsidRPr="00DA2A8F">
        <w:rPr>
          <w:rFonts w:ascii="Calibri" w:hAnsi="Calibri"/>
          <w:rtl/>
          <w:lang w:eastAsia="he-IL"/>
        </w:rPr>
        <w:t xml:space="preserve"> </w:t>
      </w:r>
      <w:r w:rsidRPr="00DA2A8F">
        <w:rPr>
          <w:rFonts w:ascii="Calibri" w:hAnsi="Calibri" w:hint="eastAsia"/>
          <w:rtl/>
          <w:lang w:eastAsia="he-IL"/>
        </w:rPr>
        <w:t>על</w:t>
      </w:r>
      <w:r w:rsidRPr="00DA2A8F">
        <w:rPr>
          <w:rFonts w:ascii="Calibri" w:hAnsi="Calibri"/>
          <w:rtl/>
          <w:lang w:eastAsia="he-IL"/>
        </w:rPr>
        <w:t xml:space="preserve"> </w:t>
      </w:r>
      <w:r w:rsidRPr="00DA2A8F">
        <w:rPr>
          <w:rFonts w:ascii="Calibri" w:hAnsi="Calibri" w:hint="eastAsia"/>
          <w:rtl/>
          <w:lang w:eastAsia="he-IL"/>
        </w:rPr>
        <w:t>חומרת</w:t>
      </w:r>
      <w:r w:rsidRPr="00DA2A8F">
        <w:rPr>
          <w:rFonts w:ascii="Calibri" w:hAnsi="Calibri"/>
          <w:rtl/>
          <w:lang w:eastAsia="he-IL"/>
        </w:rPr>
        <w:t xml:space="preserve"> </w:t>
      </w:r>
      <w:r w:rsidRPr="00DA2A8F">
        <w:rPr>
          <w:rFonts w:ascii="Calibri" w:hAnsi="Calibri" w:hint="eastAsia"/>
          <w:rtl/>
          <w:lang w:eastAsia="he-IL"/>
        </w:rPr>
        <w:t>העונש</w:t>
      </w:r>
      <w:r w:rsidRPr="00DA2A8F">
        <w:rPr>
          <w:rFonts w:ascii="Calibri" w:hAnsi="Calibri"/>
          <w:rtl/>
          <w:lang w:eastAsia="he-IL"/>
        </w:rPr>
        <w:t xml:space="preserve"> </w:t>
      </w:r>
      <w:r w:rsidRPr="00DA2A8F">
        <w:rPr>
          <w:rFonts w:ascii="Calibri" w:hAnsi="Calibri" w:hint="eastAsia"/>
          <w:rtl/>
          <w:lang w:eastAsia="he-IL"/>
        </w:rPr>
        <w:t>נדחה</w:t>
      </w:r>
      <w:r w:rsidRPr="00DA2A8F">
        <w:rPr>
          <w:rFonts w:ascii="Calibri" w:hAnsi="Calibri"/>
          <w:rtl/>
          <w:lang w:eastAsia="he-IL"/>
        </w:rPr>
        <w:t>.</w:t>
      </w:r>
    </w:p>
    <w:p w14:paraId="1C44FB93" w14:textId="77777777" w:rsidR="009E7F3C" w:rsidRPr="00DA2A8F" w:rsidRDefault="009E7F3C" w:rsidP="009E7F3C">
      <w:pPr>
        <w:spacing w:line="360" w:lineRule="auto"/>
        <w:ind w:left="720" w:hanging="720"/>
        <w:jc w:val="both"/>
        <w:rPr>
          <w:rFonts w:ascii="Calibri" w:hAnsi="Calibri"/>
          <w:rtl/>
          <w:lang w:eastAsia="he-IL"/>
        </w:rPr>
      </w:pPr>
    </w:p>
    <w:p w14:paraId="1D73FAAA" w14:textId="77777777" w:rsidR="009E7F3C" w:rsidRPr="00DA2A8F" w:rsidRDefault="009E7F3C" w:rsidP="009E7F3C">
      <w:pPr>
        <w:spacing w:line="360" w:lineRule="auto"/>
        <w:ind w:left="720" w:hanging="720"/>
        <w:jc w:val="both"/>
        <w:rPr>
          <w:rFonts w:ascii="Calibri" w:hAnsi="Calibri"/>
          <w:rtl/>
        </w:rPr>
      </w:pPr>
      <w:r w:rsidRPr="00DA2A8F">
        <w:rPr>
          <w:rFonts w:ascii="Calibri" w:hAnsi="Calibri"/>
          <w:rtl/>
        </w:rPr>
        <w:tab/>
      </w:r>
      <w:hyperlink r:id="rId32" w:history="1">
        <w:r w:rsidR="00F81468" w:rsidRPr="00DA2A8F">
          <w:rPr>
            <w:rFonts w:ascii="Calibri" w:hAnsi="Calibri" w:hint="eastAsia"/>
            <w:color w:val="0000FF"/>
            <w:u w:val="single"/>
            <w:rtl/>
          </w:rPr>
          <w:t>ע</w:t>
        </w:r>
        <w:r w:rsidR="00F81468" w:rsidRPr="00DA2A8F">
          <w:rPr>
            <w:rFonts w:ascii="Calibri" w:hAnsi="Calibri"/>
            <w:color w:val="0000FF"/>
            <w:u w:val="single"/>
            <w:rtl/>
          </w:rPr>
          <w:t>"</w:t>
        </w:r>
        <w:r w:rsidR="00F81468" w:rsidRPr="00DA2A8F">
          <w:rPr>
            <w:rFonts w:ascii="Calibri" w:hAnsi="Calibri" w:hint="eastAsia"/>
            <w:color w:val="0000FF"/>
            <w:u w:val="single"/>
            <w:rtl/>
          </w:rPr>
          <w:t>פ</w:t>
        </w:r>
        <w:r w:rsidR="00F81468" w:rsidRPr="00DA2A8F">
          <w:rPr>
            <w:rFonts w:ascii="Calibri" w:hAnsi="Calibri"/>
            <w:color w:val="0000FF"/>
            <w:u w:val="single"/>
            <w:rtl/>
          </w:rPr>
          <w:t xml:space="preserve"> 2606/13</w:t>
        </w:r>
      </w:hyperlink>
      <w:r w:rsidRPr="00DA2A8F">
        <w:rPr>
          <w:rFonts w:ascii="Calibri" w:hAnsi="Calibri"/>
          <w:rtl/>
        </w:rPr>
        <w:t xml:space="preserve"> </w:t>
      </w:r>
      <w:r w:rsidRPr="00DA2A8F">
        <w:rPr>
          <w:rFonts w:ascii="Calibri" w:hAnsi="Calibri" w:hint="eastAsia"/>
          <w:b/>
          <w:bCs/>
          <w:rtl/>
        </w:rPr>
        <w:t>חוסני</w:t>
      </w:r>
      <w:r w:rsidRPr="00DA2A8F">
        <w:rPr>
          <w:rFonts w:ascii="Calibri" w:hAnsi="Calibri"/>
          <w:b/>
          <w:bCs/>
          <w:rtl/>
        </w:rPr>
        <w:t xml:space="preserve"> </w:t>
      </w:r>
      <w:r w:rsidRPr="00DA2A8F">
        <w:rPr>
          <w:rFonts w:ascii="Calibri" w:hAnsi="Calibri" w:hint="eastAsia"/>
          <w:b/>
          <w:bCs/>
          <w:rtl/>
        </w:rPr>
        <w:t>נ</w:t>
      </w:r>
      <w:r w:rsidRPr="00DA2A8F">
        <w:rPr>
          <w:rFonts w:ascii="Calibri" w:hAnsi="Calibri"/>
          <w:b/>
          <w:bCs/>
          <w:rtl/>
        </w:rPr>
        <w:t xml:space="preserve">' </w:t>
      </w:r>
      <w:r w:rsidRPr="00DA2A8F">
        <w:rPr>
          <w:rFonts w:ascii="Calibri" w:hAnsi="Calibri" w:hint="eastAsia"/>
          <w:b/>
          <w:bCs/>
          <w:rtl/>
        </w:rPr>
        <w:t>מדינת</w:t>
      </w:r>
      <w:r w:rsidRPr="00DA2A8F">
        <w:rPr>
          <w:rFonts w:ascii="Calibri" w:hAnsi="Calibri"/>
          <w:b/>
          <w:bCs/>
          <w:rtl/>
        </w:rPr>
        <w:t xml:space="preserve"> </w:t>
      </w:r>
      <w:r w:rsidRPr="00DA2A8F">
        <w:rPr>
          <w:rFonts w:ascii="Calibri" w:hAnsi="Calibri" w:hint="eastAsia"/>
          <w:b/>
          <w:bCs/>
          <w:rtl/>
        </w:rPr>
        <w:t>ישראל</w:t>
      </w:r>
      <w:r w:rsidRPr="00DA2A8F">
        <w:rPr>
          <w:rFonts w:ascii="Calibri" w:hAnsi="Calibri"/>
          <w:rtl/>
        </w:rPr>
        <w:t xml:space="preserve"> [2.2.2014] </w:t>
      </w:r>
      <w:r w:rsidRPr="00DA2A8F">
        <w:rPr>
          <w:rFonts w:ascii="Calibri" w:hAnsi="Calibri" w:hint="eastAsia"/>
          <w:rtl/>
        </w:rPr>
        <w:t>ממנו</w:t>
      </w:r>
      <w:r w:rsidRPr="00DA2A8F">
        <w:rPr>
          <w:rFonts w:ascii="Calibri" w:hAnsi="Calibri"/>
          <w:rtl/>
        </w:rPr>
        <w:t xml:space="preserve"> </w:t>
      </w:r>
      <w:r w:rsidRPr="00DA2A8F">
        <w:rPr>
          <w:rFonts w:ascii="Calibri" w:hAnsi="Calibri" w:hint="eastAsia"/>
          <w:rtl/>
        </w:rPr>
        <w:t>עולה</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הורשע</w:t>
      </w:r>
      <w:r w:rsidRPr="00DA2A8F">
        <w:rPr>
          <w:rFonts w:ascii="Calibri" w:hAnsi="Calibri"/>
          <w:rtl/>
        </w:rPr>
        <w:t xml:space="preserve"> </w:t>
      </w:r>
      <w:r w:rsidRPr="00DA2A8F">
        <w:rPr>
          <w:rFonts w:ascii="Calibri" w:hAnsi="Calibri" w:hint="eastAsia"/>
          <w:rtl/>
        </w:rPr>
        <w:t>בשני</w:t>
      </w:r>
      <w:r w:rsidRPr="00DA2A8F">
        <w:rPr>
          <w:rFonts w:ascii="Calibri" w:hAnsi="Calibri"/>
          <w:rtl/>
        </w:rPr>
        <w:t xml:space="preserve"> </w:t>
      </w:r>
      <w:r w:rsidRPr="00DA2A8F">
        <w:rPr>
          <w:rFonts w:ascii="Calibri" w:hAnsi="Calibri" w:hint="eastAsia"/>
          <w:rtl/>
        </w:rPr>
        <w:t>אישומים</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בשני</w:t>
      </w:r>
      <w:r w:rsidRPr="00DA2A8F">
        <w:rPr>
          <w:rFonts w:ascii="Calibri" w:hAnsi="Calibri"/>
          <w:rtl/>
        </w:rPr>
        <w:t xml:space="preserve"> </w:t>
      </w:r>
      <w:r w:rsidRPr="00DA2A8F">
        <w:rPr>
          <w:rFonts w:ascii="Calibri" w:hAnsi="Calibri" w:hint="eastAsia"/>
          <w:rtl/>
        </w:rPr>
        <w:t>אקדחים</w:t>
      </w:r>
      <w:r w:rsidRPr="00DA2A8F">
        <w:rPr>
          <w:rFonts w:ascii="Calibri" w:hAnsi="Calibri"/>
          <w:rtl/>
        </w:rPr>
        <w:t xml:space="preserve">, </w:t>
      </w:r>
      <w:r w:rsidRPr="00DA2A8F">
        <w:rPr>
          <w:rFonts w:ascii="Calibri" w:hAnsi="Calibri" w:hint="eastAsia"/>
          <w:rtl/>
        </w:rPr>
        <w:t>ובאישום</w:t>
      </w:r>
      <w:r w:rsidRPr="00DA2A8F">
        <w:rPr>
          <w:rFonts w:ascii="Calibri" w:hAnsi="Calibri"/>
          <w:rtl/>
        </w:rPr>
        <w:t xml:space="preserve"> </w:t>
      </w:r>
      <w:r w:rsidRPr="00DA2A8F">
        <w:rPr>
          <w:rFonts w:ascii="Calibri" w:hAnsi="Calibri" w:hint="eastAsia"/>
          <w:rtl/>
        </w:rPr>
        <w:t>נוסף</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בתחמושת</w:t>
      </w:r>
      <w:r w:rsidRPr="00DA2A8F">
        <w:rPr>
          <w:rFonts w:ascii="Calibri" w:hAnsi="Calibri"/>
          <w:rtl/>
        </w:rPr>
        <w:t xml:space="preserve"> (</w:t>
      </w:r>
      <w:r w:rsidRPr="00DA2A8F">
        <w:rPr>
          <w:rFonts w:ascii="Calibri" w:hAnsi="Calibri" w:hint="eastAsia"/>
          <w:rtl/>
        </w:rPr>
        <w:t>מחסניות</w:t>
      </w:r>
      <w:r w:rsidRPr="00DA2A8F">
        <w:rPr>
          <w:rFonts w:ascii="Calibri" w:hAnsi="Calibri"/>
          <w:rtl/>
        </w:rPr>
        <w:t xml:space="preserve"> </w:t>
      </w:r>
      <w:r w:rsidRPr="00DA2A8F">
        <w:rPr>
          <w:rFonts w:ascii="Calibri" w:hAnsi="Calibri" w:hint="eastAsia"/>
          <w:rtl/>
        </w:rPr>
        <w:t>וכדורים</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Arial" w:hAnsi="Arial"/>
        </w:rPr>
        <w:t>M-16</w:t>
      </w:r>
      <w:r w:rsidRPr="00DA2A8F">
        <w:rPr>
          <w:rFonts w:ascii="Arial" w:hAnsi="Arial"/>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נעדר</w:t>
      </w:r>
      <w:r w:rsidRPr="00DA2A8F">
        <w:rPr>
          <w:rFonts w:ascii="Calibri" w:hAnsi="Calibri"/>
          <w:rtl/>
        </w:rPr>
        <w:t xml:space="preserve"> </w:t>
      </w:r>
      <w:r w:rsidRPr="00DA2A8F">
        <w:rPr>
          <w:rFonts w:ascii="Calibri" w:hAnsi="Calibri" w:hint="eastAsia"/>
          <w:rtl/>
        </w:rPr>
        <w:t>עבר</w:t>
      </w:r>
      <w:r w:rsidRPr="00DA2A8F">
        <w:rPr>
          <w:rFonts w:ascii="Calibri" w:hAnsi="Calibri"/>
          <w:rtl/>
        </w:rPr>
        <w:t xml:space="preserve"> </w:t>
      </w:r>
      <w:r w:rsidRPr="00DA2A8F">
        <w:rPr>
          <w:rFonts w:ascii="Calibri" w:hAnsi="Calibri" w:hint="eastAsia"/>
          <w:rtl/>
        </w:rPr>
        <w:t>פלילי</w:t>
      </w:r>
      <w:r w:rsidRPr="00DA2A8F">
        <w:rPr>
          <w:rFonts w:ascii="Calibri" w:hAnsi="Calibri"/>
          <w:rtl/>
        </w:rPr>
        <w:t xml:space="preserve">, </w:t>
      </w:r>
      <w:r w:rsidRPr="00DA2A8F">
        <w:rPr>
          <w:rFonts w:ascii="Calibri" w:hAnsi="Calibri" w:hint="eastAsia"/>
          <w:rtl/>
        </w:rPr>
        <w:t>הושתו</w:t>
      </w:r>
      <w:r w:rsidRPr="00DA2A8F">
        <w:rPr>
          <w:rFonts w:ascii="Calibri" w:hAnsi="Calibri"/>
          <w:rtl/>
        </w:rPr>
        <w:t xml:space="preserve"> 45 </w:t>
      </w:r>
      <w:r w:rsidRPr="00DA2A8F">
        <w:rPr>
          <w:rFonts w:ascii="Calibri" w:hAnsi="Calibri" w:hint="eastAsia"/>
          <w:rtl/>
        </w:rPr>
        <w:t>חודשי</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לריצוי</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r w:rsidRPr="00DA2A8F">
        <w:rPr>
          <w:rFonts w:ascii="Calibri" w:hAnsi="Calibri" w:hint="eastAsia"/>
          <w:rtl/>
        </w:rPr>
        <w:t>וקנס</w:t>
      </w:r>
      <w:r w:rsidRPr="00DA2A8F">
        <w:rPr>
          <w:rFonts w:ascii="Calibri" w:hAnsi="Calibri"/>
          <w:rtl/>
        </w:rPr>
        <w:t xml:space="preserve"> </w:t>
      </w:r>
      <w:r w:rsidRPr="00DA2A8F">
        <w:rPr>
          <w:rFonts w:ascii="Calibri" w:hAnsi="Calibri" w:hint="eastAsia"/>
          <w:rtl/>
        </w:rPr>
        <w:t>בסך</w:t>
      </w:r>
      <w:r w:rsidRPr="00DA2A8F">
        <w:rPr>
          <w:rFonts w:ascii="Calibri" w:hAnsi="Calibri"/>
          <w:rtl/>
        </w:rPr>
        <w:t xml:space="preserve"> 30,000</w:t>
      </w:r>
      <w:r w:rsidRPr="00DA2A8F">
        <w:rPr>
          <w:rFonts w:ascii="Calibri" w:hAnsi="Calibri"/>
          <w:b/>
          <w:bCs/>
          <w:rtl/>
        </w:rPr>
        <w:t xml:space="preserve"> </w:t>
      </w:r>
      <w:r w:rsidRPr="00DA2A8F">
        <w:rPr>
          <w:rFonts w:ascii="Calibri" w:hAnsi="Calibri" w:hint="eastAsia"/>
          <w:b/>
          <w:bCs/>
          <w:rtl/>
        </w:rPr>
        <w:t>₪</w:t>
      </w:r>
      <w:r w:rsidRPr="00DA2A8F">
        <w:rPr>
          <w:rFonts w:ascii="Calibri" w:hAnsi="Calibri"/>
          <w:rtl/>
        </w:rPr>
        <w:t xml:space="preserve">. </w:t>
      </w:r>
      <w:r w:rsidRPr="00DA2A8F">
        <w:rPr>
          <w:rFonts w:ascii="Calibri" w:hAnsi="Calibri" w:hint="eastAsia"/>
          <w:rtl/>
        </w:rPr>
        <w:t>ערעורו</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חומרת</w:t>
      </w:r>
      <w:r w:rsidRPr="00DA2A8F">
        <w:rPr>
          <w:rFonts w:ascii="Calibri" w:hAnsi="Calibri"/>
          <w:rtl/>
        </w:rPr>
        <w:t xml:space="preserve"> </w:t>
      </w:r>
      <w:r w:rsidRPr="00DA2A8F">
        <w:rPr>
          <w:rFonts w:ascii="Calibri" w:hAnsi="Calibri" w:hint="eastAsia"/>
          <w:rtl/>
        </w:rPr>
        <w:t>העונש</w:t>
      </w:r>
      <w:r w:rsidRPr="00DA2A8F">
        <w:rPr>
          <w:rFonts w:ascii="Calibri" w:hAnsi="Calibri"/>
          <w:rtl/>
        </w:rPr>
        <w:t xml:space="preserve"> </w:t>
      </w:r>
      <w:r w:rsidRPr="00DA2A8F">
        <w:rPr>
          <w:rFonts w:ascii="Calibri" w:hAnsi="Calibri" w:hint="eastAsia"/>
          <w:rtl/>
        </w:rPr>
        <w:t>נדחה</w:t>
      </w:r>
      <w:r w:rsidRPr="00DA2A8F">
        <w:rPr>
          <w:rFonts w:ascii="Calibri" w:hAnsi="Calibri"/>
          <w:rtl/>
        </w:rPr>
        <w:t>.</w:t>
      </w:r>
    </w:p>
    <w:p w14:paraId="05641172" w14:textId="77777777" w:rsidR="009E7F3C" w:rsidRPr="00DA2A8F" w:rsidRDefault="009E7F3C" w:rsidP="009E7F3C">
      <w:pPr>
        <w:spacing w:line="360" w:lineRule="auto"/>
        <w:ind w:left="720" w:hanging="720"/>
        <w:jc w:val="both"/>
        <w:rPr>
          <w:rFonts w:ascii="Calibri" w:hAnsi="Calibri"/>
          <w:rtl/>
        </w:rPr>
      </w:pPr>
    </w:p>
    <w:p w14:paraId="6AFDF30A"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r>
      <w:hyperlink r:id="rId33" w:history="1">
        <w:r w:rsidR="00F81468" w:rsidRPr="00DA2A8F">
          <w:rPr>
            <w:rFonts w:ascii="David" w:hAnsi="David"/>
            <w:color w:val="0000FF"/>
            <w:u w:val="single"/>
            <w:rtl/>
          </w:rPr>
          <w:t>ע"פ 4154/16</w:t>
        </w:r>
      </w:hyperlink>
      <w:r w:rsidRPr="00DA2A8F">
        <w:rPr>
          <w:rFonts w:ascii="David" w:hAnsi="David"/>
          <w:rtl/>
        </w:rPr>
        <w:t xml:space="preserve"> </w:t>
      </w:r>
      <w:r w:rsidRPr="00DA2A8F">
        <w:rPr>
          <w:rFonts w:ascii="David" w:hAnsi="David"/>
          <w:b/>
          <w:bCs/>
          <w:rtl/>
        </w:rPr>
        <w:t xml:space="preserve">דהוד נ' מדינת ישראל </w:t>
      </w:r>
      <w:r w:rsidRPr="00DA2A8F">
        <w:rPr>
          <w:rFonts w:ascii="David" w:hAnsi="David"/>
          <w:rtl/>
        </w:rPr>
        <w:t>[19.1.2017] ולפיו, המערער מכר יחד עם אחר אקדח ותחמושת לסוכן משטרתי. כחודש לאחר מכן, מכר לסוכן אקדח ורובה ציד מאולתר. נקבע כי מדובר בשני אירועים נפרדים, כאשר מתחם העונש ההולם לכל אישום נע בין 2 ל-5 שנות מאסר. על המערער, שלחובתו עבר פלילי לא מכביד, נגזרו 45 חודשים מאסר וקנס בסך 18,000 ₪. ערעורו על חומרת העונש נדחה.</w:t>
      </w:r>
    </w:p>
    <w:p w14:paraId="2B61C26A"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 xml:space="preserve"> </w:t>
      </w:r>
    </w:p>
    <w:p w14:paraId="606C390B" w14:textId="77777777" w:rsidR="009E7F3C" w:rsidRPr="00DA2A8F" w:rsidRDefault="009E7F3C" w:rsidP="009E7F3C">
      <w:pPr>
        <w:spacing w:line="360" w:lineRule="auto"/>
        <w:ind w:left="720" w:hanging="720"/>
        <w:jc w:val="both"/>
        <w:rPr>
          <w:rFonts w:ascii="Calibri" w:hAnsi="Calibri"/>
          <w:rtl/>
        </w:rPr>
      </w:pPr>
      <w:r w:rsidRPr="00DA2A8F">
        <w:rPr>
          <w:rFonts w:ascii="Calibri" w:hAnsi="Calibri"/>
          <w:rtl/>
        </w:rPr>
        <w:tab/>
      </w:r>
      <w:r w:rsidRPr="00DA2A8F">
        <w:rPr>
          <w:rFonts w:ascii="Calibri" w:hAnsi="Calibri" w:hint="eastAsia"/>
          <w:rtl/>
        </w:rPr>
        <w:t>ע</w:t>
      </w:r>
      <w:r w:rsidRPr="00DA2A8F">
        <w:rPr>
          <w:rFonts w:ascii="Calibri" w:hAnsi="Calibri"/>
          <w:rtl/>
        </w:rPr>
        <w:t>"</w:t>
      </w:r>
      <w:r w:rsidRPr="00DA2A8F">
        <w:rPr>
          <w:rFonts w:ascii="Calibri" w:hAnsi="Calibri" w:hint="eastAsia"/>
          <w:rtl/>
        </w:rPr>
        <w:t>פ</w:t>
      </w:r>
      <w:r w:rsidRPr="00DA2A8F">
        <w:rPr>
          <w:rFonts w:ascii="Calibri" w:hAnsi="Calibri"/>
          <w:rtl/>
        </w:rPr>
        <w:t xml:space="preserve"> 526/14 </w:t>
      </w:r>
      <w:r w:rsidRPr="00DA2A8F">
        <w:rPr>
          <w:rFonts w:ascii="Calibri" w:hAnsi="Calibri" w:hint="eastAsia"/>
          <w:b/>
          <w:bCs/>
          <w:rtl/>
        </w:rPr>
        <w:t>פלוני</w:t>
      </w:r>
      <w:r w:rsidRPr="00DA2A8F">
        <w:rPr>
          <w:rFonts w:ascii="Calibri" w:hAnsi="Calibri"/>
          <w:b/>
          <w:bCs/>
          <w:rtl/>
        </w:rPr>
        <w:t xml:space="preserve"> </w:t>
      </w:r>
      <w:r w:rsidRPr="00DA2A8F">
        <w:rPr>
          <w:rFonts w:ascii="Calibri" w:hAnsi="Calibri" w:hint="eastAsia"/>
          <w:b/>
          <w:bCs/>
          <w:rtl/>
        </w:rPr>
        <w:t>נ</w:t>
      </w:r>
      <w:r w:rsidRPr="00DA2A8F">
        <w:rPr>
          <w:rFonts w:ascii="Calibri" w:hAnsi="Calibri"/>
          <w:b/>
          <w:bCs/>
          <w:rtl/>
        </w:rPr>
        <w:t xml:space="preserve">' </w:t>
      </w:r>
      <w:r w:rsidRPr="00DA2A8F">
        <w:rPr>
          <w:rFonts w:ascii="Calibri" w:hAnsi="Calibri" w:hint="eastAsia"/>
          <w:b/>
          <w:bCs/>
          <w:rtl/>
        </w:rPr>
        <w:t>מדינת</w:t>
      </w:r>
      <w:r w:rsidRPr="00DA2A8F">
        <w:rPr>
          <w:rFonts w:ascii="Calibri" w:hAnsi="Calibri"/>
          <w:b/>
          <w:bCs/>
          <w:rtl/>
        </w:rPr>
        <w:t xml:space="preserve"> </w:t>
      </w:r>
      <w:r w:rsidRPr="00DA2A8F">
        <w:rPr>
          <w:rFonts w:ascii="Calibri" w:hAnsi="Calibri" w:hint="eastAsia"/>
          <w:b/>
          <w:bCs/>
          <w:rtl/>
        </w:rPr>
        <w:t>ישראל</w:t>
      </w:r>
      <w:r w:rsidRPr="00DA2A8F">
        <w:rPr>
          <w:rFonts w:ascii="Calibri" w:hAnsi="Calibri"/>
          <w:b/>
          <w:bCs/>
          <w:rtl/>
        </w:rPr>
        <w:t xml:space="preserve"> </w:t>
      </w:r>
      <w:r w:rsidRPr="00DA2A8F">
        <w:rPr>
          <w:rFonts w:ascii="Calibri" w:hAnsi="Calibri"/>
          <w:rtl/>
        </w:rPr>
        <w:t xml:space="preserve">[12.3.2014] </w:t>
      </w:r>
      <w:r w:rsidRPr="00DA2A8F">
        <w:rPr>
          <w:rFonts w:ascii="Calibri" w:hAnsi="Calibri" w:hint="eastAsia"/>
          <w:rtl/>
        </w:rPr>
        <w:t>ממנו</w:t>
      </w:r>
      <w:r w:rsidRPr="00DA2A8F">
        <w:rPr>
          <w:rFonts w:ascii="Calibri" w:hAnsi="Calibri"/>
          <w:rtl/>
        </w:rPr>
        <w:t xml:space="preserve"> </w:t>
      </w:r>
      <w:r w:rsidRPr="00DA2A8F">
        <w:rPr>
          <w:rFonts w:ascii="Calibri" w:hAnsi="Calibri" w:hint="eastAsia"/>
          <w:rtl/>
        </w:rPr>
        <w:t>עולה</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מכר</w:t>
      </w:r>
      <w:r w:rsidRPr="00DA2A8F">
        <w:rPr>
          <w:rFonts w:ascii="Calibri" w:hAnsi="Calibri"/>
          <w:rtl/>
        </w:rPr>
        <w:t xml:space="preserve"> </w:t>
      </w:r>
      <w:r w:rsidRPr="00DA2A8F">
        <w:rPr>
          <w:rFonts w:ascii="Calibri" w:hAnsi="Calibri" w:hint="eastAsia"/>
          <w:rtl/>
        </w:rPr>
        <w:t>לסוכן</w:t>
      </w:r>
      <w:r w:rsidRPr="00DA2A8F">
        <w:rPr>
          <w:rFonts w:ascii="Calibri" w:hAnsi="Calibri"/>
          <w:rtl/>
        </w:rPr>
        <w:t xml:space="preserve"> </w:t>
      </w:r>
      <w:r w:rsidRPr="00DA2A8F">
        <w:rPr>
          <w:rFonts w:ascii="Calibri" w:hAnsi="Calibri" w:hint="eastAsia"/>
          <w:rtl/>
        </w:rPr>
        <w:t>משטרתי</w:t>
      </w:r>
      <w:r w:rsidRPr="00DA2A8F">
        <w:rPr>
          <w:rFonts w:ascii="Calibri" w:hAnsi="Calibri"/>
          <w:rtl/>
        </w:rPr>
        <w:t xml:space="preserve"> </w:t>
      </w:r>
      <w:r w:rsidRPr="00DA2A8F">
        <w:rPr>
          <w:rFonts w:ascii="Calibri" w:hAnsi="Calibri" w:hint="eastAsia"/>
          <w:rtl/>
        </w:rPr>
        <w:t>אקדח</w:t>
      </w:r>
      <w:r w:rsidRPr="00DA2A8F">
        <w:rPr>
          <w:rFonts w:ascii="Calibri" w:hAnsi="Calibri"/>
          <w:rtl/>
        </w:rPr>
        <w:t xml:space="preserve"> </w:t>
      </w:r>
      <w:r w:rsidRPr="00DA2A8F">
        <w:rPr>
          <w:rFonts w:ascii="Calibri" w:hAnsi="Calibri" w:hint="eastAsia"/>
          <w:rtl/>
        </w:rPr>
        <w:t>ומחסנית</w:t>
      </w:r>
      <w:r w:rsidRPr="00DA2A8F">
        <w:rPr>
          <w:rFonts w:ascii="Calibri" w:hAnsi="Calibri"/>
          <w:rtl/>
        </w:rPr>
        <w:t xml:space="preserve"> </w:t>
      </w:r>
      <w:r w:rsidRPr="00DA2A8F">
        <w:rPr>
          <w:rFonts w:ascii="Calibri" w:hAnsi="Calibri" w:hint="eastAsia"/>
          <w:rtl/>
        </w:rPr>
        <w:t>תמורת</w:t>
      </w:r>
      <w:r w:rsidRPr="00DA2A8F">
        <w:rPr>
          <w:rFonts w:ascii="Calibri" w:hAnsi="Calibri"/>
          <w:rtl/>
        </w:rPr>
        <w:t xml:space="preserve"> 14,000 </w:t>
      </w:r>
      <w:r w:rsidRPr="00DA2A8F">
        <w:rPr>
          <w:rFonts w:ascii="Calibri" w:hAnsi="Calibri" w:hint="eastAsia"/>
          <w:rtl/>
        </w:rPr>
        <w:t>₪</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סיפק</w:t>
      </w:r>
      <w:r w:rsidRPr="00DA2A8F">
        <w:rPr>
          <w:rFonts w:ascii="Calibri" w:hAnsi="Calibri"/>
          <w:rtl/>
        </w:rPr>
        <w:t xml:space="preserve"> </w:t>
      </w:r>
      <w:r w:rsidRPr="00DA2A8F">
        <w:rPr>
          <w:rFonts w:ascii="Calibri" w:hAnsi="Calibri" w:hint="eastAsia"/>
          <w:rtl/>
        </w:rPr>
        <w:t>את</w:t>
      </w:r>
      <w:r w:rsidRPr="00DA2A8F">
        <w:rPr>
          <w:rFonts w:ascii="Calibri" w:hAnsi="Calibri"/>
          <w:rtl/>
        </w:rPr>
        <w:t xml:space="preserve"> </w:t>
      </w:r>
      <w:r w:rsidRPr="00DA2A8F">
        <w:rPr>
          <w:rFonts w:ascii="Calibri" w:hAnsi="Calibri" w:hint="eastAsia"/>
          <w:rtl/>
        </w:rPr>
        <w:t>הנשק</w:t>
      </w:r>
      <w:r w:rsidRPr="00DA2A8F">
        <w:rPr>
          <w:rFonts w:ascii="Calibri" w:hAnsi="Calibri"/>
          <w:rtl/>
        </w:rPr>
        <w:t xml:space="preserve"> </w:t>
      </w:r>
      <w:r w:rsidRPr="00DA2A8F">
        <w:rPr>
          <w:rFonts w:ascii="Calibri" w:hAnsi="Calibri" w:hint="eastAsia"/>
          <w:rtl/>
        </w:rPr>
        <w:t>אך</w:t>
      </w:r>
      <w:r w:rsidRPr="00DA2A8F">
        <w:rPr>
          <w:rFonts w:ascii="Calibri" w:hAnsi="Calibri"/>
          <w:rtl/>
        </w:rPr>
        <w:t xml:space="preserve"> </w:t>
      </w:r>
      <w:r w:rsidRPr="00DA2A8F">
        <w:rPr>
          <w:rFonts w:ascii="Calibri" w:hAnsi="Calibri" w:hint="eastAsia"/>
          <w:rtl/>
        </w:rPr>
        <w:t>אחר</w:t>
      </w:r>
      <w:r w:rsidRPr="00DA2A8F">
        <w:rPr>
          <w:rFonts w:ascii="Calibri" w:hAnsi="Calibri"/>
          <w:rtl/>
        </w:rPr>
        <w:t xml:space="preserve"> </w:t>
      </w:r>
      <w:r w:rsidRPr="00DA2A8F">
        <w:rPr>
          <w:rFonts w:ascii="Calibri" w:hAnsi="Calibri" w:hint="eastAsia"/>
          <w:rtl/>
        </w:rPr>
        <w:t>הוא</w:t>
      </w:r>
      <w:r w:rsidRPr="00DA2A8F">
        <w:rPr>
          <w:rFonts w:ascii="Calibri" w:hAnsi="Calibri"/>
          <w:rtl/>
        </w:rPr>
        <w:t xml:space="preserve"> </w:t>
      </w:r>
      <w:r w:rsidRPr="00DA2A8F">
        <w:rPr>
          <w:rFonts w:ascii="Calibri" w:hAnsi="Calibri" w:hint="eastAsia"/>
          <w:rtl/>
        </w:rPr>
        <w:t>שיזם</w:t>
      </w:r>
      <w:r w:rsidRPr="00DA2A8F">
        <w:rPr>
          <w:rFonts w:ascii="Calibri" w:hAnsi="Calibri"/>
          <w:rtl/>
        </w:rPr>
        <w:t xml:space="preserve"> </w:t>
      </w:r>
      <w:r w:rsidRPr="00DA2A8F">
        <w:rPr>
          <w:rFonts w:ascii="Calibri" w:hAnsi="Calibri" w:hint="eastAsia"/>
          <w:rtl/>
        </w:rPr>
        <w:t>את</w:t>
      </w:r>
      <w:r w:rsidRPr="00DA2A8F">
        <w:rPr>
          <w:rFonts w:ascii="Calibri" w:hAnsi="Calibri"/>
          <w:rtl/>
        </w:rPr>
        <w:t xml:space="preserve"> </w:t>
      </w:r>
      <w:r w:rsidRPr="00DA2A8F">
        <w:rPr>
          <w:rFonts w:ascii="Calibri" w:hAnsi="Calibri" w:hint="eastAsia"/>
          <w:rtl/>
        </w:rPr>
        <w:t>העסקה</w:t>
      </w:r>
      <w:r w:rsidRPr="00DA2A8F">
        <w:rPr>
          <w:rFonts w:ascii="Calibri" w:hAnsi="Calibri"/>
          <w:rtl/>
        </w:rPr>
        <w:t xml:space="preserve">. </w:t>
      </w:r>
      <w:r w:rsidRPr="00DA2A8F">
        <w:rPr>
          <w:rFonts w:ascii="Calibri" w:hAnsi="Calibri" w:hint="eastAsia"/>
          <w:rtl/>
        </w:rPr>
        <w:t>בית</w:t>
      </w:r>
      <w:r w:rsidRPr="00DA2A8F">
        <w:rPr>
          <w:rFonts w:ascii="Calibri" w:hAnsi="Calibri"/>
          <w:rtl/>
        </w:rPr>
        <w:t>-</w:t>
      </w:r>
      <w:r w:rsidRPr="00DA2A8F">
        <w:rPr>
          <w:rFonts w:ascii="Calibri" w:hAnsi="Calibri" w:hint="eastAsia"/>
          <w:rtl/>
        </w:rPr>
        <w:t>המשפט</w:t>
      </w:r>
      <w:r w:rsidRPr="00DA2A8F">
        <w:rPr>
          <w:rFonts w:ascii="Calibri" w:hAnsi="Calibri"/>
          <w:rtl/>
        </w:rPr>
        <w:t xml:space="preserve"> </w:t>
      </w:r>
      <w:r w:rsidRPr="00DA2A8F">
        <w:rPr>
          <w:rFonts w:ascii="Calibri" w:hAnsi="Calibri" w:hint="eastAsia"/>
          <w:rtl/>
        </w:rPr>
        <w:t>המחוזי</w:t>
      </w:r>
      <w:r w:rsidRPr="00DA2A8F">
        <w:rPr>
          <w:rFonts w:ascii="Calibri" w:hAnsi="Calibri"/>
          <w:rtl/>
        </w:rPr>
        <w:t xml:space="preserve"> </w:t>
      </w:r>
      <w:r w:rsidRPr="00DA2A8F">
        <w:rPr>
          <w:rFonts w:ascii="Calibri" w:hAnsi="Calibri" w:hint="eastAsia"/>
          <w:rtl/>
        </w:rPr>
        <w:t>קבע</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מתחם</w:t>
      </w:r>
      <w:r w:rsidRPr="00DA2A8F">
        <w:rPr>
          <w:rFonts w:ascii="Calibri" w:hAnsi="Calibri"/>
          <w:rtl/>
        </w:rPr>
        <w:t xml:space="preserve"> </w:t>
      </w:r>
      <w:r w:rsidRPr="00DA2A8F">
        <w:rPr>
          <w:rFonts w:ascii="Calibri" w:hAnsi="Calibri" w:hint="eastAsia"/>
          <w:rtl/>
        </w:rPr>
        <w:t>העונש</w:t>
      </w:r>
      <w:r w:rsidRPr="00DA2A8F">
        <w:rPr>
          <w:rFonts w:ascii="Calibri" w:hAnsi="Calibri"/>
          <w:rtl/>
        </w:rPr>
        <w:t xml:space="preserve"> </w:t>
      </w:r>
      <w:r w:rsidRPr="00DA2A8F">
        <w:rPr>
          <w:rFonts w:ascii="Calibri" w:hAnsi="Calibri" w:hint="eastAsia"/>
          <w:rtl/>
        </w:rPr>
        <w:t>ההולם</w:t>
      </w:r>
      <w:r w:rsidRPr="00DA2A8F">
        <w:rPr>
          <w:rFonts w:ascii="Calibri" w:hAnsi="Calibri"/>
          <w:rtl/>
        </w:rPr>
        <w:t xml:space="preserve"> </w:t>
      </w:r>
      <w:r w:rsidRPr="00DA2A8F">
        <w:rPr>
          <w:rFonts w:ascii="Calibri" w:hAnsi="Calibri" w:hint="eastAsia"/>
          <w:rtl/>
        </w:rPr>
        <w:t>נע</w:t>
      </w:r>
      <w:r w:rsidRPr="00DA2A8F">
        <w:rPr>
          <w:rFonts w:ascii="Calibri" w:hAnsi="Calibri"/>
          <w:rtl/>
        </w:rPr>
        <w:t xml:space="preserve"> </w:t>
      </w:r>
      <w:r w:rsidRPr="00DA2A8F">
        <w:rPr>
          <w:rFonts w:ascii="Calibri" w:hAnsi="Calibri" w:hint="eastAsia"/>
          <w:rtl/>
        </w:rPr>
        <w:t>בין</w:t>
      </w:r>
      <w:r w:rsidRPr="00DA2A8F">
        <w:rPr>
          <w:rFonts w:ascii="Calibri" w:hAnsi="Calibri"/>
          <w:rtl/>
        </w:rPr>
        <w:t xml:space="preserve"> 18 </w:t>
      </w:r>
      <w:r w:rsidRPr="00DA2A8F">
        <w:rPr>
          <w:rFonts w:ascii="Calibri" w:hAnsi="Calibri" w:hint="eastAsia"/>
          <w:rtl/>
        </w:rPr>
        <w:t>ל</w:t>
      </w:r>
      <w:r w:rsidRPr="00DA2A8F">
        <w:rPr>
          <w:rFonts w:ascii="Calibri" w:hAnsi="Calibri"/>
          <w:rtl/>
        </w:rPr>
        <w:t xml:space="preserve">-48 </w:t>
      </w:r>
      <w:r w:rsidRPr="00DA2A8F">
        <w:rPr>
          <w:rFonts w:ascii="Calibri" w:hAnsi="Calibri" w:hint="eastAsia"/>
          <w:rtl/>
        </w:rPr>
        <w:t>חודשים</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r w:rsidRPr="00DA2A8F">
        <w:rPr>
          <w:rFonts w:ascii="Calibri" w:hAnsi="Calibri" w:hint="eastAsia"/>
          <w:rtl/>
        </w:rPr>
        <w:t>וגזר</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צעיר</w:t>
      </w:r>
      <w:r w:rsidRPr="00DA2A8F">
        <w:rPr>
          <w:rFonts w:ascii="Calibri" w:hAnsi="Calibri"/>
          <w:rtl/>
        </w:rPr>
        <w:t xml:space="preserve"> </w:t>
      </w:r>
      <w:r w:rsidRPr="00DA2A8F">
        <w:rPr>
          <w:rFonts w:ascii="Calibri" w:hAnsi="Calibri" w:hint="eastAsia"/>
          <w:rtl/>
        </w:rPr>
        <w:t>אשר</w:t>
      </w:r>
      <w:r w:rsidRPr="00DA2A8F">
        <w:rPr>
          <w:rFonts w:ascii="Calibri" w:hAnsi="Calibri"/>
          <w:rtl/>
        </w:rPr>
        <w:t xml:space="preserve"> </w:t>
      </w:r>
      <w:r w:rsidRPr="00DA2A8F">
        <w:rPr>
          <w:rFonts w:ascii="Calibri" w:hAnsi="Calibri" w:hint="eastAsia"/>
          <w:rtl/>
        </w:rPr>
        <w:t>עבר</w:t>
      </w:r>
      <w:r w:rsidRPr="00DA2A8F">
        <w:rPr>
          <w:rFonts w:ascii="Calibri" w:hAnsi="Calibri"/>
          <w:rtl/>
        </w:rPr>
        <w:t xml:space="preserve"> </w:t>
      </w:r>
      <w:r w:rsidRPr="00DA2A8F">
        <w:rPr>
          <w:rFonts w:ascii="Calibri" w:hAnsi="Calibri" w:hint="eastAsia"/>
          <w:rtl/>
        </w:rPr>
        <w:t>הליך</w:t>
      </w:r>
      <w:r w:rsidRPr="00DA2A8F">
        <w:rPr>
          <w:rFonts w:ascii="Calibri" w:hAnsi="Calibri"/>
          <w:rtl/>
        </w:rPr>
        <w:t xml:space="preserve"> </w:t>
      </w:r>
      <w:r w:rsidRPr="00DA2A8F">
        <w:rPr>
          <w:rFonts w:ascii="Calibri" w:hAnsi="Calibri" w:hint="eastAsia"/>
          <w:rtl/>
        </w:rPr>
        <w:t>שיקומי</w:t>
      </w:r>
      <w:r w:rsidRPr="00DA2A8F">
        <w:rPr>
          <w:rFonts w:ascii="Calibri" w:hAnsi="Calibri"/>
          <w:rtl/>
        </w:rPr>
        <w:t xml:space="preserve"> </w:t>
      </w:r>
      <w:r w:rsidRPr="00DA2A8F">
        <w:rPr>
          <w:rFonts w:ascii="Calibri" w:hAnsi="Calibri" w:hint="eastAsia"/>
          <w:rtl/>
        </w:rPr>
        <w:t>משמעותי</w:t>
      </w:r>
      <w:r w:rsidRPr="00DA2A8F">
        <w:rPr>
          <w:rFonts w:ascii="Calibri" w:hAnsi="Calibri"/>
          <w:rtl/>
        </w:rPr>
        <w:t xml:space="preserve"> </w:t>
      </w:r>
      <w:r w:rsidRPr="00DA2A8F">
        <w:rPr>
          <w:rFonts w:ascii="Calibri" w:hAnsi="Calibri" w:hint="eastAsia"/>
          <w:rtl/>
        </w:rPr>
        <w:t>קודם</w:t>
      </w:r>
      <w:r w:rsidRPr="00DA2A8F">
        <w:rPr>
          <w:rFonts w:ascii="Calibri" w:hAnsi="Calibri"/>
          <w:rtl/>
        </w:rPr>
        <w:t xml:space="preserve"> </w:t>
      </w:r>
      <w:r w:rsidRPr="00DA2A8F">
        <w:rPr>
          <w:rFonts w:ascii="Calibri" w:hAnsi="Calibri" w:hint="eastAsia"/>
          <w:rtl/>
        </w:rPr>
        <w:t>לגזירת</w:t>
      </w:r>
      <w:r w:rsidRPr="00DA2A8F">
        <w:rPr>
          <w:rFonts w:ascii="Calibri" w:hAnsi="Calibri"/>
          <w:rtl/>
        </w:rPr>
        <w:t xml:space="preserve"> </w:t>
      </w:r>
      <w:r w:rsidRPr="00DA2A8F">
        <w:rPr>
          <w:rFonts w:ascii="Calibri" w:hAnsi="Calibri" w:hint="eastAsia"/>
          <w:rtl/>
        </w:rPr>
        <w:t>דינו</w:t>
      </w:r>
      <w:r w:rsidRPr="00DA2A8F">
        <w:rPr>
          <w:rFonts w:ascii="Calibri" w:hAnsi="Calibri"/>
          <w:rtl/>
        </w:rPr>
        <w:t xml:space="preserve">, 22 </w:t>
      </w:r>
      <w:r w:rsidRPr="00DA2A8F">
        <w:rPr>
          <w:rFonts w:ascii="Calibri" w:hAnsi="Calibri" w:hint="eastAsia"/>
          <w:rtl/>
        </w:rPr>
        <w:t>חודשי</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r w:rsidRPr="00DA2A8F">
        <w:rPr>
          <w:rFonts w:ascii="Calibri" w:hAnsi="Calibri" w:hint="eastAsia"/>
          <w:rtl/>
        </w:rPr>
        <w:t>בית</w:t>
      </w:r>
      <w:r w:rsidRPr="00DA2A8F">
        <w:rPr>
          <w:rFonts w:ascii="Calibri" w:hAnsi="Calibri"/>
          <w:rtl/>
        </w:rPr>
        <w:t>-</w:t>
      </w:r>
      <w:r w:rsidRPr="00DA2A8F">
        <w:rPr>
          <w:rFonts w:ascii="Calibri" w:hAnsi="Calibri" w:hint="eastAsia"/>
          <w:rtl/>
        </w:rPr>
        <w:t>המשפט</w:t>
      </w:r>
      <w:r w:rsidRPr="00DA2A8F">
        <w:rPr>
          <w:rFonts w:ascii="Calibri" w:hAnsi="Calibri"/>
          <w:rtl/>
        </w:rPr>
        <w:t xml:space="preserve"> </w:t>
      </w:r>
      <w:r w:rsidRPr="00DA2A8F">
        <w:rPr>
          <w:rFonts w:ascii="Calibri" w:hAnsi="Calibri" w:hint="eastAsia"/>
          <w:rtl/>
        </w:rPr>
        <w:t>העליון</w:t>
      </w:r>
      <w:r w:rsidRPr="00DA2A8F">
        <w:rPr>
          <w:rFonts w:ascii="Calibri" w:hAnsi="Calibri"/>
          <w:rtl/>
        </w:rPr>
        <w:t xml:space="preserve"> </w:t>
      </w:r>
      <w:r w:rsidRPr="00DA2A8F">
        <w:rPr>
          <w:rFonts w:ascii="Calibri" w:hAnsi="Calibri" w:hint="eastAsia"/>
          <w:rtl/>
        </w:rPr>
        <w:t>עמד</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ההליך</w:t>
      </w:r>
      <w:r w:rsidRPr="00DA2A8F">
        <w:rPr>
          <w:rFonts w:ascii="Calibri" w:hAnsi="Calibri"/>
          <w:rtl/>
        </w:rPr>
        <w:t xml:space="preserve"> </w:t>
      </w:r>
      <w:r w:rsidRPr="00DA2A8F">
        <w:rPr>
          <w:rFonts w:ascii="Calibri" w:hAnsi="Calibri" w:hint="eastAsia"/>
          <w:rtl/>
        </w:rPr>
        <w:t>השיקומי</w:t>
      </w:r>
      <w:r w:rsidRPr="00DA2A8F">
        <w:rPr>
          <w:rFonts w:ascii="Calibri" w:hAnsi="Calibri"/>
          <w:rtl/>
        </w:rPr>
        <w:t xml:space="preserve"> </w:t>
      </w:r>
      <w:r w:rsidRPr="00DA2A8F">
        <w:rPr>
          <w:rFonts w:ascii="Calibri" w:hAnsi="Calibri" w:hint="eastAsia"/>
          <w:rtl/>
        </w:rPr>
        <w:t>המשמעותי</w:t>
      </w:r>
      <w:r w:rsidRPr="00DA2A8F">
        <w:rPr>
          <w:rFonts w:ascii="Calibri" w:hAnsi="Calibri"/>
          <w:rtl/>
        </w:rPr>
        <w:t xml:space="preserve"> </w:t>
      </w:r>
      <w:r w:rsidRPr="00DA2A8F">
        <w:rPr>
          <w:rFonts w:ascii="Calibri" w:hAnsi="Calibri" w:hint="eastAsia"/>
          <w:rtl/>
        </w:rPr>
        <w:t>אותו</w:t>
      </w:r>
      <w:r w:rsidRPr="00DA2A8F">
        <w:rPr>
          <w:rFonts w:ascii="Calibri" w:hAnsi="Calibri"/>
          <w:rtl/>
        </w:rPr>
        <w:t xml:space="preserve"> </w:t>
      </w:r>
      <w:r w:rsidRPr="00DA2A8F">
        <w:rPr>
          <w:rFonts w:ascii="Calibri" w:hAnsi="Calibri" w:hint="eastAsia"/>
          <w:rtl/>
        </w:rPr>
        <w:t>עבר</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ועל</w:t>
      </w:r>
      <w:r w:rsidRPr="00DA2A8F">
        <w:rPr>
          <w:rFonts w:ascii="Calibri" w:hAnsi="Calibri"/>
          <w:rtl/>
        </w:rPr>
        <w:t xml:space="preserve"> </w:t>
      </w:r>
      <w:r w:rsidRPr="00DA2A8F">
        <w:rPr>
          <w:rFonts w:ascii="Calibri" w:hAnsi="Calibri" w:hint="eastAsia"/>
          <w:rtl/>
        </w:rPr>
        <w:t>סיכויי</w:t>
      </w:r>
      <w:r w:rsidRPr="00DA2A8F">
        <w:rPr>
          <w:rFonts w:ascii="Calibri" w:hAnsi="Calibri"/>
          <w:rtl/>
        </w:rPr>
        <w:t xml:space="preserve"> </w:t>
      </w:r>
      <w:r w:rsidRPr="00DA2A8F">
        <w:rPr>
          <w:rFonts w:ascii="Calibri" w:hAnsi="Calibri" w:hint="eastAsia"/>
          <w:rtl/>
        </w:rPr>
        <w:t>שיקומו</w:t>
      </w:r>
      <w:r w:rsidRPr="00DA2A8F">
        <w:rPr>
          <w:rFonts w:ascii="Calibri" w:hAnsi="Calibri"/>
          <w:rtl/>
        </w:rPr>
        <w:t xml:space="preserve"> </w:t>
      </w:r>
      <w:r w:rsidRPr="00DA2A8F">
        <w:rPr>
          <w:rFonts w:ascii="Calibri" w:hAnsi="Calibri" w:hint="eastAsia"/>
          <w:rtl/>
        </w:rPr>
        <w:t>הגבוהים</w:t>
      </w:r>
      <w:r w:rsidRPr="00DA2A8F">
        <w:rPr>
          <w:rFonts w:ascii="Calibri" w:hAnsi="Calibri"/>
          <w:rtl/>
        </w:rPr>
        <w:t xml:space="preserve">, </w:t>
      </w:r>
      <w:r w:rsidRPr="00DA2A8F">
        <w:rPr>
          <w:rFonts w:ascii="Calibri" w:hAnsi="Calibri" w:hint="eastAsia"/>
          <w:rtl/>
        </w:rPr>
        <w:t>והפחית</w:t>
      </w:r>
      <w:r w:rsidRPr="00DA2A8F">
        <w:rPr>
          <w:rFonts w:ascii="Calibri" w:hAnsi="Calibri"/>
          <w:rtl/>
        </w:rPr>
        <w:t xml:space="preserve"> </w:t>
      </w:r>
      <w:r w:rsidRPr="00DA2A8F">
        <w:rPr>
          <w:rFonts w:ascii="Calibri" w:hAnsi="Calibri" w:hint="eastAsia"/>
          <w:rtl/>
        </w:rPr>
        <w:t>את</w:t>
      </w:r>
      <w:r w:rsidRPr="00DA2A8F">
        <w:rPr>
          <w:rFonts w:ascii="Calibri" w:hAnsi="Calibri"/>
          <w:rtl/>
        </w:rPr>
        <w:t xml:space="preserve"> </w:t>
      </w:r>
      <w:r w:rsidRPr="00DA2A8F">
        <w:rPr>
          <w:rFonts w:ascii="Calibri" w:hAnsi="Calibri" w:hint="eastAsia"/>
          <w:rtl/>
        </w:rPr>
        <w:t>עונשו</w:t>
      </w:r>
      <w:r w:rsidRPr="00DA2A8F">
        <w:rPr>
          <w:rFonts w:ascii="Calibri" w:hAnsi="Calibri"/>
          <w:rtl/>
        </w:rPr>
        <w:t xml:space="preserve"> </w:t>
      </w:r>
      <w:r w:rsidRPr="00DA2A8F">
        <w:rPr>
          <w:rFonts w:ascii="Calibri" w:hAnsi="Calibri" w:hint="eastAsia"/>
          <w:rtl/>
        </w:rPr>
        <w:t>ל</w:t>
      </w:r>
      <w:r w:rsidRPr="00DA2A8F">
        <w:rPr>
          <w:rFonts w:ascii="Calibri" w:hAnsi="Calibri"/>
          <w:rtl/>
        </w:rPr>
        <w:t xml:space="preserve">-16 </w:t>
      </w:r>
      <w:r w:rsidRPr="00DA2A8F">
        <w:rPr>
          <w:rFonts w:ascii="Calibri" w:hAnsi="Calibri" w:hint="eastAsia"/>
          <w:rtl/>
        </w:rPr>
        <w:t>חודשים</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w:t>
      </w:r>
    </w:p>
    <w:p w14:paraId="32D54159" w14:textId="77777777" w:rsidR="009E7F3C" w:rsidRPr="00DA2A8F" w:rsidRDefault="009E7F3C" w:rsidP="009E7F3C">
      <w:pPr>
        <w:spacing w:line="360" w:lineRule="auto"/>
        <w:ind w:left="720" w:hanging="720"/>
        <w:jc w:val="both"/>
        <w:rPr>
          <w:rFonts w:ascii="Calibri" w:hAnsi="Calibri"/>
          <w:rtl/>
        </w:rPr>
      </w:pPr>
    </w:p>
    <w:p w14:paraId="3A38D1D1" w14:textId="77777777" w:rsidR="009E7F3C" w:rsidRPr="00DA2A8F" w:rsidRDefault="009E7F3C" w:rsidP="009E7F3C">
      <w:pPr>
        <w:spacing w:line="360" w:lineRule="auto"/>
        <w:ind w:left="720" w:hanging="720"/>
        <w:contextualSpacing/>
        <w:jc w:val="both"/>
        <w:rPr>
          <w:rFonts w:ascii="Calibri" w:hAnsi="Calibri"/>
          <w:rtl/>
        </w:rPr>
      </w:pPr>
      <w:r w:rsidRPr="00DA2A8F">
        <w:rPr>
          <w:rFonts w:ascii="Calibri" w:hAnsi="Calibri"/>
          <w:rtl/>
        </w:rPr>
        <w:tab/>
      </w:r>
      <w:hyperlink r:id="rId34" w:history="1">
        <w:r w:rsidR="00F81468" w:rsidRPr="00DA2A8F">
          <w:rPr>
            <w:rFonts w:ascii="Calibri" w:hAnsi="Calibri" w:hint="eastAsia"/>
            <w:color w:val="0000FF"/>
            <w:u w:val="single"/>
            <w:rtl/>
          </w:rPr>
          <w:t>ע</w:t>
        </w:r>
        <w:r w:rsidR="00F81468" w:rsidRPr="00DA2A8F">
          <w:rPr>
            <w:rFonts w:ascii="Calibri" w:hAnsi="Calibri"/>
            <w:color w:val="0000FF"/>
            <w:u w:val="single"/>
            <w:rtl/>
          </w:rPr>
          <w:t>"</w:t>
        </w:r>
        <w:r w:rsidR="00F81468" w:rsidRPr="00DA2A8F">
          <w:rPr>
            <w:rFonts w:ascii="Calibri" w:hAnsi="Calibri" w:hint="eastAsia"/>
            <w:color w:val="0000FF"/>
            <w:u w:val="single"/>
            <w:rtl/>
          </w:rPr>
          <w:t>פ</w:t>
        </w:r>
        <w:r w:rsidR="00F81468" w:rsidRPr="00DA2A8F">
          <w:rPr>
            <w:rFonts w:ascii="Calibri" w:hAnsi="Calibri"/>
            <w:color w:val="0000FF"/>
            <w:u w:val="single"/>
            <w:rtl/>
          </w:rPr>
          <w:t xml:space="preserve"> 2186/13</w:t>
        </w:r>
      </w:hyperlink>
      <w:r w:rsidRPr="00DA2A8F">
        <w:rPr>
          <w:rFonts w:ascii="Calibri" w:hAnsi="Calibri"/>
          <w:rtl/>
        </w:rPr>
        <w:t xml:space="preserve"> </w:t>
      </w:r>
      <w:r w:rsidRPr="00DA2A8F">
        <w:rPr>
          <w:rFonts w:ascii="Calibri" w:hAnsi="Calibri" w:hint="eastAsia"/>
          <w:b/>
          <w:bCs/>
          <w:rtl/>
        </w:rPr>
        <w:t>עקול</w:t>
      </w:r>
      <w:r w:rsidRPr="00DA2A8F">
        <w:rPr>
          <w:rFonts w:ascii="Calibri" w:hAnsi="Calibri"/>
          <w:b/>
          <w:bCs/>
          <w:rtl/>
        </w:rPr>
        <w:t xml:space="preserve"> </w:t>
      </w:r>
      <w:r w:rsidRPr="00DA2A8F">
        <w:rPr>
          <w:rFonts w:ascii="Calibri" w:hAnsi="Calibri" w:hint="eastAsia"/>
          <w:b/>
          <w:bCs/>
          <w:rtl/>
        </w:rPr>
        <w:t>נגד</w:t>
      </w:r>
      <w:r w:rsidRPr="00DA2A8F">
        <w:rPr>
          <w:rFonts w:ascii="Calibri" w:hAnsi="Calibri"/>
          <w:b/>
          <w:bCs/>
          <w:rtl/>
        </w:rPr>
        <w:t xml:space="preserve"> </w:t>
      </w:r>
      <w:r w:rsidRPr="00DA2A8F">
        <w:rPr>
          <w:rFonts w:ascii="Calibri" w:hAnsi="Calibri" w:hint="eastAsia"/>
          <w:b/>
          <w:bCs/>
          <w:rtl/>
        </w:rPr>
        <w:t>מדינת</w:t>
      </w:r>
      <w:r w:rsidRPr="00DA2A8F">
        <w:rPr>
          <w:rFonts w:ascii="Calibri" w:hAnsi="Calibri"/>
          <w:b/>
          <w:bCs/>
          <w:rtl/>
        </w:rPr>
        <w:t xml:space="preserve"> </w:t>
      </w:r>
      <w:r w:rsidRPr="00DA2A8F">
        <w:rPr>
          <w:rFonts w:ascii="Calibri" w:hAnsi="Calibri" w:hint="eastAsia"/>
          <w:b/>
          <w:bCs/>
          <w:rtl/>
        </w:rPr>
        <w:t>ישראל</w:t>
      </w:r>
      <w:r w:rsidRPr="00DA2A8F">
        <w:rPr>
          <w:rFonts w:ascii="Calibri" w:hAnsi="Calibri"/>
          <w:rtl/>
        </w:rPr>
        <w:t xml:space="preserve"> [18.2.14].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הודה</w:t>
      </w:r>
      <w:r w:rsidRPr="00DA2A8F">
        <w:rPr>
          <w:rFonts w:ascii="Calibri" w:hAnsi="Calibri"/>
          <w:rtl/>
        </w:rPr>
        <w:t xml:space="preserve"> </w:t>
      </w:r>
      <w:r w:rsidRPr="00DA2A8F">
        <w:rPr>
          <w:rFonts w:ascii="Calibri" w:hAnsi="Calibri" w:hint="eastAsia"/>
          <w:rtl/>
        </w:rPr>
        <w:t>והורשע</w:t>
      </w:r>
      <w:r w:rsidRPr="00DA2A8F">
        <w:rPr>
          <w:rFonts w:ascii="Calibri" w:hAnsi="Calibri"/>
          <w:rtl/>
        </w:rPr>
        <w:t xml:space="preserve"> </w:t>
      </w:r>
      <w:r w:rsidRPr="00DA2A8F">
        <w:rPr>
          <w:rFonts w:ascii="Calibri" w:hAnsi="Calibri" w:hint="eastAsia"/>
          <w:rtl/>
        </w:rPr>
        <w:t>בארבעה</w:t>
      </w:r>
      <w:r w:rsidRPr="00DA2A8F">
        <w:rPr>
          <w:rFonts w:ascii="Calibri" w:hAnsi="Calibri"/>
          <w:rtl/>
        </w:rPr>
        <w:t xml:space="preserve"> </w:t>
      </w:r>
      <w:r w:rsidRPr="00DA2A8F">
        <w:rPr>
          <w:rFonts w:ascii="Calibri" w:hAnsi="Calibri" w:hint="eastAsia"/>
          <w:rtl/>
        </w:rPr>
        <w:t>אישומים</w:t>
      </w:r>
      <w:r w:rsidRPr="00DA2A8F">
        <w:rPr>
          <w:rFonts w:ascii="Calibri" w:hAnsi="Calibri"/>
          <w:rtl/>
        </w:rPr>
        <w:t xml:space="preserve">, </w:t>
      </w:r>
      <w:r w:rsidRPr="00DA2A8F">
        <w:rPr>
          <w:rFonts w:ascii="Calibri" w:hAnsi="Calibri" w:hint="eastAsia"/>
          <w:rtl/>
        </w:rPr>
        <w:t>שלושה</w:t>
      </w:r>
      <w:r w:rsidRPr="00DA2A8F">
        <w:rPr>
          <w:rFonts w:ascii="Calibri" w:hAnsi="Calibri"/>
          <w:rtl/>
        </w:rPr>
        <w:t xml:space="preserve"> </w:t>
      </w:r>
      <w:r w:rsidRPr="00DA2A8F">
        <w:rPr>
          <w:rFonts w:ascii="Calibri" w:hAnsi="Calibri" w:hint="eastAsia"/>
          <w:rtl/>
        </w:rPr>
        <w:t>מהם</w:t>
      </w:r>
      <w:r w:rsidRPr="00DA2A8F">
        <w:rPr>
          <w:rFonts w:ascii="Calibri" w:hAnsi="Calibri"/>
          <w:rtl/>
        </w:rPr>
        <w:t xml:space="preserve"> </w:t>
      </w:r>
      <w:r w:rsidRPr="00DA2A8F">
        <w:rPr>
          <w:rFonts w:ascii="Calibri" w:hAnsi="Calibri" w:hint="eastAsia"/>
          <w:rtl/>
        </w:rPr>
        <w:t>בגין</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בסמים</w:t>
      </w:r>
      <w:r w:rsidRPr="00DA2A8F">
        <w:rPr>
          <w:rFonts w:ascii="Calibri" w:hAnsi="Calibri"/>
          <w:rtl/>
        </w:rPr>
        <w:t xml:space="preserve">, </w:t>
      </w:r>
      <w:r w:rsidRPr="00DA2A8F">
        <w:rPr>
          <w:rFonts w:ascii="Calibri" w:hAnsi="Calibri" w:hint="eastAsia"/>
          <w:rtl/>
        </w:rPr>
        <w:t>והרביעי</w:t>
      </w:r>
      <w:r w:rsidRPr="00DA2A8F">
        <w:rPr>
          <w:rFonts w:ascii="Calibri" w:hAnsi="Calibri"/>
          <w:rtl/>
        </w:rPr>
        <w:t xml:space="preserve"> </w:t>
      </w:r>
      <w:r w:rsidRPr="00DA2A8F">
        <w:rPr>
          <w:rFonts w:ascii="Calibri" w:hAnsi="Calibri" w:hint="eastAsia"/>
          <w:rtl/>
        </w:rPr>
        <w:t>בעבירות</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והחזקת</w:t>
      </w:r>
      <w:r w:rsidRPr="00DA2A8F">
        <w:rPr>
          <w:rFonts w:ascii="Calibri" w:hAnsi="Calibri"/>
          <w:rtl/>
        </w:rPr>
        <w:t xml:space="preserve"> </w:t>
      </w:r>
      <w:r w:rsidRPr="00DA2A8F">
        <w:rPr>
          <w:rFonts w:ascii="Calibri" w:hAnsi="Calibri" w:hint="eastAsia"/>
          <w:rtl/>
        </w:rPr>
        <w:t>נשק</w:t>
      </w:r>
      <w:r w:rsidRPr="00DA2A8F">
        <w:rPr>
          <w:rFonts w:ascii="Calibri" w:hAnsi="Calibri"/>
          <w:rtl/>
        </w:rPr>
        <w:t xml:space="preserve">. </w:t>
      </w:r>
      <w:r w:rsidRPr="00DA2A8F">
        <w:rPr>
          <w:rFonts w:ascii="Calibri" w:hAnsi="Calibri" w:hint="eastAsia"/>
          <w:rtl/>
        </w:rPr>
        <w:t>באישום</w:t>
      </w:r>
      <w:r w:rsidRPr="00DA2A8F">
        <w:rPr>
          <w:rFonts w:ascii="Calibri" w:hAnsi="Calibri"/>
          <w:rtl/>
        </w:rPr>
        <w:t xml:space="preserve"> </w:t>
      </w:r>
      <w:r w:rsidRPr="00DA2A8F">
        <w:rPr>
          <w:rFonts w:ascii="Calibri" w:hAnsi="Calibri" w:hint="eastAsia"/>
          <w:rtl/>
        </w:rPr>
        <w:t>הרלבנטי</w:t>
      </w:r>
      <w:r w:rsidRPr="00DA2A8F">
        <w:rPr>
          <w:rFonts w:ascii="Calibri" w:hAnsi="Calibri"/>
          <w:rtl/>
        </w:rPr>
        <w:t xml:space="preserve"> </w:t>
      </w:r>
      <w:r w:rsidRPr="00DA2A8F">
        <w:rPr>
          <w:rFonts w:ascii="Calibri" w:hAnsi="Calibri" w:hint="eastAsia"/>
          <w:rtl/>
        </w:rPr>
        <w:t>צוין</w:t>
      </w:r>
      <w:r w:rsidRPr="00DA2A8F">
        <w:rPr>
          <w:rFonts w:ascii="Calibri" w:hAnsi="Calibri"/>
          <w:rtl/>
        </w:rPr>
        <w:t xml:space="preserve">, </w:t>
      </w:r>
      <w:r w:rsidRPr="00DA2A8F">
        <w:rPr>
          <w:rFonts w:ascii="Calibri" w:hAnsi="Calibri" w:hint="eastAsia"/>
          <w:rtl/>
        </w:rPr>
        <w:t>שהמערער</w:t>
      </w:r>
      <w:r w:rsidRPr="00DA2A8F">
        <w:rPr>
          <w:rFonts w:ascii="Calibri" w:hAnsi="Calibri"/>
          <w:rtl/>
        </w:rPr>
        <w:t xml:space="preserve"> </w:t>
      </w:r>
      <w:r w:rsidRPr="00DA2A8F">
        <w:rPr>
          <w:rFonts w:ascii="Calibri" w:hAnsi="Calibri" w:hint="eastAsia"/>
          <w:rtl/>
        </w:rPr>
        <w:t>נשא</w:t>
      </w:r>
      <w:r w:rsidRPr="00DA2A8F">
        <w:rPr>
          <w:rFonts w:ascii="Calibri" w:hAnsi="Calibri"/>
          <w:rtl/>
        </w:rPr>
        <w:t xml:space="preserve"> </w:t>
      </w:r>
      <w:r w:rsidRPr="00DA2A8F">
        <w:rPr>
          <w:rFonts w:ascii="Calibri" w:hAnsi="Calibri" w:hint="eastAsia"/>
          <w:rtl/>
        </w:rPr>
        <w:t>אקדח</w:t>
      </w:r>
      <w:r w:rsidRPr="00DA2A8F">
        <w:rPr>
          <w:rFonts w:ascii="Calibri" w:hAnsi="Calibri"/>
          <w:rtl/>
        </w:rPr>
        <w:t xml:space="preserve"> 9 </w:t>
      </w:r>
      <w:r w:rsidRPr="00DA2A8F">
        <w:rPr>
          <w:rFonts w:ascii="Calibri" w:hAnsi="Calibri" w:hint="eastAsia"/>
          <w:rtl/>
        </w:rPr>
        <w:t>מ</w:t>
      </w:r>
      <w:r w:rsidRPr="00DA2A8F">
        <w:rPr>
          <w:rFonts w:ascii="Calibri" w:hAnsi="Calibri"/>
          <w:rtl/>
        </w:rPr>
        <w:t>"</w:t>
      </w:r>
      <w:r w:rsidRPr="00DA2A8F">
        <w:rPr>
          <w:rFonts w:ascii="Calibri" w:hAnsi="Calibri" w:hint="eastAsia"/>
          <w:rtl/>
        </w:rPr>
        <w:t>מ</w:t>
      </w:r>
      <w:r w:rsidRPr="00DA2A8F">
        <w:rPr>
          <w:rFonts w:ascii="Calibri" w:hAnsi="Calibri"/>
          <w:rtl/>
        </w:rPr>
        <w:t xml:space="preserve">, </w:t>
      </w:r>
      <w:r w:rsidRPr="00DA2A8F">
        <w:rPr>
          <w:rFonts w:ascii="Calibri" w:hAnsi="Calibri" w:hint="eastAsia"/>
          <w:rtl/>
        </w:rPr>
        <w:t>מחסנית</w:t>
      </w:r>
      <w:r w:rsidRPr="00DA2A8F">
        <w:rPr>
          <w:rFonts w:ascii="Calibri" w:hAnsi="Calibri"/>
          <w:rtl/>
        </w:rPr>
        <w:t xml:space="preserve"> </w:t>
      </w:r>
      <w:r w:rsidRPr="00DA2A8F">
        <w:rPr>
          <w:rFonts w:ascii="Calibri" w:hAnsi="Calibri" w:hint="eastAsia"/>
          <w:rtl/>
        </w:rPr>
        <w:t>וכדורים</w:t>
      </w:r>
      <w:r w:rsidRPr="00DA2A8F">
        <w:rPr>
          <w:rFonts w:ascii="Calibri" w:hAnsi="Calibri"/>
          <w:rtl/>
        </w:rPr>
        <w:t xml:space="preserve">, </w:t>
      </w:r>
      <w:r w:rsidRPr="00DA2A8F">
        <w:rPr>
          <w:rFonts w:ascii="Calibri" w:hAnsi="Calibri" w:hint="eastAsia"/>
          <w:rtl/>
        </w:rPr>
        <w:t>ומכר</w:t>
      </w:r>
      <w:r w:rsidRPr="00DA2A8F">
        <w:rPr>
          <w:rFonts w:ascii="Calibri" w:hAnsi="Calibri"/>
          <w:rtl/>
        </w:rPr>
        <w:t xml:space="preserve"> </w:t>
      </w:r>
      <w:r w:rsidRPr="00DA2A8F">
        <w:rPr>
          <w:rFonts w:ascii="Calibri" w:hAnsi="Calibri" w:hint="eastAsia"/>
          <w:rtl/>
        </w:rPr>
        <w:t>אותם</w:t>
      </w:r>
      <w:r w:rsidRPr="00DA2A8F">
        <w:rPr>
          <w:rFonts w:ascii="Calibri" w:hAnsi="Calibri"/>
          <w:rtl/>
        </w:rPr>
        <w:t xml:space="preserve">, </w:t>
      </w:r>
      <w:r w:rsidRPr="00DA2A8F">
        <w:rPr>
          <w:rFonts w:ascii="Calibri" w:hAnsi="Calibri" w:hint="eastAsia"/>
          <w:rtl/>
        </w:rPr>
        <w:t>בצוותא</w:t>
      </w:r>
      <w:r w:rsidRPr="00DA2A8F">
        <w:rPr>
          <w:rFonts w:ascii="Calibri" w:hAnsi="Calibri"/>
          <w:rtl/>
        </w:rPr>
        <w:t xml:space="preserve"> </w:t>
      </w:r>
      <w:r w:rsidRPr="00DA2A8F">
        <w:rPr>
          <w:rFonts w:ascii="Calibri" w:hAnsi="Calibri" w:hint="eastAsia"/>
          <w:rtl/>
        </w:rPr>
        <w:t>עם</w:t>
      </w:r>
      <w:r w:rsidRPr="00DA2A8F">
        <w:rPr>
          <w:rFonts w:ascii="Calibri" w:hAnsi="Calibri"/>
          <w:rtl/>
        </w:rPr>
        <w:t xml:space="preserve"> </w:t>
      </w:r>
      <w:r w:rsidRPr="00DA2A8F">
        <w:rPr>
          <w:rFonts w:ascii="Calibri" w:hAnsi="Calibri" w:hint="eastAsia"/>
          <w:rtl/>
        </w:rPr>
        <w:t>אחר</w:t>
      </w:r>
      <w:r w:rsidRPr="00DA2A8F">
        <w:rPr>
          <w:rFonts w:ascii="Calibri" w:hAnsi="Calibri"/>
          <w:rtl/>
        </w:rPr>
        <w:t xml:space="preserve">, </w:t>
      </w:r>
      <w:r w:rsidRPr="00DA2A8F">
        <w:rPr>
          <w:rFonts w:ascii="Calibri" w:hAnsi="Calibri" w:hint="eastAsia"/>
          <w:rtl/>
        </w:rPr>
        <w:t>לסוכן</w:t>
      </w:r>
      <w:r w:rsidRPr="00DA2A8F">
        <w:rPr>
          <w:rFonts w:ascii="Calibri" w:hAnsi="Calibri"/>
          <w:rtl/>
        </w:rPr>
        <w:t xml:space="preserve"> </w:t>
      </w:r>
      <w:r w:rsidRPr="00DA2A8F">
        <w:rPr>
          <w:rFonts w:ascii="Calibri" w:hAnsi="Calibri" w:hint="eastAsia"/>
          <w:rtl/>
        </w:rPr>
        <w:t>סמוי</w:t>
      </w:r>
      <w:r w:rsidRPr="00DA2A8F">
        <w:rPr>
          <w:rFonts w:ascii="Calibri" w:hAnsi="Calibri"/>
          <w:rtl/>
        </w:rPr>
        <w:t xml:space="preserve"> </w:t>
      </w:r>
      <w:r w:rsidRPr="00DA2A8F">
        <w:rPr>
          <w:rFonts w:ascii="Calibri" w:hAnsi="Calibri" w:hint="eastAsia"/>
          <w:rtl/>
        </w:rPr>
        <w:t>תמורת</w:t>
      </w:r>
      <w:r w:rsidRPr="00DA2A8F">
        <w:rPr>
          <w:rFonts w:ascii="Calibri" w:hAnsi="Calibri"/>
          <w:rtl/>
        </w:rPr>
        <w:t xml:space="preserve"> 13,000 </w:t>
      </w:r>
      <w:r w:rsidRPr="00DA2A8F">
        <w:rPr>
          <w:rFonts w:ascii="Calibri" w:hAnsi="Calibri" w:hint="eastAsia"/>
          <w:rtl/>
        </w:rPr>
        <w:t>₪</w:t>
      </w:r>
      <w:r w:rsidRPr="00DA2A8F">
        <w:rPr>
          <w:rFonts w:ascii="Calibri" w:hAnsi="Calibri"/>
          <w:rtl/>
        </w:rPr>
        <w:t xml:space="preserve">. </w:t>
      </w:r>
      <w:r w:rsidRPr="00DA2A8F">
        <w:rPr>
          <w:rFonts w:ascii="Calibri" w:hAnsi="Calibri" w:hint="eastAsia"/>
          <w:rtl/>
        </w:rPr>
        <w:t>ביחס</w:t>
      </w:r>
      <w:r w:rsidRPr="00DA2A8F">
        <w:rPr>
          <w:rFonts w:ascii="Calibri" w:hAnsi="Calibri"/>
          <w:rtl/>
        </w:rPr>
        <w:t xml:space="preserve"> </w:t>
      </w:r>
      <w:r w:rsidRPr="00DA2A8F">
        <w:rPr>
          <w:rFonts w:ascii="Calibri" w:hAnsi="Calibri" w:hint="eastAsia"/>
          <w:rtl/>
        </w:rPr>
        <w:t>לאישום</w:t>
      </w:r>
      <w:r w:rsidRPr="00DA2A8F">
        <w:rPr>
          <w:rFonts w:ascii="Calibri" w:hAnsi="Calibri"/>
          <w:rtl/>
        </w:rPr>
        <w:t xml:space="preserve"> </w:t>
      </w:r>
      <w:r w:rsidRPr="00DA2A8F">
        <w:rPr>
          <w:rFonts w:ascii="Calibri" w:hAnsi="Calibri" w:hint="eastAsia"/>
          <w:rtl/>
        </w:rPr>
        <w:t>זה</w:t>
      </w:r>
      <w:r w:rsidRPr="00DA2A8F">
        <w:rPr>
          <w:rFonts w:ascii="Calibri" w:hAnsi="Calibri"/>
          <w:rtl/>
        </w:rPr>
        <w:t xml:space="preserve"> </w:t>
      </w:r>
      <w:r w:rsidRPr="00DA2A8F">
        <w:rPr>
          <w:rFonts w:ascii="Calibri" w:hAnsi="Calibri" w:hint="eastAsia"/>
          <w:rtl/>
        </w:rPr>
        <w:t>נקבע</w:t>
      </w:r>
      <w:r w:rsidRPr="00DA2A8F">
        <w:rPr>
          <w:rFonts w:ascii="Calibri" w:hAnsi="Calibri"/>
          <w:rtl/>
        </w:rPr>
        <w:t xml:space="preserve"> </w:t>
      </w:r>
      <w:r w:rsidRPr="00DA2A8F">
        <w:rPr>
          <w:rFonts w:ascii="Calibri" w:hAnsi="Calibri" w:hint="eastAsia"/>
          <w:rtl/>
        </w:rPr>
        <w:t>מתחם</w:t>
      </w:r>
      <w:r w:rsidRPr="00DA2A8F">
        <w:rPr>
          <w:rFonts w:ascii="Calibri" w:hAnsi="Calibri"/>
          <w:rtl/>
        </w:rPr>
        <w:t xml:space="preserve"> </w:t>
      </w:r>
      <w:r w:rsidRPr="00DA2A8F">
        <w:rPr>
          <w:rFonts w:ascii="Calibri" w:hAnsi="Calibri" w:hint="eastAsia"/>
          <w:rtl/>
        </w:rPr>
        <w:t>ענישה</w:t>
      </w:r>
      <w:r w:rsidRPr="00DA2A8F">
        <w:rPr>
          <w:rFonts w:ascii="Calibri" w:hAnsi="Calibri"/>
          <w:rtl/>
        </w:rPr>
        <w:t xml:space="preserve"> </w:t>
      </w:r>
      <w:r w:rsidRPr="00DA2A8F">
        <w:rPr>
          <w:rFonts w:ascii="Calibri" w:hAnsi="Calibri" w:hint="eastAsia"/>
          <w:rtl/>
        </w:rPr>
        <w:t>שנע</w:t>
      </w:r>
      <w:r w:rsidRPr="00DA2A8F">
        <w:rPr>
          <w:rFonts w:ascii="Calibri" w:hAnsi="Calibri"/>
          <w:rtl/>
        </w:rPr>
        <w:t xml:space="preserve"> </w:t>
      </w:r>
      <w:r w:rsidRPr="00DA2A8F">
        <w:rPr>
          <w:rFonts w:ascii="Calibri" w:hAnsi="Calibri" w:hint="eastAsia"/>
          <w:rtl/>
        </w:rPr>
        <w:t>בין</w:t>
      </w:r>
      <w:r w:rsidRPr="00DA2A8F">
        <w:rPr>
          <w:rFonts w:ascii="Calibri" w:hAnsi="Calibri"/>
          <w:rtl/>
        </w:rPr>
        <w:t xml:space="preserve"> 2 - 4 </w:t>
      </w:r>
      <w:r w:rsidRPr="00DA2A8F">
        <w:rPr>
          <w:rFonts w:ascii="Calibri" w:hAnsi="Calibri" w:hint="eastAsia"/>
          <w:rtl/>
        </w:rPr>
        <w:t>שנות</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בעל</w:t>
      </w:r>
      <w:r w:rsidRPr="00DA2A8F">
        <w:rPr>
          <w:rFonts w:ascii="Calibri" w:hAnsi="Calibri"/>
          <w:rtl/>
        </w:rPr>
        <w:t xml:space="preserve"> </w:t>
      </w:r>
      <w:r w:rsidRPr="00DA2A8F">
        <w:rPr>
          <w:rFonts w:ascii="Calibri" w:hAnsi="Calibri" w:hint="eastAsia"/>
          <w:rtl/>
        </w:rPr>
        <w:t>עבר</w:t>
      </w:r>
      <w:r w:rsidRPr="00DA2A8F">
        <w:rPr>
          <w:rFonts w:ascii="Calibri" w:hAnsi="Calibri"/>
          <w:rtl/>
        </w:rPr>
        <w:t xml:space="preserve"> </w:t>
      </w:r>
      <w:r w:rsidRPr="00DA2A8F">
        <w:rPr>
          <w:rFonts w:ascii="Calibri" w:hAnsi="Calibri" w:hint="eastAsia"/>
          <w:rtl/>
        </w:rPr>
        <w:t>פלילי</w:t>
      </w:r>
      <w:r w:rsidRPr="00DA2A8F">
        <w:rPr>
          <w:rFonts w:ascii="Calibri" w:hAnsi="Calibri"/>
          <w:rtl/>
        </w:rPr>
        <w:t xml:space="preserve"> </w:t>
      </w:r>
      <w:r w:rsidRPr="00DA2A8F">
        <w:rPr>
          <w:rFonts w:ascii="Calibri" w:hAnsi="Calibri" w:hint="eastAsia"/>
          <w:rtl/>
        </w:rPr>
        <w:t>מכביד</w:t>
      </w:r>
      <w:r w:rsidRPr="00DA2A8F">
        <w:rPr>
          <w:rFonts w:ascii="Calibri" w:hAnsi="Calibri"/>
          <w:rtl/>
        </w:rPr>
        <w:t xml:space="preserve">, </w:t>
      </w:r>
      <w:r w:rsidRPr="00DA2A8F">
        <w:rPr>
          <w:rFonts w:ascii="Calibri" w:hAnsi="Calibri" w:hint="eastAsia"/>
          <w:rtl/>
        </w:rPr>
        <w:t>הושת</w:t>
      </w:r>
      <w:r w:rsidRPr="00DA2A8F">
        <w:rPr>
          <w:rFonts w:ascii="Calibri" w:hAnsi="Calibri"/>
          <w:rtl/>
        </w:rPr>
        <w:t xml:space="preserve"> </w:t>
      </w:r>
      <w:r w:rsidRPr="00DA2A8F">
        <w:rPr>
          <w:rFonts w:ascii="Calibri" w:hAnsi="Calibri" w:hint="eastAsia"/>
          <w:rtl/>
        </w:rPr>
        <w:t>עונש</w:t>
      </w:r>
      <w:r w:rsidRPr="00DA2A8F">
        <w:rPr>
          <w:rFonts w:ascii="Calibri" w:hAnsi="Calibri"/>
          <w:rtl/>
        </w:rPr>
        <w:t xml:space="preserve"> </w:t>
      </w:r>
      <w:r w:rsidRPr="00DA2A8F">
        <w:rPr>
          <w:rFonts w:ascii="Calibri" w:hAnsi="Calibri" w:hint="eastAsia"/>
          <w:rtl/>
        </w:rPr>
        <w:t>כולל</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8 </w:t>
      </w:r>
      <w:r w:rsidRPr="00DA2A8F">
        <w:rPr>
          <w:rFonts w:ascii="Calibri" w:hAnsi="Calibri" w:hint="eastAsia"/>
          <w:rtl/>
        </w:rPr>
        <w:t>שנות</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p>
    <w:p w14:paraId="30D61AA4" w14:textId="77777777" w:rsidR="009E7F3C" w:rsidRPr="00DA2A8F" w:rsidRDefault="009E7F3C" w:rsidP="009E7F3C">
      <w:pPr>
        <w:spacing w:line="360" w:lineRule="auto"/>
        <w:ind w:left="720" w:hanging="720"/>
        <w:contextualSpacing/>
        <w:jc w:val="both"/>
        <w:rPr>
          <w:rFonts w:ascii="Calibri" w:hAnsi="Calibri"/>
          <w:rtl/>
        </w:rPr>
      </w:pPr>
    </w:p>
    <w:p w14:paraId="20C8C5A5" w14:textId="77777777" w:rsidR="009E7F3C" w:rsidRPr="00DA2A8F" w:rsidRDefault="009E7F3C" w:rsidP="009E7F3C">
      <w:pPr>
        <w:spacing w:line="360" w:lineRule="auto"/>
        <w:ind w:left="720" w:hanging="720"/>
        <w:contextualSpacing/>
        <w:jc w:val="both"/>
        <w:rPr>
          <w:rFonts w:ascii="Calibri" w:hAnsi="Calibri"/>
          <w:rtl/>
        </w:rPr>
      </w:pPr>
      <w:r w:rsidRPr="00DA2A8F">
        <w:rPr>
          <w:rFonts w:ascii="Calibri" w:hAnsi="Calibri"/>
          <w:rtl/>
        </w:rPr>
        <w:tab/>
      </w:r>
      <w:hyperlink r:id="rId35" w:history="1">
        <w:r w:rsidR="00F81468" w:rsidRPr="00DA2A8F">
          <w:rPr>
            <w:rFonts w:ascii="Calibri" w:hAnsi="Calibri" w:hint="eastAsia"/>
            <w:color w:val="0000FF"/>
            <w:u w:val="single"/>
            <w:rtl/>
          </w:rPr>
          <w:t>ע</w:t>
        </w:r>
        <w:r w:rsidR="00F81468" w:rsidRPr="00DA2A8F">
          <w:rPr>
            <w:rFonts w:ascii="Calibri" w:hAnsi="Calibri"/>
            <w:color w:val="0000FF"/>
            <w:u w:val="single"/>
            <w:rtl/>
          </w:rPr>
          <w:t>"</w:t>
        </w:r>
        <w:r w:rsidR="00F81468" w:rsidRPr="00DA2A8F">
          <w:rPr>
            <w:rFonts w:ascii="Calibri" w:hAnsi="Calibri" w:hint="eastAsia"/>
            <w:color w:val="0000FF"/>
            <w:u w:val="single"/>
            <w:rtl/>
          </w:rPr>
          <w:t>פ</w:t>
        </w:r>
        <w:r w:rsidR="00F81468" w:rsidRPr="00DA2A8F">
          <w:rPr>
            <w:rFonts w:ascii="Calibri" w:hAnsi="Calibri"/>
            <w:color w:val="0000FF"/>
            <w:u w:val="single"/>
            <w:rtl/>
          </w:rPr>
          <w:t xml:space="preserve"> 8045/17</w:t>
        </w:r>
      </w:hyperlink>
      <w:r w:rsidRPr="00DA2A8F">
        <w:rPr>
          <w:rFonts w:ascii="Calibri" w:hAnsi="Calibri"/>
          <w:rtl/>
        </w:rPr>
        <w:t xml:space="preserve"> </w:t>
      </w:r>
      <w:r w:rsidRPr="00DA2A8F">
        <w:rPr>
          <w:rFonts w:ascii="Calibri" w:hAnsi="Calibri" w:hint="eastAsia"/>
          <w:b/>
          <w:bCs/>
          <w:rtl/>
        </w:rPr>
        <w:t>בראנסי</w:t>
      </w:r>
      <w:r w:rsidRPr="00DA2A8F">
        <w:rPr>
          <w:rFonts w:ascii="Calibri" w:hAnsi="Calibri"/>
          <w:b/>
          <w:bCs/>
          <w:rtl/>
        </w:rPr>
        <w:t xml:space="preserve"> </w:t>
      </w:r>
      <w:r w:rsidRPr="00DA2A8F">
        <w:rPr>
          <w:rFonts w:ascii="Calibri" w:hAnsi="Calibri" w:hint="eastAsia"/>
          <w:b/>
          <w:bCs/>
          <w:rtl/>
        </w:rPr>
        <w:t>נגד</w:t>
      </w:r>
      <w:r w:rsidRPr="00DA2A8F">
        <w:rPr>
          <w:rFonts w:ascii="Calibri" w:hAnsi="Calibri"/>
          <w:b/>
          <w:bCs/>
          <w:rtl/>
        </w:rPr>
        <w:t xml:space="preserve"> </w:t>
      </w:r>
      <w:r w:rsidRPr="00DA2A8F">
        <w:rPr>
          <w:rFonts w:ascii="Calibri" w:hAnsi="Calibri" w:hint="eastAsia"/>
          <w:b/>
          <w:bCs/>
          <w:rtl/>
        </w:rPr>
        <w:t>מדינת</w:t>
      </w:r>
      <w:r w:rsidRPr="00DA2A8F">
        <w:rPr>
          <w:rFonts w:ascii="Calibri" w:hAnsi="Calibri"/>
          <w:b/>
          <w:bCs/>
          <w:rtl/>
        </w:rPr>
        <w:t xml:space="preserve"> </w:t>
      </w:r>
      <w:r w:rsidRPr="00DA2A8F">
        <w:rPr>
          <w:rFonts w:ascii="Calibri" w:hAnsi="Calibri" w:hint="eastAsia"/>
          <w:b/>
          <w:bCs/>
          <w:rtl/>
        </w:rPr>
        <w:t>ישראל</w:t>
      </w:r>
      <w:r w:rsidRPr="00DA2A8F">
        <w:rPr>
          <w:rFonts w:ascii="Calibri" w:hAnsi="Calibri"/>
          <w:rtl/>
        </w:rPr>
        <w:t xml:space="preserve"> [16.8.18]: </w:t>
      </w:r>
      <w:r w:rsidRPr="00DA2A8F">
        <w:rPr>
          <w:rFonts w:ascii="Calibri" w:hAnsi="Calibri" w:hint="eastAsia"/>
          <w:rtl/>
        </w:rPr>
        <w:t>המדובר</w:t>
      </w:r>
      <w:r w:rsidRPr="00DA2A8F">
        <w:rPr>
          <w:rFonts w:ascii="Calibri" w:hAnsi="Calibri"/>
          <w:rtl/>
        </w:rPr>
        <w:t xml:space="preserve"> </w:t>
      </w:r>
      <w:r w:rsidRPr="00DA2A8F">
        <w:rPr>
          <w:rFonts w:ascii="Calibri" w:hAnsi="Calibri" w:hint="eastAsia"/>
          <w:rtl/>
        </w:rPr>
        <w:t>בפרשיה</w:t>
      </w:r>
      <w:r w:rsidRPr="00DA2A8F">
        <w:rPr>
          <w:rFonts w:ascii="Calibri" w:hAnsi="Calibri"/>
          <w:rtl/>
        </w:rPr>
        <w:t xml:space="preserve"> </w:t>
      </w:r>
      <w:r w:rsidRPr="00DA2A8F">
        <w:rPr>
          <w:rFonts w:ascii="Calibri" w:hAnsi="Calibri" w:hint="eastAsia"/>
          <w:rtl/>
        </w:rPr>
        <w:t>בה</w:t>
      </w:r>
      <w:r w:rsidRPr="00DA2A8F">
        <w:rPr>
          <w:rFonts w:ascii="Calibri" w:hAnsi="Calibri"/>
          <w:rtl/>
        </w:rPr>
        <w:t xml:space="preserve"> </w:t>
      </w:r>
      <w:r w:rsidRPr="00DA2A8F">
        <w:rPr>
          <w:rFonts w:ascii="Calibri" w:hAnsi="Calibri" w:hint="eastAsia"/>
          <w:rtl/>
        </w:rPr>
        <w:t>היו</w:t>
      </w:r>
      <w:r w:rsidRPr="00DA2A8F">
        <w:rPr>
          <w:rFonts w:ascii="Calibri" w:hAnsi="Calibri"/>
          <w:rtl/>
        </w:rPr>
        <w:t xml:space="preserve"> </w:t>
      </w:r>
      <w:r w:rsidRPr="00DA2A8F">
        <w:rPr>
          <w:rFonts w:ascii="Calibri" w:hAnsi="Calibri" w:hint="eastAsia"/>
          <w:rtl/>
        </w:rPr>
        <w:t>מעורבים</w:t>
      </w:r>
      <w:r w:rsidRPr="00DA2A8F">
        <w:rPr>
          <w:rFonts w:ascii="Calibri" w:hAnsi="Calibri"/>
          <w:rtl/>
        </w:rPr>
        <w:t xml:space="preserve"> </w:t>
      </w:r>
      <w:r w:rsidRPr="00DA2A8F">
        <w:rPr>
          <w:rFonts w:ascii="Calibri" w:hAnsi="Calibri" w:hint="eastAsia"/>
          <w:rtl/>
        </w:rPr>
        <w:t>נאשמים</w:t>
      </w:r>
      <w:r w:rsidRPr="00DA2A8F">
        <w:rPr>
          <w:rFonts w:ascii="Calibri" w:hAnsi="Calibri"/>
          <w:rtl/>
        </w:rPr>
        <w:t xml:space="preserve"> </w:t>
      </w:r>
      <w:r w:rsidRPr="00DA2A8F">
        <w:rPr>
          <w:rFonts w:ascii="Calibri" w:hAnsi="Calibri" w:hint="eastAsia"/>
          <w:rtl/>
        </w:rPr>
        <w:t>רבים</w:t>
      </w:r>
      <w:r w:rsidRPr="00DA2A8F">
        <w:rPr>
          <w:rFonts w:ascii="Calibri" w:hAnsi="Calibri"/>
          <w:rtl/>
        </w:rPr>
        <w:t xml:space="preserve"> </w:t>
      </w:r>
      <w:r w:rsidRPr="00DA2A8F">
        <w:rPr>
          <w:rFonts w:ascii="Calibri" w:hAnsi="Calibri" w:hint="eastAsia"/>
          <w:rtl/>
        </w:rPr>
        <w:t>שהורשעו</w:t>
      </w:r>
      <w:r w:rsidRPr="00DA2A8F">
        <w:rPr>
          <w:rFonts w:ascii="Calibri" w:hAnsi="Calibri"/>
          <w:rtl/>
        </w:rPr>
        <w:t xml:space="preserve"> </w:t>
      </w:r>
      <w:r w:rsidRPr="00DA2A8F">
        <w:rPr>
          <w:rFonts w:ascii="Calibri" w:hAnsi="Calibri" w:hint="eastAsia"/>
          <w:rtl/>
        </w:rPr>
        <w:t>בעבירות</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ותחמושת</w:t>
      </w:r>
      <w:r w:rsidRPr="00DA2A8F">
        <w:rPr>
          <w:rFonts w:ascii="Calibri" w:hAnsi="Calibri"/>
          <w:rtl/>
        </w:rPr>
        <w:t xml:space="preserve"> </w:t>
      </w:r>
      <w:r w:rsidRPr="00DA2A8F">
        <w:rPr>
          <w:rFonts w:ascii="Calibri" w:hAnsi="Calibri" w:hint="eastAsia"/>
          <w:rtl/>
        </w:rPr>
        <w:t>ובעבירות</w:t>
      </w:r>
      <w:r w:rsidRPr="00DA2A8F">
        <w:rPr>
          <w:rFonts w:ascii="Calibri" w:hAnsi="Calibri"/>
          <w:rtl/>
        </w:rPr>
        <w:t xml:space="preserve"> </w:t>
      </w:r>
      <w:r w:rsidRPr="00DA2A8F">
        <w:rPr>
          <w:rFonts w:ascii="Calibri" w:hAnsi="Calibri" w:hint="eastAsia"/>
          <w:rtl/>
        </w:rPr>
        <w:t>נלוות</w:t>
      </w:r>
      <w:r w:rsidRPr="00DA2A8F">
        <w:rPr>
          <w:rFonts w:ascii="Calibri" w:hAnsi="Calibri"/>
          <w:rtl/>
        </w:rPr>
        <w:t xml:space="preserve">, </w:t>
      </w:r>
      <w:r w:rsidRPr="00DA2A8F">
        <w:rPr>
          <w:rFonts w:ascii="Calibri" w:hAnsi="Calibri" w:hint="eastAsia"/>
          <w:rtl/>
        </w:rPr>
        <w:t>כשלענייננו</w:t>
      </w:r>
      <w:r w:rsidRPr="00DA2A8F">
        <w:rPr>
          <w:rFonts w:ascii="Calibri" w:hAnsi="Calibri"/>
          <w:rtl/>
        </w:rPr>
        <w:t xml:space="preserve"> </w:t>
      </w:r>
      <w:r w:rsidRPr="00DA2A8F">
        <w:rPr>
          <w:rFonts w:ascii="Calibri" w:hAnsi="Calibri" w:hint="eastAsia"/>
          <w:rtl/>
        </w:rPr>
        <w:t>רלבנטי</w:t>
      </w:r>
      <w:r w:rsidRPr="00DA2A8F">
        <w:rPr>
          <w:rFonts w:ascii="Calibri" w:hAnsi="Calibri"/>
          <w:rtl/>
        </w:rPr>
        <w:t xml:space="preserve"> </w:t>
      </w:r>
      <w:r w:rsidRPr="00DA2A8F">
        <w:rPr>
          <w:rFonts w:ascii="Calibri" w:hAnsi="Calibri" w:hint="eastAsia"/>
          <w:rtl/>
        </w:rPr>
        <w:t>גזר</w:t>
      </w:r>
      <w:r w:rsidRPr="00DA2A8F">
        <w:rPr>
          <w:rFonts w:ascii="Calibri" w:hAnsi="Calibri"/>
          <w:rtl/>
        </w:rPr>
        <w:t>-</w:t>
      </w:r>
      <w:r w:rsidRPr="00DA2A8F">
        <w:rPr>
          <w:rFonts w:ascii="Calibri" w:hAnsi="Calibri" w:hint="eastAsia"/>
          <w:rtl/>
        </w:rPr>
        <w:t>הדין</w:t>
      </w:r>
      <w:r w:rsidRPr="00DA2A8F">
        <w:rPr>
          <w:rFonts w:ascii="Calibri" w:hAnsi="Calibri"/>
          <w:rtl/>
        </w:rPr>
        <w:t xml:space="preserve"> </w:t>
      </w:r>
      <w:r w:rsidRPr="00DA2A8F">
        <w:rPr>
          <w:rFonts w:ascii="Calibri" w:hAnsi="Calibri" w:hint="eastAsia"/>
          <w:rtl/>
        </w:rPr>
        <w:t>והערעור</w:t>
      </w:r>
      <w:r w:rsidRPr="00DA2A8F">
        <w:rPr>
          <w:rFonts w:ascii="Calibri" w:hAnsi="Calibri"/>
          <w:rtl/>
        </w:rPr>
        <w:t xml:space="preserve"> </w:t>
      </w:r>
      <w:r w:rsidRPr="00DA2A8F">
        <w:rPr>
          <w:rFonts w:ascii="Calibri" w:hAnsi="Calibri" w:hint="eastAsia"/>
          <w:rtl/>
        </w:rPr>
        <w:t>לגבי</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9, </w:t>
      </w:r>
      <w:r w:rsidRPr="00DA2A8F">
        <w:rPr>
          <w:rFonts w:ascii="Calibri" w:hAnsi="Calibri" w:hint="eastAsia"/>
          <w:rtl/>
        </w:rPr>
        <w:t>אשר</w:t>
      </w:r>
      <w:r w:rsidRPr="00DA2A8F">
        <w:rPr>
          <w:rFonts w:ascii="Calibri" w:hAnsi="Calibri"/>
          <w:rtl/>
        </w:rPr>
        <w:t xml:space="preserve"> </w:t>
      </w:r>
      <w:r w:rsidRPr="00DA2A8F">
        <w:rPr>
          <w:rFonts w:ascii="Calibri" w:hAnsi="Calibri" w:hint="eastAsia"/>
          <w:rtl/>
        </w:rPr>
        <w:t>הורשע</w:t>
      </w:r>
      <w:r w:rsidRPr="00DA2A8F">
        <w:rPr>
          <w:rFonts w:ascii="Calibri" w:hAnsi="Calibri"/>
          <w:rtl/>
        </w:rPr>
        <w:t xml:space="preserve"> </w:t>
      </w:r>
      <w:r w:rsidRPr="00DA2A8F">
        <w:rPr>
          <w:rFonts w:ascii="Calibri" w:hAnsi="Calibri" w:hint="eastAsia"/>
          <w:rtl/>
        </w:rPr>
        <w:t>בעבירות</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סחר</w:t>
      </w:r>
      <w:r w:rsidRPr="00DA2A8F">
        <w:rPr>
          <w:rFonts w:ascii="Calibri" w:hAnsi="Calibri"/>
          <w:rtl/>
        </w:rPr>
        <w:t xml:space="preserve"> </w:t>
      </w:r>
      <w:r w:rsidRPr="00DA2A8F">
        <w:rPr>
          <w:rFonts w:ascii="Calibri" w:hAnsi="Calibri" w:hint="eastAsia"/>
          <w:rtl/>
        </w:rPr>
        <w:t>בנשק</w:t>
      </w:r>
      <w:r w:rsidRPr="00DA2A8F">
        <w:rPr>
          <w:rFonts w:ascii="Calibri" w:hAnsi="Calibri"/>
          <w:rtl/>
        </w:rPr>
        <w:t xml:space="preserve"> </w:t>
      </w:r>
      <w:r w:rsidRPr="00DA2A8F">
        <w:rPr>
          <w:rFonts w:ascii="Calibri" w:hAnsi="Calibri" w:hint="eastAsia"/>
          <w:rtl/>
        </w:rPr>
        <w:t>וקשירת</w:t>
      </w:r>
      <w:r w:rsidRPr="00DA2A8F">
        <w:rPr>
          <w:rFonts w:ascii="Calibri" w:hAnsi="Calibri"/>
          <w:rtl/>
        </w:rPr>
        <w:t xml:space="preserve"> </w:t>
      </w:r>
      <w:r w:rsidRPr="00DA2A8F">
        <w:rPr>
          <w:rFonts w:ascii="Calibri" w:hAnsi="Calibri" w:hint="eastAsia"/>
          <w:rtl/>
        </w:rPr>
        <w:t>קשר</w:t>
      </w:r>
      <w:r w:rsidRPr="00DA2A8F">
        <w:rPr>
          <w:rFonts w:ascii="Calibri" w:hAnsi="Calibri"/>
          <w:rtl/>
        </w:rPr>
        <w:t xml:space="preserve"> </w:t>
      </w:r>
      <w:r w:rsidRPr="00DA2A8F">
        <w:rPr>
          <w:rFonts w:ascii="Calibri" w:hAnsi="Calibri" w:hint="eastAsia"/>
          <w:rtl/>
        </w:rPr>
        <w:t>לסחר</w:t>
      </w:r>
      <w:r w:rsidRPr="00DA2A8F">
        <w:rPr>
          <w:rFonts w:ascii="Calibri" w:hAnsi="Calibri"/>
          <w:rtl/>
        </w:rPr>
        <w:t xml:space="preserve">, </w:t>
      </w:r>
      <w:r w:rsidRPr="00DA2A8F">
        <w:rPr>
          <w:rFonts w:ascii="Calibri" w:hAnsi="Calibri" w:hint="eastAsia"/>
          <w:rtl/>
        </w:rPr>
        <w:t>בגין</w:t>
      </w:r>
      <w:r w:rsidRPr="00DA2A8F">
        <w:rPr>
          <w:rFonts w:ascii="Calibri" w:hAnsi="Calibri"/>
          <w:rtl/>
        </w:rPr>
        <w:t xml:space="preserve"> </w:t>
      </w:r>
      <w:r w:rsidRPr="00DA2A8F">
        <w:rPr>
          <w:rFonts w:ascii="Calibri" w:hAnsi="Calibri" w:hint="eastAsia"/>
          <w:rtl/>
        </w:rPr>
        <w:t>מעורבותו</w:t>
      </w:r>
      <w:r w:rsidRPr="00DA2A8F">
        <w:rPr>
          <w:rFonts w:ascii="Calibri" w:hAnsi="Calibri"/>
          <w:rtl/>
        </w:rPr>
        <w:t xml:space="preserve"> </w:t>
      </w:r>
      <w:r w:rsidRPr="00DA2A8F">
        <w:rPr>
          <w:rFonts w:ascii="Calibri" w:hAnsi="Calibri" w:hint="eastAsia"/>
          <w:rtl/>
        </w:rPr>
        <w:t>בעסקה</w:t>
      </w:r>
      <w:r w:rsidRPr="00DA2A8F">
        <w:rPr>
          <w:rFonts w:ascii="Calibri" w:hAnsi="Calibri"/>
          <w:rtl/>
        </w:rPr>
        <w:t xml:space="preserve"> </w:t>
      </w:r>
      <w:r w:rsidRPr="00DA2A8F">
        <w:rPr>
          <w:rFonts w:ascii="Calibri" w:hAnsi="Calibri" w:hint="eastAsia"/>
          <w:rtl/>
        </w:rPr>
        <w:t>במסגרתה</w:t>
      </w:r>
      <w:r w:rsidRPr="00DA2A8F">
        <w:rPr>
          <w:rFonts w:ascii="Calibri" w:hAnsi="Calibri"/>
          <w:rtl/>
        </w:rPr>
        <w:t xml:space="preserve"> </w:t>
      </w:r>
      <w:r w:rsidRPr="00DA2A8F">
        <w:rPr>
          <w:rFonts w:ascii="Calibri" w:hAnsi="Calibri" w:hint="eastAsia"/>
          <w:rtl/>
        </w:rPr>
        <w:t>נמכר</w:t>
      </w:r>
      <w:r w:rsidRPr="00DA2A8F">
        <w:rPr>
          <w:rFonts w:ascii="Calibri" w:hAnsi="Calibri"/>
          <w:rtl/>
        </w:rPr>
        <w:t xml:space="preserve"> </w:t>
      </w:r>
      <w:r w:rsidRPr="00DA2A8F">
        <w:rPr>
          <w:rFonts w:ascii="Calibri" w:hAnsi="Calibri" w:hint="eastAsia"/>
          <w:rtl/>
        </w:rPr>
        <w:t>לסוכן</w:t>
      </w:r>
      <w:r w:rsidRPr="00DA2A8F">
        <w:rPr>
          <w:rFonts w:ascii="Calibri" w:hAnsi="Calibri"/>
          <w:rtl/>
        </w:rPr>
        <w:t xml:space="preserve"> </w:t>
      </w:r>
      <w:r w:rsidRPr="00DA2A8F">
        <w:rPr>
          <w:rFonts w:ascii="Calibri" w:hAnsi="Calibri" w:hint="eastAsia"/>
          <w:rtl/>
        </w:rPr>
        <w:t>אקדח</w:t>
      </w:r>
      <w:r w:rsidRPr="00DA2A8F">
        <w:rPr>
          <w:rFonts w:ascii="Calibri" w:hAnsi="Calibri"/>
          <w:rtl/>
        </w:rPr>
        <w:t xml:space="preserve"> </w:t>
      </w:r>
      <w:r w:rsidRPr="00DA2A8F">
        <w:rPr>
          <w:rFonts w:ascii="Calibri" w:hAnsi="Calibri" w:hint="eastAsia"/>
          <w:rtl/>
        </w:rPr>
        <w:t>קולט</w:t>
      </w:r>
      <w:r w:rsidRPr="00DA2A8F">
        <w:rPr>
          <w:rFonts w:ascii="Calibri" w:hAnsi="Calibri"/>
          <w:rtl/>
        </w:rPr>
        <w:t xml:space="preserve"> </w:t>
      </w:r>
      <w:r w:rsidRPr="00DA2A8F">
        <w:rPr>
          <w:rFonts w:ascii="Calibri" w:hAnsi="Calibri" w:hint="eastAsia"/>
          <w:rtl/>
        </w:rPr>
        <w:t>ותחמושת</w:t>
      </w:r>
      <w:r w:rsidRPr="00DA2A8F">
        <w:rPr>
          <w:rFonts w:ascii="Calibri" w:hAnsi="Calibri"/>
          <w:rtl/>
        </w:rPr>
        <w:t xml:space="preserve"> </w:t>
      </w:r>
      <w:r w:rsidRPr="00DA2A8F">
        <w:rPr>
          <w:rFonts w:ascii="Calibri" w:hAnsi="Calibri" w:hint="eastAsia"/>
          <w:rtl/>
        </w:rPr>
        <w:t>תואמת</w:t>
      </w:r>
      <w:r w:rsidRPr="00DA2A8F">
        <w:rPr>
          <w:rFonts w:ascii="Calibri" w:hAnsi="Calibri"/>
          <w:rtl/>
        </w:rPr>
        <w:t xml:space="preserve"> </w:t>
      </w:r>
      <w:r w:rsidRPr="00DA2A8F">
        <w:rPr>
          <w:rFonts w:ascii="Calibri" w:hAnsi="Calibri" w:hint="eastAsia"/>
          <w:rtl/>
        </w:rPr>
        <w:t>תמורת</w:t>
      </w:r>
      <w:r w:rsidRPr="00DA2A8F">
        <w:rPr>
          <w:rFonts w:ascii="Calibri" w:hAnsi="Calibri"/>
          <w:rtl/>
        </w:rPr>
        <w:t xml:space="preserve"> </w:t>
      </w:r>
      <w:r w:rsidRPr="00DA2A8F">
        <w:rPr>
          <w:rFonts w:ascii="Calibri" w:hAnsi="Calibri" w:hint="eastAsia"/>
          <w:rtl/>
        </w:rPr>
        <w:t>סך</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כ</w:t>
      </w:r>
      <w:r w:rsidRPr="00DA2A8F">
        <w:rPr>
          <w:rFonts w:ascii="Calibri" w:hAnsi="Calibri"/>
          <w:rtl/>
        </w:rPr>
        <w:t xml:space="preserve">-21,000 </w:t>
      </w:r>
      <w:r w:rsidRPr="00DA2A8F">
        <w:rPr>
          <w:rFonts w:ascii="Calibri" w:hAnsi="Calibri" w:hint="eastAsia"/>
          <w:rtl/>
        </w:rPr>
        <w:t>ש</w:t>
      </w:r>
      <w:r w:rsidRPr="00DA2A8F">
        <w:rPr>
          <w:rFonts w:ascii="Calibri" w:hAnsi="Calibri"/>
          <w:rtl/>
        </w:rPr>
        <w:t>"</w:t>
      </w:r>
      <w:r w:rsidRPr="00DA2A8F">
        <w:rPr>
          <w:rFonts w:ascii="Calibri" w:hAnsi="Calibri" w:hint="eastAsia"/>
          <w:rtl/>
        </w:rPr>
        <w:t>ח</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נכנס</w:t>
      </w:r>
      <w:r w:rsidRPr="00DA2A8F">
        <w:rPr>
          <w:rFonts w:ascii="Calibri" w:hAnsi="Calibri"/>
          <w:rtl/>
        </w:rPr>
        <w:t xml:space="preserve"> </w:t>
      </w:r>
      <w:r w:rsidRPr="00DA2A8F">
        <w:rPr>
          <w:rFonts w:ascii="Calibri" w:hAnsi="Calibri" w:hint="eastAsia"/>
          <w:rtl/>
        </w:rPr>
        <w:t>לתמונה</w:t>
      </w:r>
      <w:r w:rsidRPr="00DA2A8F">
        <w:rPr>
          <w:rFonts w:ascii="Calibri" w:hAnsi="Calibri"/>
          <w:rtl/>
        </w:rPr>
        <w:t xml:space="preserve"> </w:t>
      </w:r>
      <w:r w:rsidRPr="00DA2A8F">
        <w:rPr>
          <w:rFonts w:ascii="Calibri" w:hAnsi="Calibri" w:hint="eastAsia"/>
          <w:rtl/>
        </w:rPr>
        <w:t>לאחר</w:t>
      </w:r>
      <w:r w:rsidRPr="00DA2A8F">
        <w:rPr>
          <w:rFonts w:ascii="Calibri" w:hAnsi="Calibri"/>
          <w:rtl/>
        </w:rPr>
        <w:t xml:space="preserve"> </w:t>
      </w:r>
      <w:r w:rsidRPr="00DA2A8F">
        <w:rPr>
          <w:rFonts w:ascii="Calibri" w:hAnsi="Calibri" w:hint="eastAsia"/>
          <w:rtl/>
        </w:rPr>
        <w:t>שנסיונו</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נאשם</w:t>
      </w:r>
      <w:r w:rsidRPr="00DA2A8F">
        <w:rPr>
          <w:rFonts w:ascii="Calibri" w:hAnsi="Calibri"/>
          <w:rtl/>
        </w:rPr>
        <w:t xml:space="preserve"> </w:t>
      </w:r>
      <w:r w:rsidRPr="00DA2A8F">
        <w:rPr>
          <w:rFonts w:ascii="Calibri" w:hAnsi="Calibri" w:hint="eastAsia"/>
          <w:rtl/>
        </w:rPr>
        <w:t>אחר</w:t>
      </w:r>
      <w:r w:rsidRPr="00DA2A8F">
        <w:rPr>
          <w:rFonts w:ascii="Calibri" w:hAnsi="Calibri"/>
          <w:rtl/>
        </w:rPr>
        <w:t xml:space="preserve"> </w:t>
      </w:r>
      <w:r w:rsidRPr="00DA2A8F">
        <w:rPr>
          <w:rFonts w:ascii="Calibri" w:hAnsi="Calibri" w:hint="eastAsia"/>
          <w:rtl/>
        </w:rPr>
        <w:t>למכור</w:t>
      </w:r>
      <w:r w:rsidRPr="00DA2A8F">
        <w:rPr>
          <w:rFonts w:ascii="Calibri" w:hAnsi="Calibri"/>
          <w:rtl/>
        </w:rPr>
        <w:t xml:space="preserve"> </w:t>
      </w:r>
      <w:r w:rsidRPr="00DA2A8F">
        <w:rPr>
          <w:rFonts w:ascii="Calibri" w:hAnsi="Calibri" w:hint="eastAsia"/>
          <w:rtl/>
        </w:rPr>
        <w:t>לסוכן</w:t>
      </w:r>
      <w:r w:rsidRPr="00DA2A8F">
        <w:rPr>
          <w:rFonts w:ascii="Calibri" w:hAnsi="Calibri"/>
          <w:rtl/>
        </w:rPr>
        <w:t xml:space="preserve"> </w:t>
      </w:r>
      <w:r w:rsidRPr="00DA2A8F">
        <w:rPr>
          <w:rFonts w:ascii="Calibri" w:hAnsi="Calibri" w:hint="eastAsia"/>
          <w:rtl/>
        </w:rPr>
        <w:t>כלי</w:t>
      </w:r>
      <w:r w:rsidRPr="00DA2A8F">
        <w:rPr>
          <w:rFonts w:ascii="Calibri" w:hAnsi="Calibri"/>
          <w:rtl/>
        </w:rPr>
        <w:t xml:space="preserve"> </w:t>
      </w:r>
      <w:r w:rsidRPr="00DA2A8F">
        <w:rPr>
          <w:rFonts w:ascii="Calibri" w:hAnsi="Calibri" w:hint="eastAsia"/>
          <w:rtl/>
        </w:rPr>
        <w:t>נשק</w:t>
      </w:r>
      <w:r w:rsidRPr="00DA2A8F">
        <w:rPr>
          <w:rFonts w:ascii="Calibri" w:hAnsi="Calibri"/>
          <w:rtl/>
        </w:rPr>
        <w:t xml:space="preserve"> </w:t>
      </w:r>
      <w:r w:rsidRPr="00DA2A8F">
        <w:rPr>
          <w:rFonts w:ascii="Calibri" w:hAnsi="Calibri" w:hint="eastAsia"/>
          <w:rtl/>
        </w:rPr>
        <w:t>כשל</w:t>
      </w:r>
      <w:r w:rsidRPr="00DA2A8F">
        <w:rPr>
          <w:rFonts w:ascii="Calibri" w:hAnsi="Calibri"/>
          <w:rtl/>
        </w:rPr>
        <w:t xml:space="preserve">, </w:t>
      </w:r>
      <w:r w:rsidRPr="00DA2A8F">
        <w:rPr>
          <w:rFonts w:ascii="Calibri" w:hAnsi="Calibri" w:hint="eastAsia"/>
          <w:rtl/>
        </w:rPr>
        <w:t>וביודעו</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ברשותו</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אקדח</w:t>
      </w:r>
      <w:r w:rsidRPr="00DA2A8F">
        <w:rPr>
          <w:rFonts w:ascii="Calibri" w:hAnsi="Calibri"/>
          <w:rtl/>
        </w:rPr>
        <w:t xml:space="preserve">, </w:t>
      </w:r>
      <w:r w:rsidRPr="00DA2A8F">
        <w:rPr>
          <w:rFonts w:ascii="Calibri" w:hAnsi="Calibri" w:hint="eastAsia"/>
          <w:rtl/>
        </w:rPr>
        <w:t>פנה</w:t>
      </w:r>
      <w:r w:rsidRPr="00DA2A8F">
        <w:rPr>
          <w:rFonts w:ascii="Calibri" w:hAnsi="Calibri"/>
          <w:rtl/>
        </w:rPr>
        <w:t xml:space="preserve"> </w:t>
      </w:r>
      <w:r w:rsidRPr="00DA2A8F">
        <w:rPr>
          <w:rFonts w:ascii="Calibri" w:hAnsi="Calibri" w:hint="eastAsia"/>
          <w:rtl/>
        </w:rPr>
        <w:t>נאשם</w:t>
      </w:r>
      <w:r w:rsidRPr="00DA2A8F">
        <w:rPr>
          <w:rFonts w:ascii="Calibri" w:hAnsi="Calibri"/>
          <w:rtl/>
        </w:rPr>
        <w:t xml:space="preserve"> </w:t>
      </w:r>
      <w:r w:rsidRPr="00DA2A8F">
        <w:rPr>
          <w:rFonts w:ascii="Calibri" w:hAnsi="Calibri" w:hint="eastAsia"/>
          <w:rtl/>
        </w:rPr>
        <w:t>אחר</w:t>
      </w:r>
      <w:r w:rsidRPr="00DA2A8F">
        <w:rPr>
          <w:rFonts w:ascii="Calibri" w:hAnsi="Calibri"/>
          <w:rtl/>
        </w:rPr>
        <w:t xml:space="preserve"> </w:t>
      </w:r>
      <w:r w:rsidRPr="00DA2A8F">
        <w:rPr>
          <w:rFonts w:ascii="Calibri" w:hAnsi="Calibri" w:hint="eastAsia"/>
          <w:rtl/>
        </w:rPr>
        <w:t>אליו</w:t>
      </w:r>
      <w:r w:rsidRPr="00DA2A8F">
        <w:rPr>
          <w:rFonts w:ascii="Calibri" w:hAnsi="Calibri"/>
          <w:rtl/>
        </w:rPr>
        <w:t xml:space="preserve">, </w:t>
      </w:r>
      <w:r w:rsidRPr="00DA2A8F">
        <w:rPr>
          <w:rFonts w:ascii="Calibri" w:hAnsi="Calibri" w:hint="eastAsia"/>
          <w:rtl/>
        </w:rPr>
        <w:t>עד</w:t>
      </w:r>
      <w:r w:rsidRPr="00DA2A8F">
        <w:rPr>
          <w:rFonts w:ascii="Calibri" w:hAnsi="Calibri"/>
          <w:rtl/>
        </w:rPr>
        <w:t xml:space="preserve"> </w:t>
      </w:r>
      <w:r w:rsidRPr="00DA2A8F">
        <w:rPr>
          <w:rFonts w:ascii="Calibri" w:hAnsi="Calibri" w:hint="eastAsia"/>
          <w:rtl/>
        </w:rPr>
        <w:t>אשר</w:t>
      </w:r>
      <w:r w:rsidRPr="00DA2A8F">
        <w:rPr>
          <w:rFonts w:ascii="Calibri" w:hAnsi="Calibri"/>
          <w:rtl/>
        </w:rPr>
        <w:t xml:space="preserve"> </w:t>
      </w:r>
      <w:r w:rsidRPr="00DA2A8F">
        <w:rPr>
          <w:rFonts w:ascii="Calibri" w:hAnsi="Calibri" w:hint="eastAsia"/>
          <w:rtl/>
        </w:rPr>
        <w:t>סיפק</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את</w:t>
      </w:r>
      <w:r w:rsidRPr="00DA2A8F">
        <w:rPr>
          <w:rFonts w:ascii="Calibri" w:hAnsi="Calibri"/>
          <w:rtl/>
        </w:rPr>
        <w:t xml:space="preserve"> </w:t>
      </w:r>
      <w:r w:rsidRPr="00DA2A8F">
        <w:rPr>
          <w:rFonts w:ascii="Calibri" w:hAnsi="Calibri" w:hint="eastAsia"/>
          <w:rtl/>
        </w:rPr>
        <w:t>האקדח</w:t>
      </w:r>
      <w:r w:rsidRPr="00DA2A8F">
        <w:rPr>
          <w:rFonts w:ascii="Calibri" w:hAnsi="Calibri"/>
          <w:rtl/>
        </w:rPr>
        <w:t xml:space="preserve">, </w:t>
      </w:r>
      <w:r w:rsidRPr="00DA2A8F">
        <w:rPr>
          <w:rFonts w:ascii="Calibri" w:hAnsi="Calibri" w:hint="eastAsia"/>
          <w:rtl/>
        </w:rPr>
        <w:t>והעסקה</w:t>
      </w:r>
      <w:r w:rsidRPr="00DA2A8F">
        <w:rPr>
          <w:rFonts w:ascii="Calibri" w:hAnsi="Calibri"/>
          <w:rtl/>
        </w:rPr>
        <w:t xml:space="preserve"> </w:t>
      </w:r>
      <w:r w:rsidRPr="00DA2A8F">
        <w:rPr>
          <w:rFonts w:ascii="Calibri" w:hAnsi="Calibri" w:hint="eastAsia"/>
          <w:rtl/>
        </w:rPr>
        <w:t>הושלמה</w:t>
      </w:r>
      <w:r w:rsidRPr="00DA2A8F">
        <w:rPr>
          <w:rFonts w:ascii="Calibri" w:hAnsi="Calibri"/>
          <w:rtl/>
        </w:rPr>
        <w:t xml:space="preserve">. </w:t>
      </w:r>
      <w:r w:rsidRPr="00DA2A8F">
        <w:rPr>
          <w:rFonts w:ascii="Calibri" w:hAnsi="Calibri" w:hint="eastAsia"/>
          <w:rtl/>
        </w:rPr>
        <w:t>בית</w:t>
      </w:r>
      <w:r w:rsidRPr="00DA2A8F">
        <w:rPr>
          <w:rFonts w:ascii="Calibri" w:hAnsi="Calibri"/>
          <w:rtl/>
        </w:rPr>
        <w:t>-</w:t>
      </w:r>
      <w:r w:rsidRPr="00DA2A8F">
        <w:rPr>
          <w:rFonts w:ascii="Calibri" w:hAnsi="Calibri" w:hint="eastAsia"/>
          <w:rtl/>
        </w:rPr>
        <w:t>המשפט</w:t>
      </w:r>
      <w:r w:rsidRPr="00DA2A8F">
        <w:rPr>
          <w:rFonts w:ascii="Calibri" w:hAnsi="Calibri"/>
          <w:rtl/>
        </w:rPr>
        <w:t xml:space="preserve"> </w:t>
      </w:r>
      <w:r w:rsidRPr="00DA2A8F">
        <w:rPr>
          <w:rFonts w:ascii="Calibri" w:hAnsi="Calibri" w:hint="eastAsia"/>
          <w:rtl/>
        </w:rPr>
        <w:t>המחוזי</w:t>
      </w:r>
      <w:r w:rsidRPr="00DA2A8F">
        <w:rPr>
          <w:rFonts w:ascii="Calibri" w:hAnsi="Calibri"/>
          <w:rtl/>
        </w:rPr>
        <w:t xml:space="preserve"> </w:t>
      </w:r>
      <w:r w:rsidRPr="00DA2A8F">
        <w:rPr>
          <w:rFonts w:ascii="Calibri" w:hAnsi="Calibri" w:hint="eastAsia"/>
          <w:rtl/>
        </w:rPr>
        <w:t>קבע</w:t>
      </w:r>
      <w:r w:rsidRPr="00DA2A8F">
        <w:rPr>
          <w:rFonts w:ascii="Calibri" w:hAnsi="Calibri"/>
          <w:rtl/>
        </w:rPr>
        <w:t xml:space="preserve"> </w:t>
      </w:r>
      <w:r w:rsidRPr="00DA2A8F">
        <w:rPr>
          <w:rFonts w:ascii="Calibri" w:hAnsi="Calibri" w:hint="eastAsia"/>
          <w:rtl/>
        </w:rPr>
        <w:t>מתחם</w:t>
      </w:r>
      <w:r w:rsidRPr="00DA2A8F">
        <w:rPr>
          <w:rFonts w:ascii="Calibri" w:hAnsi="Calibri"/>
          <w:rtl/>
        </w:rPr>
        <w:t xml:space="preserve"> </w:t>
      </w:r>
      <w:r w:rsidRPr="00DA2A8F">
        <w:rPr>
          <w:rFonts w:ascii="Calibri" w:hAnsi="Calibri" w:hint="eastAsia"/>
          <w:rtl/>
        </w:rPr>
        <w:t>עונש</w:t>
      </w:r>
      <w:r w:rsidRPr="00DA2A8F">
        <w:rPr>
          <w:rFonts w:ascii="Calibri" w:hAnsi="Calibri"/>
          <w:rtl/>
        </w:rPr>
        <w:t xml:space="preserve"> </w:t>
      </w:r>
      <w:r w:rsidRPr="00DA2A8F">
        <w:rPr>
          <w:rFonts w:ascii="Calibri" w:hAnsi="Calibri" w:hint="eastAsia"/>
          <w:rtl/>
        </w:rPr>
        <w:t>הולם</w:t>
      </w:r>
      <w:r w:rsidRPr="00DA2A8F">
        <w:rPr>
          <w:rFonts w:ascii="Calibri" w:hAnsi="Calibri"/>
          <w:rtl/>
        </w:rPr>
        <w:t xml:space="preserve"> </w:t>
      </w:r>
      <w:r w:rsidRPr="00DA2A8F">
        <w:rPr>
          <w:rFonts w:ascii="Calibri" w:hAnsi="Calibri" w:hint="eastAsia"/>
          <w:rtl/>
        </w:rPr>
        <w:t>שנע</w:t>
      </w:r>
      <w:r w:rsidRPr="00DA2A8F">
        <w:rPr>
          <w:rFonts w:ascii="Calibri" w:hAnsi="Calibri"/>
          <w:rtl/>
        </w:rPr>
        <w:t xml:space="preserve"> </w:t>
      </w:r>
      <w:r w:rsidRPr="00DA2A8F">
        <w:rPr>
          <w:rFonts w:ascii="Calibri" w:hAnsi="Calibri" w:hint="eastAsia"/>
          <w:rtl/>
        </w:rPr>
        <w:t>בין</w:t>
      </w:r>
      <w:r w:rsidRPr="00DA2A8F">
        <w:rPr>
          <w:rFonts w:ascii="Calibri" w:hAnsi="Calibri"/>
          <w:rtl/>
        </w:rPr>
        <w:t xml:space="preserve"> 18 </w:t>
      </w:r>
      <w:r w:rsidRPr="00DA2A8F">
        <w:rPr>
          <w:rFonts w:ascii="Calibri" w:hAnsi="Calibri" w:hint="eastAsia"/>
          <w:rtl/>
        </w:rPr>
        <w:t>ל</w:t>
      </w:r>
      <w:r w:rsidRPr="00DA2A8F">
        <w:rPr>
          <w:rFonts w:ascii="Calibri" w:hAnsi="Calibri"/>
          <w:rtl/>
        </w:rPr>
        <w:t xml:space="preserve">- 48 </w:t>
      </w:r>
      <w:r w:rsidRPr="00DA2A8F">
        <w:rPr>
          <w:rFonts w:ascii="Calibri" w:hAnsi="Calibri" w:hint="eastAsia"/>
          <w:rtl/>
        </w:rPr>
        <w:t>חודשי</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המערער</w:t>
      </w:r>
      <w:r w:rsidRPr="00DA2A8F">
        <w:rPr>
          <w:rFonts w:ascii="Calibri" w:hAnsi="Calibri"/>
          <w:rtl/>
        </w:rPr>
        <w:t xml:space="preserve"> </w:t>
      </w:r>
      <w:r w:rsidRPr="00DA2A8F">
        <w:rPr>
          <w:rFonts w:ascii="Calibri" w:hAnsi="Calibri" w:hint="eastAsia"/>
          <w:rtl/>
        </w:rPr>
        <w:t>הושת</w:t>
      </w:r>
      <w:r w:rsidRPr="00DA2A8F">
        <w:rPr>
          <w:rFonts w:ascii="Calibri" w:hAnsi="Calibri"/>
          <w:rtl/>
        </w:rPr>
        <w:t xml:space="preserve"> </w:t>
      </w:r>
      <w:r w:rsidRPr="00DA2A8F">
        <w:rPr>
          <w:rFonts w:ascii="Calibri" w:hAnsi="Calibri" w:hint="eastAsia"/>
          <w:rtl/>
        </w:rPr>
        <w:t>עונש</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בן</w:t>
      </w:r>
      <w:r w:rsidRPr="00DA2A8F">
        <w:rPr>
          <w:rFonts w:ascii="Calibri" w:hAnsi="Calibri"/>
          <w:rtl/>
        </w:rPr>
        <w:t xml:space="preserve"> 24 </w:t>
      </w:r>
      <w:r w:rsidRPr="00DA2A8F">
        <w:rPr>
          <w:rFonts w:ascii="Calibri" w:hAnsi="Calibri" w:hint="eastAsia"/>
          <w:rtl/>
        </w:rPr>
        <w:t>חודשי</w:t>
      </w:r>
      <w:r w:rsidRPr="00DA2A8F">
        <w:rPr>
          <w:rFonts w:ascii="Calibri" w:hAnsi="Calibri"/>
          <w:rtl/>
        </w:rPr>
        <w:t xml:space="preserve"> </w:t>
      </w:r>
      <w:r w:rsidRPr="00DA2A8F">
        <w:rPr>
          <w:rFonts w:ascii="Calibri" w:hAnsi="Calibri" w:hint="eastAsia"/>
          <w:rtl/>
        </w:rPr>
        <w:t>מאסר</w:t>
      </w:r>
      <w:r w:rsidRPr="00DA2A8F">
        <w:rPr>
          <w:rFonts w:ascii="Calibri" w:hAnsi="Calibri"/>
          <w:rtl/>
        </w:rPr>
        <w:t xml:space="preserve"> </w:t>
      </w:r>
      <w:r w:rsidRPr="00DA2A8F">
        <w:rPr>
          <w:rFonts w:ascii="Calibri" w:hAnsi="Calibri" w:hint="eastAsia"/>
          <w:rtl/>
        </w:rPr>
        <w:t>בפועל</w:t>
      </w:r>
      <w:r w:rsidRPr="00DA2A8F">
        <w:rPr>
          <w:rFonts w:ascii="Calibri" w:hAnsi="Calibri"/>
          <w:rtl/>
        </w:rPr>
        <w:t xml:space="preserve">, </w:t>
      </w:r>
      <w:r w:rsidRPr="00DA2A8F">
        <w:rPr>
          <w:rFonts w:ascii="Calibri" w:hAnsi="Calibri" w:hint="eastAsia"/>
          <w:rtl/>
        </w:rPr>
        <w:t>כשצוין</w:t>
      </w:r>
      <w:r w:rsidRPr="00DA2A8F">
        <w:rPr>
          <w:rFonts w:ascii="Calibri" w:hAnsi="Calibri"/>
          <w:rtl/>
        </w:rPr>
        <w:t xml:space="preserve"> </w:t>
      </w:r>
      <w:r w:rsidRPr="00DA2A8F">
        <w:rPr>
          <w:rFonts w:ascii="Calibri" w:hAnsi="Calibri" w:hint="eastAsia"/>
          <w:rtl/>
        </w:rPr>
        <w:t>כי</w:t>
      </w:r>
      <w:r w:rsidRPr="00DA2A8F">
        <w:rPr>
          <w:rFonts w:ascii="Calibri" w:hAnsi="Calibri"/>
          <w:rtl/>
        </w:rPr>
        <w:t xml:space="preserve"> </w:t>
      </w:r>
      <w:r w:rsidRPr="00DA2A8F">
        <w:rPr>
          <w:rFonts w:ascii="Calibri" w:hAnsi="Calibri" w:hint="eastAsia"/>
          <w:rtl/>
        </w:rPr>
        <w:t>מערער</w:t>
      </w:r>
      <w:r w:rsidRPr="00DA2A8F">
        <w:rPr>
          <w:rFonts w:ascii="Calibri" w:hAnsi="Calibri"/>
          <w:rtl/>
        </w:rPr>
        <w:t xml:space="preserve"> 9 </w:t>
      </w:r>
      <w:r w:rsidRPr="00DA2A8F">
        <w:rPr>
          <w:rFonts w:ascii="Calibri" w:hAnsi="Calibri" w:hint="eastAsia"/>
          <w:rtl/>
        </w:rPr>
        <w:t>חזר</w:t>
      </w:r>
      <w:r w:rsidRPr="00DA2A8F">
        <w:rPr>
          <w:rFonts w:ascii="Calibri" w:hAnsi="Calibri"/>
          <w:rtl/>
        </w:rPr>
        <w:t xml:space="preserve"> </w:t>
      </w:r>
      <w:r w:rsidRPr="00DA2A8F">
        <w:rPr>
          <w:rFonts w:ascii="Calibri" w:hAnsi="Calibri" w:hint="eastAsia"/>
          <w:rtl/>
        </w:rPr>
        <w:t>בו</w:t>
      </w:r>
      <w:r w:rsidRPr="00DA2A8F">
        <w:rPr>
          <w:rFonts w:ascii="Calibri" w:hAnsi="Calibri"/>
          <w:rtl/>
        </w:rPr>
        <w:t xml:space="preserve"> </w:t>
      </w:r>
      <w:r w:rsidRPr="00DA2A8F">
        <w:rPr>
          <w:rFonts w:ascii="Calibri" w:hAnsi="Calibri" w:hint="eastAsia"/>
          <w:rtl/>
        </w:rPr>
        <w:t>מכפירתו</w:t>
      </w:r>
      <w:r w:rsidRPr="00DA2A8F">
        <w:rPr>
          <w:rFonts w:ascii="Calibri" w:hAnsi="Calibri"/>
          <w:rtl/>
        </w:rPr>
        <w:t xml:space="preserve"> </w:t>
      </w:r>
      <w:r w:rsidRPr="00DA2A8F">
        <w:rPr>
          <w:rFonts w:ascii="Calibri" w:hAnsi="Calibri" w:hint="eastAsia"/>
          <w:rtl/>
        </w:rPr>
        <w:t>רק</w:t>
      </w:r>
      <w:r w:rsidRPr="00DA2A8F">
        <w:rPr>
          <w:rFonts w:ascii="Calibri" w:hAnsi="Calibri"/>
          <w:rtl/>
        </w:rPr>
        <w:t xml:space="preserve"> </w:t>
      </w:r>
      <w:r w:rsidRPr="00DA2A8F">
        <w:rPr>
          <w:rFonts w:ascii="Calibri" w:hAnsi="Calibri" w:hint="eastAsia"/>
          <w:rtl/>
        </w:rPr>
        <w:t>לאחר</w:t>
      </w:r>
      <w:r w:rsidRPr="00DA2A8F">
        <w:rPr>
          <w:rFonts w:ascii="Calibri" w:hAnsi="Calibri"/>
          <w:rtl/>
        </w:rPr>
        <w:t xml:space="preserve"> </w:t>
      </w:r>
      <w:r w:rsidRPr="00DA2A8F">
        <w:rPr>
          <w:rFonts w:ascii="Calibri" w:hAnsi="Calibri" w:hint="eastAsia"/>
          <w:rtl/>
        </w:rPr>
        <w:t>שנשמעה</w:t>
      </w:r>
      <w:r w:rsidRPr="00DA2A8F">
        <w:rPr>
          <w:rFonts w:ascii="Calibri" w:hAnsi="Calibri"/>
          <w:rtl/>
        </w:rPr>
        <w:t xml:space="preserve"> </w:t>
      </w:r>
      <w:r w:rsidRPr="00DA2A8F">
        <w:rPr>
          <w:rFonts w:ascii="Calibri" w:hAnsi="Calibri" w:hint="eastAsia"/>
          <w:rtl/>
        </w:rPr>
        <w:t>עדות</w:t>
      </w:r>
      <w:r w:rsidRPr="00DA2A8F">
        <w:rPr>
          <w:rFonts w:ascii="Calibri" w:hAnsi="Calibri"/>
          <w:rtl/>
        </w:rPr>
        <w:t xml:space="preserve"> </w:t>
      </w:r>
      <w:r w:rsidRPr="00DA2A8F">
        <w:rPr>
          <w:rFonts w:ascii="Calibri" w:hAnsi="Calibri" w:hint="eastAsia"/>
          <w:rtl/>
        </w:rPr>
        <w:t>הסוכן</w:t>
      </w:r>
      <w:r w:rsidRPr="00DA2A8F">
        <w:rPr>
          <w:rFonts w:ascii="Calibri" w:hAnsi="Calibri"/>
          <w:rtl/>
        </w:rPr>
        <w:t xml:space="preserve">, </w:t>
      </w:r>
      <w:r w:rsidRPr="00DA2A8F">
        <w:rPr>
          <w:rFonts w:ascii="Calibri" w:hAnsi="Calibri" w:hint="eastAsia"/>
          <w:rtl/>
        </w:rPr>
        <w:t>הוא</w:t>
      </w:r>
      <w:r w:rsidRPr="00DA2A8F">
        <w:rPr>
          <w:rFonts w:ascii="Calibri" w:hAnsi="Calibri"/>
          <w:rtl/>
        </w:rPr>
        <w:t xml:space="preserve"> </w:t>
      </w:r>
      <w:r w:rsidRPr="00DA2A8F">
        <w:rPr>
          <w:rFonts w:ascii="Calibri" w:hAnsi="Calibri" w:hint="eastAsia"/>
          <w:rtl/>
        </w:rPr>
        <w:t>מיזער</w:t>
      </w:r>
      <w:r w:rsidRPr="00DA2A8F">
        <w:rPr>
          <w:rFonts w:ascii="Calibri" w:hAnsi="Calibri"/>
          <w:rtl/>
        </w:rPr>
        <w:t xml:space="preserve"> </w:t>
      </w:r>
      <w:r w:rsidRPr="00DA2A8F">
        <w:rPr>
          <w:rFonts w:ascii="Calibri" w:hAnsi="Calibri" w:hint="eastAsia"/>
          <w:rtl/>
        </w:rPr>
        <w:t>את</w:t>
      </w:r>
      <w:r w:rsidRPr="00DA2A8F">
        <w:rPr>
          <w:rFonts w:ascii="Calibri" w:hAnsi="Calibri"/>
          <w:rtl/>
        </w:rPr>
        <w:t xml:space="preserve"> </w:t>
      </w:r>
      <w:r w:rsidRPr="00DA2A8F">
        <w:rPr>
          <w:rFonts w:ascii="Calibri" w:hAnsi="Calibri" w:hint="eastAsia"/>
          <w:rtl/>
        </w:rPr>
        <w:t>חלקו</w:t>
      </w:r>
      <w:r w:rsidRPr="00DA2A8F">
        <w:rPr>
          <w:rFonts w:ascii="Calibri" w:hAnsi="Calibri"/>
          <w:rtl/>
        </w:rPr>
        <w:t xml:space="preserve"> </w:t>
      </w:r>
      <w:r w:rsidRPr="00DA2A8F">
        <w:rPr>
          <w:rFonts w:ascii="Calibri" w:hAnsi="Calibri" w:hint="eastAsia"/>
          <w:rtl/>
        </w:rPr>
        <w:t>בביצוע</w:t>
      </w:r>
      <w:r w:rsidRPr="00DA2A8F">
        <w:rPr>
          <w:rFonts w:ascii="Calibri" w:hAnsi="Calibri"/>
          <w:rtl/>
        </w:rPr>
        <w:t xml:space="preserve"> </w:t>
      </w:r>
      <w:r w:rsidRPr="00DA2A8F">
        <w:rPr>
          <w:rFonts w:ascii="Calibri" w:hAnsi="Calibri" w:hint="eastAsia"/>
          <w:rtl/>
        </w:rPr>
        <w:t>המעשים</w:t>
      </w:r>
      <w:r w:rsidRPr="00DA2A8F">
        <w:rPr>
          <w:rFonts w:ascii="Calibri" w:hAnsi="Calibri"/>
          <w:rtl/>
        </w:rPr>
        <w:t xml:space="preserve">, </w:t>
      </w:r>
      <w:r w:rsidRPr="00DA2A8F">
        <w:rPr>
          <w:rFonts w:ascii="Calibri" w:hAnsi="Calibri" w:hint="eastAsia"/>
          <w:rtl/>
        </w:rPr>
        <w:t>ובעברו</w:t>
      </w:r>
      <w:r w:rsidRPr="00DA2A8F">
        <w:rPr>
          <w:rFonts w:ascii="Calibri" w:hAnsi="Calibri"/>
          <w:rtl/>
        </w:rPr>
        <w:t xml:space="preserve"> </w:t>
      </w:r>
      <w:r w:rsidRPr="00DA2A8F">
        <w:rPr>
          <w:rFonts w:ascii="Calibri" w:hAnsi="Calibri" w:hint="eastAsia"/>
          <w:rtl/>
        </w:rPr>
        <w:t>שתי</w:t>
      </w:r>
      <w:r w:rsidRPr="00DA2A8F">
        <w:rPr>
          <w:rFonts w:ascii="Calibri" w:hAnsi="Calibri"/>
          <w:rtl/>
        </w:rPr>
        <w:t xml:space="preserve"> </w:t>
      </w:r>
      <w:r w:rsidRPr="00DA2A8F">
        <w:rPr>
          <w:rFonts w:ascii="Calibri" w:hAnsi="Calibri" w:hint="eastAsia"/>
          <w:rtl/>
        </w:rPr>
        <w:t>הרשעות</w:t>
      </w:r>
      <w:r w:rsidRPr="00DA2A8F">
        <w:rPr>
          <w:rFonts w:ascii="Calibri" w:hAnsi="Calibri"/>
          <w:rtl/>
        </w:rPr>
        <w:t xml:space="preserve">. </w:t>
      </w:r>
    </w:p>
    <w:p w14:paraId="51530A08" w14:textId="77777777" w:rsidR="009E7F3C" w:rsidRPr="00DA2A8F" w:rsidRDefault="009E7F3C" w:rsidP="009E7F3C">
      <w:pPr>
        <w:spacing w:line="360" w:lineRule="auto"/>
        <w:ind w:left="720" w:hanging="720"/>
        <w:contextualSpacing/>
        <w:jc w:val="both"/>
        <w:rPr>
          <w:rFonts w:ascii="Calibri" w:hAnsi="Calibri"/>
          <w:rtl/>
        </w:rPr>
      </w:pPr>
      <w:r w:rsidRPr="00DA2A8F">
        <w:rPr>
          <w:rFonts w:ascii="Calibri" w:hAnsi="Calibri"/>
          <w:rtl/>
        </w:rPr>
        <w:tab/>
      </w:r>
      <w:r w:rsidRPr="00DA2A8F">
        <w:rPr>
          <w:rFonts w:ascii="Calibri" w:hAnsi="Calibri" w:hint="eastAsia"/>
          <w:rtl/>
        </w:rPr>
        <w:t>ערעור</w:t>
      </w:r>
      <w:r w:rsidRPr="00DA2A8F">
        <w:rPr>
          <w:rFonts w:ascii="Calibri" w:hAnsi="Calibri"/>
          <w:rtl/>
        </w:rPr>
        <w:t xml:space="preserve"> </w:t>
      </w:r>
      <w:r w:rsidRPr="00DA2A8F">
        <w:rPr>
          <w:rFonts w:ascii="Calibri" w:hAnsi="Calibri" w:hint="eastAsia"/>
          <w:rtl/>
        </w:rPr>
        <w:t>על</w:t>
      </w:r>
      <w:r w:rsidRPr="00DA2A8F">
        <w:rPr>
          <w:rFonts w:ascii="Calibri" w:hAnsi="Calibri"/>
          <w:rtl/>
        </w:rPr>
        <w:t xml:space="preserve"> </w:t>
      </w:r>
      <w:r w:rsidRPr="00DA2A8F">
        <w:rPr>
          <w:rFonts w:ascii="Calibri" w:hAnsi="Calibri" w:hint="eastAsia"/>
          <w:rtl/>
        </w:rPr>
        <w:t>חומרת</w:t>
      </w:r>
      <w:r w:rsidRPr="00DA2A8F">
        <w:rPr>
          <w:rFonts w:ascii="Calibri" w:hAnsi="Calibri"/>
          <w:rtl/>
        </w:rPr>
        <w:t xml:space="preserve"> </w:t>
      </w:r>
      <w:r w:rsidRPr="00DA2A8F">
        <w:rPr>
          <w:rFonts w:ascii="Calibri" w:hAnsi="Calibri" w:hint="eastAsia"/>
          <w:rtl/>
        </w:rPr>
        <w:t>העונש</w:t>
      </w:r>
      <w:r w:rsidRPr="00DA2A8F">
        <w:rPr>
          <w:rFonts w:ascii="Calibri" w:hAnsi="Calibri"/>
          <w:rtl/>
        </w:rPr>
        <w:t xml:space="preserve"> </w:t>
      </w:r>
      <w:r w:rsidRPr="00DA2A8F">
        <w:rPr>
          <w:rFonts w:ascii="Calibri" w:hAnsi="Calibri" w:hint="eastAsia"/>
          <w:rtl/>
        </w:rPr>
        <w:t>נדחה</w:t>
      </w:r>
      <w:r w:rsidRPr="00DA2A8F">
        <w:rPr>
          <w:rFonts w:ascii="Calibri" w:hAnsi="Calibri"/>
          <w:rtl/>
        </w:rPr>
        <w:t xml:space="preserve">, </w:t>
      </w:r>
      <w:r w:rsidRPr="00DA2A8F">
        <w:rPr>
          <w:rFonts w:ascii="Calibri" w:hAnsi="Calibri" w:hint="eastAsia"/>
          <w:rtl/>
        </w:rPr>
        <w:t>חרף</w:t>
      </w:r>
      <w:r w:rsidRPr="00DA2A8F">
        <w:rPr>
          <w:rFonts w:ascii="Calibri" w:hAnsi="Calibri"/>
          <w:rtl/>
        </w:rPr>
        <w:t xml:space="preserve"> </w:t>
      </w:r>
      <w:r w:rsidRPr="00DA2A8F">
        <w:rPr>
          <w:rFonts w:ascii="Calibri" w:hAnsi="Calibri" w:hint="eastAsia"/>
          <w:rtl/>
        </w:rPr>
        <w:t>קיומה</w:t>
      </w:r>
      <w:r w:rsidRPr="00DA2A8F">
        <w:rPr>
          <w:rFonts w:ascii="Calibri" w:hAnsi="Calibri"/>
          <w:rtl/>
        </w:rPr>
        <w:t xml:space="preserve"> </w:t>
      </w:r>
      <w:r w:rsidRPr="00DA2A8F">
        <w:rPr>
          <w:rFonts w:ascii="Calibri" w:hAnsi="Calibri" w:hint="eastAsia"/>
          <w:rtl/>
        </w:rPr>
        <w:t>של</w:t>
      </w:r>
      <w:r w:rsidRPr="00DA2A8F">
        <w:rPr>
          <w:rFonts w:ascii="Calibri" w:hAnsi="Calibri"/>
          <w:rtl/>
        </w:rPr>
        <w:t xml:space="preserve"> </w:t>
      </w:r>
      <w:r w:rsidRPr="00DA2A8F">
        <w:rPr>
          <w:rFonts w:ascii="Calibri" w:hAnsi="Calibri" w:hint="eastAsia"/>
          <w:rtl/>
        </w:rPr>
        <w:t>המלצה</w:t>
      </w:r>
      <w:r w:rsidRPr="00DA2A8F">
        <w:rPr>
          <w:rFonts w:ascii="Calibri" w:hAnsi="Calibri"/>
          <w:rtl/>
        </w:rPr>
        <w:t xml:space="preserve"> </w:t>
      </w:r>
      <w:r w:rsidRPr="00DA2A8F">
        <w:rPr>
          <w:rFonts w:ascii="Calibri" w:hAnsi="Calibri" w:hint="eastAsia"/>
          <w:rtl/>
        </w:rPr>
        <w:t>שיקומית</w:t>
      </w:r>
      <w:r w:rsidRPr="00DA2A8F">
        <w:rPr>
          <w:rFonts w:ascii="Calibri" w:hAnsi="Calibri"/>
          <w:rtl/>
        </w:rPr>
        <w:t xml:space="preserve"> </w:t>
      </w:r>
      <w:r w:rsidRPr="00DA2A8F">
        <w:rPr>
          <w:rFonts w:ascii="Calibri" w:hAnsi="Calibri" w:hint="eastAsia"/>
          <w:rtl/>
        </w:rPr>
        <w:t>בתסקיר</w:t>
      </w:r>
      <w:r w:rsidRPr="00DA2A8F">
        <w:rPr>
          <w:rFonts w:ascii="Calibri" w:hAnsi="Calibri"/>
          <w:rtl/>
        </w:rPr>
        <w:t>.</w:t>
      </w:r>
    </w:p>
    <w:p w14:paraId="79B4AC7F"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color w:val="FF0000"/>
          <w:rtl/>
        </w:rPr>
      </w:pPr>
    </w:p>
    <w:p w14:paraId="234A6AF1"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tl/>
        </w:rPr>
      </w:pPr>
      <w:r w:rsidRPr="00DA2A8F">
        <w:rPr>
          <w:rtl/>
        </w:rPr>
        <w:t xml:space="preserve">פסקי-דין אלו משקפים קשת מקרים רלבנטיים, כאשר לאחר ביצוע אבחנות מתבקשות, אני קובעת </w:t>
      </w:r>
      <w:r w:rsidRPr="00DA2A8F">
        <w:rPr>
          <w:u w:val="single"/>
          <w:rtl/>
        </w:rPr>
        <w:t>מתחם עונש הולם אשר נע בין 18 ל- 48 חודשי מאסר בפועל</w:t>
      </w:r>
      <w:r w:rsidRPr="00DA2A8F">
        <w:rPr>
          <w:rtl/>
        </w:rPr>
        <w:t xml:space="preserve"> לצד רכיבי ענישה נלווים.</w:t>
      </w:r>
    </w:p>
    <w:p w14:paraId="78F55B1E" w14:textId="77777777" w:rsidR="009E7F3C" w:rsidRPr="00DA2A8F" w:rsidRDefault="009E7F3C" w:rsidP="009E7F3C">
      <w:pPr>
        <w:overflowPunct w:val="0"/>
        <w:autoSpaceDE w:val="0"/>
        <w:autoSpaceDN w:val="0"/>
        <w:adjustRightInd w:val="0"/>
        <w:spacing w:line="360" w:lineRule="auto"/>
        <w:ind w:left="720" w:hanging="720"/>
        <w:jc w:val="both"/>
        <w:rPr>
          <w:rFonts w:ascii="David" w:hAnsi="David"/>
          <w:rtl/>
        </w:rPr>
      </w:pPr>
    </w:p>
    <w:p w14:paraId="77B5773F"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tl/>
        </w:rPr>
      </w:pPr>
      <w:r w:rsidRPr="00DA2A8F">
        <w:rPr>
          <w:rtl/>
        </w:rPr>
        <w:t xml:space="preserve">בעניינו של הנאשם לא נטען ולא הוצג כל שיקול אשר מצדיק חריגה מהמתחם מטעמי שיקום (או מטעמי הגנה על שלום הציבור). על כן, עונשו ייגזר בתוך המתחם ויש להתחשב בנסיבות אשר אינן קשורות בביצוע העבירות, כמפורט </w:t>
      </w:r>
      <w:hyperlink r:id="rId36" w:history="1">
        <w:r w:rsidR="00DA2A8F" w:rsidRPr="00DA2A8F">
          <w:rPr>
            <w:color w:val="0000FF"/>
            <w:u w:val="single"/>
            <w:rtl/>
          </w:rPr>
          <w:t>בסעיף 40יא'</w:t>
        </w:r>
      </w:hyperlink>
      <w:r w:rsidRPr="00DA2A8F">
        <w:rPr>
          <w:rtl/>
        </w:rPr>
        <w:t xml:space="preserve"> ל</w:t>
      </w:r>
      <w:hyperlink r:id="rId37" w:history="1">
        <w:r w:rsidR="00F81468" w:rsidRPr="00DA2A8F">
          <w:rPr>
            <w:color w:val="0000FF"/>
            <w:u w:val="single"/>
            <w:rtl/>
          </w:rPr>
          <w:t>חוק העונשין</w:t>
        </w:r>
      </w:hyperlink>
      <w:r w:rsidRPr="00DA2A8F">
        <w:rPr>
          <w:rtl/>
        </w:rPr>
        <w:t xml:space="preserve">. </w:t>
      </w:r>
    </w:p>
    <w:p w14:paraId="07AC94B7"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p>
    <w:p w14:paraId="02D1E875"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tl/>
        </w:rPr>
      </w:pPr>
      <w:r w:rsidRPr="00DA2A8F">
        <w:rPr>
          <w:rtl/>
        </w:rPr>
        <w:t>באשר ל</w:t>
      </w:r>
      <w:r w:rsidRPr="00DA2A8F">
        <w:rPr>
          <w:u w:val="single"/>
          <w:rtl/>
        </w:rPr>
        <w:t>נסיבות שאינן קשורות לביצוע העבירות</w:t>
      </w:r>
      <w:r w:rsidRPr="00DA2A8F">
        <w:rPr>
          <w:rtl/>
        </w:rPr>
        <w:t>, הנאשם הודה במיוחס לו בכתב אישום מתוקן בעניינו, לאחר שנשמעה פרשת התביעה - אם כי נראה, כי הוא נגרר לניהול ההליך בעל כורחו. חרף הודאתו בבית-המשפט, מהתסקיר עולה לקיחת אחריות חלקית וקיימת מסוכנות להישנות עבירות בעתיד, כאשר הנאשם נוטה להשליך אחריות על אחרים, מתקשה בבחינה עצמית של בחירותיו ושל קשריו השוליים, ובולט כי נוטה לטשטש את הליך תכנון מעשיו.</w:t>
      </w:r>
    </w:p>
    <w:p w14:paraId="49CF77EA"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A2A8F">
        <w:rPr>
          <w:rFonts w:ascii="David" w:hAnsi="David"/>
          <w:rtl/>
        </w:rPr>
        <w:tab/>
      </w:r>
      <w:r w:rsidRPr="00DA2A8F">
        <w:rPr>
          <w:rFonts w:ascii="David" w:hAnsi="David"/>
          <w:rtl/>
        </w:rPr>
        <w:tab/>
        <w:t xml:space="preserve">הנאשם הוא אדם צעיר, בעל משפחה, נעדר עבר פלילי, אשר אינו יודע קרוא וכתוב והוכיח יציבות תעסוקתית. לאחר ששהה במעצר ממש למשך כחודשיים, הנאשם מצוי תקופה ארוכה בתנאים מגבילים – לרבות מעצר באיזוק (מחודש יולי 2017 ועד מרץ 2018)  - ותוך הרחקה ממשפחתו. </w:t>
      </w:r>
    </w:p>
    <w:p w14:paraId="37383AAE"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A2A8F">
        <w:rPr>
          <w:rFonts w:ascii="David" w:hAnsi="David"/>
          <w:rtl/>
        </w:rPr>
        <w:tab/>
      </w:r>
      <w:r w:rsidRPr="00DA2A8F">
        <w:rPr>
          <w:rFonts w:ascii="David" w:hAnsi="David"/>
          <w:rtl/>
        </w:rPr>
        <w:tab/>
        <w:t xml:space="preserve">ברקע לכל אלו מצוי גזר-הדין בעניינו של הנאשם 1. גם אם מקבלים את טיעון התביעה באשר לדומיננטיות של הנאשם, הרי שלחובת הנאשם 1 עבר פלילי מכביד בעבירות סמים, רכב, אלימות ונשק, כאשר את העבירה נושא גזר-דין זה ביצע תקופה קצרה לאחר שסיים תקופת רשיון.  </w:t>
      </w:r>
    </w:p>
    <w:p w14:paraId="032FFA8F"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A2A8F">
        <w:rPr>
          <w:rFonts w:ascii="David" w:hAnsi="David"/>
          <w:rtl/>
        </w:rPr>
        <w:tab/>
      </w:r>
      <w:r w:rsidRPr="00DA2A8F">
        <w:rPr>
          <w:rFonts w:ascii="David" w:hAnsi="David"/>
          <w:rtl/>
        </w:rPr>
        <w:tab/>
        <w:t>מכלול נסיבות אלו לקולה ולחומרה לצד הצורך בהרתעת הרבים מביאים להכרעה לפיה, יש להעמיד את עונשו של הנאשם מעט מעל לרף התחתון של המתחם שנקבע.</w:t>
      </w:r>
    </w:p>
    <w:p w14:paraId="62ABEF27" w14:textId="77777777" w:rsidR="009E7F3C" w:rsidRPr="00DA2A8F" w:rsidRDefault="009E7F3C" w:rsidP="009E7F3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b/>
          <w:bCs/>
          <w:rtl/>
        </w:rPr>
      </w:pPr>
    </w:p>
    <w:p w14:paraId="790295A4" w14:textId="77777777" w:rsidR="009E7F3C" w:rsidRPr="00DA2A8F" w:rsidRDefault="009E7F3C" w:rsidP="009E7F3C">
      <w:pPr>
        <w:numPr>
          <w:ilvl w:val="0"/>
          <w:numId w:val="1"/>
        </w:numPr>
        <w:tabs>
          <w:tab w:val="left" w:pos="288"/>
          <w:tab w:val="left" w:pos="1008"/>
          <w:tab w:val="left" w:pos="1296"/>
          <w:tab w:val="left" w:pos="4896"/>
        </w:tabs>
        <w:overflowPunct w:val="0"/>
        <w:autoSpaceDE w:val="0"/>
        <w:autoSpaceDN w:val="0"/>
        <w:adjustRightInd w:val="0"/>
        <w:spacing w:line="360" w:lineRule="auto"/>
        <w:jc w:val="both"/>
        <w:rPr>
          <w:rFonts w:ascii="Symbol" w:hAnsi="Symbol"/>
          <w:rtl/>
        </w:rPr>
      </w:pPr>
      <w:r w:rsidRPr="00DA2A8F">
        <w:rPr>
          <w:rtl/>
        </w:rPr>
        <w:t>לאור כל האמור לעיל</w:t>
      </w:r>
      <w:r w:rsidRPr="00DA2A8F">
        <w:rPr>
          <w:rFonts w:ascii="Symbol" w:hAnsi="Symbol"/>
          <w:rtl/>
        </w:rPr>
        <w:t xml:space="preserve">, </w:t>
      </w:r>
      <w:r w:rsidRPr="00DA2A8F">
        <w:rPr>
          <w:rFonts w:ascii="Symbol" w:hAnsi="Symbol" w:hint="eastAsia"/>
          <w:rtl/>
        </w:rPr>
        <w:t>אני</w:t>
      </w:r>
      <w:r w:rsidRPr="00DA2A8F">
        <w:rPr>
          <w:rFonts w:ascii="Symbol" w:hAnsi="Symbol"/>
          <w:rtl/>
        </w:rPr>
        <w:t xml:space="preserve"> </w:t>
      </w:r>
      <w:r w:rsidRPr="00DA2A8F">
        <w:rPr>
          <w:rFonts w:ascii="Symbol" w:hAnsi="Symbol" w:hint="eastAsia"/>
          <w:rtl/>
        </w:rPr>
        <w:t>גוזרת</w:t>
      </w:r>
      <w:r w:rsidRPr="00DA2A8F">
        <w:rPr>
          <w:rFonts w:ascii="Symbol" w:hAnsi="Symbol"/>
          <w:rtl/>
        </w:rPr>
        <w:t xml:space="preserve"> </w:t>
      </w:r>
      <w:r w:rsidRPr="00DA2A8F">
        <w:rPr>
          <w:rFonts w:ascii="Symbol" w:hAnsi="Symbol" w:hint="eastAsia"/>
          <w:rtl/>
        </w:rPr>
        <w:t>את</w:t>
      </w:r>
      <w:r w:rsidRPr="00DA2A8F">
        <w:rPr>
          <w:rFonts w:ascii="Symbol" w:hAnsi="Symbol"/>
          <w:rtl/>
        </w:rPr>
        <w:t xml:space="preserve"> </w:t>
      </w:r>
      <w:r w:rsidRPr="00DA2A8F">
        <w:rPr>
          <w:rFonts w:ascii="Symbol" w:hAnsi="Symbol" w:hint="eastAsia"/>
          <w:rtl/>
        </w:rPr>
        <w:t>דינו</w:t>
      </w:r>
      <w:r w:rsidRPr="00DA2A8F">
        <w:rPr>
          <w:rFonts w:ascii="Symbol" w:hAnsi="Symbol"/>
          <w:rtl/>
        </w:rPr>
        <w:t xml:space="preserve"> </w:t>
      </w:r>
      <w:r w:rsidRPr="00DA2A8F">
        <w:rPr>
          <w:rFonts w:ascii="Symbol" w:hAnsi="Symbol" w:hint="eastAsia"/>
          <w:rtl/>
        </w:rPr>
        <w:t>של</w:t>
      </w:r>
      <w:r w:rsidRPr="00DA2A8F">
        <w:rPr>
          <w:rFonts w:ascii="Symbol" w:hAnsi="Symbol"/>
          <w:rtl/>
        </w:rPr>
        <w:t xml:space="preserve"> </w:t>
      </w:r>
      <w:r w:rsidRPr="00DA2A8F">
        <w:rPr>
          <w:rFonts w:ascii="Symbol" w:hAnsi="Symbol" w:hint="eastAsia"/>
          <w:rtl/>
        </w:rPr>
        <w:t>הנאשם</w:t>
      </w:r>
      <w:r w:rsidRPr="00DA2A8F">
        <w:rPr>
          <w:rFonts w:ascii="Symbol" w:hAnsi="Symbol"/>
          <w:rtl/>
        </w:rPr>
        <w:t xml:space="preserve">  </w:t>
      </w:r>
      <w:r w:rsidRPr="00DA2A8F">
        <w:rPr>
          <w:rFonts w:ascii="Symbol" w:hAnsi="Symbol" w:hint="eastAsia"/>
          <w:rtl/>
        </w:rPr>
        <w:t>כדלקמן</w:t>
      </w:r>
      <w:r w:rsidRPr="00DA2A8F">
        <w:rPr>
          <w:rFonts w:ascii="Symbol" w:hAnsi="Symbol"/>
          <w:rtl/>
        </w:rPr>
        <w:t xml:space="preserve">: </w:t>
      </w:r>
    </w:p>
    <w:p w14:paraId="7333A9B0" w14:textId="77777777" w:rsidR="009E7F3C" w:rsidRPr="00DA2A8F" w:rsidRDefault="009E7F3C" w:rsidP="009E7F3C">
      <w:pPr>
        <w:spacing w:line="360" w:lineRule="auto"/>
        <w:ind w:left="720" w:hanging="720"/>
        <w:jc w:val="both"/>
        <w:rPr>
          <w:rFonts w:ascii="David" w:hAnsi="David"/>
          <w:rtl/>
        </w:rPr>
      </w:pPr>
    </w:p>
    <w:p w14:paraId="2001C18C"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22 חודשי מאסר בפועל, בניכוי ימי מעצרו 3.5.17 עד 11.7.17;</w:t>
      </w:r>
    </w:p>
    <w:p w14:paraId="7E6ACE07" w14:textId="77777777" w:rsidR="009E7F3C" w:rsidRPr="00DA2A8F" w:rsidRDefault="009E7F3C" w:rsidP="009E7F3C">
      <w:pPr>
        <w:spacing w:line="360" w:lineRule="auto"/>
        <w:ind w:left="720" w:hanging="720"/>
        <w:jc w:val="both"/>
        <w:rPr>
          <w:rFonts w:ascii="David" w:hAnsi="David"/>
          <w:rtl/>
        </w:rPr>
      </w:pPr>
    </w:p>
    <w:p w14:paraId="626EEF42"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 xml:space="preserve">12 חודשי מאסר על תנאי שלא יעבור בתוך 3 שנים מיום שחרורו עבירות נשק מסוג פשע; 6 חודשי מאסר על תנאי שלא יעבור בתוך 3 שנים מיום שחרורו עבירת נשק מסוג עוון.  </w:t>
      </w:r>
    </w:p>
    <w:p w14:paraId="54DD959C" w14:textId="77777777" w:rsidR="009E7F3C" w:rsidRPr="00DA2A8F" w:rsidRDefault="009E7F3C" w:rsidP="009E7F3C">
      <w:pPr>
        <w:spacing w:line="360" w:lineRule="auto"/>
        <w:ind w:left="720" w:hanging="720"/>
        <w:jc w:val="both"/>
        <w:rPr>
          <w:rFonts w:ascii="David" w:hAnsi="David"/>
          <w:rtl/>
        </w:rPr>
      </w:pPr>
    </w:p>
    <w:p w14:paraId="53C16B52"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קנס בסך 7500 ₪ או 75 ימי מאסר תמורתו. הקנס ישולם ב- 5 תשלומים שווים ורצופים של 1500 ₪</w:t>
      </w:r>
      <w:r w:rsidRPr="00DA2A8F">
        <w:rPr>
          <w:rFonts w:ascii="David" w:hAnsi="David" w:hint="cs"/>
          <w:rtl/>
        </w:rPr>
        <w:t xml:space="preserve"> כל אחד</w:t>
      </w:r>
      <w:r w:rsidRPr="00DA2A8F">
        <w:rPr>
          <w:rFonts w:ascii="David" w:hAnsi="David"/>
          <w:rtl/>
        </w:rPr>
        <w:t xml:space="preserve">, החל מיום 1.12.19 ובכל ראשון לחודש שלאחריו. אי תשלום אחד התשלומים במועד יגרום לכך שיתרת הקנס תעמוד לפרעון מיידי. </w:t>
      </w:r>
    </w:p>
    <w:p w14:paraId="3E3F06F9" w14:textId="77777777" w:rsidR="009E7F3C" w:rsidRPr="00DA2A8F" w:rsidRDefault="009E7F3C" w:rsidP="009E7F3C">
      <w:pPr>
        <w:spacing w:line="360" w:lineRule="auto"/>
        <w:ind w:left="720" w:hanging="720"/>
        <w:jc w:val="both"/>
        <w:rPr>
          <w:rFonts w:ascii="David" w:hAnsi="David"/>
          <w:rtl/>
        </w:rPr>
      </w:pPr>
    </w:p>
    <w:p w14:paraId="12FB64AA" w14:textId="77777777" w:rsidR="009E7F3C" w:rsidRPr="00DA2A8F" w:rsidRDefault="009E7F3C" w:rsidP="009E7F3C">
      <w:pPr>
        <w:spacing w:line="360" w:lineRule="auto"/>
        <w:ind w:left="720" w:hanging="720"/>
        <w:jc w:val="both"/>
        <w:rPr>
          <w:rFonts w:ascii="David" w:hAnsi="David"/>
          <w:rtl/>
        </w:rPr>
      </w:pPr>
      <w:r w:rsidRPr="00DA2A8F">
        <w:rPr>
          <w:rFonts w:ascii="Symbol" w:hAnsi="Symbol"/>
          <w:rtl/>
        </w:rPr>
        <w:tab/>
      </w:r>
      <w:r w:rsidRPr="00DA2A8F">
        <w:rPr>
          <w:rFonts w:ascii="Symbol" w:hAnsi="Symbol" w:hint="eastAsia"/>
          <w:rtl/>
        </w:rPr>
        <w:t>הנאשם</w:t>
      </w:r>
      <w:r w:rsidRPr="00DA2A8F">
        <w:rPr>
          <w:rFonts w:ascii="Symbol" w:hAnsi="Symbol"/>
          <w:rtl/>
        </w:rPr>
        <w:t xml:space="preserve"> </w:t>
      </w:r>
      <w:r w:rsidRPr="00DA2A8F">
        <w:rPr>
          <w:rFonts w:ascii="Symbol" w:hAnsi="Symbol" w:hint="eastAsia"/>
          <w:rtl/>
        </w:rPr>
        <w:t>יתייצב</w:t>
      </w:r>
      <w:r w:rsidRPr="00DA2A8F">
        <w:rPr>
          <w:rFonts w:ascii="Symbol" w:hAnsi="Symbol"/>
          <w:rtl/>
        </w:rPr>
        <w:t xml:space="preserve"> </w:t>
      </w:r>
      <w:r w:rsidRPr="00DA2A8F">
        <w:rPr>
          <w:rFonts w:ascii="Symbol" w:hAnsi="Symbol" w:hint="eastAsia"/>
          <w:rtl/>
        </w:rPr>
        <w:t>לנשיאת</w:t>
      </w:r>
      <w:r w:rsidRPr="00DA2A8F">
        <w:rPr>
          <w:rFonts w:ascii="Symbol" w:hAnsi="Symbol"/>
          <w:rtl/>
        </w:rPr>
        <w:t xml:space="preserve"> </w:t>
      </w:r>
      <w:r w:rsidRPr="00DA2A8F">
        <w:rPr>
          <w:rFonts w:ascii="Symbol" w:hAnsi="Symbol" w:hint="eastAsia"/>
          <w:rtl/>
        </w:rPr>
        <w:t>מאסרו</w:t>
      </w:r>
      <w:r w:rsidRPr="00DA2A8F">
        <w:rPr>
          <w:rFonts w:ascii="Symbol" w:hAnsi="Symbol"/>
          <w:rtl/>
        </w:rPr>
        <w:t xml:space="preserve"> </w:t>
      </w:r>
      <w:r w:rsidRPr="00DA2A8F">
        <w:rPr>
          <w:rFonts w:ascii="Symbol" w:hAnsi="Symbol" w:hint="eastAsia"/>
          <w:rtl/>
        </w:rPr>
        <w:t>בבית</w:t>
      </w:r>
      <w:r w:rsidRPr="00DA2A8F">
        <w:rPr>
          <w:rFonts w:ascii="Symbol" w:hAnsi="Symbol"/>
          <w:rtl/>
        </w:rPr>
        <w:t xml:space="preserve"> </w:t>
      </w:r>
      <w:r w:rsidRPr="00DA2A8F">
        <w:rPr>
          <w:rFonts w:ascii="Symbol" w:hAnsi="Symbol" w:hint="eastAsia"/>
          <w:rtl/>
        </w:rPr>
        <w:t>סוהר</w:t>
      </w:r>
      <w:r w:rsidRPr="00DA2A8F">
        <w:rPr>
          <w:rFonts w:ascii="Symbol" w:hAnsi="Symbol"/>
          <w:rtl/>
        </w:rPr>
        <w:t xml:space="preserve"> </w:t>
      </w:r>
      <w:r w:rsidRPr="00DA2A8F">
        <w:rPr>
          <w:rFonts w:ascii="Symbol" w:hAnsi="Symbol" w:hint="eastAsia"/>
          <w:rtl/>
        </w:rPr>
        <w:t>הדרים</w:t>
      </w:r>
      <w:r w:rsidRPr="00DA2A8F">
        <w:rPr>
          <w:rFonts w:ascii="Symbol" w:hAnsi="Symbol"/>
          <w:rtl/>
        </w:rPr>
        <w:t xml:space="preserve">, </w:t>
      </w:r>
      <w:r w:rsidRPr="00DA2A8F">
        <w:rPr>
          <w:rFonts w:ascii="Symbol" w:hAnsi="Symbol" w:hint="eastAsia"/>
          <w:rtl/>
        </w:rPr>
        <w:t>ביום</w:t>
      </w:r>
      <w:r w:rsidRPr="00DA2A8F">
        <w:rPr>
          <w:rFonts w:ascii="Symbol" w:hAnsi="Symbol"/>
          <w:rtl/>
        </w:rPr>
        <w:t xml:space="preserve"> </w:t>
      </w:r>
      <w:r w:rsidRPr="00DA2A8F">
        <w:rPr>
          <w:rFonts w:ascii="Symbol" w:hAnsi="Symbol" w:hint="cs"/>
          <w:rtl/>
        </w:rPr>
        <w:t>30</w:t>
      </w:r>
      <w:r w:rsidRPr="00DA2A8F">
        <w:rPr>
          <w:rFonts w:ascii="Symbol" w:hAnsi="Symbol"/>
          <w:rtl/>
        </w:rPr>
        <w:t xml:space="preserve">.10.19 </w:t>
      </w:r>
      <w:r w:rsidRPr="00DA2A8F">
        <w:rPr>
          <w:rFonts w:ascii="Symbol" w:hAnsi="Symbol" w:hint="eastAsia"/>
          <w:rtl/>
        </w:rPr>
        <w:t>עד</w:t>
      </w:r>
      <w:r w:rsidRPr="00DA2A8F">
        <w:rPr>
          <w:rFonts w:ascii="Symbol" w:hAnsi="Symbol"/>
          <w:rtl/>
        </w:rPr>
        <w:t xml:space="preserve"> </w:t>
      </w:r>
      <w:r w:rsidRPr="00DA2A8F">
        <w:rPr>
          <w:rFonts w:ascii="Symbol" w:hAnsi="Symbol" w:hint="eastAsia"/>
          <w:rtl/>
        </w:rPr>
        <w:t>השעה</w:t>
      </w:r>
      <w:r w:rsidRPr="00DA2A8F">
        <w:rPr>
          <w:rFonts w:ascii="Symbol" w:hAnsi="Symbol"/>
          <w:rtl/>
        </w:rPr>
        <w:t xml:space="preserve"> 10:00, </w:t>
      </w:r>
      <w:r w:rsidRPr="00DA2A8F">
        <w:rPr>
          <w:rFonts w:ascii="Symbol" w:hAnsi="Symbol" w:hint="eastAsia"/>
          <w:rtl/>
        </w:rPr>
        <w:t>או</w:t>
      </w:r>
      <w:r w:rsidRPr="00DA2A8F">
        <w:rPr>
          <w:rFonts w:ascii="Symbol" w:hAnsi="Symbol"/>
          <w:rtl/>
        </w:rPr>
        <w:t xml:space="preserve"> </w:t>
      </w:r>
      <w:r w:rsidRPr="00DA2A8F">
        <w:rPr>
          <w:rFonts w:ascii="Symbol" w:hAnsi="Symbol" w:hint="eastAsia"/>
          <w:rtl/>
        </w:rPr>
        <w:t>על</w:t>
      </w:r>
      <w:r w:rsidRPr="00DA2A8F">
        <w:rPr>
          <w:rFonts w:ascii="David" w:hAnsi="David"/>
          <w:rtl/>
        </w:rPr>
        <w:t xml:space="preserve"> פי החלטת שב"ס, כשברשותו תעודת זהות וגזר-דין זה.</w:t>
      </w:r>
    </w:p>
    <w:p w14:paraId="515177F1" w14:textId="77777777" w:rsidR="009E7F3C" w:rsidRPr="00DA2A8F" w:rsidRDefault="009E7F3C" w:rsidP="009E7F3C">
      <w:pPr>
        <w:spacing w:line="360" w:lineRule="auto"/>
        <w:ind w:left="720" w:hanging="720"/>
        <w:jc w:val="both"/>
        <w:rPr>
          <w:rFonts w:ascii="David" w:hAnsi="David"/>
          <w:rtl/>
        </w:rPr>
      </w:pPr>
    </w:p>
    <w:p w14:paraId="3D733C81" w14:textId="77777777" w:rsidR="009E7F3C" w:rsidRPr="00DA2A8F" w:rsidRDefault="009E7F3C" w:rsidP="009E7F3C">
      <w:pPr>
        <w:spacing w:line="360" w:lineRule="auto"/>
        <w:ind w:left="720" w:hanging="720"/>
        <w:jc w:val="both"/>
        <w:rPr>
          <w:rFonts w:ascii="David" w:hAnsi="David"/>
        </w:rPr>
      </w:pPr>
      <w:r w:rsidRPr="00DA2A8F">
        <w:rPr>
          <w:rFonts w:ascii="David" w:hAnsi="David"/>
          <w:rtl/>
        </w:rPr>
        <w:tab/>
        <w:t xml:space="preserve">על ב"כ הנאשם לתאם את הכניסה למאסר, כולל האפשרות למיון מוקדם, עם ענף אבחון ומיון של שב"ס, טלפונים: 08-9787377, 08-9787336. </w:t>
      </w:r>
    </w:p>
    <w:p w14:paraId="08E5068B" w14:textId="77777777" w:rsidR="009E7F3C" w:rsidRPr="00DA2A8F" w:rsidRDefault="009E7F3C" w:rsidP="009E7F3C">
      <w:pPr>
        <w:spacing w:line="360" w:lineRule="auto"/>
        <w:ind w:left="720" w:hanging="720"/>
        <w:jc w:val="both"/>
        <w:rPr>
          <w:rFonts w:ascii="David" w:hAnsi="David"/>
          <w:rtl/>
        </w:rPr>
      </w:pPr>
      <w:r w:rsidRPr="00DA2A8F">
        <w:rPr>
          <w:rFonts w:ascii="David" w:hAnsi="David"/>
          <w:rtl/>
        </w:rPr>
        <w:tab/>
        <w:t xml:space="preserve">התנאים הכספיים שהופקדו בתיקי המעצר הקשורים יעמדו בתוקפם עד להתייצבות הנאשם לנשיאת עונשו. </w:t>
      </w:r>
      <w:r w:rsidRPr="00DA2A8F">
        <w:rPr>
          <w:rFonts w:ascii="David" w:hAnsi="David" w:hint="cs"/>
          <w:rtl/>
        </w:rPr>
        <w:t>למען הסר ספק, מוצא בזאת צו עיכוב יציאה מהארץ. הנאשם הצהיר שאין בידו דרכון.</w:t>
      </w:r>
    </w:p>
    <w:p w14:paraId="5538C8A1" w14:textId="77777777" w:rsidR="009E7F3C" w:rsidRPr="00DA2A8F" w:rsidRDefault="009E7F3C" w:rsidP="009E7F3C">
      <w:pPr>
        <w:spacing w:line="360" w:lineRule="auto"/>
        <w:ind w:left="720" w:hanging="720"/>
        <w:jc w:val="both"/>
        <w:rPr>
          <w:rFonts w:ascii="David" w:hAnsi="David"/>
          <w:rtl/>
        </w:rPr>
      </w:pPr>
    </w:p>
    <w:p w14:paraId="7E75A2EC" w14:textId="77777777" w:rsidR="009E7F3C" w:rsidRPr="00DA2A8F" w:rsidRDefault="009E7F3C" w:rsidP="009E7F3C">
      <w:pPr>
        <w:spacing w:line="360" w:lineRule="auto"/>
        <w:ind w:left="720" w:hanging="720"/>
        <w:jc w:val="both"/>
        <w:rPr>
          <w:rFonts w:ascii="David" w:hAnsi="David"/>
          <w:b/>
          <w:bCs/>
          <w:u w:val="single"/>
          <w:rtl/>
        </w:rPr>
      </w:pPr>
      <w:r w:rsidRPr="00DA2A8F">
        <w:rPr>
          <w:rFonts w:ascii="David" w:hAnsi="David"/>
          <w:b/>
          <w:bCs/>
          <w:u w:val="single"/>
          <w:rtl/>
        </w:rPr>
        <w:t xml:space="preserve">הודעה זכות ערעור לבית-המשפט העליון תוך 45 יום. </w:t>
      </w:r>
    </w:p>
    <w:p w14:paraId="01F84128" w14:textId="77777777" w:rsidR="009E7F3C" w:rsidRPr="00DA2A8F" w:rsidRDefault="009E7F3C" w:rsidP="009E7F3C">
      <w:pPr>
        <w:spacing w:line="360" w:lineRule="auto"/>
        <w:ind w:left="720" w:hanging="720"/>
        <w:jc w:val="both"/>
        <w:rPr>
          <w:rFonts w:ascii="David" w:hAnsi="David"/>
          <w:rtl/>
        </w:rPr>
      </w:pPr>
    </w:p>
    <w:p w14:paraId="2BE8541B" w14:textId="77777777" w:rsidR="009E7F3C" w:rsidRPr="00DA2A8F" w:rsidRDefault="00F81468" w:rsidP="009E7F3C">
      <w:pPr>
        <w:spacing w:line="360" w:lineRule="auto"/>
        <w:ind w:left="720" w:hanging="720"/>
        <w:jc w:val="both"/>
        <w:rPr>
          <w:rFonts w:ascii="David" w:hAnsi="David"/>
          <w:color w:val="FFFFFF"/>
          <w:sz w:val="2"/>
          <w:szCs w:val="2"/>
          <w:rtl/>
        </w:rPr>
      </w:pPr>
      <w:r w:rsidRPr="00DA2A8F">
        <w:rPr>
          <w:rFonts w:ascii="David" w:hAnsi="David"/>
          <w:color w:val="FFFFFF"/>
          <w:sz w:val="2"/>
          <w:szCs w:val="2"/>
          <w:rtl/>
        </w:rPr>
        <w:t>5129371</w:t>
      </w:r>
    </w:p>
    <w:p w14:paraId="0AEF489C" w14:textId="77777777" w:rsidR="009E7F3C" w:rsidRPr="00DA2A8F" w:rsidRDefault="00F81468" w:rsidP="009E7F3C">
      <w:pPr>
        <w:rPr>
          <w:sz w:val="28"/>
          <w:szCs w:val="28"/>
          <w:rtl/>
        </w:rPr>
      </w:pPr>
      <w:bookmarkStart w:id="8" w:name="Nitan"/>
      <w:r w:rsidRPr="00DA2A8F">
        <w:rPr>
          <w:rFonts w:ascii="Arial" w:hAnsi="Arial"/>
          <w:color w:val="FFFFFF"/>
          <w:sz w:val="2"/>
          <w:szCs w:val="2"/>
          <w:rtl/>
        </w:rPr>
        <w:t>54678313</w:t>
      </w:r>
      <w:r w:rsidRPr="00DA2A8F">
        <w:rPr>
          <w:rFonts w:ascii="Arial" w:hAnsi="Arial"/>
          <w:rtl/>
        </w:rPr>
        <w:t xml:space="preserve">ניתן היום,  י' אלול תשע"ט, 10 ספטמבר 2019, במעמד הנאשם 2 וב"כ הצדדים. </w:t>
      </w:r>
      <w:bookmarkEnd w:id="8"/>
    </w:p>
    <w:p w14:paraId="18C14704" w14:textId="77777777" w:rsidR="009E7F3C" w:rsidRPr="00DA2A8F" w:rsidRDefault="00DA2A8F" w:rsidP="00F81468">
      <w:pPr>
        <w:jc w:val="center"/>
        <w:rPr>
          <w:color w:val="FFFFFF"/>
          <w:sz w:val="2"/>
          <w:szCs w:val="2"/>
        </w:rPr>
      </w:pPr>
      <w:r w:rsidRPr="00DA2A8F">
        <w:rPr>
          <w:color w:val="FFFFFF"/>
          <w:sz w:val="2"/>
          <w:szCs w:val="2"/>
          <w:rtl/>
        </w:rPr>
        <w:t>5129371</w:t>
      </w:r>
      <w:r w:rsidR="009E7F3C" w:rsidRPr="00DA2A8F">
        <w:rPr>
          <w:rFonts w:hint="cs"/>
          <w:color w:val="FFFFFF"/>
          <w:sz w:val="2"/>
          <w:szCs w:val="2"/>
          <w:rtl/>
        </w:rPr>
        <w:t xml:space="preserve">   </w:t>
      </w:r>
      <w:r w:rsidR="009E7F3C" w:rsidRPr="00DA2A8F">
        <w:rPr>
          <w:rFonts w:hint="cs"/>
          <w:color w:val="FFFFFF"/>
          <w:sz w:val="2"/>
          <w:szCs w:val="2"/>
          <w:rtl/>
        </w:rPr>
        <w:tab/>
      </w:r>
      <w:r w:rsidR="009E7F3C" w:rsidRPr="00DA2A8F">
        <w:rPr>
          <w:rFonts w:hint="cs"/>
          <w:color w:val="FFFFFF"/>
          <w:sz w:val="2"/>
          <w:szCs w:val="2"/>
          <w:rtl/>
        </w:rPr>
        <w:tab/>
      </w:r>
      <w:r w:rsidR="009E7F3C" w:rsidRPr="00DA2A8F">
        <w:rPr>
          <w:rFonts w:hint="cs"/>
          <w:color w:val="FFFFFF"/>
          <w:sz w:val="2"/>
          <w:szCs w:val="2"/>
          <w:rtl/>
        </w:rPr>
        <w:tab/>
      </w:r>
      <w:r w:rsidR="009E7F3C" w:rsidRPr="00DA2A8F">
        <w:rPr>
          <w:rFonts w:hint="cs"/>
          <w:color w:val="FFFFFF"/>
          <w:sz w:val="2"/>
          <w:szCs w:val="2"/>
          <w:rtl/>
        </w:rPr>
        <w:tab/>
      </w:r>
      <w:r w:rsidR="009E7F3C" w:rsidRPr="00DA2A8F">
        <w:rPr>
          <w:rFonts w:hint="cs"/>
          <w:color w:val="FFFFFF"/>
          <w:sz w:val="2"/>
          <w:szCs w:val="2"/>
          <w:rtl/>
        </w:rPr>
        <w:tab/>
      </w:r>
    </w:p>
    <w:p w14:paraId="49CE1CB9" w14:textId="77777777" w:rsidR="00F81468" w:rsidRPr="00DA2A8F" w:rsidRDefault="00DA2A8F" w:rsidP="00F81468">
      <w:pPr>
        <w:rPr>
          <w:color w:val="FFFFFF"/>
          <w:sz w:val="2"/>
          <w:szCs w:val="2"/>
          <w:rtl/>
        </w:rPr>
      </w:pPr>
      <w:r w:rsidRPr="00DA2A8F">
        <w:rPr>
          <w:color w:val="FFFFFF"/>
          <w:sz w:val="2"/>
          <w:szCs w:val="2"/>
          <w:rtl/>
        </w:rPr>
        <w:t>54678313</w:t>
      </w:r>
    </w:p>
    <w:p w14:paraId="0330CEDC" w14:textId="77777777" w:rsidR="00F81468" w:rsidRPr="00DA2A8F" w:rsidRDefault="00F81468" w:rsidP="00F81468">
      <w:pPr>
        <w:jc w:val="center"/>
        <w:rPr>
          <w:color w:val="0000FF"/>
          <w:u w:val="single"/>
        </w:rPr>
      </w:pPr>
      <w:hyperlink r:id="rId38" w:history="1">
        <w:r w:rsidRPr="00DA2A8F">
          <w:rPr>
            <w:color w:val="0000FF"/>
            <w:u w:val="single"/>
            <w:rtl/>
          </w:rPr>
          <w:t>בעניין עריכה ושינויים במסמכי פסיקה, חקיקה ועוד באתר נבו – הקש כאן</w:t>
        </w:r>
      </w:hyperlink>
    </w:p>
    <w:p w14:paraId="027C85BF" w14:textId="77777777" w:rsidR="00DA2A8F" w:rsidRPr="00DA2A8F" w:rsidRDefault="00DA2A8F" w:rsidP="00DA2A8F">
      <w:pPr>
        <w:keepNext/>
        <w:rPr>
          <w:rFonts w:ascii="David" w:hAnsi="David"/>
          <w:color w:val="000000"/>
          <w:sz w:val="22"/>
          <w:szCs w:val="22"/>
          <w:rtl/>
        </w:rPr>
      </w:pPr>
    </w:p>
    <w:p w14:paraId="7E23B039" w14:textId="77777777" w:rsidR="00DA2A8F" w:rsidRPr="00DA2A8F" w:rsidRDefault="00DA2A8F" w:rsidP="00DA2A8F">
      <w:pPr>
        <w:keepNext/>
        <w:rPr>
          <w:rFonts w:ascii="David" w:hAnsi="David"/>
          <w:color w:val="000000"/>
          <w:sz w:val="22"/>
          <w:szCs w:val="22"/>
          <w:rtl/>
        </w:rPr>
      </w:pPr>
      <w:r w:rsidRPr="00DA2A8F">
        <w:rPr>
          <w:rFonts w:ascii="David" w:hAnsi="David"/>
          <w:color w:val="000000"/>
          <w:sz w:val="22"/>
          <w:szCs w:val="22"/>
          <w:rtl/>
        </w:rPr>
        <w:t>דנה מרשק מרום 54678313-/</w:t>
      </w:r>
    </w:p>
    <w:p w14:paraId="3A2C889E" w14:textId="77777777" w:rsidR="00DA2A8F" w:rsidRPr="00DA2A8F" w:rsidRDefault="00DA2A8F" w:rsidP="00DA2A8F">
      <w:pPr>
        <w:keepNext/>
        <w:rPr>
          <w:rFonts w:ascii="David" w:hAnsi="David"/>
          <w:color w:val="000000"/>
          <w:sz w:val="22"/>
          <w:szCs w:val="22"/>
        </w:rPr>
      </w:pPr>
      <w:r w:rsidRPr="00DA2A8F">
        <w:rPr>
          <w:color w:val="000000"/>
          <w:u w:val="single"/>
          <w:rtl/>
        </w:rPr>
        <w:t>נוסח מסמך זה כפוף לשינויי ניסוח ועריכה</w:t>
      </w:r>
    </w:p>
    <w:p w14:paraId="5981E8CB" w14:textId="77777777" w:rsidR="00F81468" w:rsidRPr="00DA2A8F" w:rsidRDefault="00F81468" w:rsidP="00DA2A8F">
      <w:pPr>
        <w:rPr>
          <w:color w:val="0000FF"/>
          <w:u w:val="single"/>
        </w:rPr>
      </w:pPr>
    </w:p>
    <w:sectPr w:rsidR="00F81468" w:rsidRPr="00DA2A8F" w:rsidSect="00DA2A8F">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D67EC" w14:textId="77777777" w:rsidR="00657841" w:rsidRDefault="00657841" w:rsidP="009E5E43">
      <w:r>
        <w:separator/>
      </w:r>
    </w:p>
  </w:endnote>
  <w:endnote w:type="continuationSeparator" w:id="0">
    <w:p w14:paraId="3AA05F0C" w14:textId="77777777" w:rsidR="00657841" w:rsidRDefault="00657841" w:rsidP="009E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BC6C" w14:textId="77777777" w:rsidR="00DA2A8F" w:rsidRDefault="00DA2A8F" w:rsidP="00DA2A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285812" w14:textId="77777777" w:rsidR="002E7E6C" w:rsidRPr="00DA2A8F" w:rsidRDefault="00DA2A8F" w:rsidP="00DA2A8F">
    <w:pPr>
      <w:pStyle w:val="a5"/>
      <w:pBdr>
        <w:top w:val="single" w:sz="4" w:space="1" w:color="auto"/>
        <w:between w:val="single" w:sz="4" w:space="0" w:color="auto"/>
      </w:pBdr>
      <w:spacing w:after="60"/>
      <w:jc w:val="center"/>
      <w:rPr>
        <w:rFonts w:ascii="FrankRuehl" w:hAnsi="FrankRuehl" w:cs="FrankRuehl"/>
        <w:color w:val="000000"/>
      </w:rPr>
    </w:pPr>
    <w:r w:rsidRPr="00DA2A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BEB6B" w14:textId="77777777" w:rsidR="00DA2A8F" w:rsidRDefault="00DA2A8F" w:rsidP="00DA2A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0FC7">
      <w:rPr>
        <w:rFonts w:ascii="FrankRuehl" w:hAnsi="FrankRuehl" w:cs="FrankRuehl"/>
        <w:noProof/>
        <w:rtl/>
      </w:rPr>
      <w:t>1</w:t>
    </w:r>
    <w:r>
      <w:rPr>
        <w:rFonts w:ascii="FrankRuehl" w:hAnsi="FrankRuehl" w:cs="FrankRuehl"/>
        <w:rtl/>
      </w:rPr>
      <w:fldChar w:fldCharType="end"/>
    </w:r>
  </w:p>
  <w:p w14:paraId="34034515" w14:textId="77777777" w:rsidR="002E7E6C" w:rsidRPr="00DA2A8F" w:rsidRDefault="00DA2A8F" w:rsidP="00DA2A8F">
    <w:pPr>
      <w:pStyle w:val="a5"/>
      <w:pBdr>
        <w:top w:val="single" w:sz="4" w:space="1" w:color="auto"/>
        <w:between w:val="single" w:sz="4" w:space="0" w:color="auto"/>
      </w:pBdr>
      <w:spacing w:after="60"/>
      <w:jc w:val="center"/>
      <w:rPr>
        <w:rFonts w:ascii="FrankRuehl" w:hAnsi="FrankRuehl" w:cs="FrankRuehl"/>
        <w:color w:val="000000"/>
      </w:rPr>
    </w:pPr>
    <w:r w:rsidRPr="00DA2A8F">
      <w:rPr>
        <w:rFonts w:ascii="FrankRuehl" w:hAnsi="FrankRuehl" w:cs="FrankRuehl"/>
        <w:color w:val="000000"/>
      </w:rPr>
      <w:pict w14:anchorId="2AFFC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4DA2C" w14:textId="77777777" w:rsidR="00657841" w:rsidRDefault="00657841" w:rsidP="009E5E43">
      <w:r>
        <w:separator/>
      </w:r>
    </w:p>
  </w:footnote>
  <w:footnote w:type="continuationSeparator" w:id="0">
    <w:p w14:paraId="7EC1D0C3" w14:textId="77777777" w:rsidR="00657841" w:rsidRDefault="00657841" w:rsidP="009E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F7B45" w14:textId="77777777" w:rsidR="00F81468" w:rsidRPr="00DA2A8F" w:rsidRDefault="00DA2A8F" w:rsidP="00DA2A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45761-05-17</w:t>
    </w:r>
    <w:r>
      <w:rPr>
        <w:rFonts w:ascii="David" w:hAnsi="David"/>
        <w:color w:val="000000"/>
        <w:sz w:val="22"/>
        <w:szCs w:val="22"/>
        <w:rtl/>
      </w:rPr>
      <w:tab/>
      <w:t xml:space="preserve"> מדינת ישראל נ' חמוס דסוקי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02F4F" w14:textId="77777777" w:rsidR="00F81468" w:rsidRPr="00DA2A8F" w:rsidRDefault="00DA2A8F" w:rsidP="00DA2A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45761-05-17</w:t>
    </w:r>
    <w:r>
      <w:rPr>
        <w:rFonts w:ascii="David" w:hAnsi="David"/>
        <w:color w:val="000000"/>
        <w:sz w:val="22"/>
        <w:szCs w:val="22"/>
        <w:rtl/>
      </w:rPr>
      <w:tab/>
      <w:t xml:space="preserve"> מדינת ישראל נ' חמוס דסוקי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2B14"/>
    <w:multiLevelType w:val="hybridMultilevel"/>
    <w:tmpl w:val="FA80ADA2"/>
    <w:lvl w:ilvl="0" w:tplc="97841FA0">
      <w:start w:val="1"/>
      <w:numFmt w:val="decimal"/>
      <w:lvlText w:val="%1."/>
      <w:lvlJc w:val="left"/>
      <w:pPr>
        <w:ind w:left="720" w:hanging="720"/>
      </w:pPr>
      <w:rPr>
        <w:rFonts w:cs="Times New Roman" w:hint="default"/>
        <w:b w:val="0"/>
        <w:bCs w:val="0"/>
      </w:rPr>
    </w:lvl>
    <w:lvl w:ilvl="1" w:tplc="BACEFA50">
      <w:start w:val="1"/>
      <w:numFmt w:val="lowerLetter"/>
      <w:lvlText w:val="%2."/>
      <w:lvlJc w:val="left"/>
      <w:pPr>
        <w:ind w:left="1080" w:hanging="360"/>
      </w:pPr>
      <w:rPr>
        <w:rFonts w:cs="Times New Roman"/>
      </w:rPr>
    </w:lvl>
    <w:lvl w:ilvl="2" w:tplc="8EB8CDE8" w:tentative="1">
      <w:start w:val="1"/>
      <w:numFmt w:val="lowerRoman"/>
      <w:lvlText w:val="%3."/>
      <w:lvlJc w:val="right"/>
      <w:pPr>
        <w:ind w:left="1800" w:hanging="180"/>
      </w:pPr>
      <w:rPr>
        <w:rFonts w:cs="Times New Roman"/>
      </w:rPr>
    </w:lvl>
    <w:lvl w:ilvl="3" w:tplc="B7D28A30" w:tentative="1">
      <w:start w:val="1"/>
      <w:numFmt w:val="decimal"/>
      <w:lvlText w:val="%4."/>
      <w:lvlJc w:val="left"/>
      <w:pPr>
        <w:ind w:left="2520" w:hanging="360"/>
      </w:pPr>
      <w:rPr>
        <w:rFonts w:cs="Times New Roman"/>
      </w:rPr>
    </w:lvl>
    <w:lvl w:ilvl="4" w:tplc="CA14FD50" w:tentative="1">
      <w:start w:val="1"/>
      <w:numFmt w:val="lowerLetter"/>
      <w:lvlText w:val="%5."/>
      <w:lvlJc w:val="left"/>
      <w:pPr>
        <w:ind w:left="3240" w:hanging="360"/>
      </w:pPr>
      <w:rPr>
        <w:rFonts w:cs="Times New Roman"/>
      </w:rPr>
    </w:lvl>
    <w:lvl w:ilvl="5" w:tplc="A232E17C" w:tentative="1">
      <w:start w:val="1"/>
      <w:numFmt w:val="lowerRoman"/>
      <w:lvlText w:val="%6."/>
      <w:lvlJc w:val="right"/>
      <w:pPr>
        <w:ind w:left="3960" w:hanging="180"/>
      </w:pPr>
      <w:rPr>
        <w:rFonts w:cs="Times New Roman"/>
      </w:rPr>
    </w:lvl>
    <w:lvl w:ilvl="6" w:tplc="E37CC8DC" w:tentative="1">
      <w:start w:val="1"/>
      <w:numFmt w:val="decimal"/>
      <w:lvlText w:val="%7."/>
      <w:lvlJc w:val="left"/>
      <w:pPr>
        <w:ind w:left="4680" w:hanging="360"/>
      </w:pPr>
      <w:rPr>
        <w:rFonts w:cs="Times New Roman"/>
      </w:rPr>
    </w:lvl>
    <w:lvl w:ilvl="7" w:tplc="2A2AE0BE" w:tentative="1">
      <w:start w:val="1"/>
      <w:numFmt w:val="lowerLetter"/>
      <w:lvlText w:val="%8."/>
      <w:lvlJc w:val="left"/>
      <w:pPr>
        <w:ind w:left="5400" w:hanging="360"/>
      </w:pPr>
      <w:rPr>
        <w:rFonts w:cs="Times New Roman"/>
      </w:rPr>
    </w:lvl>
    <w:lvl w:ilvl="8" w:tplc="80D6FE6A" w:tentative="1">
      <w:start w:val="1"/>
      <w:numFmt w:val="lowerRoman"/>
      <w:lvlText w:val="%9."/>
      <w:lvlJc w:val="right"/>
      <w:pPr>
        <w:ind w:left="6120" w:hanging="180"/>
      </w:pPr>
      <w:rPr>
        <w:rFonts w:cs="Times New Roman"/>
      </w:rPr>
    </w:lvl>
  </w:abstractNum>
  <w:num w:numId="1" w16cid:durableId="119434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7F3C"/>
    <w:rsid w:val="001544E4"/>
    <w:rsid w:val="002E7E6C"/>
    <w:rsid w:val="00381020"/>
    <w:rsid w:val="003C1480"/>
    <w:rsid w:val="00657841"/>
    <w:rsid w:val="009E5E43"/>
    <w:rsid w:val="009E7F3C"/>
    <w:rsid w:val="00DA2A8F"/>
    <w:rsid w:val="00F1078A"/>
    <w:rsid w:val="00F70FC7"/>
    <w:rsid w:val="00F8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DC0911"/>
  <w15:chartTrackingRefBased/>
  <w15:docId w15:val="{05ACEC7F-70F7-4131-B42B-FA25E4B1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7F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7F3C"/>
    <w:pPr>
      <w:tabs>
        <w:tab w:val="center" w:pos="4153"/>
        <w:tab w:val="right" w:pos="8306"/>
      </w:tabs>
    </w:pPr>
  </w:style>
  <w:style w:type="character" w:customStyle="1" w:styleId="a4">
    <w:name w:val="כותרת עליונה תו"/>
    <w:link w:val="a3"/>
    <w:rsid w:val="009E7F3C"/>
    <w:rPr>
      <w:rFonts w:ascii="Times New Roman" w:eastAsia="Times New Roman" w:hAnsi="Times New Roman" w:cs="David"/>
      <w:sz w:val="24"/>
      <w:szCs w:val="24"/>
    </w:rPr>
  </w:style>
  <w:style w:type="paragraph" w:styleId="a5">
    <w:name w:val="footer"/>
    <w:basedOn w:val="a"/>
    <w:link w:val="a6"/>
    <w:rsid w:val="009E7F3C"/>
    <w:pPr>
      <w:tabs>
        <w:tab w:val="center" w:pos="4153"/>
        <w:tab w:val="right" w:pos="8306"/>
      </w:tabs>
    </w:pPr>
  </w:style>
  <w:style w:type="character" w:customStyle="1" w:styleId="a6">
    <w:name w:val="כותרת תחתונה תו"/>
    <w:link w:val="a5"/>
    <w:rsid w:val="009E7F3C"/>
    <w:rPr>
      <w:rFonts w:ascii="Times New Roman" w:eastAsia="Times New Roman" w:hAnsi="Times New Roman" w:cs="David"/>
      <w:sz w:val="24"/>
      <w:szCs w:val="24"/>
    </w:rPr>
  </w:style>
  <w:style w:type="table" w:styleId="a7">
    <w:name w:val="Table Grid"/>
    <w:basedOn w:val="a1"/>
    <w:rsid w:val="009E7F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7F3C"/>
  </w:style>
  <w:style w:type="character" w:styleId="Hyperlink">
    <w:name w:val="Hyperlink"/>
    <w:rsid w:val="00F8146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6824952" TargetMode="External"/><Relationship Id="rId26" Type="http://schemas.openxmlformats.org/officeDocument/2006/relationships/hyperlink" Target="http://www.nevo.co.il/case/8291683" TargetMode="External"/><Relationship Id="rId39" Type="http://schemas.openxmlformats.org/officeDocument/2006/relationships/header" Target="header1.xml"/><Relationship Id="rId21" Type="http://schemas.openxmlformats.org/officeDocument/2006/relationships/hyperlink" Target="http://www.nevo.co.il/law/70301/144.b2" TargetMode="External"/><Relationship Id="rId34" Type="http://schemas.openxmlformats.org/officeDocument/2006/relationships/hyperlink" Target="http://www.nevo.co.il/case/1130900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6882160"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0395125"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40i.a" TargetMode="External"/><Relationship Id="rId31" Type="http://schemas.openxmlformats.org/officeDocument/2006/relationships/hyperlink" Target="http://www.nevo.co.il/case/1302313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007334" TargetMode="External"/><Relationship Id="rId30" Type="http://schemas.openxmlformats.org/officeDocument/2006/relationships/hyperlink" Target="http://www.nevo.co.il/case/20000662" TargetMode="External"/><Relationship Id="rId35" Type="http://schemas.openxmlformats.org/officeDocument/2006/relationships/hyperlink" Target="http://www.nevo.co.il/case/23750625" TargetMode="External"/><Relationship Id="rId43" Type="http://schemas.openxmlformats.org/officeDocument/2006/relationships/fontTable" Target="fontTable.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case/2147452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3289</Words>
  <Characters>16450</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19700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3604596</vt:i4>
      </vt:variant>
      <vt:variant>
        <vt:i4>84</vt:i4>
      </vt:variant>
      <vt:variant>
        <vt:i4>0</vt:i4>
      </vt:variant>
      <vt:variant>
        <vt:i4>5</vt:i4>
      </vt:variant>
      <vt:variant>
        <vt:lpwstr>http://www.nevo.co.il/case/23750625</vt:lpwstr>
      </vt:variant>
      <vt:variant>
        <vt:lpwstr/>
      </vt:variant>
      <vt:variant>
        <vt:i4>3866741</vt:i4>
      </vt:variant>
      <vt:variant>
        <vt:i4>81</vt:i4>
      </vt:variant>
      <vt:variant>
        <vt:i4>0</vt:i4>
      </vt:variant>
      <vt:variant>
        <vt:i4>5</vt:i4>
      </vt:variant>
      <vt:variant>
        <vt:lpwstr>http://www.nevo.co.il/case/11309005</vt:lpwstr>
      </vt:variant>
      <vt:variant>
        <vt:lpwstr/>
      </vt:variant>
      <vt:variant>
        <vt:i4>3145847</vt:i4>
      </vt:variant>
      <vt:variant>
        <vt:i4>78</vt:i4>
      </vt:variant>
      <vt:variant>
        <vt:i4>0</vt:i4>
      </vt:variant>
      <vt:variant>
        <vt:i4>5</vt:i4>
      </vt:variant>
      <vt:variant>
        <vt:lpwstr>http://www.nevo.co.il/case/21474520</vt:lpwstr>
      </vt:variant>
      <vt:variant>
        <vt:lpwstr/>
      </vt:variant>
      <vt:variant>
        <vt:i4>4128888</vt:i4>
      </vt:variant>
      <vt:variant>
        <vt:i4>75</vt:i4>
      </vt:variant>
      <vt:variant>
        <vt:i4>0</vt:i4>
      </vt:variant>
      <vt:variant>
        <vt:i4>5</vt:i4>
      </vt:variant>
      <vt:variant>
        <vt:lpwstr>http://www.nevo.co.il/case/6882160</vt:lpwstr>
      </vt:variant>
      <vt:variant>
        <vt:lpwstr/>
      </vt:variant>
      <vt:variant>
        <vt:i4>3211380</vt:i4>
      </vt:variant>
      <vt:variant>
        <vt:i4>72</vt:i4>
      </vt:variant>
      <vt:variant>
        <vt:i4>0</vt:i4>
      </vt:variant>
      <vt:variant>
        <vt:i4>5</vt:i4>
      </vt:variant>
      <vt:variant>
        <vt:lpwstr>http://www.nevo.co.il/case/13023134</vt:lpwstr>
      </vt:variant>
      <vt:variant>
        <vt:lpwstr/>
      </vt:variant>
      <vt:variant>
        <vt:i4>3407986</vt:i4>
      </vt:variant>
      <vt:variant>
        <vt:i4>69</vt:i4>
      </vt:variant>
      <vt:variant>
        <vt:i4>0</vt:i4>
      </vt:variant>
      <vt:variant>
        <vt:i4>5</vt:i4>
      </vt:variant>
      <vt:variant>
        <vt:lpwstr>http://www.nevo.co.il/case/20000662</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3539063</vt:i4>
      </vt:variant>
      <vt:variant>
        <vt:i4>60</vt:i4>
      </vt:variant>
      <vt:variant>
        <vt:i4>0</vt:i4>
      </vt:variant>
      <vt:variant>
        <vt:i4>5</vt:i4>
      </vt:variant>
      <vt:variant>
        <vt:lpwstr>http://www.nevo.co.il/case/20007334</vt:lpwstr>
      </vt:variant>
      <vt:variant>
        <vt:lpwstr/>
      </vt:variant>
      <vt:variant>
        <vt:i4>3407999</vt:i4>
      </vt:variant>
      <vt:variant>
        <vt:i4>57</vt:i4>
      </vt:variant>
      <vt:variant>
        <vt:i4>0</vt:i4>
      </vt:variant>
      <vt:variant>
        <vt:i4>5</vt:i4>
      </vt:variant>
      <vt:variant>
        <vt:lpwstr>http://www.nevo.co.il/case/8291683</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3539068</vt:i4>
      </vt:variant>
      <vt:variant>
        <vt:i4>48</vt:i4>
      </vt:variant>
      <vt:variant>
        <vt:i4>0</vt:i4>
      </vt:variant>
      <vt:variant>
        <vt:i4>5</vt:i4>
      </vt:variant>
      <vt:variant>
        <vt:lpwstr>http://www.nevo.co.il/case/20395125</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4915208</vt:i4>
      </vt:variant>
      <vt:variant>
        <vt:i4>36</vt:i4>
      </vt:variant>
      <vt:variant>
        <vt:i4>0</vt:i4>
      </vt:variant>
      <vt:variant>
        <vt:i4>5</vt:i4>
      </vt:variant>
      <vt:variant>
        <vt:lpwstr>http://www.nevo.co.il/law/70301/40i.a</vt:lpwstr>
      </vt:variant>
      <vt:variant>
        <vt:lpwstr/>
      </vt:variant>
      <vt:variant>
        <vt:i4>4128893</vt:i4>
      </vt:variant>
      <vt:variant>
        <vt:i4>33</vt:i4>
      </vt:variant>
      <vt:variant>
        <vt:i4>0</vt:i4>
      </vt:variant>
      <vt:variant>
        <vt:i4>5</vt:i4>
      </vt:variant>
      <vt:variant>
        <vt:lpwstr>http://www.nevo.co.il/case/6824952</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45761</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חמוס דסוקי;עאהד אלטורי</vt:lpwstr>
  </property>
  <property fmtid="{D5CDD505-2E9C-101B-9397-08002B2CF9AE}" pid="10" name="LAWYER">
    <vt:lpwstr>עינת לב ארי;צבי אבנון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20190910</vt:lpwstr>
  </property>
  <property fmtid="{D5CDD505-2E9C-101B-9397-08002B2CF9AE}" pid="14" name="TYPE_N_DATE">
    <vt:lpwstr>39020190910</vt:lpwstr>
  </property>
  <property fmtid="{D5CDD505-2E9C-101B-9397-08002B2CF9AE}" pid="15" name="CASESLISTTMP1">
    <vt:lpwstr>6824952;20395125;7791493;23750625:2;8291683;20007334;20000662;13023134;6882160;21474520;11309005</vt:lpwstr>
  </property>
  <property fmtid="{D5CDD505-2E9C-101B-9397-08002B2CF9AE}" pid="16" name="CASENOTES1">
    <vt:lpwstr>ProcID=133;209&amp;PartA=526&amp;PartC=14</vt:lpwstr>
  </property>
  <property fmtid="{D5CDD505-2E9C-101B-9397-08002B2CF9AE}" pid="17" name="CASENOTES2">
    <vt:lpwstr>ProcID=213&amp;PartA=39&amp;PartC=40</vt:lpwstr>
  </property>
  <property fmtid="{D5CDD505-2E9C-101B-9397-08002B2CF9AE}" pid="18" name="WORDNUMPAGES">
    <vt:lpwstr>10</vt:lpwstr>
  </property>
  <property fmtid="{D5CDD505-2E9C-101B-9397-08002B2CF9AE}" pid="19" name="TYPE_ABS_DATE">
    <vt:lpwstr>390020190910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70301/144.b2:3;144.b;040c.a;040i.a;40ja</vt:lpwstr>
  </property>
</Properties>
</file>