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09401E" w:rsidRPr="0047431A" w14:paraId="59D5FD9C" w14:textId="77777777" w:rsidTr="000E0EDD">
        <w:trPr>
          <w:trHeight w:hRule="exact" w:val="418"/>
          <w:jc w:val="center"/>
        </w:trPr>
        <w:tc>
          <w:tcPr>
            <w:tcW w:w="8721" w:type="dxa"/>
            <w:gridSpan w:val="2"/>
          </w:tcPr>
          <w:p w14:paraId="6FD858DD" w14:textId="77777777" w:rsidR="0009401E" w:rsidRPr="0047431A" w:rsidRDefault="0009401E" w:rsidP="00934A90">
            <w:pPr>
              <w:pStyle w:val="a3"/>
              <w:jc w:val="center"/>
              <w:rPr>
                <w:rFonts w:ascii="Tahoma" w:hAnsi="Tahoma" w:cs="Tahoma"/>
                <w:color w:val="000080"/>
                <w:rtl/>
              </w:rPr>
            </w:pPr>
            <w:bookmarkStart w:id="0" w:name="LastJudge"/>
            <w:r w:rsidRPr="0047431A">
              <w:rPr>
                <w:rFonts w:ascii="Tahoma" w:hAnsi="Tahoma" w:cs="Tahoma"/>
                <w:b/>
                <w:bCs/>
                <w:color w:val="000080"/>
                <w:rtl/>
              </w:rPr>
              <w:t>בית המשפט המחוזי בחיפה</w:t>
            </w:r>
          </w:p>
        </w:tc>
      </w:tr>
      <w:tr w:rsidR="0009401E" w:rsidRPr="0047431A" w14:paraId="4BFE02F2" w14:textId="77777777" w:rsidTr="000E0EDD">
        <w:trPr>
          <w:trHeight w:val="337"/>
          <w:jc w:val="center"/>
        </w:trPr>
        <w:tc>
          <w:tcPr>
            <w:tcW w:w="5058" w:type="dxa"/>
          </w:tcPr>
          <w:p w14:paraId="016F3619" w14:textId="77777777" w:rsidR="0009401E" w:rsidRPr="0047431A" w:rsidRDefault="0009401E" w:rsidP="00934A90">
            <w:pPr>
              <w:rPr>
                <w:rFonts w:cs="FrankRuehl"/>
                <w:sz w:val="28"/>
                <w:szCs w:val="28"/>
                <w:rtl/>
              </w:rPr>
            </w:pPr>
            <w:r w:rsidRPr="0047431A">
              <w:rPr>
                <w:rFonts w:cs="FrankRuehl"/>
                <w:sz w:val="28"/>
                <w:szCs w:val="28"/>
                <w:rtl/>
              </w:rPr>
              <w:t>ת"פ</w:t>
            </w:r>
            <w:r w:rsidRPr="0047431A">
              <w:rPr>
                <w:rFonts w:cs="FrankRuehl" w:hint="cs"/>
                <w:sz w:val="28"/>
                <w:szCs w:val="28"/>
                <w:rtl/>
              </w:rPr>
              <w:t xml:space="preserve"> </w:t>
            </w:r>
            <w:r w:rsidRPr="0047431A">
              <w:rPr>
                <w:rFonts w:cs="FrankRuehl"/>
                <w:sz w:val="28"/>
                <w:szCs w:val="28"/>
                <w:rtl/>
              </w:rPr>
              <w:t>522-05-17</w:t>
            </w:r>
            <w:r w:rsidRPr="0047431A">
              <w:rPr>
                <w:rFonts w:cs="FrankRuehl" w:hint="cs"/>
                <w:sz w:val="28"/>
                <w:szCs w:val="28"/>
                <w:rtl/>
              </w:rPr>
              <w:t xml:space="preserve"> </w:t>
            </w:r>
            <w:r w:rsidRPr="0047431A">
              <w:rPr>
                <w:rFonts w:cs="FrankRuehl"/>
                <w:sz w:val="28"/>
                <w:szCs w:val="28"/>
                <w:rtl/>
              </w:rPr>
              <w:t>מדינת ישראל נ' חוסין(עציר)</w:t>
            </w:r>
          </w:p>
          <w:p w14:paraId="227B0A31" w14:textId="77777777" w:rsidR="0009401E" w:rsidRPr="0047431A" w:rsidRDefault="0009401E" w:rsidP="00934A90">
            <w:pPr>
              <w:pStyle w:val="a3"/>
              <w:rPr>
                <w:rFonts w:cs="FrankRuehl"/>
                <w:sz w:val="28"/>
                <w:szCs w:val="28"/>
                <w:rtl/>
              </w:rPr>
            </w:pPr>
          </w:p>
        </w:tc>
        <w:tc>
          <w:tcPr>
            <w:tcW w:w="3663" w:type="dxa"/>
          </w:tcPr>
          <w:p w14:paraId="6542BA9D" w14:textId="77777777" w:rsidR="0009401E" w:rsidRPr="0047431A" w:rsidRDefault="0009401E" w:rsidP="00934A90">
            <w:pPr>
              <w:pStyle w:val="a3"/>
              <w:jc w:val="right"/>
              <w:rPr>
                <w:rFonts w:cs="FrankRuehl"/>
                <w:sz w:val="28"/>
                <w:szCs w:val="28"/>
                <w:rtl/>
              </w:rPr>
            </w:pPr>
          </w:p>
        </w:tc>
      </w:tr>
    </w:tbl>
    <w:p w14:paraId="6AC3E144" w14:textId="77777777" w:rsidR="0009401E" w:rsidRPr="0047431A" w:rsidRDefault="0009401E" w:rsidP="0009401E">
      <w:pPr>
        <w:pStyle w:val="a3"/>
        <w:rPr>
          <w:rtl/>
        </w:rPr>
      </w:pPr>
      <w:r w:rsidRPr="0047431A">
        <w:rPr>
          <w:rFonts w:hint="cs"/>
          <w:rtl/>
        </w:rPr>
        <w:t xml:space="preserve"> </w:t>
      </w:r>
    </w:p>
    <w:p w14:paraId="77A5E85C" w14:textId="77777777" w:rsidR="0009401E" w:rsidRPr="0047431A" w:rsidRDefault="0009401E" w:rsidP="0009401E">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934A90" w:rsidRPr="0047431A" w14:paraId="6F7E041E" w14:textId="77777777" w:rsidTr="0009401E">
        <w:trPr>
          <w:gridAfter w:val="1"/>
          <w:wAfter w:w="56" w:type="dxa"/>
        </w:trPr>
        <w:tc>
          <w:tcPr>
            <w:tcW w:w="8718" w:type="dxa"/>
            <w:gridSpan w:val="2"/>
            <w:shd w:val="clear" w:color="auto" w:fill="auto"/>
          </w:tcPr>
          <w:p w14:paraId="32CFF886" w14:textId="77777777" w:rsidR="0009401E" w:rsidRPr="0047431A" w:rsidRDefault="0009401E" w:rsidP="00934A90">
            <w:pPr>
              <w:rPr>
                <w:b/>
                <w:bCs/>
                <w:sz w:val="26"/>
                <w:szCs w:val="26"/>
                <w:rtl/>
              </w:rPr>
            </w:pPr>
            <w:r w:rsidRPr="0047431A">
              <w:rPr>
                <w:rFonts w:hint="cs"/>
                <w:b/>
                <w:bCs/>
                <w:sz w:val="26"/>
                <w:szCs w:val="26"/>
                <w:rtl/>
              </w:rPr>
              <w:t>לפני כבוד השופט אמיר טובי</w:t>
            </w:r>
            <w:r w:rsidRPr="0047431A">
              <w:rPr>
                <w:rStyle w:val="TimesNewRomanTimesNewRoman"/>
                <w:rFonts w:hint="cs"/>
                <w:rtl/>
              </w:rPr>
              <w:t xml:space="preserve"> </w:t>
            </w:r>
          </w:p>
        </w:tc>
      </w:tr>
      <w:tr w:rsidR="00934A90" w:rsidRPr="0047431A" w14:paraId="4F07ED88" w14:textId="77777777" w:rsidTr="0009401E">
        <w:trPr>
          <w:cantSplit/>
          <w:trHeight w:val="724"/>
        </w:trPr>
        <w:tc>
          <w:tcPr>
            <w:tcW w:w="2880" w:type="dxa"/>
            <w:shd w:val="clear" w:color="auto" w:fill="auto"/>
          </w:tcPr>
          <w:p w14:paraId="5070F220" w14:textId="77777777" w:rsidR="0009401E" w:rsidRPr="0047431A" w:rsidRDefault="0009401E" w:rsidP="0009401E">
            <w:pPr>
              <w:ind w:left="26"/>
              <w:rPr>
                <w:b/>
                <w:bCs/>
                <w:sz w:val="26"/>
                <w:szCs w:val="26"/>
                <w:rtl/>
              </w:rPr>
            </w:pPr>
            <w:bookmarkStart w:id="1" w:name="FirstAppellant"/>
          </w:p>
          <w:p w14:paraId="18059FF3" w14:textId="77777777" w:rsidR="0009401E" w:rsidRPr="0047431A" w:rsidRDefault="0009401E" w:rsidP="0009401E">
            <w:pPr>
              <w:ind w:left="26"/>
              <w:rPr>
                <w:b/>
                <w:bCs/>
                <w:sz w:val="26"/>
                <w:szCs w:val="26"/>
                <w:rtl/>
              </w:rPr>
            </w:pPr>
            <w:r w:rsidRPr="0047431A">
              <w:rPr>
                <w:rFonts w:hint="cs"/>
                <w:b/>
                <w:bCs/>
                <w:sz w:val="26"/>
                <w:szCs w:val="26"/>
                <w:rtl/>
              </w:rPr>
              <w:t>המאשימה</w:t>
            </w:r>
          </w:p>
        </w:tc>
        <w:tc>
          <w:tcPr>
            <w:tcW w:w="5922" w:type="dxa"/>
            <w:gridSpan w:val="2"/>
            <w:shd w:val="clear" w:color="auto" w:fill="auto"/>
          </w:tcPr>
          <w:p w14:paraId="2AD5FD74" w14:textId="77777777" w:rsidR="0009401E" w:rsidRPr="0047431A" w:rsidRDefault="0009401E" w:rsidP="00934A90">
            <w:pPr>
              <w:rPr>
                <w:rtl/>
              </w:rPr>
            </w:pPr>
          </w:p>
          <w:p w14:paraId="6E690C40" w14:textId="77777777" w:rsidR="0009401E" w:rsidRPr="0047431A" w:rsidRDefault="0009401E" w:rsidP="00934A90">
            <w:pPr>
              <w:rPr>
                <w:b/>
                <w:bCs/>
                <w:sz w:val="26"/>
                <w:szCs w:val="26"/>
                <w:rtl/>
              </w:rPr>
            </w:pPr>
            <w:r w:rsidRPr="0047431A">
              <w:rPr>
                <w:rtl/>
              </w:rPr>
              <w:t xml:space="preserve"> </w:t>
            </w:r>
            <w:r w:rsidRPr="0047431A">
              <w:rPr>
                <w:rFonts w:hint="cs"/>
                <w:b/>
                <w:bCs/>
                <w:sz w:val="26"/>
                <w:szCs w:val="26"/>
                <w:rtl/>
              </w:rPr>
              <w:t>מדינת ישראל</w:t>
            </w:r>
          </w:p>
        </w:tc>
      </w:tr>
      <w:bookmarkEnd w:id="1"/>
      <w:tr w:rsidR="00934A90" w:rsidRPr="0047431A" w14:paraId="55A905FE" w14:textId="77777777" w:rsidTr="0009401E">
        <w:tc>
          <w:tcPr>
            <w:tcW w:w="8802" w:type="dxa"/>
            <w:gridSpan w:val="3"/>
            <w:shd w:val="clear" w:color="auto" w:fill="auto"/>
            <w:vAlign w:val="center"/>
          </w:tcPr>
          <w:p w14:paraId="7E306507" w14:textId="77777777" w:rsidR="0009401E" w:rsidRPr="0047431A" w:rsidRDefault="0009401E" w:rsidP="0009401E">
            <w:pPr>
              <w:jc w:val="center"/>
              <w:rPr>
                <w:rFonts w:ascii="Arial" w:hAnsi="Arial"/>
                <w:b/>
                <w:bCs/>
                <w:sz w:val="26"/>
                <w:szCs w:val="26"/>
                <w:rtl/>
              </w:rPr>
            </w:pPr>
          </w:p>
          <w:p w14:paraId="21A0A997" w14:textId="77777777" w:rsidR="0009401E" w:rsidRPr="0047431A" w:rsidRDefault="0009401E" w:rsidP="0009401E">
            <w:pPr>
              <w:jc w:val="center"/>
              <w:rPr>
                <w:rFonts w:ascii="Arial" w:hAnsi="Arial"/>
                <w:b/>
                <w:bCs/>
                <w:sz w:val="26"/>
                <w:szCs w:val="26"/>
                <w:rtl/>
              </w:rPr>
            </w:pPr>
            <w:r w:rsidRPr="0047431A">
              <w:rPr>
                <w:rFonts w:ascii="Arial" w:hAnsi="Arial" w:hint="cs"/>
                <w:b/>
                <w:bCs/>
                <w:sz w:val="26"/>
                <w:szCs w:val="26"/>
                <w:rtl/>
              </w:rPr>
              <w:t>נגד</w:t>
            </w:r>
          </w:p>
          <w:p w14:paraId="2B96DD00" w14:textId="77777777" w:rsidR="0009401E" w:rsidRPr="0047431A" w:rsidRDefault="0009401E" w:rsidP="00934A90">
            <w:pPr>
              <w:rPr>
                <w:rFonts w:ascii="Arial" w:hAnsi="Arial"/>
                <w:b/>
                <w:bCs/>
                <w:sz w:val="26"/>
                <w:szCs w:val="26"/>
                <w:rtl/>
              </w:rPr>
            </w:pPr>
          </w:p>
        </w:tc>
      </w:tr>
      <w:tr w:rsidR="00934A90" w:rsidRPr="0047431A" w14:paraId="7B2343BB" w14:textId="77777777" w:rsidTr="0009401E">
        <w:tc>
          <w:tcPr>
            <w:tcW w:w="2880" w:type="dxa"/>
            <w:shd w:val="clear" w:color="auto" w:fill="auto"/>
          </w:tcPr>
          <w:p w14:paraId="5057B591" w14:textId="77777777" w:rsidR="0009401E" w:rsidRPr="0047431A" w:rsidRDefault="0009401E" w:rsidP="0009401E">
            <w:pPr>
              <w:ind w:left="26"/>
              <w:rPr>
                <w:b/>
                <w:bCs/>
                <w:sz w:val="26"/>
                <w:szCs w:val="26"/>
              </w:rPr>
            </w:pPr>
            <w:r w:rsidRPr="0047431A">
              <w:rPr>
                <w:rFonts w:hint="cs"/>
                <w:b/>
                <w:bCs/>
                <w:sz w:val="26"/>
                <w:szCs w:val="26"/>
                <w:rtl/>
              </w:rPr>
              <w:t>הנאשם</w:t>
            </w:r>
          </w:p>
        </w:tc>
        <w:tc>
          <w:tcPr>
            <w:tcW w:w="5922" w:type="dxa"/>
            <w:gridSpan w:val="2"/>
            <w:shd w:val="clear" w:color="auto" w:fill="auto"/>
          </w:tcPr>
          <w:p w14:paraId="4FDD62C7" w14:textId="77777777" w:rsidR="0009401E" w:rsidRPr="0047431A" w:rsidRDefault="0009401E" w:rsidP="00934A90">
            <w:pPr>
              <w:rPr>
                <w:rFonts w:hint="cs"/>
                <w:b/>
                <w:bCs/>
                <w:sz w:val="26"/>
                <w:szCs w:val="26"/>
                <w:rtl/>
              </w:rPr>
            </w:pPr>
            <w:r w:rsidRPr="0047431A">
              <w:rPr>
                <w:rtl/>
              </w:rPr>
              <w:t xml:space="preserve"> </w:t>
            </w:r>
            <w:r w:rsidRPr="0047431A">
              <w:rPr>
                <w:rFonts w:hint="cs"/>
                <w:b/>
                <w:bCs/>
                <w:sz w:val="26"/>
                <w:szCs w:val="26"/>
                <w:rtl/>
              </w:rPr>
              <w:t>רביע חוסין (עציר)</w:t>
            </w:r>
            <w:r w:rsidRPr="0047431A">
              <w:rPr>
                <w:rtl/>
              </w:rPr>
              <w:t xml:space="preserve"> </w:t>
            </w:r>
          </w:p>
        </w:tc>
      </w:tr>
    </w:tbl>
    <w:p w14:paraId="12EA5C2A" w14:textId="77777777" w:rsidR="0009401E" w:rsidRPr="0047431A" w:rsidRDefault="0009401E" w:rsidP="0009401E">
      <w:pPr>
        <w:spacing w:line="360" w:lineRule="auto"/>
        <w:jc w:val="both"/>
        <w:rPr>
          <w:rFonts w:ascii="David" w:hAnsi="David"/>
          <w:sz w:val="6"/>
          <w:szCs w:val="6"/>
          <w:rtl/>
        </w:rPr>
      </w:pPr>
      <w:r w:rsidRPr="0047431A">
        <w:rPr>
          <w:rFonts w:hint="cs"/>
          <w:sz w:val="6"/>
          <w:szCs w:val="6"/>
          <w:rtl/>
        </w:rPr>
        <w:t>&lt;#1#&gt;</w:t>
      </w:r>
    </w:p>
    <w:p w14:paraId="43DE7B38" w14:textId="77777777" w:rsidR="0009401E" w:rsidRPr="0047431A" w:rsidRDefault="0009401E" w:rsidP="0009401E">
      <w:pPr>
        <w:pStyle w:val="12"/>
        <w:rPr>
          <w:b w:val="0"/>
          <w:bCs w:val="0"/>
          <w:u w:val="none"/>
          <w:rtl/>
        </w:rPr>
      </w:pPr>
    </w:p>
    <w:p w14:paraId="4929E384" w14:textId="77777777" w:rsidR="0009401E" w:rsidRPr="0047431A" w:rsidRDefault="0009401E" w:rsidP="0009401E">
      <w:pPr>
        <w:pStyle w:val="12"/>
        <w:rPr>
          <w:u w:val="none"/>
          <w:rtl/>
        </w:rPr>
      </w:pPr>
      <w:r w:rsidRPr="0047431A">
        <w:rPr>
          <w:rFonts w:hint="cs"/>
          <w:u w:val="none"/>
          <w:rtl/>
        </w:rPr>
        <w:t>נוכחים:</w:t>
      </w:r>
    </w:p>
    <w:p w14:paraId="670A266D" w14:textId="77777777" w:rsidR="0009401E" w:rsidRPr="0047431A" w:rsidRDefault="0009401E" w:rsidP="0009401E">
      <w:pPr>
        <w:pStyle w:val="12"/>
        <w:rPr>
          <w:b w:val="0"/>
          <w:bCs w:val="0"/>
          <w:u w:val="none"/>
          <w:rtl/>
        </w:rPr>
      </w:pPr>
      <w:bookmarkStart w:id="2" w:name="FirstLawyer"/>
      <w:r w:rsidRPr="0047431A">
        <w:rPr>
          <w:rFonts w:hint="cs"/>
          <w:b w:val="0"/>
          <w:bCs w:val="0"/>
          <w:u w:val="none"/>
          <w:rtl/>
        </w:rPr>
        <w:t>ב"כ</w:t>
      </w:r>
      <w:bookmarkEnd w:id="2"/>
      <w:r w:rsidRPr="0047431A">
        <w:rPr>
          <w:rFonts w:hint="cs"/>
          <w:b w:val="0"/>
          <w:bCs w:val="0"/>
          <w:u w:val="none"/>
          <w:rtl/>
        </w:rPr>
        <w:t xml:space="preserve">  המאשימה: עו"ד גב' עינב איטסקו  </w:t>
      </w:r>
    </w:p>
    <w:p w14:paraId="0B711DE2" w14:textId="77777777" w:rsidR="0009401E" w:rsidRPr="0047431A" w:rsidRDefault="0009401E" w:rsidP="0009401E">
      <w:pPr>
        <w:pStyle w:val="12"/>
        <w:rPr>
          <w:b w:val="0"/>
          <w:bCs w:val="0"/>
          <w:u w:val="none"/>
          <w:rtl/>
        </w:rPr>
      </w:pPr>
      <w:r w:rsidRPr="0047431A">
        <w:rPr>
          <w:rFonts w:hint="cs"/>
          <w:b w:val="0"/>
          <w:bCs w:val="0"/>
          <w:u w:val="none"/>
          <w:rtl/>
        </w:rPr>
        <w:t>ב"כ הנאשם: עו"ד גב' דוניא נעאמנה</w:t>
      </w:r>
    </w:p>
    <w:p w14:paraId="0D942B5D" w14:textId="77777777" w:rsidR="0038267B" w:rsidRDefault="0009401E" w:rsidP="0038267B">
      <w:pPr>
        <w:pStyle w:val="12"/>
        <w:rPr>
          <w:b w:val="0"/>
          <w:bCs w:val="0"/>
          <w:u w:val="none"/>
          <w:rtl/>
        </w:rPr>
      </w:pPr>
      <w:r w:rsidRPr="0047431A">
        <w:rPr>
          <w:rFonts w:hint="cs"/>
          <w:b w:val="0"/>
          <w:bCs w:val="0"/>
          <w:u w:val="none"/>
          <w:rtl/>
        </w:rPr>
        <w:t>הנאשם באמצעות הליווי</w:t>
      </w:r>
      <w:bookmarkStart w:id="3" w:name="LawTable"/>
      <w:bookmarkEnd w:id="3"/>
    </w:p>
    <w:p w14:paraId="08505479"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p>
    <w:p w14:paraId="0CC55697"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r w:rsidRPr="0038267B">
        <w:rPr>
          <w:rFonts w:ascii="FrankRuehl" w:hAnsi="FrankRuehl" w:cs="FrankRuehl"/>
          <w:b w:val="0"/>
          <w:bCs w:val="0"/>
          <w:u w:val="none"/>
          <w:rtl/>
        </w:rPr>
        <w:t xml:space="preserve">חקיקה שאוזכרה: </w:t>
      </w:r>
    </w:p>
    <w:p w14:paraId="09978DEA"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hyperlink r:id="rId6" w:history="1">
        <w:r w:rsidRPr="0038267B">
          <w:rPr>
            <w:rFonts w:ascii="FrankRuehl" w:hAnsi="FrankRuehl" w:cs="FrankRuehl"/>
            <w:b w:val="0"/>
            <w:bCs w:val="0"/>
            <w:color w:val="0000FF"/>
            <w:rtl/>
          </w:rPr>
          <w:t>חוק העונשין, תשל"ז-1977</w:t>
        </w:r>
      </w:hyperlink>
      <w:r w:rsidRPr="0038267B">
        <w:rPr>
          <w:rFonts w:ascii="FrankRuehl" w:hAnsi="FrankRuehl" w:cs="FrankRuehl"/>
          <w:b w:val="0"/>
          <w:bCs w:val="0"/>
          <w:u w:val="none"/>
          <w:rtl/>
        </w:rPr>
        <w:t xml:space="preserve">: סע'  </w:t>
      </w:r>
      <w:hyperlink r:id="rId7" w:history="1">
        <w:r w:rsidRPr="0038267B">
          <w:rPr>
            <w:rFonts w:ascii="FrankRuehl" w:hAnsi="FrankRuehl" w:cs="FrankRuehl"/>
            <w:b w:val="0"/>
            <w:bCs w:val="0"/>
            <w:color w:val="0000FF"/>
            <w:rtl/>
          </w:rPr>
          <w:t>14.ג</w:t>
        </w:r>
      </w:hyperlink>
      <w:r w:rsidRPr="0038267B">
        <w:rPr>
          <w:rFonts w:ascii="FrankRuehl" w:hAnsi="FrankRuehl" w:cs="FrankRuehl"/>
          <w:b w:val="0"/>
          <w:bCs w:val="0"/>
          <w:u w:val="none"/>
          <w:rtl/>
        </w:rPr>
        <w:t xml:space="preserve">, </w:t>
      </w:r>
      <w:hyperlink r:id="rId8" w:history="1">
        <w:r w:rsidRPr="0038267B">
          <w:rPr>
            <w:rFonts w:ascii="FrankRuehl" w:hAnsi="FrankRuehl" w:cs="FrankRuehl"/>
            <w:b w:val="0"/>
            <w:bCs w:val="0"/>
            <w:color w:val="0000FF"/>
            <w:rtl/>
          </w:rPr>
          <w:t>31</w:t>
        </w:r>
      </w:hyperlink>
      <w:r w:rsidRPr="0038267B">
        <w:rPr>
          <w:rFonts w:ascii="FrankRuehl" w:hAnsi="FrankRuehl" w:cs="FrankRuehl"/>
          <w:b w:val="0"/>
          <w:bCs w:val="0"/>
          <w:u w:val="none"/>
          <w:rtl/>
        </w:rPr>
        <w:t xml:space="preserve">, </w:t>
      </w:r>
      <w:hyperlink r:id="rId9" w:history="1">
        <w:r w:rsidRPr="0038267B">
          <w:rPr>
            <w:rFonts w:ascii="FrankRuehl" w:hAnsi="FrankRuehl" w:cs="FrankRuehl"/>
            <w:b w:val="0"/>
            <w:bCs w:val="0"/>
            <w:color w:val="0000FF"/>
            <w:rtl/>
          </w:rPr>
          <w:t>40ג</w:t>
        </w:r>
      </w:hyperlink>
      <w:r w:rsidRPr="0038267B">
        <w:rPr>
          <w:rFonts w:ascii="FrankRuehl" w:hAnsi="FrankRuehl" w:cs="FrankRuehl"/>
          <w:b w:val="0"/>
          <w:bCs w:val="0"/>
          <w:u w:val="none"/>
          <w:rtl/>
        </w:rPr>
        <w:t xml:space="preserve">, </w:t>
      </w:r>
      <w:hyperlink r:id="rId10" w:history="1">
        <w:r w:rsidRPr="0038267B">
          <w:rPr>
            <w:rFonts w:ascii="FrankRuehl" w:hAnsi="FrankRuehl" w:cs="FrankRuehl"/>
            <w:b w:val="0"/>
            <w:bCs w:val="0"/>
            <w:color w:val="0000FF"/>
            <w:rtl/>
          </w:rPr>
          <w:t>144(א)</w:t>
        </w:r>
      </w:hyperlink>
      <w:r w:rsidRPr="0038267B">
        <w:rPr>
          <w:rFonts w:ascii="FrankRuehl" w:hAnsi="FrankRuehl" w:cs="FrankRuehl"/>
          <w:b w:val="0"/>
          <w:bCs w:val="0"/>
          <w:u w:val="none"/>
          <w:rtl/>
        </w:rPr>
        <w:t xml:space="preserve">, </w:t>
      </w:r>
      <w:hyperlink r:id="rId11" w:history="1">
        <w:r w:rsidRPr="0038267B">
          <w:rPr>
            <w:rFonts w:ascii="FrankRuehl" w:hAnsi="FrankRuehl" w:cs="FrankRuehl"/>
            <w:b w:val="0"/>
            <w:bCs w:val="0"/>
            <w:color w:val="0000FF"/>
            <w:rtl/>
          </w:rPr>
          <w:t>144.ב2.</w:t>
        </w:r>
      </w:hyperlink>
      <w:r w:rsidRPr="0038267B">
        <w:rPr>
          <w:rFonts w:ascii="FrankRuehl" w:hAnsi="FrankRuehl" w:cs="FrankRuehl"/>
          <w:b w:val="0"/>
          <w:bCs w:val="0"/>
          <w:u w:val="none"/>
          <w:rtl/>
        </w:rPr>
        <w:t xml:space="preserve">, </w:t>
      </w:r>
      <w:hyperlink r:id="rId12" w:history="1">
        <w:r w:rsidRPr="0038267B">
          <w:rPr>
            <w:rFonts w:ascii="FrankRuehl" w:hAnsi="FrankRuehl" w:cs="FrankRuehl"/>
            <w:b w:val="0"/>
            <w:bCs w:val="0"/>
            <w:color w:val="0000FF"/>
            <w:rtl/>
          </w:rPr>
          <w:t>144.ג</w:t>
        </w:r>
      </w:hyperlink>
      <w:r w:rsidRPr="0038267B">
        <w:rPr>
          <w:rFonts w:ascii="FrankRuehl" w:hAnsi="FrankRuehl" w:cs="FrankRuehl"/>
          <w:b w:val="0"/>
          <w:bCs w:val="0"/>
          <w:u w:val="none"/>
          <w:rtl/>
        </w:rPr>
        <w:t xml:space="preserve">, </w:t>
      </w:r>
      <w:hyperlink r:id="rId13" w:history="1">
        <w:r w:rsidRPr="0038267B">
          <w:rPr>
            <w:rFonts w:ascii="FrankRuehl" w:hAnsi="FrankRuehl" w:cs="FrankRuehl"/>
            <w:b w:val="0"/>
            <w:bCs w:val="0"/>
            <w:color w:val="0000FF"/>
            <w:rtl/>
          </w:rPr>
          <w:t>40יג(א)</w:t>
        </w:r>
      </w:hyperlink>
    </w:p>
    <w:p w14:paraId="162C002F" w14:textId="77777777" w:rsidR="0038267B" w:rsidRPr="0038267B" w:rsidRDefault="0038267B" w:rsidP="0038267B">
      <w:pPr>
        <w:pStyle w:val="12"/>
        <w:spacing w:after="120" w:line="240" w:lineRule="exact"/>
        <w:ind w:left="283" w:hanging="283"/>
        <w:jc w:val="both"/>
        <w:rPr>
          <w:rFonts w:ascii="FrankRuehl" w:hAnsi="FrankRuehl" w:cs="FrankRuehl"/>
          <w:b w:val="0"/>
          <w:bCs w:val="0"/>
          <w:u w:val="none"/>
          <w:rtl/>
        </w:rPr>
      </w:pPr>
    </w:p>
    <w:p w14:paraId="310FCB10" w14:textId="77777777" w:rsidR="0038267B" w:rsidRPr="0038267B" w:rsidRDefault="0038267B" w:rsidP="0038267B">
      <w:pPr>
        <w:pStyle w:val="12"/>
        <w:rPr>
          <w:b w:val="0"/>
          <w:bCs w:val="0"/>
          <w:u w:val="none"/>
          <w:rtl/>
        </w:rPr>
      </w:pPr>
      <w:bookmarkStart w:id="4" w:name="LawTable_End"/>
      <w:bookmarkEnd w:id="4"/>
    </w:p>
    <w:p w14:paraId="45EE034C" w14:textId="77777777" w:rsidR="0038267B" w:rsidRPr="0038267B" w:rsidRDefault="0038267B" w:rsidP="0038267B">
      <w:pPr>
        <w:pStyle w:val="12"/>
        <w:rPr>
          <w:b w:val="0"/>
          <w:bCs w:val="0"/>
          <w:u w:val="none"/>
          <w:rtl/>
        </w:rPr>
      </w:pPr>
    </w:p>
    <w:p w14:paraId="57015652" w14:textId="77777777" w:rsidR="000E0EDD" w:rsidRPr="000E0EDD" w:rsidRDefault="0009401E" w:rsidP="0038267B">
      <w:pPr>
        <w:pStyle w:val="12"/>
        <w:rPr>
          <w:rFonts w:ascii="FrankRuehl" w:hAnsi="FrankRuehl" w:cs="FrankRuehl"/>
          <w:b w:val="0"/>
          <w:bCs w:val="0"/>
          <w:u w:val="none"/>
          <w:rtl/>
        </w:rPr>
      </w:pPr>
      <w:r w:rsidRPr="0038267B">
        <w:rPr>
          <w:rFonts w:hint="cs"/>
          <w:b w:val="0"/>
          <w:bCs w:val="0"/>
          <w:u w:val="none"/>
          <w:rtl/>
        </w:rPr>
        <w:t xml:space="preserve"> </w:t>
      </w:r>
    </w:p>
    <w:p w14:paraId="69596E37" w14:textId="77777777" w:rsidR="0009401E" w:rsidRPr="0047431A" w:rsidRDefault="0009401E" w:rsidP="0009401E">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4A90" w14:paraId="66F98DCF" w14:textId="77777777" w:rsidTr="0009401E">
        <w:trPr>
          <w:trHeight w:val="355"/>
          <w:jc w:val="center"/>
        </w:trPr>
        <w:tc>
          <w:tcPr>
            <w:tcW w:w="8820" w:type="dxa"/>
            <w:tcBorders>
              <w:top w:val="nil"/>
              <w:left w:val="nil"/>
              <w:bottom w:val="nil"/>
              <w:right w:val="nil"/>
            </w:tcBorders>
            <w:shd w:val="clear" w:color="auto" w:fill="auto"/>
          </w:tcPr>
          <w:p w14:paraId="26E6196F" w14:textId="77777777" w:rsidR="0047431A" w:rsidRPr="0047431A" w:rsidRDefault="0047431A" w:rsidP="0047431A">
            <w:pPr>
              <w:jc w:val="center"/>
              <w:rPr>
                <w:rFonts w:ascii="Arial" w:hAnsi="Arial" w:cs="FrankRuehl"/>
                <w:b/>
                <w:bCs/>
                <w:sz w:val="32"/>
                <w:szCs w:val="32"/>
                <w:u w:val="single"/>
                <w:rtl/>
              </w:rPr>
            </w:pPr>
            <w:bookmarkStart w:id="5" w:name="PsakDin" w:colFirst="0" w:colLast="0"/>
            <w:bookmarkEnd w:id="0"/>
            <w:r w:rsidRPr="0047431A">
              <w:rPr>
                <w:rFonts w:ascii="Arial" w:hAnsi="Arial" w:cs="FrankRuehl"/>
                <w:b/>
                <w:bCs/>
                <w:sz w:val="32"/>
                <w:szCs w:val="32"/>
                <w:u w:val="single"/>
                <w:rtl/>
              </w:rPr>
              <w:t>גזר דין</w:t>
            </w:r>
          </w:p>
          <w:p w14:paraId="646A8EEA" w14:textId="77777777" w:rsidR="0009401E" w:rsidRPr="0047431A" w:rsidRDefault="0009401E" w:rsidP="0047431A">
            <w:pPr>
              <w:jc w:val="center"/>
              <w:rPr>
                <w:rFonts w:ascii="Arial" w:hAnsi="Arial" w:cs="FrankRuehl"/>
                <w:bCs/>
                <w:sz w:val="32"/>
                <w:szCs w:val="32"/>
                <w:u w:val="single"/>
                <w:rtl/>
              </w:rPr>
            </w:pPr>
          </w:p>
        </w:tc>
      </w:tr>
      <w:bookmarkEnd w:id="5"/>
    </w:tbl>
    <w:p w14:paraId="0EC22022" w14:textId="77777777" w:rsidR="0009401E" w:rsidRPr="00B05847" w:rsidRDefault="0009401E" w:rsidP="0009401E">
      <w:pPr>
        <w:spacing w:line="360" w:lineRule="auto"/>
        <w:jc w:val="both"/>
        <w:rPr>
          <w:rFonts w:ascii="Arial" w:hAnsi="Arial"/>
          <w:rtl/>
        </w:rPr>
      </w:pPr>
    </w:p>
    <w:p w14:paraId="48577B56" w14:textId="77777777" w:rsidR="0009401E" w:rsidRDefault="0009401E" w:rsidP="0009401E">
      <w:pPr>
        <w:spacing w:line="360" w:lineRule="auto"/>
        <w:jc w:val="both"/>
        <w:rPr>
          <w:rFonts w:ascii="Arial" w:hAnsi="Arial"/>
          <w:u w:val="single"/>
          <w:rtl/>
        </w:rPr>
      </w:pPr>
      <w:r w:rsidRPr="00BE0463">
        <w:rPr>
          <w:rFonts w:ascii="Arial" w:hAnsi="Arial" w:hint="cs"/>
          <w:u w:val="single"/>
          <w:rtl/>
        </w:rPr>
        <w:t>כתב האישום</w:t>
      </w:r>
    </w:p>
    <w:p w14:paraId="5F237AEA" w14:textId="77777777" w:rsidR="0009401E" w:rsidRPr="00BE0463" w:rsidRDefault="0009401E" w:rsidP="0009401E">
      <w:pPr>
        <w:spacing w:line="360" w:lineRule="auto"/>
        <w:jc w:val="both"/>
        <w:rPr>
          <w:rFonts w:ascii="Arial" w:hAnsi="Arial"/>
          <w:u w:val="single"/>
          <w:rtl/>
        </w:rPr>
      </w:pPr>
    </w:p>
    <w:p w14:paraId="6F2F59B1" w14:textId="77777777" w:rsidR="0009401E" w:rsidRDefault="0009401E" w:rsidP="0009401E">
      <w:pPr>
        <w:spacing w:after="240" w:line="360" w:lineRule="auto"/>
        <w:ind w:left="720" w:hanging="720"/>
        <w:jc w:val="both"/>
        <w:rPr>
          <w:rtl/>
        </w:rPr>
      </w:pPr>
      <w:r w:rsidRPr="00DA6F39">
        <w:rPr>
          <w:rtl/>
        </w:rPr>
        <w:t>1.</w:t>
      </w:r>
      <w:r w:rsidRPr="00DA6F39">
        <w:rPr>
          <w:rtl/>
        </w:rPr>
        <w:tab/>
      </w:r>
      <w:bookmarkStart w:id="6" w:name="ABSTRACT_START"/>
      <w:bookmarkEnd w:id="6"/>
      <w:r w:rsidRPr="00DA6F39">
        <w:rPr>
          <w:rtl/>
        </w:rPr>
        <w:t>הנאשם הורשע על פי הודייתו בעובדות כתב אישום מתוקן (להלן: "</w:t>
      </w:r>
      <w:r w:rsidRPr="00DA6F39">
        <w:rPr>
          <w:b/>
          <w:bCs/>
          <w:rtl/>
        </w:rPr>
        <w:t>כתב האישום</w:t>
      </w:r>
      <w:r w:rsidRPr="00DA6F39">
        <w:rPr>
          <w:rtl/>
        </w:rPr>
        <w:t>"), במסגרת הסדר טיעון אשר לא כלל הסכמה לעניין העונש</w:t>
      </w:r>
      <w:r>
        <w:rPr>
          <w:rFonts w:hint="cs"/>
          <w:rtl/>
        </w:rPr>
        <w:t>. כתב האישום מייחס</w:t>
      </w:r>
      <w:r w:rsidRPr="00DA6F39">
        <w:rPr>
          <w:rtl/>
        </w:rPr>
        <w:t xml:space="preserve"> </w:t>
      </w:r>
      <w:r>
        <w:rPr>
          <w:rFonts w:hint="cs"/>
          <w:rtl/>
        </w:rPr>
        <w:t xml:space="preserve">לנאשם </w:t>
      </w:r>
      <w:r w:rsidRPr="00B65791">
        <w:rPr>
          <w:rtl/>
        </w:rPr>
        <w:t xml:space="preserve">עבירות </w:t>
      </w:r>
      <w:r>
        <w:rPr>
          <w:rFonts w:hint="cs"/>
          <w:rtl/>
        </w:rPr>
        <w:t xml:space="preserve">נשק מרובות, </w:t>
      </w:r>
      <w:r w:rsidRPr="00B65791">
        <w:rPr>
          <w:rtl/>
        </w:rPr>
        <w:t>בש</w:t>
      </w:r>
      <w:r>
        <w:rPr>
          <w:rFonts w:hint="cs"/>
          <w:rtl/>
        </w:rPr>
        <w:t>ישה אישומי</w:t>
      </w:r>
      <w:r>
        <w:rPr>
          <w:rtl/>
        </w:rPr>
        <w:t>ם נפרדים</w:t>
      </w:r>
      <w:r>
        <w:rPr>
          <w:rFonts w:hint="cs"/>
          <w:rtl/>
        </w:rPr>
        <w:t>, כפי שיפורט להלן.</w:t>
      </w:r>
    </w:p>
    <w:p w14:paraId="0690D0B8" w14:textId="77777777" w:rsidR="0009401E" w:rsidRDefault="0009401E" w:rsidP="0009401E">
      <w:pPr>
        <w:spacing w:after="240" w:line="360" w:lineRule="auto"/>
        <w:ind w:left="720" w:hanging="720"/>
        <w:jc w:val="both"/>
        <w:rPr>
          <w:rtl/>
        </w:rPr>
      </w:pPr>
      <w:r w:rsidRPr="00B65791">
        <w:rPr>
          <w:rtl/>
        </w:rPr>
        <w:t>2.</w:t>
      </w:r>
      <w:r w:rsidRPr="00B65791">
        <w:rPr>
          <w:rtl/>
        </w:rPr>
        <w:tab/>
      </w:r>
      <w:r>
        <w:rPr>
          <w:rFonts w:hint="cs"/>
          <w:rtl/>
        </w:rPr>
        <w:t>במבוא לכתב האישום צוין כי בין הנאשם לנסר מחמוד ח'ליפה (להלן: "</w:t>
      </w:r>
      <w:r w:rsidRPr="00C740CF">
        <w:rPr>
          <w:rFonts w:hint="cs"/>
          <w:b/>
          <w:bCs/>
          <w:rtl/>
        </w:rPr>
        <w:t>נסר</w:t>
      </w:r>
      <w:r>
        <w:rPr>
          <w:rFonts w:hint="cs"/>
          <w:rtl/>
        </w:rPr>
        <w:t>") היו יחסי חברות, וכי בין שניהם לבין מוחמד שלאעטה (להלן: "</w:t>
      </w:r>
      <w:r w:rsidRPr="00C740CF">
        <w:rPr>
          <w:rFonts w:hint="cs"/>
          <w:b/>
          <w:bCs/>
          <w:rtl/>
        </w:rPr>
        <w:t>מוחמד</w:t>
      </w:r>
      <w:r>
        <w:rPr>
          <w:rFonts w:hint="cs"/>
          <w:rtl/>
        </w:rPr>
        <w:t xml:space="preserve">") קיימת הכרות.  </w:t>
      </w:r>
    </w:p>
    <w:p w14:paraId="7CA3C83B" w14:textId="77777777" w:rsidR="0009401E" w:rsidRDefault="0009401E" w:rsidP="0009401E">
      <w:pPr>
        <w:spacing w:after="240" w:line="360" w:lineRule="auto"/>
        <w:ind w:left="720" w:hanging="720"/>
        <w:jc w:val="both"/>
        <w:rPr>
          <w:rtl/>
        </w:rPr>
      </w:pPr>
      <w:bookmarkStart w:id="7" w:name="ABSTRACT_END"/>
      <w:bookmarkEnd w:id="7"/>
      <w:r>
        <w:rPr>
          <w:rFonts w:hint="cs"/>
          <w:rtl/>
        </w:rPr>
        <w:t>3.</w:t>
      </w:r>
      <w:r>
        <w:rPr>
          <w:rFonts w:hint="cs"/>
          <w:rtl/>
        </w:rPr>
        <w:tab/>
      </w:r>
      <w:r w:rsidRPr="00B65791">
        <w:rPr>
          <w:rtl/>
        </w:rPr>
        <w:t xml:space="preserve">בעובדות האישום הראשון נאמר כי </w:t>
      </w:r>
      <w:r w:rsidRPr="00895012">
        <w:rPr>
          <w:rFonts w:hint="cs"/>
          <w:rtl/>
        </w:rPr>
        <w:t>במהלך</w:t>
      </w:r>
      <w:r w:rsidRPr="00895012">
        <w:t xml:space="preserve"> </w:t>
      </w:r>
      <w:r w:rsidRPr="00895012">
        <w:rPr>
          <w:rFonts w:hint="cs"/>
          <w:rtl/>
        </w:rPr>
        <w:t>שנת</w:t>
      </w:r>
      <w:r>
        <w:rPr>
          <w:rFonts w:hint="cs"/>
          <w:rtl/>
        </w:rPr>
        <w:t xml:space="preserve"> 2013</w:t>
      </w:r>
      <w:r w:rsidRPr="00895012">
        <w:t xml:space="preserve"> </w:t>
      </w:r>
      <w:r w:rsidRPr="00895012">
        <w:rPr>
          <w:rFonts w:hint="cs"/>
          <w:rtl/>
        </w:rPr>
        <w:t>או</w:t>
      </w:r>
      <w:r w:rsidRPr="00895012">
        <w:t xml:space="preserve"> </w:t>
      </w:r>
      <w:r w:rsidRPr="00895012">
        <w:rPr>
          <w:rFonts w:hint="cs"/>
          <w:rtl/>
        </w:rPr>
        <w:t>בסמוך</w:t>
      </w:r>
      <w:r w:rsidRPr="00895012">
        <w:t xml:space="preserve"> </w:t>
      </w:r>
      <w:r w:rsidRPr="00895012">
        <w:rPr>
          <w:rFonts w:hint="cs"/>
          <w:rtl/>
        </w:rPr>
        <w:t>לכך</w:t>
      </w:r>
      <w:r>
        <w:rPr>
          <w:rFonts w:hint="cs"/>
          <w:rtl/>
        </w:rPr>
        <w:t xml:space="preserve"> רכש</w:t>
      </w:r>
      <w:r w:rsidRPr="00895012">
        <w:t xml:space="preserve"> </w:t>
      </w:r>
      <w:r w:rsidRPr="00895012">
        <w:rPr>
          <w:rFonts w:hint="cs"/>
          <w:rtl/>
        </w:rPr>
        <w:t>הנאשם</w:t>
      </w:r>
      <w:r w:rsidRPr="00895012">
        <w:t xml:space="preserve"> </w:t>
      </w:r>
      <w:r w:rsidRPr="00895012">
        <w:rPr>
          <w:rFonts w:hint="cs"/>
          <w:rtl/>
        </w:rPr>
        <w:t>נשק</w:t>
      </w:r>
      <w:r w:rsidRPr="00895012">
        <w:t xml:space="preserve"> </w:t>
      </w:r>
      <w:r w:rsidRPr="00895012">
        <w:rPr>
          <w:rFonts w:hint="cs"/>
          <w:rtl/>
        </w:rPr>
        <w:t>מאולתר</w:t>
      </w:r>
      <w:r>
        <w:rPr>
          <w:rFonts w:hint="cs"/>
          <w:rtl/>
        </w:rPr>
        <w:t xml:space="preserve"> </w:t>
      </w:r>
      <w:r w:rsidRPr="00895012">
        <w:rPr>
          <w:rFonts w:hint="cs"/>
          <w:rtl/>
        </w:rPr>
        <w:t>מסוג</w:t>
      </w:r>
      <w:r w:rsidRPr="00895012">
        <w:t xml:space="preserve"> </w:t>
      </w:r>
      <w:r>
        <w:rPr>
          <w:rFonts w:hint="cs"/>
          <w:rtl/>
        </w:rPr>
        <w:t>"</w:t>
      </w:r>
      <w:r w:rsidRPr="00895012">
        <w:rPr>
          <w:rFonts w:hint="cs"/>
          <w:rtl/>
        </w:rPr>
        <w:t>קרל</w:t>
      </w:r>
      <w:r w:rsidRPr="00895012">
        <w:t xml:space="preserve"> </w:t>
      </w:r>
      <w:r w:rsidRPr="00895012">
        <w:rPr>
          <w:rFonts w:hint="cs"/>
          <w:rtl/>
        </w:rPr>
        <w:t>גוסט</w:t>
      </w:r>
      <w:r>
        <w:rPr>
          <w:rFonts w:hint="cs"/>
          <w:rtl/>
        </w:rPr>
        <w:t>ב" (להלן: "</w:t>
      </w:r>
      <w:r w:rsidRPr="00360C1F">
        <w:rPr>
          <w:rFonts w:hint="cs"/>
          <w:b/>
          <w:bCs/>
          <w:rtl/>
        </w:rPr>
        <w:t>הקרלו</w:t>
      </w:r>
      <w:r>
        <w:rPr>
          <w:rFonts w:hint="cs"/>
          <w:rtl/>
        </w:rPr>
        <w:t xml:space="preserve">"), עם מחסנית תואמת, מאדם שזהותו אינה ידועה למאשימה, תמורת 1,900 אירו, והחזיקם בביתו. מדובר בכלי שסוגל לירות כדור או קלע שבכוחם להמית אדם. בחלוף מספר חודשים, פנה הנאשם לנסר על מנת שימצא קונה </w:t>
      </w:r>
      <w:r>
        <w:rPr>
          <w:rFonts w:hint="cs"/>
          <w:rtl/>
        </w:rPr>
        <w:lastRenderedPageBreak/>
        <w:t xml:space="preserve">לקרלו, ונסר שוחח עם מוחמד על כך. בהמשך הגיעו השניים יחדיו לביתו של הנאשם על מנת שמוחמד ירכוש את הקרלו מאת הנאשם. תחילה סיכמו הנאשם ומוחמד על תשלום סך 7,000 ₪ במועד נדחה תמורת הקרלו, ומוחמד לקח את הקרלו עימו. בהמשך, התגלע בין השניים ויכוח לגבי טיב הקרלו וסוכם כי מוחמד ימסור לנאשם אקדח תמורת הקרלו. בהתאם לאמור, מסר מוחמד לנאשם אקדח חצי אוטומטי מסוג סירקיס עם מנגנון הדק חסר ומנגנון הדק מאולתר שהיה מופרד מהאקדח. הנאשם החזיק באקדח עד ליום 5.4.2017 במקום מסתור סמוך לביתו כשהוא עטוף בפיסת בד ובניילון. במסגרת </w:t>
      </w:r>
      <w:r w:rsidRPr="00B65791">
        <w:rPr>
          <w:rtl/>
        </w:rPr>
        <w:t xml:space="preserve">אישום </w:t>
      </w:r>
      <w:r>
        <w:rPr>
          <w:rFonts w:hint="cs"/>
          <w:rtl/>
        </w:rPr>
        <w:t>זה יחסה המאשימה לנאשם עבירה של סחר בנשק שלא כדין</w:t>
      </w:r>
      <w:r w:rsidRPr="00B65791">
        <w:rPr>
          <w:rtl/>
        </w:rPr>
        <w:t xml:space="preserve">, לפי </w:t>
      </w:r>
      <w:hyperlink r:id="rId14" w:history="1">
        <w:r w:rsidR="000E0EDD" w:rsidRPr="000E0EDD">
          <w:rPr>
            <w:color w:val="0000FF"/>
            <w:u w:val="single"/>
            <w:rtl/>
          </w:rPr>
          <w:t>סעיפים 144(ב2)+(ג)</w:t>
        </w:r>
      </w:hyperlink>
      <w:r>
        <w:rPr>
          <w:rFonts w:hint="cs"/>
          <w:rtl/>
        </w:rPr>
        <w:t xml:space="preserve"> </w:t>
      </w:r>
      <w:r w:rsidRPr="00B65791">
        <w:rPr>
          <w:rtl/>
        </w:rPr>
        <w:t>ל</w:t>
      </w:r>
      <w:hyperlink r:id="rId15" w:history="1">
        <w:r w:rsidR="0047431A" w:rsidRPr="0047431A">
          <w:rPr>
            <w:color w:val="0000FF"/>
            <w:u w:val="single"/>
            <w:rtl/>
          </w:rPr>
          <w:t>חוק העונשין</w:t>
        </w:r>
      </w:hyperlink>
      <w:r w:rsidRPr="00B65791">
        <w:rPr>
          <w:rtl/>
        </w:rPr>
        <w:t xml:space="preserve">, </w:t>
      </w:r>
      <w:r>
        <w:rPr>
          <w:rFonts w:hint="cs"/>
          <w:rtl/>
        </w:rPr>
        <w:t>תשל"ז-1977 (להלן: "</w:t>
      </w:r>
      <w:r w:rsidRPr="00B65791">
        <w:rPr>
          <w:rFonts w:hint="cs"/>
          <w:b/>
          <w:bCs/>
          <w:rtl/>
        </w:rPr>
        <w:t>חוק העונשין</w:t>
      </w:r>
      <w:r>
        <w:rPr>
          <w:rFonts w:hint="cs"/>
          <w:rtl/>
        </w:rPr>
        <w:t xml:space="preserve">") </w:t>
      </w:r>
      <w:r w:rsidRPr="00B65791">
        <w:rPr>
          <w:rtl/>
        </w:rPr>
        <w:t>ו</w:t>
      </w:r>
      <w:r>
        <w:rPr>
          <w:rFonts w:hint="cs"/>
          <w:rtl/>
        </w:rPr>
        <w:t>עבירות בנשק (רכישה והחזקה)</w:t>
      </w:r>
      <w:r w:rsidRPr="00B65791">
        <w:rPr>
          <w:rtl/>
        </w:rPr>
        <w:t xml:space="preserve">, לפי </w:t>
      </w:r>
      <w:hyperlink r:id="rId16" w:history="1">
        <w:r w:rsidR="000E0EDD" w:rsidRPr="000E0EDD">
          <w:rPr>
            <w:color w:val="0000FF"/>
            <w:u w:val="single"/>
            <w:rtl/>
          </w:rPr>
          <w:t>סעיף 144(א)</w:t>
        </w:r>
      </w:hyperlink>
      <w:r>
        <w:rPr>
          <w:rFonts w:hint="cs"/>
          <w:rtl/>
        </w:rPr>
        <w:t xml:space="preserve"> רישא וסיפא</w:t>
      </w:r>
      <w:r>
        <w:rPr>
          <w:rtl/>
        </w:rPr>
        <w:t xml:space="preserve"> לחוק העונשין</w:t>
      </w:r>
      <w:r>
        <w:rPr>
          <w:rFonts w:hint="cs"/>
          <w:rtl/>
        </w:rPr>
        <w:t xml:space="preserve"> (שתי עבירות). </w:t>
      </w:r>
    </w:p>
    <w:p w14:paraId="324571C6" w14:textId="77777777" w:rsidR="0009401E" w:rsidRDefault="0009401E" w:rsidP="0009401E">
      <w:pPr>
        <w:spacing w:after="240" w:line="360" w:lineRule="auto"/>
        <w:ind w:left="720" w:hanging="720"/>
        <w:jc w:val="both"/>
        <w:rPr>
          <w:rtl/>
        </w:rPr>
      </w:pPr>
      <w:r>
        <w:rPr>
          <w:rFonts w:hint="cs"/>
          <w:rtl/>
        </w:rPr>
        <w:t>4.</w:t>
      </w:r>
      <w:r>
        <w:rPr>
          <w:rFonts w:hint="cs"/>
          <w:rtl/>
        </w:rPr>
        <w:tab/>
      </w:r>
      <w:r w:rsidRPr="00B65791">
        <w:rPr>
          <w:rtl/>
        </w:rPr>
        <w:t>בעובדות האישום ה</w:t>
      </w:r>
      <w:r>
        <w:rPr>
          <w:rFonts w:hint="cs"/>
          <w:rtl/>
        </w:rPr>
        <w:t>שני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2013</w:t>
      </w:r>
      <w:r w:rsidRPr="00895012">
        <w:t xml:space="preserve"> </w:t>
      </w:r>
      <w:r>
        <w:rPr>
          <w:rFonts w:hint="cs"/>
          <w:rtl/>
        </w:rPr>
        <w:t xml:space="preserve">ביקש הנאשם מנסר שישיג עבורו נשק. נסר נעתר לבקשה, ובהמשך לכך הגיע לביתו של הנאשם כשהוא נושא ומוביל אקדח מסוג </w:t>
      </w:r>
      <w:r>
        <w:rPr>
          <w:rFonts w:hint="cs"/>
        </w:rPr>
        <w:t>FN</w:t>
      </w:r>
      <w:r>
        <w:rPr>
          <w:rFonts w:hint="cs"/>
          <w:rtl/>
        </w:rPr>
        <w:t>, מחסנית וכדורים תואמים, אותם רכש הנאשם תמורת 20,000 ₪. בהמשך רכש הנאשם מנסר שתי מחסניות נוספות וכן מאות כדורים בקוטר 9 מ"מ התואמים לאקדח ולמחסניות. בחלוף מספר חודשים, מכר הנאשם את האקדח וכן מחסנית אחת תמורת 19,000 ₪, והמשיך להחזיק בשתי המחסניות התואמות עד ליום 5.4.2017, במקום מסתור סמוך לביתו כשהן עטופות בפיסת בד. בגין אישום זה יוחסה לנאשם עבירה של סחר בנשק שלא כדין</w:t>
      </w:r>
      <w:r w:rsidRPr="00B65791">
        <w:rPr>
          <w:rtl/>
        </w:rPr>
        <w:t xml:space="preserve">, לפי </w:t>
      </w:r>
      <w:hyperlink r:id="rId17" w:history="1">
        <w:r w:rsidR="000E0EDD" w:rsidRPr="000E0EDD">
          <w:rPr>
            <w:color w:val="0000FF"/>
            <w:u w:val="single"/>
            <w:rtl/>
          </w:rPr>
          <w:t>סעיפים 144(ב2)+(ג)</w:t>
        </w:r>
      </w:hyperlink>
      <w:r>
        <w:rPr>
          <w:rFonts w:hint="cs"/>
          <w:rtl/>
        </w:rPr>
        <w:t xml:space="preserve"> </w:t>
      </w:r>
      <w:r w:rsidRPr="00B65791">
        <w:rPr>
          <w:rtl/>
        </w:rPr>
        <w:t>ל</w:t>
      </w:r>
      <w:hyperlink r:id="rId18" w:history="1">
        <w:r w:rsidR="0047431A" w:rsidRPr="0047431A">
          <w:rPr>
            <w:color w:val="0000FF"/>
            <w:u w:val="single"/>
            <w:rtl/>
          </w:rPr>
          <w:t>חוק העונשין</w:t>
        </w:r>
      </w:hyperlink>
      <w:r w:rsidRPr="00B65791">
        <w:rPr>
          <w:rtl/>
        </w:rPr>
        <w:t>, ו</w:t>
      </w:r>
      <w:r>
        <w:rPr>
          <w:rFonts w:hint="cs"/>
          <w:rtl/>
        </w:rPr>
        <w:t>עבירות בנשק (רכישה והחזקה)</w:t>
      </w:r>
      <w:r w:rsidRPr="00B65791">
        <w:rPr>
          <w:rtl/>
        </w:rPr>
        <w:t xml:space="preserve">, לפי </w:t>
      </w:r>
      <w:hyperlink r:id="rId19" w:history="1">
        <w:r w:rsidR="000E0EDD" w:rsidRPr="000E0EDD">
          <w:rPr>
            <w:color w:val="0000FF"/>
            <w:u w:val="single"/>
            <w:rtl/>
          </w:rPr>
          <w:t>סעיף 144(א)</w:t>
        </w:r>
      </w:hyperlink>
      <w:r>
        <w:rPr>
          <w:rtl/>
        </w:rPr>
        <w:t xml:space="preserve"> </w:t>
      </w:r>
      <w:r>
        <w:rPr>
          <w:rFonts w:hint="cs"/>
          <w:rtl/>
        </w:rPr>
        <w:t xml:space="preserve">רישא וסיפא </w:t>
      </w:r>
      <w:r>
        <w:rPr>
          <w:rtl/>
        </w:rPr>
        <w:t>לחוק העונשין</w:t>
      </w:r>
      <w:r>
        <w:rPr>
          <w:rFonts w:hint="cs"/>
          <w:rtl/>
        </w:rPr>
        <w:t xml:space="preserve"> (שתי עבירות).</w:t>
      </w:r>
    </w:p>
    <w:p w14:paraId="2D2A99F7" w14:textId="77777777" w:rsidR="0009401E" w:rsidRPr="00527EC9" w:rsidRDefault="0009401E" w:rsidP="0009401E">
      <w:pPr>
        <w:spacing w:after="240" w:line="360" w:lineRule="auto"/>
        <w:ind w:left="720" w:hanging="720"/>
        <w:jc w:val="both"/>
        <w:rPr>
          <w:rtl/>
        </w:rPr>
      </w:pPr>
      <w:r>
        <w:rPr>
          <w:rFonts w:hint="cs"/>
          <w:rtl/>
        </w:rPr>
        <w:t>5.</w:t>
      </w:r>
      <w:r>
        <w:rPr>
          <w:rFonts w:hint="cs"/>
          <w:rtl/>
        </w:rPr>
        <w:tab/>
      </w:r>
      <w:r w:rsidRPr="00B65791">
        <w:rPr>
          <w:rtl/>
        </w:rPr>
        <w:t>בעובדות האישום ה</w:t>
      </w:r>
      <w:r>
        <w:rPr>
          <w:rFonts w:hint="cs"/>
          <w:rtl/>
        </w:rPr>
        <w:t>שלישי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2015 רכש הנאשם ממוחמד, בעקבות הצעה של מוחמד, אקדח מצרי מסוג חלוואני (להלן: "</w:t>
      </w:r>
      <w:r>
        <w:rPr>
          <w:rFonts w:hint="cs"/>
          <w:b/>
          <w:bCs/>
          <w:rtl/>
        </w:rPr>
        <w:t>האקדח</w:t>
      </w:r>
      <w:r>
        <w:rPr>
          <w:rFonts w:hint="cs"/>
          <w:rtl/>
        </w:rPr>
        <w:t>") ושתי מחסניות ריקות תואמות, תמורת 14,000 ₪. מספר חודשים לאחר מכן ביקש הנאשם מנסר כי יאתר קונה לאקדח. נסר נענה לבקשה, ותיווך בין הנאשם לבין אחר, שרכש את האקדח, מחסנית ו-25 כדורי 9 מ"מ, תמורת 17,000 ₪. נסר מסר את האקדח, המחסנית והכדורים לקונה, קיבל מידיו את התמורה אותה העביר לנאשם והלה העביר לו 1,000 ₪ בעבור התיווך בעסקה. הנאשם המשיך להחזיק במחסנית הנוספת התואמת לאקדח עד ליום 5.4.2017 במקום מסתור סמוך לביתו כשהיא עטופה בפיסת בד. בגין אישום זה יוחסה לנאשם עבירה של סחר בנשק שלא כדין</w:t>
      </w:r>
      <w:r w:rsidRPr="00B65791">
        <w:rPr>
          <w:rtl/>
        </w:rPr>
        <w:t xml:space="preserve">, עבירה לפי </w:t>
      </w:r>
      <w:hyperlink r:id="rId20" w:history="1">
        <w:r w:rsidR="000E0EDD" w:rsidRPr="000E0EDD">
          <w:rPr>
            <w:color w:val="0000FF"/>
            <w:u w:val="single"/>
            <w:rtl/>
          </w:rPr>
          <w:t>סעיפים 144(ב2)+(ג)</w:t>
        </w:r>
      </w:hyperlink>
      <w:r>
        <w:rPr>
          <w:rFonts w:hint="cs"/>
          <w:rtl/>
        </w:rPr>
        <w:t xml:space="preserve"> </w:t>
      </w:r>
      <w:r w:rsidRPr="00B65791">
        <w:rPr>
          <w:rtl/>
        </w:rPr>
        <w:t>ל</w:t>
      </w:r>
      <w:hyperlink r:id="rId21" w:history="1">
        <w:r w:rsidR="0047431A" w:rsidRPr="0047431A">
          <w:rPr>
            <w:color w:val="0000FF"/>
            <w:u w:val="single"/>
            <w:rtl/>
          </w:rPr>
          <w:t>חוק העונשין</w:t>
        </w:r>
      </w:hyperlink>
      <w:r w:rsidRPr="00B65791">
        <w:rPr>
          <w:rtl/>
        </w:rPr>
        <w:t>, ו</w:t>
      </w:r>
      <w:r>
        <w:rPr>
          <w:rFonts w:hint="cs"/>
          <w:rtl/>
        </w:rPr>
        <w:t>עבירות בנשק (רכישה והחזקה)</w:t>
      </w:r>
      <w:r w:rsidRPr="00B65791">
        <w:rPr>
          <w:rtl/>
        </w:rPr>
        <w:t xml:space="preserve">, לפי </w:t>
      </w:r>
      <w:hyperlink r:id="rId22" w:history="1">
        <w:r w:rsidR="000E0EDD" w:rsidRPr="000E0EDD">
          <w:rPr>
            <w:color w:val="0000FF"/>
            <w:u w:val="single"/>
            <w:rtl/>
          </w:rPr>
          <w:t>סעיף 144(א)</w:t>
        </w:r>
      </w:hyperlink>
      <w:r>
        <w:rPr>
          <w:rtl/>
        </w:rPr>
        <w:t xml:space="preserve"> </w:t>
      </w:r>
      <w:r>
        <w:rPr>
          <w:rFonts w:hint="cs"/>
          <w:rtl/>
        </w:rPr>
        <w:t xml:space="preserve">רישא וסיפא </w:t>
      </w:r>
      <w:r>
        <w:rPr>
          <w:rtl/>
        </w:rPr>
        <w:t>לחוק העונשין</w:t>
      </w:r>
      <w:r>
        <w:rPr>
          <w:rFonts w:hint="cs"/>
          <w:rtl/>
        </w:rPr>
        <w:t xml:space="preserve"> (שתי עבירות). </w:t>
      </w:r>
    </w:p>
    <w:p w14:paraId="566154D2" w14:textId="77777777" w:rsidR="0009401E" w:rsidRPr="00527EC9" w:rsidRDefault="0009401E" w:rsidP="0009401E">
      <w:pPr>
        <w:spacing w:after="240" w:line="360" w:lineRule="auto"/>
        <w:ind w:left="720" w:hanging="720"/>
        <w:jc w:val="both"/>
        <w:rPr>
          <w:rtl/>
        </w:rPr>
      </w:pPr>
      <w:r>
        <w:rPr>
          <w:rFonts w:hint="cs"/>
          <w:rtl/>
        </w:rPr>
        <w:t>6.</w:t>
      </w:r>
      <w:r>
        <w:rPr>
          <w:rFonts w:hint="cs"/>
          <w:rtl/>
        </w:rPr>
        <w:tab/>
      </w:r>
      <w:r w:rsidRPr="00B65791">
        <w:rPr>
          <w:rtl/>
        </w:rPr>
        <w:t>בעובדות האישום ה</w:t>
      </w:r>
      <w:r>
        <w:rPr>
          <w:rFonts w:hint="cs"/>
          <w:rtl/>
        </w:rPr>
        <w:t>רביעי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2016 רכש הנאשם מאחר אקדח חצי אוטומטי מסוג</w:t>
      </w:r>
      <w:r w:rsidRPr="00A8710D">
        <w:t xml:space="preserve"> KOCH</w:t>
      </w:r>
      <w:r>
        <w:t xml:space="preserve"> </w:t>
      </w:r>
      <w:r>
        <w:rPr>
          <w:rFonts w:hint="cs"/>
          <w:rtl/>
        </w:rPr>
        <w:t xml:space="preserve"> &amp;</w:t>
      </w:r>
      <w:r>
        <w:rPr>
          <w:rFonts w:hint="cs"/>
        </w:rPr>
        <w:t xml:space="preserve"> H</w:t>
      </w:r>
      <w:r>
        <w:t>ECKLER</w:t>
      </w:r>
      <w:r>
        <w:rPr>
          <w:rFonts w:hint="cs"/>
        </w:rPr>
        <w:t xml:space="preserve"> </w:t>
      </w:r>
      <w:r>
        <w:rPr>
          <w:rFonts w:hint="cs"/>
          <w:rtl/>
        </w:rPr>
        <w:t xml:space="preserve">מודל </w:t>
      </w:r>
      <w:r>
        <w:rPr>
          <w:rFonts w:hint="cs"/>
        </w:rPr>
        <w:t>P7M13</w:t>
      </w:r>
      <w:r>
        <w:rPr>
          <w:rFonts w:hint="cs"/>
          <w:rtl/>
        </w:rPr>
        <w:t xml:space="preserve"> קליבר 9 מ"מ, תמורת 17,000 ₪.</w:t>
      </w:r>
      <w:r w:rsidRPr="003F4533">
        <w:rPr>
          <w:rFonts w:hint="cs"/>
          <w:rtl/>
        </w:rPr>
        <w:t xml:space="preserve"> </w:t>
      </w:r>
      <w:r>
        <w:rPr>
          <w:rFonts w:hint="cs"/>
          <w:rtl/>
        </w:rPr>
        <w:t>הנאשם החזיק באקדח זה עד ליום 5.4.2017 במקום מסתור סמוך לביתו.</w:t>
      </w:r>
      <w:r>
        <w:rPr>
          <w:rtl/>
        </w:rPr>
        <w:tab/>
      </w:r>
      <w:r>
        <w:rPr>
          <w:rFonts w:hint="cs"/>
          <w:rtl/>
        </w:rPr>
        <w:t xml:space="preserve">בגין אישום זה </w:t>
      </w:r>
      <w:r>
        <w:rPr>
          <w:rFonts w:hint="cs"/>
          <w:rtl/>
        </w:rPr>
        <w:lastRenderedPageBreak/>
        <w:t>יוחסו לנאשם עבירות בנשק (רכישה והחזקה)</w:t>
      </w:r>
      <w:r w:rsidRPr="00B65791">
        <w:rPr>
          <w:rtl/>
        </w:rPr>
        <w:t xml:space="preserve">, לפי </w:t>
      </w:r>
      <w:hyperlink r:id="rId23" w:history="1">
        <w:r w:rsidR="000E0EDD" w:rsidRPr="000E0EDD">
          <w:rPr>
            <w:color w:val="0000FF"/>
            <w:u w:val="single"/>
            <w:rtl/>
          </w:rPr>
          <w:t>סעיף 144(א)</w:t>
        </w:r>
      </w:hyperlink>
      <w:r>
        <w:rPr>
          <w:rtl/>
        </w:rPr>
        <w:t xml:space="preserve"> </w:t>
      </w:r>
      <w:r>
        <w:rPr>
          <w:rFonts w:hint="cs"/>
          <w:rtl/>
        </w:rPr>
        <w:t xml:space="preserve">רישא </w:t>
      </w:r>
      <w:r>
        <w:rPr>
          <w:rtl/>
        </w:rPr>
        <w:t>ל</w:t>
      </w:r>
      <w:hyperlink r:id="rId24" w:history="1">
        <w:r w:rsidR="0047431A" w:rsidRPr="0047431A">
          <w:rPr>
            <w:color w:val="0000FF"/>
            <w:u w:val="single"/>
            <w:rtl/>
          </w:rPr>
          <w:t>חוק העונשין</w:t>
        </w:r>
      </w:hyperlink>
      <w:r>
        <w:rPr>
          <w:rFonts w:hint="cs"/>
          <w:rtl/>
        </w:rPr>
        <w:t xml:space="preserve"> (שתי עבירות). </w:t>
      </w:r>
    </w:p>
    <w:p w14:paraId="6EFFF00D" w14:textId="77777777" w:rsidR="0009401E" w:rsidRPr="004029B4" w:rsidRDefault="0009401E" w:rsidP="0009401E">
      <w:pPr>
        <w:spacing w:after="240" w:line="360" w:lineRule="auto"/>
        <w:ind w:left="720" w:hanging="720"/>
        <w:jc w:val="both"/>
        <w:rPr>
          <w:rtl/>
        </w:rPr>
      </w:pPr>
      <w:r>
        <w:rPr>
          <w:rFonts w:hint="cs"/>
          <w:rtl/>
        </w:rPr>
        <w:t>7.</w:t>
      </w:r>
      <w:r>
        <w:rPr>
          <w:rFonts w:hint="cs"/>
          <w:rtl/>
        </w:rPr>
        <w:tab/>
      </w:r>
      <w:r w:rsidRPr="00B65791">
        <w:rPr>
          <w:rtl/>
        </w:rPr>
        <w:t>באישום ה</w:t>
      </w:r>
      <w:r>
        <w:rPr>
          <w:rFonts w:hint="cs"/>
          <w:rtl/>
        </w:rPr>
        <w:t>חמישי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2013 רכש הנאשם מאחר שני רימוני הלם תמורת 800 ₪. בסוף שנת 2015 מכר הנאשם לנסר, לפי בקשתו של נסר, את רימוני ההלם בשל סכסוך אליו נקלע האחרון, תמורת קיזוז חוב של הנאשם לנסר בסך 400 ₪. הנאשם מסר את הרימונים לנסר. באישום זה יחסה המאשימה לנאשם עבירה של סחר בנשק שלא כדין</w:t>
      </w:r>
      <w:r w:rsidRPr="00B65791">
        <w:rPr>
          <w:rtl/>
        </w:rPr>
        <w:t xml:space="preserve">, עבירה לפי </w:t>
      </w:r>
      <w:hyperlink r:id="rId25" w:history="1">
        <w:r w:rsidR="000E0EDD" w:rsidRPr="000E0EDD">
          <w:rPr>
            <w:color w:val="0000FF"/>
            <w:u w:val="single"/>
            <w:rtl/>
          </w:rPr>
          <w:t>סעיפים 144(ב2)+(ג)</w:t>
        </w:r>
      </w:hyperlink>
      <w:r>
        <w:rPr>
          <w:rFonts w:hint="cs"/>
          <w:rtl/>
        </w:rPr>
        <w:t xml:space="preserve"> </w:t>
      </w:r>
      <w:r w:rsidRPr="00B65791">
        <w:rPr>
          <w:rtl/>
        </w:rPr>
        <w:t>ל</w:t>
      </w:r>
      <w:hyperlink r:id="rId26" w:history="1">
        <w:r w:rsidR="0047431A" w:rsidRPr="0047431A">
          <w:rPr>
            <w:color w:val="0000FF"/>
            <w:u w:val="single"/>
            <w:rtl/>
          </w:rPr>
          <w:t>חוק העונשין</w:t>
        </w:r>
      </w:hyperlink>
      <w:r w:rsidRPr="00B65791">
        <w:rPr>
          <w:rtl/>
        </w:rPr>
        <w:t>, ו</w:t>
      </w:r>
      <w:r>
        <w:rPr>
          <w:rFonts w:hint="cs"/>
          <w:rtl/>
        </w:rPr>
        <w:t>עבירות בנשק (רכישה והחזקה)</w:t>
      </w:r>
      <w:r w:rsidRPr="00B65791">
        <w:rPr>
          <w:rtl/>
        </w:rPr>
        <w:t xml:space="preserve">, לפי </w:t>
      </w:r>
      <w:hyperlink r:id="rId27" w:history="1">
        <w:r w:rsidR="000E0EDD" w:rsidRPr="000E0EDD">
          <w:rPr>
            <w:color w:val="0000FF"/>
            <w:u w:val="single"/>
            <w:rtl/>
          </w:rPr>
          <w:t>סעיף 144(א)</w:t>
        </w:r>
      </w:hyperlink>
      <w:r>
        <w:rPr>
          <w:rtl/>
        </w:rPr>
        <w:t xml:space="preserve"> </w:t>
      </w:r>
      <w:r>
        <w:rPr>
          <w:rFonts w:hint="cs"/>
          <w:rtl/>
        </w:rPr>
        <w:t xml:space="preserve">רישא </w:t>
      </w:r>
      <w:r>
        <w:rPr>
          <w:rtl/>
        </w:rPr>
        <w:t>לחוק העונשין</w:t>
      </w:r>
      <w:r>
        <w:rPr>
          <w:rFonts w:hint="cs"/>
          <w:rtl/>
        </w:rPr>
        <w:t>.</w:t>
      </w:r>
    </w:p>
    <w:p w14:paraId="6BA914E9" w14:textId="77777777" w:rsidR="0009401E" w:rsidRDefault="0009401E" w:rsidP="0009401E">
      <w:pPr>
        <w:spacing w:after="240" w:line="360" w:lineRule="auto"/>
        <w:ind w:left="720" w:hanging="720"/>
        <w:jc w:val="both"/>
        <w:rPr>
          <w:rtl/>
        </w:rPr>
      </w:pPr>
      <w:r>
        <w:rPr>
          <w:rFonts w:hint="cs"/>
          <w:rtl/>
        </w:rPr>
        <w:t>8.</w:t>
      </w:r>
      <w:r>
        <w:rPr>
          <w:rtl/>
        </w:rPr>
        <w:tab/>
      </w:r>
      <w:r w:rsidRPr="00B65791">
        <w:rPr>
          <w:rtl/>
        </w:rPr>
        <w:t>בעובדות האישום ה</w:t>
      </w:r>
      <w:r>
        <w:rPr>
          <w:rFonts w:hint="cs"/>
          <w:rtl/>
        </w:rPr>
        <w:t>שישי</w:t>
      </w:r>
      <w:r w:rsidRPr="00B65791">
        <w:rPr>
          <w:rtl/>
        </w:rPr>
        <w:t xml:space="preserve"> נאמר כי </w:t>
      </w:r>
      <w:r w:rsidRPr="00895012">
        <w:rPr>
          <w:rFonts w:hint="cs"/>
          <w:rtl/>
        </w:rPr>
        <w:t>במהלך</w:t>
      </w:r>
      <w:r w:rsidRPr="00895012">
        <w:t xml:space="preserve"> </w:t>
      </w:r>
      <w:r w:rsidRPr="00895012">
        <w:rPr>
          <w:rFonts w:hint="cs"/>
          <w:rtl/>
        </w:rPr>
        <w:t>שנת</w:t>
      </w:r>
      <w:r>
        <w:rPr>
          <w:rFonts w:hint="cs"/>
          <w:rtl/>
        </w:rPr>
        <w:t xml:space="preserve"> 2016 הציע נסר לנאשם לרכוש אקדח מסוג </w:t>
      </w:r>
      <w:r>
        <w:rPr>
          <w:rFonts w:hint="cs"/>
        </w:rPr>
        <w:t>CZ</w:t>
      </w:r>
      <w:r>
        <w:rPr>
          <w:rFonts w:hint="cs"/>
          <w:rtl/>
        </w:rPr>
        <w:t xml:space="preserve"> תמורת 12,500 ₪ והנאשם הסכים. נסר שילם סך 9,000 ₪ תמורת האקדח והנאשם שילם את היתרה. בגין מעשים אלה יוחסה לנאשם עבירת סיוע לעבירות בנשק (רכישה)</w:t>
      </w:r>
      <w:r w:rsidRPr="00B65791">
        <w:rPr>
          <w:rtl/>
        </w:rPr>
        <w:t xml:space="preserve">, לפי </w:t>
      </w:r>
      <w:hyperlink r:id="rId28" w:history="1">
        <w:r w:rsidR="000E0EDD" w:rsidRPr="000E0EDD">
          <w:rPr>
            <w:color w:val="0000FF"/>
            <w:u w:val="single"/>
            <w:rtl/>
          </w:rPr>
          <w:t>סעיף 144(א)</w:t>
        </w:r>
      </w:hyperlink>
      <w:r>
        <w:rPr>
          <w:rtl/>
        </w:rPr>
        <w:t xml:space="preserve"> </w:t>
      </w:r>
      <w:r>
        <w:rPr>
          <w:rFonts w:hint="cs"/>
          <w:rtl/>
        </w:rPr>
        <w:t>רישא +</w:t>
      </w:r>
      <w:hyperlink r:id="rId29" w:history="1">
        <w:r w:rsidR="000E0EDD" w:rsidRPr="000E0EDD">
          <w:rPr>
            <w:color w:val="0000FF"/>
            <w:u w:val="single"/>
            <w:rtl/>
          </w:rPr>
          <w:t>31</w:t>
        </w:r>
      </w:hyperlink>
      <w:r>
        <w:rPr>
          <w:rFonts w:hint="cs"/>
          <w:rtl/>
        </w:rPr>
        <w:t xml:space="preserve"> </w:t>
      </w:r>
      <w:r>
        <w:rPr>
          <w:rtl/>
        </w:rPr>
        <w:t>ל</w:t>
      </w:r>
      <w:hyperlink r:id="rId30" w:history="1">
        <w:r w:rsidR="0047431A" w:rsidRPr="0047431A">
          <w:rPr>
            <w:color w:val="0000FF"/>
            <w:u w:val="single"/>
            <w:rtl/>
          </w:rPr>
          <w:t>חוק העונשין</w:t>
        </w:r>
      </w:hyperlink>
      <w:r>
        <w:rPr>
          <w:rFonts w:hint="cs"/>
          <w:rtl/>
        </w:rPr>
        <w:t>.</w:t>
      </w:r>
    </w:p>
    <w:p w14:paraId="509427F4" w14:textId="77777777" w:rsidR="0009401E" w:rsidRDefault="0009401E" w:rsidP="0009401E">
      <w:pPr>
        <w:spacing w:after="240" w:line="360" w:lineRule="auto"/>
        <w:ind w:left="720" w:hanging="720"/>
        <w:jc w:val="both"/>
        <w:rPr>
          <w:rtl/>
        </w:rPr>
      </w:pPr>
      <w:r>
        <w:rPr>
          <w:rtl/>
        </w:rPr>
        <w:tab/>
      </w:r>
      <w:r>
        <w:rPr>
          <w:rFonts w:hint="cs"/>
          <w:rtl/>
        </w:rPr>
        <w:t>עד כאן עובדות כתב האישום.</w:t>
      </w:r>
    </w:p>
    <w:p w14:paraId="5ECD987A" w14:textId="77777777" w:rsidR="0009401E" w:rsidRDefault="0009401E" w:rsidP="0009401E">
      <w:pPr>
        <w:spacing w:after="240" w:line="360" w:lineRule="auto"/>
        <w:ind w:left="720" w:hanging="720"/>
        <w:jc w:val="both"/>
        <w:rPr>
          <w:rtl/>
        </w:rPr>
      </w:pPr>
      <w:r>
        <w:rPr>
          <w:rFonts w:hint="cs"/>
          <w:rtl/>
        </w:rPr>
        <w:t>9.</w:t>
      </w:r>
      <w:r>
        <w:rPr>
          <w:rFonts w:hint="cs"/>
          <w:rtl/>
        </w:rPr>
        <w:tab/>
        <w:t xml:space="preserve">לאחר שהתקיימו שתי ישיבות הוכחות ונשמעו חמישה עדים, הודיעו הצדדים ביום 15.2.2018 </w:t>
      </w:r>
      <w:r w:rsidRPr="000614D7">
        <w:rPr>
          <w:rtl/>
        </w:rPr>
        <w:t xml:space="preserve">כי הגיעו להסדר טיעון </w:t>
      </w:r>
      <w:r>
        <w:rPr>
          <w:rFonts w:hint="cs"/>
          <w:rtl/>
        </w:rPr>
        <w:t xml:space="preserve">כמפורט לעיל. בהתאם להסדר הטיעון </w:t>
      </w:r>
      <w:r w:rsidRPr="000614D7">
        <w:rPr>
          <w:rtl/>
        </w:rPr>
        <w:t>חזר בו הנאשם מכפירתו ו</w:t>
      </w:r>
      <w:r>
        <w:rPr>
          <w:rFonts w:hint="cs"/>
          <w:rtl/>
        </w:rPr>
        <w:t>ה</w:t>
      </w:r>
      <w:r w:rsidRPr="000614D7">
        <w:rPr>
          <w:rtl/>
        </w:rPr>
        <w:t>ודה ב</w:t>
      </w:r>
      <w:r>
        <w:rPr>
          <w:rFonts w:hint="cs"/>
          <w:rtl/>
        </w:rPr>
        <w:t>מיוחס לו כאמור, והורשע על סמך הודייתו. לבקשת ב"כ הנאשם, הוריתי על עריכת תסקיר בטרם שמיעת הטיעונים לעונש.</w:t>
      </w:r>
    </w:p>
    <w:p w14:paraId="105F5C30" w14:textId="77777777" w:rsidR="0009401E" w:rsidRPr="00BE75EF" w:rsidRDefault="0009401E" w:rsidP="0009401E">
      <w:pPr>
        <w:spacing w:line="360" w:lineRule="auto"/>
        <w:ind w:left="567" w:hanging="567"/>
        <w:jc w:val="both"/>
      </w:pPr>
      <w:r w:rsidRPr="00BE75EF">
        <w:rPr>
          <w:rFonts w:ascii="David" w:hAnsi="David" w:hint="cs"/>
          <w:u w:val="single"/>
          <w:rtl/>
        </w:rPr>
        <w:t>תסקיר</w:t>
      </w:r>
      <w:r>
        <w:rPr>
          <w:rFonts w:ascii="David" w:hAnsi="David" w:hint="cs"/>
          <w:u w:val="single"/>
          <w:rtl/>
        </w:rPr>
        <w:t xml:space="preserve"> שירות המבחן </w:t>
      </w:r>
    </w:p>
    <w:p w14:paraId="35604513" w14:textId="77777777" w:rsidR="0009401E" w:rsidRPr="00F1590A" w:rsidRDefault="0047431A" w:rsidP="0009401E">
      <w:pPr>
        <w:spacing w:line="360" w:lineRule="auto"/>
        <w:ind w:left="567" w:hanging="567"/>
        <w:jc w:val="both"/>
        <w:rPr>
          <w:sz w:val="12"/>
          <w:szCs w:val="12"/>
          <w:rtl/>
        </w:rPr>
      </w:pPr>
      <w:r>
        <w:rPr>
          <w:rFonts w:ascii="David" w:hAnsi="David" w:hint="cs"/>
          <w:sz w:val="12"/>
          <w:szCs w:val="12"/>
          <w:rtl/>
        </w:rPr>
        <w:t xml:space="preserve"> </w:t>
      </w:r>
    </w:p>
    <w:p w14:paraId="4946C71D" w14:textId="77777777" w:rsidR="0009401E" w:rsidRDefault="0009401E" w:rsidP="0009401E">
      <w:pPr>
        <w:spacing w:after="240" w:line="360" w:lineRule="auto"/>
        <w:ind w:left="720" w:hanging="720"/>
        <w:jc w:val="both"/>
        <w:rPr>
          <w:rtl/>
        </w:rPr>
      </w:pPr>
      <w:r>
        <w:rPr>
          <w:rFonts w:hint="cs"/>
          <w:rtl/>
        </w:rPr>
        <w:t>10</w:t>
      </w:r>
      <w:r w:rsidRPr="00BE75EF">
        <w:rPr>
          <w:rFonts w:hint="cs"/>
          <w:rtl/>
        </w:rPr>
        <w:t>.</w:t>
      </w:r>
      <w:r w:rsidRPr="00BE75EF">
        <w:rPr>
          <w:rFonts w:hint="cs"/>
          <w:rtl/>
        </w:rPr>
        <w:tab/>
      </w:r>
      <w:r w:rsidRPr="008D3D56">
        <w:rPr>
          <w:rFonts w:hint="cs"/>
          <w:rtl/>
        </w:rPr>
        <w:t xml:space="preserve">בתסקיר שירות המבחן מיום </w:t>
      </w:r>
      <w:r>
        <w:rPr>
          <w:rFonts w:hint="cs"/>
          <w:rtl/>
        </w:rPr>
        <w:t>27</w:t>
      </w:r>
      <w:r w:rsidRPr="008D3D56">
        <w:rPr>
          <w:rFonts w:hint="cs"/>
          <w:rtl/>
        </w:rPr>
        <w:t>.</w:t>
      </w:r>
      <w:r>
        <w:rPr>
          <w:rFonts w:hint="cs"/>
          <w:rtl/>
        </w:rPr>
        <w:t>3</w:t>
      </w:r>
      <w:r w:rsidRPr="008D3D56">
        <w:rPr>
          <w:rFonts w:hint="cs"/>
          <w:rtl/>
        </w:rPr>
        <w:t>.201</w:t>
      </w:r>
      <w:r>
        <w:rPr>
          <w:rFonts w:hint="cs"/>
          <w:rtl/>
        </w:rPr>
        <w:t>8</w:t>
      </w:r>
      <w:r w:rsidRPr="008D3D56">
        <w:rPr>
          <w:rFonts w:hint="cs"/>
          <w:rtl/>
        </w:rPr>
        <w:t xml:space="preserve"> </w:t>
      </w:r>
      <w:r>
        <w:rPr>
          <w:rFonts w:hint="cs"/>
          <w:rtl/>
        </w:rPr>
        <w:t>צוין</w:t>
      </w:r>
      <w:r w:rsidRPr="008D3D56">
        <w:rPr>
          <w:rFonts w:hint="cs"/>
          <w:rtl/>
        </w:rPr>
        <w:t xml:space="preserve"> כי </w:t>
      </w:r>
      <w:r>
        <w:rPr>
          <w:rFonts w:hint="cs"/>
          <w:rtl/>
        </w:rPr>
        <w:t>הנאשם הינו תושב דיר חנא, בן 32, נשוי ואב לשני ילדים - הבכור בן 4 שנים והצעיר בן שנה. טרם מעצרו היה הנאשם -  לדבריו - בעל עסק מורשה ושתי חברות בתחום העפר, בהם הועסקו 12 עובדים.</w:t>
      </w:r>
    </w:p>
    <w:p w14:paraId="3B517BE0" w14:textId="77777777" w:rsidR="0009401E" w:rsidRDefault="0009401E" w:rsidP="0009401E">
      <w:pPr>
        <w:spacing w:after="240" w:line="360" w:lineRule="auto"/>
        <w:ind w:left="720" w:hanging="720"/>
        <w:jc w:val="both"/>
        <w:rPr>
          <w:rtl/>
        </w:rPr>
      </w:pPr>
      <w:r>
        <w:rPr>
          <w:rtl/>
        </w:rPr>
        <w:tab/>
      </w:r>
      <w:r>
        <w:rPr>
          <w:rFonts w:hint="cs"/>
          <w:rtl/>
        </w:rPr>
        <w:t>בתיאוריו את מישורי חייו השונים,  הציג הנאשם עצמו כאדם מלומד שגדל במשפחה בעלת ערכים מסורתיים, הידועה בשמה הטוב באזור ונעדרת כל מעורבות בפלילים</w:t>
      </w:r>
    </w:p>
    <w:p w14:paraId="400A2022" w14:textId="77777777" w:rsidR="0009401E" w:rsidRDefault="0009401E" w:rsidP="0009401E">
      <w:pPr>
        <w:spacing w:after="240" w:line="360" w:lineRule="auto"/>
        <w:ind w:left="720" w:hanging="720"/>
        <w:jc w:val="both"/>
        <w:rPr>
          <w:rtl/>
        </w:rPr>
      </w:pPr>
      <w:r>
        <w:rPr>
          <w:rFonts w:hint="cs"/>
          <w:rtl/>
        </w:rPr>
        <w:t>11.</w:t>
      </w:r>
      <w:r w:rsidRPr="008D3D56">
        <w:rPr>
          <w:rFonts w:hint="cs"/>
          <w:rtl/>
        </w:rPr>
        <w:tab/>
      </w:r>
      <w:r>
        <w:rPr>
          <w:rFonts w:hint="cs"/>
          <w:rtl/>
        </w:rPr>
        <w:t xml:space="preserve">לחובתו של הנאשם הרשעה משנת 2002 בעבירות בטחון, בגינן נדון למאסר בן 9 שנים, אותו ריצה עד לשנת 2010. בהתייחס להרשעתו הנ"ל ציין הנאשם בפני קצינת המבחן, כי עבר שטיפת מוח וכי התפתה לבצע את העבירות על רקע גילו הצעיר, הפיתוי הכספי והכרה לאומית וחברתית. כן הוסיף, כי עם השלמת תקופת מאסרו, הוא ניתק את קשריו הפוליטיים, הפך לאדם שומר מצוות ומסורת, דבר שהוביל להתמתנות בהשקפת עולמו. צוין כי במהלך תקופת מאסרו השלים הנאשם את לימודיו וסיים תואר ראשון בלימודי דת האיסלאם ותואר שני בתקשורת. </w:t>
      </w:r>
    </w:p>
    <w:p w14:paraId="5F7F976F" w14:textId="77777777" w:rsidR="0009401E" w:rsidRDefault="0009401E" w:rsidP="0009401E">
      <w:pPr>
        <w:spacing w:after="240" w:line="360" w:lineRule="auto"/>
        <w:ind w:left="720" w:hanging="720"/>
        <w:jc w:val="both"/>
        <w:rPr>
          <w:rtl/>
        </w:rPr>
      </w:pPr>
      <w:r>
        <w:rPr>
          <w:rFonts w:hint="cs"/>
          <w:rtl/>
        </w:rPr>
        <w:t xml:space="preserve"> 12.</w:t>
      </w:r>
      <w:r>
        <w:rPr>
          <w:rFonts w:hint="cs"/>
          <w:rtl/>
        </w:rPr>
        <w:tab/>
        <w:t xml:space="preserve">בהתייחס לתנאי מעצרו כיום, תיאר הנאשם קושי רגשי הנובע מחוויות מתקופת מאסרו, שכללה, לדבריו, התנכלויות ואלימות. לדבריו, מאז נעצר, הקשיים הרגשיים אותם נשא ולא שיתף בהם איש, עולים ומציפים אותו. </w:t>
      </w:r>
    </w:p>
    <w:p w14:paraId="3CE16A6C" w14:textId="77777777" w:rsidR="0009401E" w:rsidRDefault="0009401E" w:rsidP="0009401E">
      <w:pPr>
        <w:spacing w:after="240" w:line="360" w:lineRule="auto"/>
        <w:ind w:left="720" w:hanging="720"/>
        <w:jc w:val="both"/>
      </w:pPr>
    </w:p>
    <w:p w14:paraId="2EBC76B2" w14:textId="77777777" w:rsidR="0009401E" w:rsidRDefault="0009401E" w:rsidP="0009401E">
      <w:pPr>
        <w:spacing w:after="240" w:line="360" w:lineRule="auto"/>
        <w:ind w:left="720" w:hanging="720"/>
        <w:jc w:val="both"/>
        <w:rPr>
          <w:rtl/>
        </w:rPr>
      </w:pPr>
    </w:p>
    <w:p w14:paraId="0F224CC1" w14:textId="77777777" w:rsidR="0009401E" w:rsidRDefault="0009401E" w:rsidP="0009401E">
      <w:pPr>
        <w:spacing w:after="240" w:line="360" w:lineRule="auto"/>
        <w:ind w:left="720" w:hanging="720"/>
        <w:jc w:val="both"/>
        <w:rPr>
          <w:rtl/>
        </w:rPr>
      </w:pPr>
      <w:r>
        <w:rPr>
          <w:rFonts w:hint="cs"/>
          <w:rtl/>
        </w:rPr>
        <w:t>13.</w:t>
      </w:r>
      <w:r>
        <w:rPr>
          <w:rFonts w:hint="cs"/>
          <w:rtl/>
        </w:rPr>
        <w:tab/>
        <w:t xml:space="preserve">באשר לעבירות נשוא דיון זה, ציין שירות המבחן כי הנאשם נוטל אמנם אחריות למעורבותו בהן, ומביע צער וחרטה מילולית בהתייחס לביצוען והשלכותיהן, אך מתקשה לבצע התבוננות פנימית באשר למניעים שהובילו אותו לבצען ולמשמעויות הכרוכות בהן. לדבריו, רכישת הנשק נעשתה על רקע הגנה עצמית כבעל עסק ומתוך רצון לזכות בתחושת בטחון, לאחר שלדבריו חווה מספר גניבות, איומים וסחיטה מצד גורמים שונים, ולא קיבל מענה וסיוע מגורמי אכיפת החוק עד שנאלץ לפנות לפתרון אישי על דרך של רכישת הנשק נשוא הדיון. את מכירת הנשק הסביר הנאשם על רקע הצורך בהחלפה לנשק חדיש יותר תוך ששלל שיקולי רווח. </w:t>
      </w:r>
    </w:p>
    <w:p w14:paraId="31E74388" w14:textId="77777777" w:rsidR="0009401E" w:rsidRDefault="0009401E" w:rsidP="0009401E">
      <w:pPr>
        <w:spacing w:after="240" w:line="360" w:lineRule="auto"/>
        <w:ind w:left="720" w:hanging="720"/>
        <w:jc w:val="both"/>
        <w:rPr>
          <w:rtl/>
        </w:rPr>
      </w:pPr>
      <w:r>
        <w:rPr>
          <w:rFonts w:hint="cs"/>
          <w:rtl/>
        </w:rPr>
        <w:t>14.</w:t>
      </w:r>
      <w:r>
        <w:rPr>
          <w:rFonts w:hint="cs"/>
          <w:rtl/>
        </w:rPr>
        <w:tab/>
        <w:t xml:space="preserve">קצינת המבחן ציינה כי מדובר באדם בעל יכולות ורבאליות וקוגניטיביות ברמה גבוהה. נאמר כי לאחר מאסרו הראשון, הוא תאר יכולת ליציבות והתפתחות תעסוקתית גבוהה, במקביל להתמסדותו המשפחתית. יחד עם זאת ניכר באופן בולט פער בין שאיפות נורמטיביות למצוינות וריצוי המשפחה, לבין מעורבותו בפלילים בעבירות נשנות וחמורות. פער זה לצד עמדותיו המצמצמות ממעורבותו בסחר בנשק, מקשה על הבנת מניעיו של הנאשם והגורמים שברקע ביצוע העבירות. </w:t>
      </w:r>
    </w:p>
    <w:p w14:paraId="101693D2" w14:textId="77777777" w:rsidR="0009401E" w:rsidRDefault="0009401E" w:rsidP="0009401E">
      <w:pPr>
        <w:spacing w:after="240" w:line="360" w:lineRule="auto"/>
        <w:ind w:left="720"/>
        <w:jc w:val="both"/>
        <w:rPr>
          <w:rtl/>
        </w:rPr>
      </w:pPr>
      <w:r>
        <w:rPr>
          <w:rFonts w:hint="cs"/>
          <w:rtl/>
        </w:rPr>
        <w:t>שירות המבחן הוסיף כי על אף השתדלותו של הנאשם להציג מניעים קוגניטיביים שעמדו ברקע לעבירות, כגון צורך בכסף להפעלת העסק, איומים וכו'  ניכר כי בביצוען יש חזרתיות והיעדר יכולת מספקת להצבת גבול לעצמו ולאחר. כן צוין, כי ההתנהלות האמורה מראה על קיום קשרים שוליים ובעייתיות בשיקול הדעת, הידועים כגורמים מגבירי סיכון להישנות מעורבות חוזרת בפלילים. על סמך האמור העריך שירות המבחן כי הסיכוי לשיקום אינו מספק, וכי קיימת רמת סיכון גבוהה להישנות התנהגות עוברת חוק בעתיד.</w:t>
      </w:r>
    </w:p>
    <w:p w14:paraId="4D31A9D8" w14:textId="77777777" w:rsidR="0009401E" w:rsidRDefault="0009401E" w:rsidP="0009401E">
      <w:pPr>
        <w:spacing w:after="240" w:line="360" w:lineRule="auto"/>
        <w:ind w:left="720" w:hanging="720"/>
        <w:jc w:val="both"/>
        <w:rPr>
          <w:rtl/>
        </w:rPr>
      </w:pPr>
      <w:r>
        <w:rPr>
          <w:rFonts w:hint="cs"/>
          <w:rtl/>
        </w:rPr>
        <w:t>15.</w:t>
      </w:r>
      <w:r>
        <w:rPr>
          <w:rFonts w:hint="cs"/>
          <w:rtl/>
        </w:rPr>
        <w:tab/>
      </w:r>
      <w:r w:rsidRPr="008D3D56">
        <w:rPr>
          <w:rFonts w:hint="cs"/>
          <w:rtl/>
        </w:rPr>
        <w:t xml:space="preserve">נוכח </w:t>
      </w:r>
      <w:r>
        <w:rPr>
          <w:rFonts w:hint="cs"/>
          <w:rtl/>
        </w:rPr>
        <w:t>האמור</w:t>
      </w:r>
      <w:r w:rsidRPr="008D3D56">
        <w:rPr>
          <w:rFonts w:hint="cs"/>
          <w:rtl/>
        </w:rPr>
        <w:t xml:space="preserve">, לא בא </w:t>
      </w:r>
      <w:r>
        <w:rPr>
          <w:rFonts w:hint="cs"/>
          <w:rtl/>
        </w:rPr>
        <w:t>שירות המבחן בהמלצה טיפולית לגבי הנאשם, תוך שקבע כי קיים צורך בענישה מוחשית, שתחדד עבורו את הגבולות ותהווה גורם מרתיע בפני ביצוע עבירות דומות בעתיד.</w:t>
      </w:r>
    </w:p>
    <w:p w14:paraId="054D930C" w14:textId="77777777" w:rsidR="0009401E" w:rsidRPr="003D31C5" w:rsidRDefault="0009401E" w:rsidP="0009401E">
      <w:pPr>
        <w:spacing w:after="240" w:line="360" w:lineRule="auto"/>
        <w:jc w:val="both"/>
        <w:rPr>
          <w:u w:val="single"/>
        </w:rPr>
      </w:pPr>
      <w:r>
        <w:rPr>
          <w:rFonts w:hint="cs"/>
          <w:u w:val="single"/>
          <w:rtl/>
        </w:rPr>
        <w:t>ראיות הצדדים לעונש</w:t>
      </w:r>
    </w:p>
    <w:p w14:paraId="0C0EE318" w14:textId="77777777" w:rsidR="0009401E" w:rsidRDefault="0009401E" w:rsidP="0009401E">
      <w:pPr>
        <w:spacing w:after="240" w:line="360" w:lineRule="auto"/>
        <w:ind w:left="720" w:hanging="720"/>
        <w:jc w:val="both"/>
        <w:rPr>
          <w:rtl/>
        </w:rPr>
      </w:pPr>
      <w:r>
        <w:rPr>
          <w:rFonts w:hint="cs"/>
          <w:rtl/>
        </w:rPr>
        <w:t>16.</w:t>
      </w:r>
      <w:r>
        <w:rPr>
          <w:rFonts w:hint="cs"/>
          <w:rtl/>
        </w:rPr>
        <w:tab/>
        <w:t xml:space="preserve">בטרם נשמעו טיעוני הצדדים לעונש הוגשו ראיותיהם. </w:t>
      </w:r>
    </w:p>
    <w:p w14:paraId="322AB7E2" w14:textId="77777777" w:rsidR="0009401E" w:rsidRDefault="0009401E" w:rsidP="0009401E">
      <w:pPr>
        <w:spacing w:after="240" w:line="360" w:lineRule="auto"/>
        <w:ind w:left="720"/>
        <w:jc w:val="both"/>
        <w:rPr>
          <w:rtl/>
        </w:rPr>
      </w:pPr>
      <w:r>
        <w:rPr>
          <w:rFonts w:hint="cs"/>
          <w:rtl/>
        </w:rPr>
        <w:t>המאשימה הציגה את המרשם הפלילי של הנאשם (מע/1) ממנו עולה כי לחובתו הרשעה מ</w:t>
      </w:r>
      <w:r w:rsidRPr="00B129E3">
        <w:rPr>
          <w:rFonts w:hint="cs"/>
          <w:rtl/>
        </w:rPr>
        <w:t>ב</w:t>
      </w:r>
      <w:r>
        <w:rPr>
          <w:rFonts w:hint="cs"/>
          <w:rtl/>
        </w:rPr>
        <w:t>י</w:t>
      </w:r>
      <w:r w:rsidRPr="00B129E3">
        <w:rPr>
          <w:rFonts w:hint="cs"/>
          <w:rtl/>
        </w:rPr>
        <w:t xml:space="preserve">ת </w:t>
      </w:r>
      <w:r>
        <w:rPr>
          <w:rFonts w:hint="cs"/>
          <w:rtl/>
        </w:rPr>
        <w:t>ה</w:t>
      </w:r>
      <w:r w:rsidRPr="00B129E3">
        <w:rPr>
          <w:rFonts w:hint="cs"/>
          <w:rtl/>
        </w:rPr>
        <w:t>משפט ה</w:t>
      </w:r>
      <w:r>
        <w:rPr>
          <w:rFonts w:hint="cs"/>
          <w:rtl/>
        </w:rPr>
        <w:t xml:space="preserve">מחוזי בנצרת, בעבירות הבאות: סיוע לאויב במלחמה, ניסיון לגרום למות אדם, קשירת קשר לפשע, השתייכות לארגון טרוריסטי ושידול לחברות בהתאגדות בלתי חוקית. בגין הרשעה זו נדון הנאשם, כאמור, ל - 9 שנות מאסר בפועל. כן הוצגו כתב האישום וגזר הדין הקודמים בעניינו של הנאשם (מע/2) וכן פלט מאסרים של שב"ס (מע/3). </w:t>
      </w:r>
    </w:p>
    <w:p w14:paraId="2BDD1A5E" w14:textId="77777777" w:rsidR="0009401E" w:rsidRDefault="0009401E" w:rsidP="0009401E">
      <w:pPr>
        <w:spacing w:after="240" w:line="360" w:lineRule="auto"/>
        <w:ind w:left="720"/>
        <w:jc w:val="both"/>
        <w:rPr>
          <w:rtl/>
        </w:rPr>
      </w:pPr>
      <w:r>
        <w:rPr>
          <w:rFonts w:hint="cs"/>
          <w:rtl/>
        </w:rPr>
        <w:t>בקליפת אגוז, מגזר הדין עולה, כי בהיותו בן 16, הצטרף הנאשם לארגון הפת"ח והניח מטען חבלה בתחנת הסעה, במטרה לפגוע בחיילים. למרבה המזל, המטען לא התפוצץ בזכות גילויו מבעוד מועד. הנאשם נדון ל-9 שנות מאסר וסיים לרצות את מאסרו ביום 21.4.2010.</w:t>
      </w:r>
    </w:p>
    <w:p w14:paraId="5C4943A4" w14:textId="77777777" w:rsidR="0009401E" w:rsidRDefault="0009401E" w:rsidP="0009401E">
      <w:pPr>
        <w:spacing w:after="240" w:line="360" w:lineRule="auto"/>
        <w:ind w:left="720" w:hanging="720"/>
        <w:jc w:val="both"/>
        <w:rPr>
          <w:rtl/>
        </w:rPr>
      </w:pPr>
      <w:r>
        <w:rPr>
          <w:rFonts w:hint="cs"/>
          <w:rtl/>
        </w:rPr>
        <w:t>17.</w:t>
      </w:r>
      <w:r>
        <w:rPr>
          <w:rFonts w:hint="cs"/>
          <w:rtl/>
        </w:rPr>
        <w:tab/>
      </w:r>
      <w:r w:rsidRPr="006A3E9E">
        <w:rPr>
          <w:rFonts w:hint="cs"/>
          <w:rtl/>
        </w:rPr>
        <w:t xml:space="preserve">מטעם הנאשם </w:t>
      </w:r>
      <w:r>
        <w:rPr>
          <w:rFonts w:hint="cs"/>
          <w:rtl/>
        </w:rPr>
        <w:t>הוגשו רישיון קבלן לעבודות הנדסה בנאיות, בו הוא מחזיק, וכן מכתבי המלצה שניתנו בעניינו ובנוסף חוות דעת פסיכולוגית המתייחסת לבנו הבכור. כמו כן העידו מטעם הנאשם מספר עדי אופי, כדלקמן:</w:t>
      </w:r>
    </w:p>
    <w:p w14:paraId="01B4CCF7" w14:textId="77777777" w:rsidR="0009401E" w:rsidRDefault="0009401E" w:rsidP="0009401E">
      <w:pPr>
        <w:spacing w:after="240" w:line="360" w:lineRule="auto"/>
        <w:ind w:left="720"/>
        <w:jc w:val="both"/>
        <w:rPr>
          <w:rtl/>
        </w:rPr>
      </w:pPr>
      <w:r>
        <w:rPr>
          <w:rFonts w:hint="cs"/>
          <w:rtl/>
        </w:rPr>
        <w:t xml:space="preserve">ד"ר מאזן עלי, רופא שיניים במקצועו, אחראי על עמותה חקלאית המאגדת כשלושים חקלאים מדיר חנא ובנוסף אחראי על תיירות ופיתוח חקלאי בכפר. העד ציין כי הוא מכיר את הנאשם מזה מספר שנים וכי הלה נהג לתרום ברוחב לב לעבודות שונות כגון דרכים חקלאיות, מפגעים וכיוצ"ב הואיל והוא מחזיק בציוד המתאים. ד"ר עלי ציין כי הוא מרכז את פסטיבל הזית בכפר, פרויקט שנועד לחזק את הדו קיום. לדבריו, בכל פעם שפנה לנאשם הוא תמך בפסטיבל תוך שידע כי התרומה מיועדת לפסטיבל הפועל למען דו קיום. אשר לעבירות המיוחסות לנאשם בתיק דנא, ציין העד כי הוא יודע שמדובר בעבירות שעניינן החזקת נשק אם כי אינו בקיא בפרטים לגבי כמות הנשק והיקף העסקאות בהן מדובר. </w:t>
      </w:r>
    </w:p>
    <w:p w14:paraId="1027BFCE" w14:textId="77777777" w:rsidR="0009401E" w:rsidRDefault="0009401E" w:rsidP="0009401E">
      <w:pPr>
        <w:spacing w:after="240" w:line="360" w:lineRule="auto"/>
        <w:ind w:left="720"/>
        <w:jc w:val="both"/>
        <w:rPr>
          <w:rtl/>
        </w:rPr>
      </w:pPr>
      <w:r>
        <w:rPr>
          <w:rFonts w:hint="cs"/>
          <w:rtl/>
        </w:rPr>
        <w:t xml:space="preserve">אביו של הנאשם, סאלח חוסיין, סיפר על ההתמודדות של המשפחה עם מאסרו הקודם של הנאשם. לדבריו, מעורבותו של הנאשם, שהיה אז קטין כבן 16, במעשים החומרים בהם הורשע, נפלה על המשפחה כרעם ביום בהיר. מדובר בנער שהיה מופנם ונורמטיבי לחלוטין. חרף הסתבכותו, המשיכו הוריו של הנאשם לתמוך בו ועמדו על כך שיסיים את בחינות הבגרות וישלים את לימודיו. לדברי האב, המשפחה עברה תקופה קשה במהלך מאסרו של הנאשם. לאחר שחרורו של הנאשם, שינסה המשפחה מותניים ועשתה הכל על מנת לשקם אותו, הגם שאבי המשפחה מימן באותם ימים לימודיהם של שניים מילדיו בחו"ל. האב הוסיף כי הוא מוכן לערוב לנאשם ונכון לשאת בכל עונש במקומו. </w:t>
      </w:r>
    </w:p>
    <w:p w14:paraId="5FF5EB6C" w14:textId="77777777" w:rsidR="0009401E" w:rsidRDefault="0009401E" w:rsidP="0009401E">
      <w:pPr>
        <w:spacing w:after="240" w:line="360" w:lineRule="auto"/>
        <w:ind w:left="720"/>
        <w:jc w:val="both"/>
        <w:rPr>
          <w:rtl/>
        </w:rPr>
      </w:pPr>
      <w:r>
        <w:rPr>
          <w:rFonts w:hint="cs"/>
          <w:rtl/>
        </w:rPr>
        <w:t xml:space="preserve">מר סעיד חוסין, עובד הרשות המקומית בדיר חנא, המועמד לראשות המועצה, העיד כי הכיר את הנאשם, בין היתר על רקע היותו קבלן לעבודות עפר, אינסטלציה, ביוב, מים וכבישים. הלה סיפר כי הנאשם ביצע פרויקטים עבור המועצה המקומית וכן עבור תאגיד המים וכי הוא איש מקצוע טוב שביצע את עבודתו נאמנה. עוד העיד כי הנאשם תרם לפרויקטים בדיר חנא, כגון ניקיון בית הקברות וכי הוא מסייע לוועדת הסולחה הפועלת בכפר, ואשר שמה לה למטרה להשלים בין בחורים צעירים. </w:t>
      </w:r>
    </w:p>
    <w:p w14:paraId="785577CE" w14:textId="77777777" w:rsidR="0009401E" w:rsidRDefault="0009401E" w:rsidP="0009401E">
      <w:pPr>
        <w:spacing w:after="240" w:line="360" w:lineRule="auto"/>
        <w:ind w:left="720"/>
        <w:jc w:val="both"/>
        <w:rPr>
          <w:rtl/>
        </w:rPr>
      </w:pPr>
    </w:p>
    <w:p w14:paraId="01E2176B" w14:textId="77777777" w:rsidR="0009401E" w:rsidRDefault="0009401E" w:rsidP="0009401E">
      <w:pPr>
        <w:spacing w:after="240" w:line="360" w:lineRule="auto"/>
        <w:ind w:left="720"/>
        <w:jc w:val="both"/>
        <w:rPr>
          <w:rtl/>
        </w:rPr>
      </w:pPr>
      <w:r>
        <w:rPr>
          <w:rFonts w:hint="cs"/>
          <w:rtl/>
        </w:rPr>
        <w:t xml:space="preserve">אישתו של הנאשם, הגב' סוג'וד חוסיין, סיפרה כי היא בעלת תואר ראשון בחינוך הגיל הרך וכן סטודנטית בחוג לפסיכולוגיה באוניברסיטה הפתוחה. לדבריה, בהיותו בבית הסוהר תמך בה הנאשם ועודד אותה לצאת ללימודים. עוד הוסיפה כי העול שנפל על כתפיה כבד מנשוא שכן היא בסה"כ בת 24 שמצאה עצמה מטפלת לבדה בשני ילדים קטנים. לדבריה, בנה הבכור סובל מבעיות פסיכולוגיות המחייבות טיפול. </w:t>
      </w:r>
    </w:p>
    <w:p w14:paraId="59A927D4" w14:textId="77777777" w:rsidR="0009401E" w:rsidRPr="003D31C5" w:rsidRDefault="0009401E" w:rsidP="0009401E">
      <w:pPr>
        <w:spacing w:after="240" w:line="360" w:lineRule="auto"/>
        <w:jc w:val="both"/>
        <w:rPr>
          <w:u w:val="single"/>
        </w:rPr>
      </w:pPr>
      <w:r w:rsidRPr="007049DC">
        <w:rPr>
          <w:rFonts w:hint="cs"/>
          <w:u w:val="single"/>
          <w:rtl/>
        </w:rPr>
        <w:t>טיעוני המאשימה לעונש</w:t>
      </w:r>
    </w:p>
    <w:p w14:paraId="4969E68E" w14:textId="77777777" w:rsidR="0009401E" w:rsidRDefault="0009401E" w:rsidP="0009401E">
      <w:pPr>
        <w:spacing w:after="240" w:line="360" w:lineRule="auto"/>
        <w:ind w:left="720" w:hanging="720"/>
        <w:jc w:val="both"/>
        <w:rPr>
          <w:rtl/>
        </w:rPr>
      </w:pPr>
      <w:r>
        <w:rPr>
          <w:rFonts w:hint="cs"/>
          <w:rtl/>
        </w:rPr>
        <w:t>18.</w:t>
      </w:r>
      <w:r>
        <w:rPr>
          <w:rFonts w:hint="cs"/>
          <w:rtl/>
        </w:rPr>
        <w:tab/>
        <w:t xml:space="preserve">בטיעוניה לעונש סקרה המאשימה את העובדות העומדות בבסיס כתב האישום. בהתייחס לנסיבות </w:t>
      </w:r>
      <w:r w:rsidRPr="00366636">
        <w:rPr>
          <w:rFonts w:hint="cs"/>
          <w:rtl/>
        </w:rPr>
        <w:t xml:space="preserve">ביצוע </w:t>
      </w:r>
      <w:r>
        <w:rPr>
          <w:rFonts w:hint="cs"/>
          <w:rtl/>
        </w:rPr>
        <w:t xml:space="preserve">אותן </w:t>
      </w:r>
      <w:r w:rsidRPr="00366636">
        <w:rPr>
          <w:rFonts w:hint="cs"/>
          <w:rtl/>
        </w:rPr>
        <w:t>עביר</w:t>
      </w:r>
      <w:r>
        <w:rPr>
          <w:rFonts w:hint="cs"/>
          <w:rtl/>
        </w:rPr>
        <w:t>ות</w:t>
      </w:r>
      <w:r w:rsidRPr="00366636">
        <w:rPr>
          <w:rFonts w:hint="cs"/>
          <w:rtl/>
        </w:rPr>
        <w:t xml:space="preserve">, </w:t>
      </w:r>
      <w:r>
        <w:rPr>
          <w:rFonts w:hint="cs"/>
          <w:rtl/>
        </w:rPr>
        <w:t xml:space="preserve">הדגישה המאשימה כי מעשיו של הנאשם לוו בתכנון מוקדם ומוקפד של הפרטים וכי לא מדובר בהחלטה ספונטנית או במעשה שהוא בגדר מעידה חד פעמית, אלא בנאשם שהתעסק באמל"ח על פני תקופה ארוכה ולאורך שנים. כן הודגש חלקו הדומיננטי של הנאשם בביצוע העבירות, שעה שעמד בקשרים עם סוחרי נשק, איתר מוכרים וקונים פוטנציאליים ופעל לקידום עסקאות נשק, תוך שהוא מפיק מהן רווח. עוד נטען כי סוג כלי הנשק וכמות כלי הנשק אותם רכש הנאשם, החזיק וסחר בהם מהווים שיקול בעל חשיבות מכרעת בעת בחינת חומרת העבירות ונסיבותיהם, משמדובר באמל"ח שמסוגל להביא לפגיעות בנפש ולתוצאות חמורות של קטילת חיי אדם. </w:t>
      </w:r>
    </w:p>
    <w:p w14:paraId="7EBEADB3" w14:textId="77777777" w:rsidR="0009401E" w:rsidRDefault="0009401E" w:rsidP="0009401E">
      <w:pPr>
        <w:spacing w:after="240" w:line="360" w:lineRule="auto"/>
        <w:ind w:left="720"/>
        <w:jc w:val="both"/>
        <w:rPr>
          <w:rtl/>
        </w:rPr>
      </w:pPr>
      <w:r>
        <w:rPr>
          <w:rFonts w:hint="cs"/>
          <w:rtl/>
        </w:rPr>
        <w:t xml:space="preserve">בהתייחס לדבריו של הנאשם בפני שירות המבחן, כאילו ההצטיידות באמל"ח נעשתה לצורך הגנה עצמית, ציינה המאשימה כי הדבר הוכר בפסיקה כשיקול לחומרה שכן דבריו אלה של הנאשם מעידים כי התכוון לעשות שימוש בכלי הנשק.  בנוגע לאישום החמישי הפנתה המאשימה לכך שהנאשם מכר רימוני הלם לחברו, ביודעו כי הלה רוכש אותם על רקע סכסוך בינן לבין אחר. יש בכך כדי ללמד על המסוכנות הרבה הנשקפת מנאשם שלא בחל באמצעים, והפיץ כלי נשק בהם החזיק, ביודעו כי עשוי להיעשות בהם שימוש. </w:t>
      </w:r>
    </w:p>
    <w:p w14:paraId="741A9D3E" w14:textId="77777777" w:rsidR="0009401E" w:rsidRDefault="0009401E" w:rsidP="0009401E">
      <w:pPr>
        <w:spacing w:after="240" w:line="360" w:lineRule="auto"/>
        <w:ind w:left="720" w:hanging="720"/>
        <w:jc w:val="both"/>
        <w:rPr>
          <w:rtl/>
        </w:rPr>
      </w:pPr>
      <w:r>
        <w:rPr>
          <w:rFonts w:hint="cs"/>
          <w:rtl/>
        </w:rPr>
        <w:t>19.</w:t>
      </w:r>
      <w:r>
        <w:rPr>
          <w:rFonts w:hint="cs"/>
          <w:rtl/>
        </w:rPr>
        <w:tab/>
        <w:t xml:space="preserve">המאשימה הפנתה למדיניות הענישה הנהוגה, הנלמדת מהפסיקה אותה הציגה, ואשר מצביעה על המסוכנות הטמונה בעבירות של החזקה וסחר בנשק, כמו גם על הצורך להחמיר בענישה של מי שהורשע בעבירות מסוג זה. בפסקי הדין שהובאו על ידי המאשימה, לרבות גזר הדין שניתן בעניינו של נסר, שותפו של הנאשם בפרשה זו, נגזרו על המורשעים בעבירות נשק עונשים הנעים בין 3 ל- 6 שנות מאסר בפועל. המאשימה הדגישה כי  מדיניות הענישה היא רק אחד השיקולים שאותם בית המשפט מצווה לשקול. </w:t>
      </w:r>
    </w:p>
    <w:p w14:paraId="3C0F3F0C" w14:textId="77777777" w:rsidR="0009401E" w:rsidRDefault="0009401E" w:rsidP="0009401E">
      <w:pPr>
        <w:spacing w:after="240" w:line="360" w:lineRule="auto"/>
        <w:ind w:left="720" w:hanging="720"/>
        <w:jc w:val="both"/>
        <w:rPr>
          <w:rtl/>
        </w:rPr>
      </w:pPr>
      <w:r>
        <w:rPr>
          <w:rtl/>
        </w:rPr>
        <w:tab/>
      </w:r>
      <w:r>
        <w:rPr>
          <w:rFonts w:hint="cs"/>
          <w:rtl/>
        </w:rPr>
        <w:t xml:space="preserve">בשים לב לעבירות החמורות בהן הורשע הנאשם, להיקף העסקאות ולסוגי הנשק סבורה המאשימה כי מתחם העונש ההולם לכלל האישומים יחד, נע בין 6 - 10 שנות מאסר בפועל, בצירוף מאסר מותנה משמעותי וקנס כספי.  </w:t>
      </w:r>
    </w:p>
    <w:p w14:paraId="2FF27C03" w14:textId="77777777" w:rsidR="0009401E" w:rsidRDefault="0009401E" w:rsidP="0009401E">
      <w:pPr>
        <w:spacing w:after="240" w:line="360" w:lineRule="auto"/>
        <w:ind w:left="720" w:hanging="720"/>
        <w:jc w:val="both"/>
        <w:rPr>
          <w:rtl/>
        </w:rPr>
      </w:pPr>
      <w:r>
        <w:rPr>
          <w:rFonts w:hint="cs"/>
          <w:rtl/>
        </w:rPr>
        <w:t>20.</w:t>
      </w:r>
      <w:r>
        <w:rPr>
          <w:rFonts w:hint="cs"/>
          <w:rtl/>
        </w:rPr>
        <w:tab/>
        <w:t xml:space="preserve">בהתייחס לנסיבות שאינן קשורות בביצוע העבירות, הודגש עברו הפלילי החמור של הנאשם, שהורשע בביצוע עבירות בטחון. כן צוין כי הנאשם שוחרר ממאסר בשנת 2010, כאשר כבר בשנת 2013 חזר לעסוק בפלילים, כפי שעולה מכתב האישום. לזכות הנאשם זקפה המאשימה את העובדה שהודה בעבירות בהן הורשע במסגרת הסדר טיעון, הגם שלא הודה בהזדמנות הראשונה. בנוסף, הפנתה המאשימה לתסקיר שירות המבחן אשר לא ראה לבוא בהמלצה טיפולית לגבי הנאשם תוך שקבע כי יש צורך בענישה מוחשית וברורה שתחדד עבור הנאשם את הגבולות ותרתיעו מפני הסתבכות חוזרת בעתיד. </w:t>
      </w:r>
    </w:p>
    <w:p w14:paraId="048C51F7" w14:textId="77777777" w:rsidR="0009401E" w:rsidRDefault="0009401E" w:rsidP="0009401E">
      <w:pPr>
        <w:spacing w:after="240" w:line="360" w:lineRule="auto"/>
        <w:ind w:left="720" w:hanging="720"/>
        <w:jc w:val="both"/>
        <w:rPr>
          <w:rtl/>
        </w:rPr>
      </w:pPr>
      <w:r>
        <w:rPr>
          <w:rFonts w:hint="cs"/>
          <w:rtl/>
        </w:rPr>
        <w:t>21.</w:t>
      </w:r>
      <w:r>
        <w:rPr>
          <w:rFonts w:hint="cs"/>
          <w:rtl/>
        </w:rPr>
        <w:tab/>
      </w:r>
      <w:r w:rsidRPr="00366636">
        <w:rPr>
          <w:rFonts w:hint="cs"/>
          <w:rtl/>
        </w:rPr>
        <w:t xml:space="preserve">נוכח האמור, ביקשה המאשימה </w:t>
      </w:r>
      <w:r>
        <w:rPr>
          <w:rFonts w:hint="cs"/>
          <w:rtl/>
        </w:rPr>
        <w:t xml:space="preserve">לגזור על הנאשם עונש מאסר ברף הבינוני גבוה של המתחם שהציגה. </w:t>
      </w:r>
    </w:p>
    <w:p w14:paraId="1631202A" w14:textId="77777777" w:rsidR="0009401E" w:rsidRPr="003D31C5" w:rsidRDefault="0009401E" w:rsidP="0009401E">
      <w:pPr>
        <w:spacing w:after="240" w:line="360" w:lineRule="auto"/>
        <w:jc w:val="both"/>
        <w:rPr>
          <w:u w:val="single"/>
        </w:rPr>
      </w:pPr>
      <w:r w:rsidRPr="005C2F78">
        <w:rPr>
          <w:rFonts w:hint="cs"/>
          <w:u w:val="single"/>
          <w:rtl/>
        </w:rPr>
        <w:t>טיעוני ההגנה לעונש</w:t>
      </w:r>
    </w:p>
    <w:p w14:paraId="75AB9DE8" w14:textId="77777777" w:rsidR="0009401E" w:rsidRDefault="0009401E" w:rsidP="0009401E">
      <w:pPr>
        <w:spacing w:after="240" w:line="360" w:lineRule="auto"/>
        <w:ind w:left="720" w:hanging="720"/>
        <w:jc w:val="both"/>
        <w:rPr>
          <w:rtl/>
        </w:rPr>
      </w:pPr>
      <w:r>
        <w:rPr>
          <w:rFonts w:hint="cs"/>
          <w:rtl/>
        </w:rPr>
        <w:t>22.</w:t>
      </w:r>
      <w:r>
        <w:rPr>
          <w:rFonts w:hint="cs"/>
          <w:rtl/>
        </w:rPr>
        <w:tab/>
      </w:r>
      <w:r w:rsidRPr="00366636">
        <w:rPr>
          <w:rFonts w:hint="cs"/>
          <w:rtl/>
        </w:rPr>
        <w:t>ב</w:t>
      </w:r>
      <w:r>
        <w:rPr>
          <w:rFonts w:hint="cs"/>
          <w:rtl/>
        </w:rPr>
        <w:t xml:space="preserve">פתח דבריה, ציינה ב"כ הנאשם כי אכן מדובר בעבירות חמורות בהן הודה הנאשם הודאה מלאה ומפורטת למן ראשית חקירתו. לדבריה, הודאה זו גרמה למעצרם של שותפיו והעמדתם לדין של אחדים מהם, הגם שהיו ראיות נגדם אילולא הודעתו של הנאשם. יתר על כן, הנאשם הוביל את המשטרה למקום מחבוא הנשק על אף שזה היה מוטמן באדמה במקום מרוחק מביתו. בכך ביקש ליטול אחריות על מעשיו ולפתוח דף חדש. </w:t>
      </w:r>
    </w:p>
    <w:p w14:paraId="53D5C564" w14:textId="77777777" w:rsidR="0009401E" w:rsidRDefault="0009401E" w:rsidP="0009401E">
      <w:pPr>
        <w:spacing w:after="240" w:line="360" w:lineRule="auto"/>
        <w:ind w:left="720"/>
        <w:jc w:val="both"/>
        <w:rPr>
          <w:rtl/>
        </w:rPr>
      </w:pPr>
      <w:r>
        <w:rPr>
          <w:rFonts w:hint="cs"/>
          <w:rtl/>
        </w:rPr>
        <w:t>עוד ציינה הסנגורית כי אחד הנשקים היה עם הדק מאולתר, כשמשמעות הדבר היא, לטענתה, כי אין בכוחו לפגוע. כן הודגשה העובדה כי לא הייתה פגיעה ממשית בנפש או ברכוש, ואף לא כוונה לפגיעה מעין זו. לגבי חלקו של הנאשם בביצוע העבירות נטען</w:t>
      </w:r>
      <w:r w:rsidRPr="00A70CF8">
        <w:rPr>
          <w:rFonts w:hint="cs"/>
          <w:rtl/>
        </w:rPr>
        <w:t xml:space="preserve">, כי בחלק מהאישומים </w:t>
      </w:r>
      <w:r>
        <w:rPr>
          <w:rFonts w:hint="cs"/>
          <w:rtl/>
        </w:rPr>
        <w:t>לא הנאשם הוא ש</w:t>
      </w:r>
      <w:r w:rsidRPr="00A70CF8">
        <w:rPr>
          <w:rFonts w:hint="cs"/>
          <w:rtl/>
        </w:rPr>
        <w:t>יזם את עסקאות</w:t>
      </w:r>
      <w:r>
        <w:rPr>
          <w:rFonts w:hint="cs"/>
          <w:rtl/>
        </w:rPr>
        <w:t xml:space="preserve"> הנשק אלא אחרים</w:t>
      </w:r>
      <w:r w:rsidRPr="00A70CF8">
        <w:rPr>
          <w:rFonts w:hint="cs"/>
          <w:rtl/>
        </w:rPr>
        <w:t>.</w:t>
      </w:r>
    </w:p>
    <w:p w14:paraId="4B026DC3" w14:textId="77777777" w:rsidR="0009401E" w:rsidRDefault="0009401E" w:rsidP="0009401E">
      <w:pPr>
        <w:spacing w:after="240" w:line="360" w:lineRule="auto"/>
        <w:ind w:left="720" w:hanging="720"/>
        <w:jc w:val="both"/>
        <w:rPr>
          <w:rtl/>
        </w:rPr>
      </w:pPr>
      <w:r>
        <w:rPr>
          <w:rFonts w:hint="cs"/>
          <w:rtl/>
        </w:rPr>
        <w:t>23.</w:t>
      </w:r>
      <w:r>
        <w:rPr>
          <w:rFonts w:hint="cs"/>
          <w:rtl/>
        </w:rPr>
        <w:tab/>
        <w:t xml:space="preserve">ההגנה טענה עוד כי מאסר ממושך אינו חזות הכל וכי ניתן להרתיע את הנאשם בדרכים חלופיות. בהתייחס לנסיבות שאינן קשורות בביצוע העבירות נאמר, כי הנאשם הנו איש משפחה שאינו מקיים אורח חיים עברייני אלא חי חיים נורמטיביים. ב"כ הנאשם ביקשה ליתן משקל רב לפוטנציאל השיקומי של הנאשם, המביע רצון עז לשקם עצמו, והוסיפה כי מאסר ממושך יפגע מהותית בנאשם ומשפחתו. לעניין זה נטען כי שירות המבחן התעלם מפוטנציאל השיקום בעת שהמליץ על ענישה מוחשית.  </w:t>
      </w:r>
    </w:p>
    <w:p w14:paraId="3739A2EA" w14:textId="77777777" w:rsidR="0009401E" w:rsidRDefault="0009401E" w:rsidP="0009401E">
      <w:pPr>
        <w:spacing w:after="240" w:line="360" w:lineRule="auto"/>
        <w:ind w:left="720" w:hanging="720"/>
        <w:jc w:val="both"/>
        <w:rPr>
          <w:rtl/>
        </w:rPr>
      </w:pPr>
      <w:r>
        <w:rPr>
          <w:rFonts w:hint="cs"/>
          <w:rtl/>
        </w:rPr>
        <w:t xml:space="preserve">24. </w:t>
      </w:r>
      <w:r>
        <w:rPr>
          <w:rFonts w:hint="cs"/>
          <w:rtl/>
        </w:rPr>
        <w:tab/>
        <w:t xml:space="preserve">לעניין מדיניות הענישה ציינה ב"כ הנאשם, כי בעבירות נשק קיים לבית המשפט שיקול דעת רחב וקושי בקביעת מתחם ענישה אחיד שכן כל מקרה ונסיבותיו. בפסקי הדין שהוצגו מטעם ההגנה נגזרו על המורשעים בעבירות נשק עונשים </w:t>
      </w:r>
      <w:r w:rsidRPr="00450102">
        <w:rPr>
          <w:rFonts w:hint="cs"/>
          <w:rtl/>
        </w:rPr>
        <w:t>הנעים בין 7 ל- 54 חודשי מאסר.</w:t>
      </w:r>
      <w:r>
        <w:rPr>
          <w:rFonts w:hint="cs"/>
          <w:rtl/>
        </w:rPr>
        <w:t xml:space="preserve"> כמו כן  צוין, כי על שותפו של הנאשם נסר נגזרו שש שנות מאסר וכי ערעור שהוגש על חומרת העונש תלוי ועומד בפני בית המשפט העליון. </w:t>
      </w:r>
    </w:p>
    <w:p w14:paraId="392BB304" w14:textId="77777777" w:rsidR="0009401E" w:rsidRPr="00DA79D4" w:rsidRDefault="0009401E" w:rsidP="0009401E">
      <w:pPr>
        <w:spacing w:after="240" w:line="360" w:lineRule="auto"/>
        <w:ind w:left="720" w:hanging="720"/>
        <w:jc w:val="both"/>
        <w:rPr>
          <w:u w:val="single"/>
        </w:rPr>
      </w:pPr>
      <w:r w:rsidRPr="00DA79D4">
        <w:rPr>
          <w:rFonts w:hint="cs"/>
          <w:u w:val="single"/>
          <w:rtl/>
        </w:rPr>
        <w:t>דבר הנאשם</w:t>
      </w:r>
    </w:p>
    <w:p w14:paraId="5C7F6948" w14:textId="77777777" w:rsidR="0009401E" w:rsidRDefault="0009401E" w:rsidP="0009401E">
      <w:pPr>
        <w:spacing w:after="240" w:line="360" w:lineRule="auto"/>
        <w:ind w:left="720" w:hanging="720"/>
        <w:jc w:val="both"/>
        <w:rPr>
          <w:rtl/>
        </w:rPr>
      </w:pPr>
      <w:r>
        <w:rPr>
          <w:rFonts w:hint="cs"/>
          <w:rtl/>
        </w:rPr>
        <w:t>25</w:t>
      </w:r>
      <w:r w:rsidRPr="00DA79D4">
        <w:rPr>
          <w:rFonts w:hint="cs"/>
          <w:rtl/>
        </w:rPr>
        <w:t>.</w:t>
      </w:r>
      <w:r w:rsidRPr="00DA79D4">
        <w:rPr>
          <w:rFonts w:hint="cs"/>
          <w:rtl/>
        </w:rPr>
        <w:tab/>
      </w:r>
      <w:r>
        <w:rPr>
          <w:rFonts w:hint="cs"/>
          <w:rtl/>
        </w:rPr>
        <w:t xml:space="preserve">בדברו האחרון, סיפר הנאשם על אודות הטראומה שחווה בעת מאסרו הראשון. לדבריו, הוא היה בן 16 שנים שלא יודע להבדיל בין טוב לרע, והיה נתון בתנאים קשים של אסירים ביטחוניים, לרבות בידוד מוחלט משך שנתיים. הנאשם הוסיף כי הוא פונה אל בית המשפט וכי אינו מישיר מבט אל עבר משפחתו  - הוריו, אשתו, ילדיו והאנשים המכובדים שבאו להעיד לטובתו - משום שהוא חש כלפיהם בושה וכלימה על המעשים בהם הסתבך.  </w:t>
      </w:r>
    </w:p>
    <w:p w14:paraId="1EF6DE47" w14:textId="77777777" w:rsidR="0009401E" w:rsidRDefault="0009401E" w:rsidP="0009401E">
      <w:pPr>
        <w:spacing w:after="240" w:line="360" w:lineRule="auto"/>
        <w:ind w:left="720"/>
        <w:jc w:val="both"/>
        <w:rPr>
          <w:rtl/>
        </w:rPr>
      </w:pPr>
      <w:r>
        <w:rPr>
          <w:rFonts w:hint="cs"/>
          <w:rtl/>
        </w:rPr>
        <w:t xml:space="preserve">לדבריו, לאחר שחרורו החליט להשתנות ולפתוח דף חדש ובעזרת הוריו התחיל לעבוד והקים עסק מתוך חלום להפוך לעסק משגשג ומוביל בתחום הבניה והפיתוח. בשנת 2012 הכיר את אשתו, שתמכה בו רבות והאמינה בו, והכרות זו חוללה שינוי גדול בחייו. בשנת 2014 נולד בנו הבכור, אירוע שגרם לשינוי נוסף. הנאשם הוסיף כי הוא אמנם טעה כשהסתבך בעבירות נשוא התיק הנוכחי מבלי ליתן דעתו להשלכות מעשיו, אך הוא מודה במעשיו ונוטל אחריות מלאה עליהם. </w:t>
      </w:r>
    </w:p>
    <w:p w14:paraId="7FBA0B94" w14:textId="77777777" w:rsidR="0009401E" w:rsidRPr="00DA79D4" w:rsidRDefault="0009401E" w:rsidP="0009401E">
      <w:pPr>
        <w:spacing w:after="240" w:line="360" w:lineRule="auto"/>
        <w:ind w:left="720"/>
        <w:jc w:val="both"/>
        <w:rPr>
          <w:rtl/>
        </w:rPr>
      </w:pPr>
      <w:r>
        <w:rPr>
          <w:rFonts w:hint="cs"/>
          <w:rtl/>
        </w:rPr>
        <w:t xml:space="preserve">לבסוף בקש הנאשם הזדמנות נוספת ויחידה לחזור לשגרת חייו, לגדל את ילדיו על מנת שלא יגדלו כשאביהם מאחורי סורג ובריח ובקש לאפשר לו להמשיך את השינוי שחולל בחייו. </w:t>
      </w:r>
    </w:p>
    <w:p w14:paraId="1F5B190A" w14:textId="77777777" w:rsidR="0009401E" w:rsidRPr="00B83688" w:rsidRDefault="0009401E" w:rsidP="0009401E">
      <w:pPr>
        <w:spacing w:after="120" w:line="360" w:lineRule="auto"/>
        <w:ind w:left="720" w:hanging="720"/>
        <w:jc w:val="both"/>
        <w:rPr>
          <w:b/>
          <w:bCs/>
          <w:u w:val="single"/>
          <w:rtl/>
        </w:rPr>
      </w:pPr>
      <w:r w:rsidRPr="00B83688">
        <w:rPr>
          <w:rFonts w:hint="cs"/>
          <w:b/>
          <w:bCs/>
          <w:u w:val="single"/>
          <w:rtl/>
        </w:rPr>
        <w:t xml:space="preserve">דיון והכרעה  </w:t>
      </w:r>
    </w:p>
    <w:p w14:paraId="04DC5A3F" w14:textId="77777777" w:rsidR="0009401E" w:rsidRPr="00DA79D4" w:rsidRDefault="0009401E" w:rsidP="0009401E">
      <w:pPr>
        <w:spacing w:after="240" w:line="360" w:lineRule="auto"/>
        <w:ind w:left="720" w:hanging="720"/>
        <w:jc w:val="both"/>
        <w:rPr>
          <w:u w:val="single"/>
        </w:rPr>
      </w:pPr>
      <w:r>
        <w:rPr>
          <w:rFonts w:hint="cs"/>
          <w:u w:val="single"/>
          <w:rtl/>
        </w:rPr>
        <w:t>קביעת מתחם הענישה ההולם</w:t>
      </w:r>
    </w:p>
    <w:p w14:paraId="147ECC8D" w14:textId="77777777" w:rsidR="0009401E" w:rsidRDefault="0009401E" w:rsidP="0009401E">
      <w:pPr>
        <w:spacing w:after="240" w:line="360" w:lineRule="auto"/>
        <w:ind w:left="720" w:hanging="720"/>
        <w:jc w:val="both"/>
        <w:rPr>
          <w:rtl/>
        </w:rPr>
      </w:pPr>
      <w:r>
        <w:rPr>
          <w:rFonts w:hint="cs"/>
          <w:rtl/>
        </w:rPr>
        <w:t>26.</w:t>
      </w:r>
      <w:r>
        <w:rPr>
          <w:rFonts w:hint="cs"/>
          <w:rtl/>
        </w:rPr>
        <w:tab/>
        <w:t>בפתח הדברים יצוין, כי</w:t>
      </w:r>
      <w:r w:rsidRPr="005138A4">
        <w:rPr>
          <w:rFonts w:hint="cs"/>
          <w:rtl/>
        </w:rPr>
        <w:t xml:space="preserve"> </w:t>
      </w:r>
      <w:r>
        <w:rPr>
          <w:rFonts w:hint="cs"/>
          <w:rtl/>
        </w:rPr>
        <w:t>העבירות בהן הורשע הנאשם</w:t>
      </w:r>
      <w:r w:rsidRPr="005138A4">
        <w:rPr>
          <w:rFonts w:hint="cs"/>
          <w:rtl/>
        </w:rPr>
        <w:t xml:space="preserve"> </w:t>
      </w:r>
      <w:r>
        <w:rPr>
          <w:rFonts w:hint="cs"/>
          <w:rtl/>
        </w:rPr>
        <w:t xml:space="preserve">- אף שבוצעו על פני תקופה ממושכת - מקימות </w:t>
      </w:r>
      <w:r w:rsidRPr="005138A4">
        <w:rPr>
          <w:rFonts w:hint="cs"/>
          <w:rtl/>
        </w:rPr>
        <w:t>אירוע</w:t>
      </w:r>
      <w:r>
        <w:rPr>
          <w:rFonts w:hint="cs"/>
          <w:rtl/>
        </w:rPr>
        <w:t xml:space="preserve"> עברייני</w:t>
      </w:r>
      <w:r w:rsidRPr="005138A4">
        <w:rPr>
          <w:rFonts w:hint="cs"/>
          <w:rtl/>
        </w:rPr>
        <w:t xml:space="preserve"> </w:t>
      </w:r>
      <w:r w:rsidRPr="00B83688">
        <w:rPr>
          <w:rFonts w:hint="cs"/>
          <w:rtl/>
        </w:rPr>
        <w:t>אחד</w:t>
      </w:r>
      <w:r>
        <w:rPr>
          <w:rFonts w:hint="cs"/>
          <w:rtl/>
        </w:rPr>
        <w:t xml:space="preserve">. כך, בהתאם לקווים המנחים שהותוו בפסיקה, נמצא כי בין העבירות קיים "קשר ענייני הדוק", המאופיין בשיטתיות בביצוען, ומעצם היותן חלק מאותה מסכת עבריינית, שעניינה עיסוק חוזר ונשנה בנשק בצורה בלתי חוקית, לרבות רכישה, החזקה וסחר בו. לסיווג מעשים עברייניים כאירוע אחד או כאירועים נפרדים, ראו </w:t>
      </w:r>
      <w:hyperlink r:id="rId31" w:history="1">
        <w:r w:rsidR="0047431A" w:rsidRPr="0047431A">
          <w:rPr>
            <w:color w:val="0000FF"/>
            <w:u w:val="single"/>
            <w:rtl/>
          </w:rPr>
          <w:t>ע"פ 4910/13</w:t>
        </w:r>
      </w:hyperlink>
      <w:r w:rsidRPr="00D7406D">
        <w:rPr>
          <w:rFonts w:hint="cs"/>
          <w:rtl/>
        </w:rPr>
        <w:t xml:space="preserve"> </w:t>
      </w:r>
      <w:r w:rsidRPr="00D7406D">
        <w:rPr>
          <w:rFonts w:hint="cs"/>
          <w:b/>
          <w:bCs/>
          <w:rtl/>
        </w:rPr>
        <w:t>ג'אבר נ' מדינת ישראל</w:t>
      </w:r>
      <w:r w:rsidRPr="00D7406D">
        <w:rPr>
          <w:rFonts w:hint="cs"/>
          <w:rtl/>
        </w:rPr>
        <w:t xml:space="preserve"> (29.10.2014)</w:t>
      </w:r>
      <w:r>
        <w:rPr>
          <w:rFonts w:hint="cs"/>
          <w:rtl/>
        </w:rPr>
        <w:t xml:space="preserve">; </w:t>
      </w:r>
      <w:r w:rsidRPr="00210539">
        <w:rPr>
          <w:rFonts w:hint="cs"/>
          <w:rtl/>
        </w:rPr>
        <w:t>ע</w:t>
      </w:r>
      <w:r>
        <w:rPr>
          <w:rFonts w:hint="cs"/>
          <w:rtl/>
        </w:rPr>
        <w:t>"</w:t>
      </w:r>
      <w:r w:rsidRPr="00210539">
        <w:rPr>
          <w:rFonts w:hint="cs"/>
          <w:rtl/>
        </w:rPr>
        <w:t xml:space="preserve">פ </w:t>
      </w:r>
      <w:hyperlink r:id="rId32" w:history="1">
        <w:r w:rsidR="0038267B" w:rsidRPr="0038267B">
          <w:rPr>
            <w:color w:val="0000FF"/>
            <w:u w:val="single"/>
            <w:rtl/>
          </w:rPr>
          <w:t xml:space="preserve">5668/13‏ </w:t>
        </w:r>
      </w:hyperlink>
      <w:r w:rsidRPr="00851237">
        <w:rPr>
          <w:rFonts w:hint="cs"/>
          <w:rtl/>
        </w:rPr>
        <w:t xml:space="preserve"> </w:t>
      </w:r>
      <w:r w:rsidRPr="00851237">
        <w:rPr>
          <w:rFonts w:hint="cs"/>
          <w:b/>
          <w:bCs/>
          <w:rtl/>
        </w:rPr>
        <w:t>ערן מזרחי נ' מדינת ישראל</w:t>
      </w:r>
      <w:r>
        <w:rPr>
          <w:rFonts w:hint="cs"/>
          <w:rtl/>
        </w:rPr>
        <w:t xml:space="preserve"> (17.3.2016); </w:t>
      </w:r>
      <w:hyperlink r:id="rId33" w:history="1">
        <w:r w:rsidR="0047431A" w:rsidRPr="0047431A">
          <w:rPr>
            <w:color w:val="0000FF"/>
            <w:u w:val="single"/>
            <w:rtl/>
          </w:rPr>
          <w:t>ע"פ 1261/15</w:t>
        </w:r>
      </w:hyperlink>
      <w:r w:rsidRPr="00636C81">
        <w:rPr>
          <w:rFonts w:hint="cs"/>
          <w:rtl/>
        </w:rPr>
        <w:t xml:space="preserve"> ‏</w:t>
      </w:r>
      <w:r w:rsidRPr="00636C81">
        <w:rPr>
          <w:rFonts w:hint="cs"/>
          <w:b/>
          <w:bCs/>
          <w:rtl/>
        </w:rPr>
        <w:t>מדינת ישראל נ' יוסף דלאל</w:t>
      </w:r>
      <w:r w:rsidRPr="00636C81">
        <w:rPr>
          <w:rFonts w:hint="cs"/>
          <w:rtl/>
        </w:rPr>
        <w:t xml:space="preserve"> (3.9.2015)</w:t>
      </w:r>
      <w:r>
        <w:rPr>
          <w:rFonts w:hint="cs"/>
          <w:rtl/>
        </w:rPr>
        <w:t>.</w:t>
      </w:r>
    </w:p>
    <w:p w14:paraId="5F79F066" w14:textId="77777777" w:rsidR="0009401E" w:rsidRDefault="0009401E" w:rsidP="0009401E">
      <w:pPr>
        <w:spacing w:after="240" w:line="360" w:lineRule="auto"/>
        <w:ind w:left="720" w:hanging="720"/>
        <w:jc w:val="both"/>
      </w:pPr>
      <w:r>
        <w:rPr>
          <w:rFonts w:hint="cs"/>
          <w:rtl/>
        </w:rPr>
        <w:t>27</w:t>
      </w:r>
      <w:r w:rsidRPr="00DA79D4">
        <w:rPr>
          <w:rFonts w:hint="cs"/>
          <w:rtl/>
        </w:rPr>
        <w:t>.</w:t>
      </w:r>
      <w:r w:rsidRPr="00DA79D4">
        <w:rPr>
          <w:rFonts w:hint="cs"/>
          <w:rtl/>
        </w:rPr>
        <w:tab/>
      </w:r>
      <w:r>
        <w:rPr>
          <w:rFonts w:hint="cs"/>
          <w:rtl/>
        </w:rPr>
        <w:t xml:space="preserve">משמצאנו כי בפנינו אירוע עברייני אחד, יש לקבוע לו מתחם עונש הולם, בהתאם </w:t>
      </w:r>
      <w:hyperlink r:id="rId34" w:history="1">
        <w:r w:rsidR="000E0EDD" w:rsidRPr="000E0EDD">
          <w:rPr>
            <w:color w:val="0000FF"/>
            <w:u w:val="single"/>
            <w:rtl/>
          </w:rPr>
          <w:t>לסעיף 40יג(א)</w:t>
        </w:r>
      </w:hyperlink>
      <w:r>
        <w:rPr>
          <w:rFonts w:hint="cs"/>
          <w:rtl/>
        </w:rPr>
        <w:t xml:space="preserve"> ל</w:t>
      </w:r>
      <w:hyperlink r:id="rId35" w:history="1">
        <w:r w:rsidR="0047431A" w:rsidRPr="0047431A">
          <w:rPr>
            <w:color w:val="0000FF"/>
            <w:u w:val="single"/>
            <w:rtl/>
          </w:rPr>
          <w:t>חוק העונשין</w:t>
        </w:r>
      </w:hyperlink>
      <w:r>
        <w:rPr>
          <w:rFonts w:hint="cs"/>
          <w:rtl/>
        </w:rPr>
        <w:t xml:space="preserve">. ככלל, מתחם הענישה ההולם ייקבע בהתאם לעקרון ההלימה, ולשם כך נדרש בית המשפט להתחשב בערכים החברתיים שנפגעו מביצוע העבירות, במידת הפגיעה בהם, במדיניות הענישה הנהוגה ובנסיבות הקשורות בביצוע העבירות, כמפורט </w:t>
      </w:r>
      <w:hyperlink r:id="rId36" w:history="1">
        <w:r w:rsidR="000E0EDD" w:rsidRPr="000E0EDD">
          <w:rPr>
            <w:color w:val="0000FF"/>
            <w:u w:val="single"/>
            <w:rtl/>
          </w:rPr>
          <w:t>בסעיף 40ג</w:t>
        </w:r>
      </w:hyperlink>
      <w:r>
        <w:rPr>
          <w:rFonts w:hint="cs"/>
          <w:rtl/>
        </w:rPr>
        <w:t xml:space="preserve"> ל</w:t>
      </w:r>
      <w:hyperlink r:id="rId37" w:history="1">
        <w:r w:rsidR="0047431A" w:rsidRPr="0047431A">
          <w:rPr>
            <w:color w:val="0000FF"/>
            <w:u w:val="single"/>
            <w:rtl/>
          </w:rPr>
          <w:t>חוק העונשין</w:t>
        </w:r>
      </w:hyperlink>
      <w:r>
        <w:rPr>
          <w:rFonts w:hint="cs"/>
          <w:rtl/>
        </w:rPr>
        <w:t>.</w:t>
      </w:r>
    </w:p>
    <w:p w14:paraId="64085537" w14:textId="77777777" w:rsidR="0009401E" w:rsidRDefault="0009401E" w:rsidP="0009401E">
      <w:pPr>
        <w:spacing w:after="240" w:line="360" w:lineRule="auto"/>
        <w:ind w:left="720" w:hanging="720"/>
        <w:jc w:val="both"/>
        <w:rPr>
          <w:rtl/>
        </w:rPr>
      </w:pPr>
      <w:r>
        <w:rPr>
          <w:rFonts w:hint="cs"/>
          <w:rtl/>
        </w:rPr>
        <w:t>28.</w:t>
      </w:r>
      <w:r>
        <w:rPr>
          <w:rFonts w:hint="cs"/>
          <w:rtl/>
        </w:rPr>
        <w:tab/>
        <w:t xml:space="preserve">העבירות המרכזיות בהן הורשע הנאשם </w:t>
      </w:r>
      <w:r>
        <w:rPr>
          <w:rtl/>
        </w:rPr>
        <w:t>–</w:t>
      </w:r>
      <w:r>
        <w:rPr>
          <w:rFonts w:hint="cs"/>
          <w:rtl/>
        </w:rPr>
        <w:t xml:space="preserve"> סחר, רכישה והחזקת נשק </w:t>
      </w:r>
      <w:r>
        <w:rPr>
          <w:rtl/>
        </w:rPr>
        <w:t>–</w:t>
      </w:r>
      <w:r>
        <w:rPr>
          <w:rFonts w:hint="cs"/>
          <w:rtl/>
        </w:rPr>
        <w:t xml:space="preserve"> הן חמורות ביותר. בית המשפט העליון עמד לא אחת על כך שעבירות בנשק הפכו זה מכבר למכת מדינה של ממש שיש צורך להתייחס אליה בחומרה, זאת </w:t>
      </w:r>
      <w:r w:rsidRPr="00503395">
        <w:rPr>
          <w:rFonts w:hint="cs"/>
          <w:rtl/>
        </w:rPr>
        <w:t>מן הטעם שהן מקימות פוטנציאל להסלמה עבריינית</w:t>
      </w:r>
      <w:r>
        <w:rPr>
          <w:rFonts w:hint="cs"/>
          <w:rtl/>
        </w:rPr>
        <w:t>,</w:t>
      </w:r>
      <w:r w:rsidRPr="00503395">
        <w:rPr>
          <w:rFonts w:hint="cs"/>
          <w:rtl/>
        </w:rPr>
        <w:t xml:space="preserve"> ויוצרות </w:t>
      </w:r>
      <w:r w:rsidRPr="00BC7F7A">
        <w:rPr>
          <w:rFonts w:hint="cs"/>
          <w:rtl/>
        </w:rPr>
        <w:t>סיכון ממשי לשלום הציבור וביטחונו</w:t>
      </w:r>
      <w:r w:rsidRPr="00305682">
        <w:rPr>
          <w:rFonts w:hint="cs"/>
          <w:rtl/>
        </w:rPr>
        <w:t>, הוא הערך החברתי המוגן העומד בבסיס עבירות אלה</w:t>
      </w:r>
      <w:r>
        <w:rPr>
          <w:rFonts w:hint="cs"/>
          <w:rtl/>
        </w:rPr>
        <w:t xml:space="preserve"> (ראו: </w:t>
      </w:r>
      <w:hyperlink r:id="rId38" w:history="1">
        <w:r w:rsidR="0047431A" w:rsidRPr="0047431A">
          <w:rPr>
            <w:color w:val="0000FF"/>
            <w:u w:val="single"/>
            <w:rtl/>
          </w:rPr>
          <w:t>ע"פ 9373/10</w:t>
        </w:r>
      </w:hyperlink>
      <w:r>
        <w:rPr>
          <w:rFonts w:hint="cs"/>
          <w:rtl/>
        </w:rPr>
        <w:t xml:space="preserve"> </w:t>
      </w:r>
      <w:r w:rsidRPr="00305682">
        <w:rPr>
          <w:rFonts w:hint="cs"/>
          <w:b/>
          <w:bCs/>
          <w:rtl/>
        </w:rPr>
        <w:t>חמד וותד נ' מדינת ישראל</w:t>
      </w:r>
      <w:r>
        <w:rPr>
          <w:rFonts w:hint="cs"/>
          <w:rtl/>
        </w:rPr>
        <w:t xml:space="preserve"> (14.9.2011); </w:t>
      </w:r>
      <w:hyperlink r:id="rId39" w:history="1">
        <w:r w:rsidR="0047431A" w:rsidRPr="0047431A">
          <w:rPr>
            <w:color w:val="0000FF"/>
            <w:u w:val="single"/>
            <w:rtl/>
          </w:rPr>
          <w:t>ע"פ 2251/11</w:t>
        </w:r>
      </w:hyperlink>
      <w:r>
        <w:rPr>
          <w:rFonts w:hint="cs"/>
          <w:rtl/>
        </w:rPr>
        <w:t xml:space="preserve"> ו</w:t>
      </w:r>
      <w:hyperlink r:id="rId40" w:history="1">
        <w:r w:rsidR="0047431A" w:rsidRPr="0047431A">
          <w:rPr>
            <w:color w:val="0000FF"/>
            <w:u w:val="single"/>
            <w:rtl/>
          </w:rPr>
          <w:t>ע"פ 2368/11</w:t>
        </w:r>
      </w:hyperlink>
      <w:r>
        <w:rPr>
          <w:rFonts w:hint="cs"/>
          <w:rtl/>
        </w:rPr>
        <w:t xml:space="preserve"> </w:t>
      </w:r>
      <w:r w:rsidRPr="00503395">
        <w:rPr>
          <w:rFonts w:hint="cs"/>
          <w:b/>
          <w:bCs/>
          <w:rtl/>
        </w:rPr>
        <w:t>מדינת ישראל נ' ג'מאל נפאע</w:t>
      </w:r>
      <w:r>
        <w:rPr>
          <w:rFonts w:hint="cs"/>
          <w:rtl/>
        </w:rPr>
        <w:t xml:space="preserve"> (4.12.2011); </w:t>
      </w:r>
      <w:hyperlink r:id="rId41" w:history="1">
        <w:r w:rsidR="0047431A" w:rsidRPr="0047431A">
          <w:rPr>
            <w:color w:val="0000FF"/>
            <w:u w:val="single"/>
            <w:rtl/>
          </w:rPr>
          <w:t>ע"פ 3156/11</w:t>
        </w:r>
      </w:hyperlink>
      <w:r w:rsidRPr="00503395">
        <w:rPr>
          <w:rFonts w:hint="cs"/>
          <w:rtl/>
        </w:rPr>
        <w:t xml:space="preserve"> </w:t>
      </w:r>
      <w:r w:rsidRPr="00503395">
        <w:rPr>
          <w:rFonts w:hint="cs"/>
          <w:b/>
          <w:bCs/>
          <w:rtl/>
        </w:rPr>
        <w:t>זראיעה נ' מדינת ישראל</w:t>
      </w:r>
      <w:r>
        <w:rPr>
          <w:rFonts w:hint="cs"/>
          <w:rtl/>
        </w:rPr>
        <w:t xml:space="preserve"> (</w:t>
      </w:r>
      <w:r w:rsidRPr="00503395">
        <w:rPr>
          <w:rFonts w:hint="cs"/>
          <w:rtl/>
        </w:rPr>
        <w:t>21.02.2012</w:t>
      </w:r>
      <w:r>
        <w:rPr>
          <w:rFonts w:hint="cs"/>
          <w:rtl/>
        </w:rPr>
        <w:t xml:space="preserve">); </w:t>
      </w:r>
      <w:hyperlink r:id="rId42" w:history="1">
        <w:r w:rsidR="0047431A" w:rsidRPr="0047431A">
          <w:rPr>
            <w:color w:val="0000FF"/>
            <w:u w:val="single"/>
            <w:rtl/>
          </w:rPr>
          <w:t>ע"פ 2918/13</w:t>
        </w:r>
      </w:hyperlink>
      <w:r>
        <w:rPr>
          <w:rFonts w:hint="cs"/>
          <w:rtl/>
        </w:rPr>
        <w:t xml:space="preserve"> </w:t>
      </w:r>
      <w:r w:rsidRPr="00695045">
        <w:rPr>
          <w:rFonts w:hint="cs"/>
          <w:b/>
          <w:bCs/>
          <w:rtl/>
        </w:rPr>
        <w:t>דבס נ' מדינת ישראל</w:t>
      </w:r>
      <w:r>
        <w:rPr>
          <w:rFonts w:hint="cs"/>
          <w:rtl/>
        </w:rPr>
        <w:t xml:space="preserve"> (18.7.2013); </w:t>
      </w:r>
      <w:hyperlink r:id="rId43" w:history="1">
        <w:r w:rsidR="0047431A" w:rsidRPr="0047431A">
          <w:rPr>
            <w:color w:val="0000FF"/>
            <w:u w:val="single"/>
            <w:rtl/>
          </w:rPr>
          <w:t>ע"פ 5913/11</w:t>
        </w:r>
      </w:hyperlink>
      <w:r>
        <w:rPr>
          <w:rFonts w:hint="cs"/>
          <w:rtl/>
        </w:rPr>
        <w:t xml:space="preserve"> </w:t>
      </w:r>
      <w:r w:rsidRPr="00503395">
        <w:rPr>
          <w:rFonts w:hint="cs"/>
          <w:b/>
          <w:bCs/>
          <w:rtl/>
        </w:rPr>
        <w:t>תאר הייב נ' מדינת ישראל</w:t>
      </w:r>
      <w:r>
        <w:rPr>
          <w:rFonts w:hint="cs"/>
          <w:rtl/>
        </w:rPr>
        <w:t xml:space="preserve"> (12.9.2012); </w:t>
      </w:r>
      <w:hyperlink r:id="rId44" w:history="1">
        <w:r w:rsidR="0047431A" w:rsidRPr="0047431A">
          <w:rPr>
            <w:color w:val="0000FF"/>
            <w:u w:val="single"/>
            <w:rtl/>
          </w:rPr>
          <w:t>ע"פ 5900/15</w:t>
        </w:r>
      </w:hyperlink>
      <w:r>
        <w:rPr>
          <w:rFonts w:hint="cs"/>
          <w:rtl/>
        </w:rPr>
        <w:t xml:space="preserve"> </w:t>
      </w:r>
      <w:r w:rsidRPr="00503395">
        <w:rPr>
          <w:rFonts w:hint="cs"/>
          <w:b/>
          <w:bCs/>
          <w:rtl/>
        </w:rPr>
        <w:t>אייל מעוז נ' מדינת ישראל</w:t>
      </w:r>
      <w:r>
        <w:rPr>
          <w:rFonts w:hint="cs"/>
          <w:rtl/>
        </w:rPr>
        <w:t xml:space="preserve"> (10.5.2016); </w:t>
      </w:r>
      <w:hyperlink r:id="rId45" w:history="1">
        <w:r w:rsidR="0047431A" w:rsidRPr="0047431A">
          <w:rPr>
            <w:color w:val="0000FF"/>
            <w:u w:val="single"/>
            <w:rtl/>
          </w:rPr>
          <w:t>ע"פ 8959/14</w:t>
        </w:r>
      </w:hyperlink>
      <w:r>
        <w:rPr>
          <w:rFonts w:hint="cs"/>
          <w:rtl/>
        </w:rPr>
        <w:t xml:space="preserve"> </w:t>
      </w:r>
      <w:r w:rsidRPr="00503395">
        <w:rPr>
          <w:rFonts w:hint="cs"/>
          <w:b/>
          <w:bCs/>
          <w:rtl/>
        </w:rPr>
        <w:t>דניאל בן סימון נ' מדינת ישראל</w:t>
      </w:r>
      <w:r>
        <w:rPr>
          <w:rFonts w:hint="cs"/>
          <w:rtl/>
        </w:rPr>
        <w:t xml:space="preserve"> (24.6.2015).</w:t>
      </w:r>
    </w:p>
    <w:p w14:paraId="2EBA08DB" w14:textId="77777777" w:rsidR="0009401E" w:rsidRDefault="0009401E" w:rsidP="0009401E">
      <w:pPr>
        <w:spacing w:after="120" w:line="360" w:lineRule="auto"/>
        <w:ind w:left="720" w:hanging="720"/>
        <w:jc w:val="both"/>
        <w:rPr>
          <w:rtl/>
        </w:rPr>
      </w:pPr>
      <w:r>
        <w:rPr>
          <w:rFonts w:hint="cs"/>
          <w:rtl/>
        </w:rPr>
        <w:t xml:space="preserve">29. </w:t>
      </w:r>
      <w:r>
        <w:rPr>
          <w:rFonts w:hint="cs"/>
          <w:rtl/>
        </w:rPr>
        <w:tab/>
        <w:t xml:space="preserve">המגמה ההולכת וגוברת בפסיקת בתי המשפט מזה שנים הינה של החמרה במדיניות הענישה כלפי המבצעים עבירות בנשק, וביתר שאת כשמדובר בסחר בנשק. יפים לעניין זה דברי בית המשפט </w:t>
      </w:r>
      <w:r w:rsidRPr="00E154E1">
        <w:rPr>
          <w:rFonts w:hint="cs"/>
          <w:rtl/>
        </w:rPr>
        <w:t>ב</w:t>
      </w:r>
      <w:hyperlink r:id="rId46" w:history="1">
        <w:r w:rsidR="0047431A" w:rsidRPr="0047431A">
          <w:rPr>
            <w:color w:val="0000FF"/>
            <w:u w:val="single"/>
            <w:rtl/>
          </w:rPr>
          <w:t>ע"פ 5814/14</w:t>
        </w:r>
      </w:hyperlink>
      <w:r w:rsidRPr="003C072E">
        <w:rPr>
          <w:rFonts w:hint="cs"/>
          <w:rtl/>
        </w:rPr>
        <w:t xml:space="preserve"> ‏</w:t>
      </w:r>
      <w:r w:rsidRPr="003C072E">
        <w:rPr>
          <w:rFonts w:hint="cs"/>
          <w:b/>
          <w:bCs/>
          <w:rtl/>
        </w:rPr>
        <w:t xml:space="preserve"> עספור נ' מדינת ישראל</w:t>
      </w:r>
      <w:r w:rsidRPr="003C072E">
        <w:rPr>
          <w:rFonts w:hint="cs"/>
          <w:rtl/>
        </w:rPr>
        <w:t xml:space="preserve"> (14.6.2015):</w:t>
      </w:r>
    </w:p>
    <w:p w14:paraId="31F28649" w14:textId="77777777" w:rsidR="0009401E" w:rsidRPr="003C072E" w:rsidRDefault="0009401E" w:rsidP="0009401E">
      <w:pPr>
        <w:spacing w:after="120" w:line="360" w:lineRule="auto"/>
        <w:ind w:left="720" w:hanging="720"/>
        <w:jc w:val="both"/>
        <w:rPr>
          <w:sz w:val="2"/>
          <w:szCs w:val="2"/>
        </w:rPr>
      </w:pPr>
    </w:p>
    <w:p w14:paraId="4016785C" w14:textId="77777777" w:rsidR="0009401E" w:rsidRDefault="0009401E" w:rsidP="0009401E">
      <w:pPr>
        <w:pStyle w:val="1"/>
        <w:spacing w:after="240"/>
        <w:ind w:left="1440"/>
        <w:rPr>
          <w:rtl/>
        </w:rPr>
      </w:pPr>
      <w:r>
        <w:rPr>
          <w:rFonts w:hint="cs"/>
          <w:rtl/>
        </w:rPr>
        <w:t>"בית משפט זה עמד לא אחת על חומרתן המיוחדת של עבירות סחר בנשק ועל הסכנות הצפויות מעבירות כאלה,</w:t>
      </w:r>
      <w:r>
        <w:rPr>
          <w:rFonts w:ascii="Century" w:hAnsi="Century" w:cs="Miriam" w:hint="cs"/>
          <w:b/>
          <w:rtl/>
        </w:rPr>
        <w:t xml:space="preserve"> </w:t>
      </w:r>
      <w:r>
        <w:rPr>
          <w:rFonts w:ascii="Century" w:hAnsi="Century" w:hint="cs"/>
          <w:rtl/>
        </w:rPr>
        <w:t>אשר עשויות לסלול את הדרך לפעילות אלימה ובלתי חוקית; והדבר חמור שבעתיים במציאות הישראלית, שבה נשק המוחזק באופן בלתי חוקי עלול להתגלגל אף לידי אלו המבקשים להוציא אל הפועל פעילות חבלנית עוינת (</w:t>
      </w:r>
      <w:hyperlink r:id="rId47"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5833/07</w:t>
        </w:r>
      </w:hyperlink>
      <w:r>
        <w:rPr>
          <w:rFonts w:ascii="Century" w:hAnsi="Century" w:hint="cs"/>
          <w:rtl/>
        </w:rPr>
        <w:t xml:space="preserve"> </w:t>
      </w:r>
      <w:r w:rsidRPr="003C072E">
        <w:rPr>
          <w:rFonts w:ascii="Century" w:hAnsi="Century" w:hint="cs"/>
          <w:rtl/>
        </w:rPr>
        <w:t xml:space="preserve">ח'ורי נ' מדינת ישראל [פורסם בנבו] </w:t>
      </w:r>
      <w:r>
        <w:rPr>
          <w:rFonts w:ascii="Century" w:hAnsi="Century" w:hint="cs"/>
          <w:rtl/>
        </w:rPr>
        <w:t xml:space="preserve">(18.11.2007); </w:t>
      </w:r>
      <w:hyperlink r:id="rId48"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2251/11</w:t>
        </w:r>
      </w:hyperlink>
      <w:r>
        <w:rPr>
          <w:rFonts w:ascii="Century" w:hAnsi="Century" w:hint="cs"/>
          <w:rtl/>
        </w:rPr>
        <w:t xml:space="preserve"> </w:t>
      </w:r>
      <w:r w:rsidRPr="003C072E">
        <w:rPr>
          <w:rFonts w:ascii="Century" w:hAnsi="Century" w:hint="cs"/>
          <w:rtl/>
        </w:rPr>
        <w:t xml:space="preserve">ג'מאל נפאע נ' מדינת ישראל, [פורסם בנבו] </w:t>
      </w:r>
      <w:r>
        <w:rPr>
          <w:rFonts w:ascii="Century" w:hAnsi="Century" w:hint="cs"/>
          <w:rtl/>
        </w:rPr>
        <w:t xml:space="preserve">פסקה 5 (4.12.2011) (להלן: </w:t>
      </w:r>
      <w:r w:rsidRPr="003C072E">
        <w:rPr>
          <w:rFonts w:ascii="Century" w:hAnsi="Century" w:hint="cs"/>
          <w:rtl/>
        </w:rPr>
        <w:t>עניין נפאע</w:t>
      </w:r>
      <w:r>
        <w:rPr>
          <w:rFonts w:ascii="Century" w:hAnsi="Century" w:hint="cs"/>
          <w:rtl/>
        </w:rPr>
        <w:t xml:space="preserve">))... </w:t>
      </w:r>
      <w:r w:rsidRPr="003C072E">
        <w:rPr>
          <w:rFonts w:ascii="Century" w:hAnsi="Century" w:hint="cs"/>
          <w:b/>
          <w:bCs/>
          <w:rtl/>
        </w:rPr>
        <w:t>הנה כי כן המגמה היא החמרת הענישה בעבירות סחר בנשק, וזאת לנוכח מימדיה המדאיגים של תופעת הסחר הבלתי חוקי בנשק;</w:t>
      </w:r>
      <w:r w:rsidRPr="003C072E">
        <w:rPr>
          <w:rFonts w:ascii="Century" w:hAnsi="Century" w:cs="Miriam" w:hint="cs"/>
          <w:b/>
          <w:bCs/>
          <w:rtl/>
        </w:rPr>
        <w:t xml:space="preserve"> </w:t>
      </w:r>
      <w:r w:rsidRPr="003C072E">
        <w:rPr>
          <w:rFonts w:ascii="Century" w:hAnsi="Century" w:hint="cs"/>
          <w:b/>
          <w:bCs/>
          <w:rtl/>
        </w:rPr>
        <w:t>הסכנות הנשקפות ממנה; וכן הקלות היחסית שבה ניתן לבצען</w:t>
      </w:r>
      <w:r>
        <w:rPr>
          <w:rFonts w:ascii="Century" w:hAnsi="Century" w:hint="cs"/>
          <w:rtl/>
        </w:rPr>
        <w:t>".</w:t>
      </w:r>
      <w:r>
        <w:rPr>
          <w:rFonts w:hint="cs"/>
          <w:rtl/>
        </w:rPr>
        <w:t xml:space="preserve"> (ההדגשה הוספה </w:t>
      </w:r>
      <w:r>
        <w:rPr>
          <w:rtl/>
        </w:rPr>
        <w:t>–</w:t>
      </w:r>
      <w:r>
        <w:rPr>
          <w:rFonts w:hint="cs"/>
          <w:rtl/>
        </w:rPr>
        <w:t xml:space="preserve"> א.ט).</w:t>
      </w:r>
    </w:p>
    <w:p w14:paraId="39143318" w14:textId="77777777" w:rsidR="0009401E" w:rsidRDefault="0009401E" w:rsidP="0009401E">
      <w:pPr>
        <w:spacing w:after="120" w:line="360" w:lineRule="auto"/>
        <w:ind w:left="720" w:hanging="720"/>
        <w:jc w:val="both"/>
        <w:rPr>
          <w:rtl/>
        </w:rPr>
      </w:pPr>
      <w:r>
        <w:rPr>
          <w:rtl/>
        </w:rPr>
        <w:tab/>
      </w:r>
      <w:r>
        <w:rPr>
          <w:rtl/>
        </w:rPr>
        <w:tab/>
      </w:r>
      <w:r>
        <w:rPr>
          <w:rFonts w:hint="cs"/>
          <w:rtl/>
        </w:rPr>
        <w:t>כן ראו דברי בית המשפט ב</w:t>
      </w:r>
      <w:hyperlink r:id="rId49" w:history="1">
        <w:r w:rsidR="0047431A" w:rsidRPr="0047431A">
          <w:rPr>
            <w:color w:val="0000FF"/>
            <w:u w:val="single"/>
            <w:rtl/>
          </w:rPr>
          <w:t>ע"פ 5080/15</w:t>
        </w:r>
      </w:hyperlink>
      <w:r w:rsidRPr="003C072E">
        <w:rPr>
          <w:rFonts w:hint="cs"/>
          <w:rtl/>
        </w:rPr>
        <w:t xml:space="preserve"> ‏</w:t>
      </w:r>
      <w:r w:rsidRPr="003C072E">
        <w:rPr>
          <w:rFonts w:hint="cs"/>
          <w:b/>
          <w:bCs/>
          <w:rtl/>
        </w:rPr>
        <w:t xml:space="preserve"> עביד נ' מדינת ישראל</w:t>
      </w:r>
      <w:r w:rsidRPr="003C072E">
        <w:rPr>
          <w:rFonts w:hint="cs"/>
          <w:rtl/>
        </w:rPr>
        <w:t xml:space="preserve"> (10.3.2016):</w:t>
      </w:r>
    </w:p>
    <w:p w14:paraId="56F8F91B" w14:textId="77777777" w:rsidR="0009401E" w:rsidRPr="003C072E" w:rsidRDefault="0009401E" w:rsidP="0009401E">
      <w:pPr>
        <w:spacing w:after="120" w:line="360" w:lineRule="auto"/>
        <w:ind w:left="720" w:hanging="720"/>
        <w:jc w:val="both"/>
        <w:rPr>
          <w:sz w:val="2"/>
          <w:szCs w:val="2"/>
        </w:rPr>
      </w:pPr>
    </w:p>
    <w:p w14:paraId="28797566" w14:textId="77777777" w:rsidR="0009401E" w:rsidRPr="003C072E" w:rsidRDefault="0009401E" w:rsidP="0009401E">
      <w:pPr>
        <w:pStyle w:val="1"/>
        <w:spacing w:after="240"/>
        <w:ind w:left="1440"/>
        <w:rPr>
          <w:rtl/>
        </w:rPr>
      </w:pPr>
      <w:r>
        <w:rPr>
          <w:rFonts w:hint="cs"/>
          <w:rtl/>
        </w:rPr>
        <w:t>"</w:t>
      </w:r>
      <w:r w:rsidRPr="003C072E">
        <w:rPr>
          <w:rFonts w:hint="cs"/>
          <w:rtl/>
        </w:rPr>
        <w:t>בית משפט זה עמד לא אחת על חומרתן המיוחדת של עבירות בנשק ועל הסכנות הצפויות מעבירות כאלה, אשר גורמות לפעילות עבריינית אחרת ומאיימות על שלום הציבור כולו (</w:t>
      </w:r>
      <w:hyperlink r:id="rId50"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4450/11</w:t>
        </w:r>
      </w:hyperlink>
      <w:r w:rsidRPr="003C072E">
        <w:rPr>
          <w:rFonts w:hint="cs"/>
          <w:rtl/>
        </w:rPr>
        <w:t xml:space="preserve"> עספור נ' מדינת ישראל [פורסם בנבו] (8.2.2012); (</w:t>
      </w:r>
      <w:hyperlink r:id="rId51"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2251/11</w:t>
        </w:r>
      </w:hyperlink>
      <w:r w:rsidRPr="003C072E">
        <w:rPr>
          <w:rFonts w:hint="cs"/>
          <w:rtl/>
        </w:rPr>
        <w:t xml:space="preserve"> נפעא נ' מדינת ישראל, [פורסם בנבו] פסקה 5 (4.12.2011); </w:t>
      </w:r>
      <w:hyperlink r:id="rId52"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5833/07</w:t>
        </w:r>
      </w:hyperlink>
      <w:r w:rsidRPr="003C072E">
        <w:rPr>
          <w:rFonts w:hint="cs"/>
          <w:rtl/>
        </w:rPr>
        <w:t xml:space="preserve"> ח'ורי נ' מדינת ישראל [פורסם בנבו] (18.11.2007)). על כן, </w:t>
      </w:r>
      <w:r w:rsidRPr="003C072E">
        <w:rPr>
          <w:rFonts w:hint="cs"/>
          <w:b/>
          <w:bCs/>
          <w:rtl/>
        </w:rPr>
        <w:t>בית משפט זה אימץ עמדה עקרונית לפיה יש להחמיר, ככלל, בענישתם של נאשמים שהורשעו בעבירות נשק בכלל ובעבירות סחר בנשק בפרט</w:t>
      </w:r>
      <w:r w:rsidRPr="003C072E">
        <w:rPr>
          <w:rFonts w:hint="cs"/>
          <w:rtl/>
        </w:rPr>
        <w:t xml:space="preserve"> (</w:t>
      </w:r>
      <w:hyperlink r:id="rId53"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319/11</w:t>
        </w:r>
      </w:hyperlink>
      <w:r w:rsidRPr="003C072E">
        <w:rPr>
          <w:rFonts w:hint="cs"/>
          <w:rtl/>
        </w:rPr>
        <w:t xml:space="preserve"> מדינת ישראל נ' יאסין [פורסם בנבו] (4.12.2011); </w:t>
      </w:r>
      <w:hyperlink r:id="rId54"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6210/10</w:t>
        </w:r>
      </w:hyperlink>
      <w:r w:rsidRPr="003C072E">
        <w:rPr>
          <w:rFonts w:hint="cs"/>
          <w:rtl/>
        </w:rPr>
        <w:t xml:space="preserve"> מדינת ישראל נ' אגבריה [פורסם בנבו] (23.3.2011)). נפסק בהקשר זה, כי "</w:t>
      </w:r>
      <w:r w:rsidRPr="003C072E">
        <w:rPr>
          <w:rFonts w:hint="cs"/>
          <w:b/>
          <w:bCs/>
          <w:rtl/>
        </w:rPr>
        <w:t>יש למגר תופעה של סחר, בכלל זה ניסיון או סיוע, נשיאה והובלה של נשק. שומה לעשות לבטחון הציבור הרחב, ואין מקום לגישה עונשית מקלה כלפי המערער ואחרים שכמותו, שמסכנים חיי אדם בצורה שכזו</w:t>
      </w:r>
      <w:r w:rsidRPr="003C072E">
        <w:rPr>
          <w:rFonts w:hint="cs"/>
          <w:rtl/>
        </w:rPr>
        <w:t>" (</w:t>
      </w:r>
      <w:hyperlink r:id="rId55"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7317/13</w:t>
        </w:r>
      </w:hyperlink>
      <w:r w:rsidRPr="003C072E">
        <w:rPr>
          <w:rFonts w:hint="cs"/>
          <w:rtl/>
        </w:rPr>
        <w:t xml:space="preserve"> חג'אב נ' מדינת ישראל, [פורסם בנבו] פסקה 6 לפסק דינו של השופט נ' סולברג (19.5.2014))</w:t>
      </w:r>
      <w:r>
        <w:rPr>
          <w:rFonts w:hint="cs"/>
          <w:rtl/>
        </w:rPr>
        <w:t>"</w:t>
      </w:r>
      <w:r w:rsidRPr="003C072E">
        <w:rPr>
          <w:rFonts w:hint="cs"/>
          <w:rtl/>
        </w:rPr>
        <w:t>.</w:t>
      </w:r>
      <w:r>
        <w:rPr>
          <w:rFonts w:hint="cs"/>
          <w:rtl/>
        </w:rPr>
        <w:t xml:space="preserve"> (ההדגשות אינן במקור </w:t>
      </w:r>
      <w:r>
        <w:rPr>
          <w:rtl/>
        </w:rPr>
        <w:t>–</w:t>
      </w:r>
      <w:r>
        <w:rPr>
          <w:rFonts w:hint="cs"/>
          <w:rtl/>
        </w:rPr>
        <w:t xml:space="preserve"> א.ט).</w:t>
      </w:r>
    </w:p>
    <w:p w14:paraId="569995CE" w14:textId="77777777" w:rsidR="0009401E" w:rsidRDefault="0009401E" w:rsidP="0009401E">
      <w:pPr>
        <w:spacing w:line="360" w:lineRule="auto"/>
        <w:ind w:left="720" w:hanging="720"/>
        <w:jc w:val="both"/>
        <w:rPr>
          <w:sz w:val="12"/>
          <w:szCs w:val="12"/>
          <w:rtl/>
        </w:rPr>
      </w:pPr>
    </w:p>
    <w:p w14:paraId="5D14F22D" w14:textId="77777777" w:rsidR="0009401E" w:rsidRDefault="0009401E" w:rsidP="0009401E">
      <w:pPr>
        <w:spacing w:after="240" w:line="360" w:lineRule="auto"/>
        <w:ind w:left="720" w:hanging="720"/>
        <w:jc w:val="both"/>
        <w:rPr>
          <w:rFonts w:ascii="David" w:hAnsi="David"/>
          <w:rtl/>
        </w:rPr>
      </w:pPr>
      <w:r>
        <w:rPr>
          <w:rFonts w:hint="cs"/>
          <w:rtl/>
        </w:rPr>
        <w:t>30.</w:t>
      </w:r>
      <w:r>
        <w:rPr>
          <w:rFonts w:hint="cs"/>
          <w:rtl/>
        </w:rPr>
        <w:tab/>
        <w:t xml:space="preserve">לפי עובדות כתב האישום בהן הודה הנאשם, הוא רכש, החזיק ואף סחר בנשק מסוגים שונים ובתחמושת בהזדמנויות שונות, לאורך מספר שנים, בהפיקו רווחים מפעילות זו. אין צורך להכביר מילים באשר לנזק הפוטנציאלי והפגיעות הנרחבות שעלולות היו להיגרם כתוצאה משימוש באמצעי הלחימה המנויים בכתב האישום. </w:t>
      </w:r>
      <w:r>
        <w:rPr>
          <w:rFonts w:ascii="David" w:hAnsi="David" w:hint="cs"/>
          <w:rtl/>
        </w:rPr>
        <w:t xml:space="preserve">התופעה של שימוש בנשק, המביא לא אחת לקיפוח חיי אדם תפסה ממדים מדאיגים לאחרונה. אין לך כמעט שבוע שבו לא נרצח אדם מירי, בין אם במסגרת חיסול חשבונות בין עבריינים, בין אם על רקע סכסוך נקודתי ובין אם מכדור תועה. הסחר בנשק מהווה חלק מאותה שרשרת של פעילות עבריינית, המובילה להסלמת האלימות והפורענות והשלטת פחד ואימה על מגזרים נרחבים בחברה. אין כל מקום להשלים עם תופעה זו. יש להילחם בה ללא לאות, בין היתר על ידי הטלת עונשים מחמירים.  </w:t>
      </w:r>
    </w:p>
    <w:p w14:paraId="079B893C" w14:textId="77777777" w:rsidR="0009401E" w:rsidRDefault="0009401E" w:rsidP="0009401E">
      <w:pPr>
        <w:spacing w:after="240" w:line="360" w:lineRule="auto"/>
        <w:ind w:left="720" w:hanging="720"/>
        <w:jc w:val="both"/>
        <w:rPr>
          <w:rtl/>
        </w:rPr>
      </w:pPr>
      <w:r>
        <w:rPr>
          <w:rFonts w:hint="cs"/>
          <w:rtl/>
        </w:rPr>
        <w:t>31.</w:t>
      </w:r>
      <w:r>
        <w:rPr>
          <w:rtl/>
        </w:rPr>
        <w:tab/>
      </w:r>
      <w:r>
        <w:rPr>
          <w:rFonts w:hint="cs"/>
          <w:rtl/>
        </w:rPr>
        <w:t>דברי הנאשם בפני שירות המבחן, לפיהם נועד הנשק לשמש לצורך הגנה עצמית אינם עולים בקנה אחד עם עובדות כתב האישום. כמות העסקאות, תדירותן והיקפן אף אינה מתיישבת עם גרסה זו. הדעת נותנת כי אדם החפץ להצטייד בנשק לצורך הגנה עצמית, יצטייד בכלי נשק אחד שישמש אותו לכל אורך התקופה בה הוא חש מאוים. הדברים נאמרים לא מתוך מתן הכשר להתנהלות מעין זו אלא על מנת להבליט את האבסורד בגרסת הנאשם. מדובר במי שרכש, החזיק וסחר בכלי נשק רבים, על פני תקופה של כארבע שנים. בנוסף, העובדה שהנאשם רכש והחזיק, בין היתר, ברימוני הלם, חותרת תחת גרסת ההגנה העצמית שהעלה, שהרי נשק מסוג זה אינו משמש, ברגיל, לצורך הגנה עצמית. מכל מקום, בהשגת נשק לצורך הגנה עצמית כאמור, ממילא אין כדי להפחית מחומרת המעשה, כפי שצוין ב</w:t>
      </w:r>
      <w:hyperlink r:id="rId56" w:history="1">
        <w:r w:rsidR="0047431A" w:rsidRPr="0047431A">
          <w:rPr>
            <w:color w:val="0000FF"/>
            <w:u w:val="single"/>
            <w:rtl/>
          </w:rPr>
          <w:t>ע"פ 5646/15</w:t>
        </w:r>
      </w:hyperlink>
      <w:r w:rsidRPr="00426AA4">
        <w:rPr>
          <w:rFonts w:hint="cs"/>
          <w:rtl/>
        </w:rPr>
        <w:t xml:space="preserve"> </w:t>
      </w:r>
      <w:r w:rsidRPr="00426AA4">
        <w:rPr>
          <w:rFonts w:hint="cs"/>
          <w:b/>
          <w:bCs/>
          <w:rtl/>
        </w:rPr>
        <w:t>תיהאווי נ' מדינת ישראל</w:t>
      </w:r>
      <w:r w:rsidRPr="00426AA4">
        <w:rPr>
          <w:rFonts w:hint="cs"/>
          <w:rtl/>
        </w:rPr>
        <w:t xml:space="preserve"> </w:t>
      </w:r>
      <w:r>
        <w:rPr>
          <w:rFonts w:hint="cs"/>
          <w:rtl/>
        </w:rPr>
        <w:t xml:space="preserve">(14.2.2016), זאת לנוכח פוטנציאל הסלמת האלימות והפגיעה באחרים. </w:t>
      </w:r>
    </w:p>
    <w:p w14:paraId="74EC70F3" w14:textId="77777777" w:rsidR="0009401E" w:rsidRDefault="0009401E" w:rsidP="0009401E">
      <w:pPr>
        <w:spacing w:after="240" w:line="360" w:lineRule="auto"/>
        <w:ind w:left="720" w:hanging="720"/>
        <w:jc w:val="both"/>
        <w:rPr>
          <w:rtl/>
        </w:rPr>
      </w:pPr>
      <w:r>
        <w:rPr>
          <w:rtl/>
        </w:rPr>
        <w:tab/>
      </w:r>
      <w:r>
        <w:rPr>
          <w:rFonts w:hint="cs"/>
          <w:rtl/>
        </w:rPr>
        <w:t>לא זו אף זו, העובדה שהנאשם מכר לנסר את רימוני ההלם, בשל סכסוך אליו נקלע נסר עם אחר, מעידה כי הנאשם היה מודע, ולכל הפחות שווה נפש לאפשרות שייעשה בהם שימוש אלים כאמור במסגרת יישוב אותו סכסוך.</w:t>
      </w:r>
    </w:p>
    <w:p w14:paraId="2DB61649" w14:textId="77777777" w:rsidR="0009401E" w:rsidRPr="00AC7E95" w:rsidRDefault="0009401E" w:rsidP="0009401E">
      <w:pPr>
        <w:spacing w:after="240" w:line="360" w:lineRule="auto"/>
        <w:ind w:left="720" w:hanging="720"/>
        <w:jc w:val="both"/>
      </w:pPr>
      <w:r>
        <w:rPr>
          <w:rFonts w:hint="cs"/>
          <w:rtl/>
        </w:rPr>
        <w:t>32.</w:t>
      </w:r>
      <w:r>
        <w:rPr>
          <w:rtl/>
        </w:rPr>
        <w:tab/>
      </w:r>
      <w:r>
        <w:rPr>
          <w:rFonts w:hint="cs"/>
          <w:rtl/>
        </w:rPr>
        <w:t xml:space="preserve">אין בידי לקבל את טענת ב"כ הנאשם, כי באישום הראשון מדובר בעבירות בנשק "לא תקין אשר אין בכוחו לפגוע", נוכח היותו עם מנגנון הדק חסר. זאת נוכח העובדה שהנאשם הודה בעובדות המפורטות בסעיף 5 לאישום הראשון, שם צוין במפורש כי האקדח נשוא אותו אישום הנו </w:t>
      </w:r>
      <w:r w:rsidRPr="004D0E5A">
        <w:rPr>
          <w:rFonts w:hint="cs"/>
          <w:rtl/>
        </w:rPr>
        <w:t>"כלי שסוגל לירות כדור או קלע שבכוחם להמית אדם"</w:t>
      </w:r>
      <w:r>
        <w:rPr>
          <w:rFonts w:hint="cs"/>
          <w:rtl/>
        </w:rPr>
        <w:t xml:space="preserve">. משכך, אין הנאשם רשאי להחזיק את המקל בשני קצותיו ובמסגרת הטיעונים לעונש להעלות טענות שחותרות תחת הודאתו כאמור.  </w:t>
      </w:r>
    </w:p>
    <w:p w14:paraId="3D81B9AC" w14:textId="77777777" w:rsidR="0009401E" w:rsidRDefault="0009401E" w:rsidP="0009401E">
      <w:pPr>
        <w:spacing w:after="240" w:line="360" w:lineRule="auto"/>
        <w:ind w:left="720" w:hanging="720"/>
        <w:jc w:val="both"/>
        <w:rPr>
          <w:rtl/>
        </w:rPr>
      </w:pPr>
      <w:r>
        <w:rPr>
          <w:rFonts w:hint="cs"/>
          <w:rtl/>
        </w:rPr>
        <w:t>33.</w:t>
      </w:r>
      <w:r>
        <w:rPr>
          <w:rtl/>
        </w:rPr>
        <w:tab/>
      </w:r>
      <w:r>
        <w:rPr>
          <w:rFonts w:hint="cs"/>
          <w:rtl/>
        </w:rPr>
        <w:t>שלא כדעת ב"כ הנאשם, איני רואה לייחס חשיבות רבה לכך שבמקצת האישומים לא הנאשם הוא זה שיזם את עסקאות הנשק. מתיאור העובדות המפורטות בכתב האישום, עולה כי הנאשם היה גורם דומיננטי בביצוע העסקאות, ובמרבית המקרים הוא שיזם את הפניות לאחרים לצורך מכירת או רכישת כלי הנשק. כך, לפי האישום הראשון, בשנת 2013 פנה לנסר בבקשה שימצא קונה לקרלו. לפי האישום השני, בשנת 2013 ביקש מנסר שישיג עבורו נשק, ובהמשך לכך פנה לאחֵר וביקש שימצא עבורו קונה לנשק שרכש. לפי האישום השלישי, בשנת 2015 פנה לנסר וביקש ממנו שימצא קונה לאקדח נוסף. התנהלות זו מצביעה בבירור על היות הנאשם היוזם והרוח החיה מאחורי אותן עסקאות. מנגד, פניות שנעשו לנאשם על ידי אחרים לצורך ביצוע עסקאות לא נפלו על אוזניים ערלות, ונענו בחיוב על ידו. כך על פי האישום השלישי והחמישי, פניות שיזמו אחרים, נעשו בשנת 2015, לאחר שכבר הכירו את הנאשם כמי שיש לו עניין וזיקה לביצוע עסקאות בנשק כאמור. התמונה המצטיירת ממקבץ האמור רחוקה מלתאר אדם שנגרר לביצוע העבירות על ידי אחרים, כי אם מי שיזם, תכנן ומימש תוכניותיו, תוך ניצול קשריו עם העולם העברייני לצורך הוצאתן לפועל של אותן עסקאות שרקח.</w:t>
      </w:r>
    </w:p>
    <w:p w14:paraId="34BCDC71" w14:textId="77777777" w:rsidR="0009401E" w:rsidRDefault="0009401E" w:rsidP="0009401E">
      <w:pPr>
        <w:spacing w:after="240" w:line="360" w:lineRule="auto"/>
        <w:ind w:left="720" w:hanging="720"/>
        <w:jc w:val="both"/>
        <w:rPr>
          <w:rtl/>
        </w:rPr>
      </w:pPr>
      <w:r>
        <w:rPr>
          <w:rFonts w:hint="cs"/>
          <w:rtl/>
        </w:rPr>
        <w:t>34.</w:t>
      </w:r>
      <w:r>
        <w:rPr>
          <w:rFonts w:hint="cs"/>
          <w:rtl/>
        </w:rPr>
        <w:tab/>
        <w:t xml:space="preserve">עיון בפסקי דין שניתנו לגבי עבירות נשק בנסיבות דומות או קרובות, מלמד כי מדיניות הענישה כוללת, ביו היתר, עונשי מאסר בפועל למשך מספר שנים מאחורי סורג ובריח. </w:t>
      </w:r>
    </w:p>
    <w:p w14:paraId="4C61B68A" w14:textId="77777777" w:rsidR="0009401E" w:rsidRPr="00EC2318" w:rsidRDefault="0009401E" w:rsidP="0009401E">
      <w:pPr>
        <w:spacing w:after="240" w:line="360" w:lineRule="auto"/>
        <w:ind w:left="720" w:hanging="720"/>
        <w:jc w:val="both"/>
        <w:rPr>
          <w:rtl/>
        </w:rPr>
      </w:pPr>
      <w:r>
        <w:rPr>
          <w:rtl/>
        </w:rPr>
        <w:tab/>
      </w:r>
      <w:r>
        <w:rPr>
          <w:rFonts w:hint="cs"/>
          <w:rtl/>
        </w:rPr>
        <w:t>כך למשל ב</w:t>
      </w:r>
      <w:hyperlink r:id="rId57" w:history="1">
        <w:r w:rsidR="0047431A" w:rsidRPr="0047431A">
          <w:rPr>
            <w:color w:val="0000FF"/>
            <w:u w:val="single"/>
            <w:rtl/>
          </w:rPr>
          <w:t>ת"פ 30145-12-11</w:t>
        </w:r>
      </w:hyperlink>
      <w:r>
        <w:rPr>
          <w:rFonts w:hint="cs"/>
          <w:rtl/>
        </w:rPr>
        <w:t xml:space="preserve"> (מחוזי חי') </w:t>
      </w:r>
      <w:r>
        <w:rPr>
          <w:rFonts w:hint="cs"/>
          <w:b/>
          <w:bCs/>
          <w:rtl/>
        </w:rPr>
        <w:t>מדינת ישראל נ' ח'טיב</w:t>
      </w:r>
      <w:r>
        <w:rPr>
          <w:rFonts w:hint="cs"/>
          <w:rtl/>
        </w:rPr>
        <w:t xml:space="preserve"> (6.2.2012) הורשע הנאשם על פי הודייתו בשתי עבירות של סחר בנשק שלא כדין ובשתי עבירות של החזקת נשק שלא כדין ונדון לעונש של 4.5 שנות מאסר בפועל. ערעור שהוגש על חומרת העונש נדחה על ידי בית המשפט העליון (</w:t>
      </w:r>
      <w:hyperlink r:id="rId58" w:history="1">
        <w:r w:rsidR="0047431A" w:rsidRPr="0047431A">
          <w:rPr>
            <w:color w:val="0000FF"/>
            <w:u w:val="single"/>
            <w:rtl/>
          </w:rPr>
          <w:t>ע"פ 2405/12</w:t>
        </w:r>
      </w:hyperlink>
      <w:r>
        <w:rPr>
          <w:rFonts w:hint="cs"/>
          <w:rtl/>
        </w:rPr>
        <w:t xml:space="preserve"> </w:t>
      </w:r>
      <w:r>
        <w:rPr>
          <w:rFonts w:hint="cs"/>
          <w:b/>
          <w:bCs/>
          <w:rtl/>
        </w:rPr>
        <w:t>חטיב נ' מדינת ישראל</w:t>
      </w:r>
      <w:r>
        <w:rPr>
          <w:rFonts w:hint="cs"/>
          <w:rtl/>
        </w:rPr>
        <w:t xml:space="preserve"> (17.11.2013).</w:t>
      </w:r>
    </w:p>
    <w:p w14:paraId="5BA49DA7" w14:textId="77777777" w:rsidR="0009401E" w:rsidRDefault="0009401E" w:rsidP="0009401E">
      <w:pPr>
        <w:spacing w:after="240" w:line="360" w:lineRule="auto"/>
        <w:ind w:left="720" w:hanging="720"/>
        <w:jc w:val="both"/>
        <w:rPr>
          <w:rtl/>
        </w:rPr>
      </w:pPr>
      <w:r>
        <w:rPr>
          <w:rtl/>
        </w:rPr>
        <w:tab/>
      </w:r>
      <w:r w:rsidRPr="003F1EB8">
        <w:rPr>
          <w:rFonts w:hint="cs"/>
          <w:rtl/>
        </w:rPr>
        <w:t>ב</w:t>
      </w:r>
      <w:hyperlink r:id="rId59" w:history="1">
        <w:r w:rsidR="0047431A" w:rsidRPr="0047431A">
          <w:rPr>
            <w:color w:val="0000FF"/>
            <w:u w:val="single"/>
            <w:rtl/>
          </w:rPr>
          <w:t>ת"פ (מחוזי ב"ש) 8283/09</w:t>
        </w:r>
      </w:hyperlink>
      <w:r w:rsidRPr="003F1EB8">
        <w:rPr>
          <w:rFonts w:hint="cs"/>
          <w:b/>
          <w:bCs/>
          <w:rtl/>
        </w:rPr>
        <w:t xml:space="preserve"> מדינת ישראל נ' אבו סעלוק</w:t>
      </w:r>
      <w:r w:rsidRPr="003F1EB8">
        <w:rPr>
          <w:rFonts w:hint="cs"/>
          <w:rtl/>
        </w:rPr>
        <w:t xml:space="preserve"> (10.2.2011)</w:t>
      </w:r>
      <w:r>
        <w:rPr>
          <w:rFonts w:hint="cs"/>
          <w:rtl/>
        </w:rPr>
        <w:t xml:space="preserve"> </w:t>
      </w:r>
      <w:r w:rsidRPr="003F1EB8">
        <w:rPr>
          <w:rFonts w:hint="cs"/>
          <w:rtl/>
        </w:rPr>
        <w:t>הורשע הנאשם ב</w:t>
      </w:r>
      <w:r>
        <w:rPr>
          <w:rFonts w:hint="cs"/>
          <w:rtl/>
        </w:rPr>
        <w:t xml:space="preserve">עשרות עבירות נשק (סחר, רכישה, החזקה ונשיאה) ב-19 אישומים שונים ונדון ל-13 שנות מאסר בפועל. </w:t>
      </w:r>
    </w:p>
    <w:p w14:paraId="5541017C" w14:textId="77777777" w:rsidR="0009401E" w:rsidRPr="00654B32" w:rsidRDefault="0009401E" w:rsidP="0009401E">
      <w:pPr>
        <w:spacing w:after="240" w:line="360" w:lineRule="auto"/>
        <w:ind w:left="720" w:hanging="720"/>
        <w:jc w:val="both"/>
        <w:rPr>
          <w:rtl/>
        </w:rPr>
      </w:pPr>
      <w:r>
        <w:rPr>
          <w:rtl/>
        </w:rPr>
        <w:tab/>
      </w:r>
      <w:r>
        <w:rPr>
          <w:rFonts w:hint="cs"/>
          <w:rtl/>
        </w:rPr>
        <w:t>ב</w:t>
      </w:r>
      <w:hyperlink r:id="rId60" w:history="1">
        <w:r w:rsidR="0047431A" w:rsidRPr="0047431A">
          <w:rPr>
            <w:color w:val="0000FF"/>
            <w:u w:val="single"/>
            <w:rtl/>
          </w:rPr>
          <w:t>ע"פ 4154/16</w:t>
        </w:r>
      </w:hyperlink>
      <w:r w:rsidRPr="00654B32">
        <w:rPr>
          <w:rtl/>
        </w:rPr>
        <w:t xml:space="preserve"> </w:t>
      </w:r>
      <w:r w:rsidRPr="00654B32">
        <w:rPr>
          <w:rFonts w:hint="eastAsia"/>
          <w:b/>
          <w:bCs/>
          <w:rtl/>
        </w:rPr>
        <w:t>דהוד</w:t>
      </w:r>
      <w:r w:rsidRPr="00654B32">
        <w:rPr>
          <w:b/>
          <w:bCs/>
          <w:rtl/>
        </w:rPr>
        <w:t xml:space="preserve"> </w:t>
      </w:r>
      <w:r w:rsidRPr="00654B32">
        <w:rPr>
          <w:rFonts w:hint="eastAsia"/>
          <w:b/>
          <w:bCs/>
          <w:rtl/>
        </w:rPr>
        <w:t>נ</w:t>
      </w:r>
      <w:r w:rsidRPr="00654B32">
        <w:rPr>
          <w:b/>
          <w:bCs/>
          <w:rtl/>
        </w:rPr>
        <w:t xml:space="preserve">' </w:t>
      </w:r>
      <w:r w:rsidRPr="00654B32">
        <w:rPr>
          <w:rFonts w:hint="eastAsia"/>
          <w:b/>
          <w:bCs/>
          <w:rtl/>
        </w:rPr>
        <w:t>מדינת</w:t>
      </w:r>
      <w:r w:rsidRPr="00654B32">
        <w:rPr>
          <w:b/>
          <w:bCs/>
          <w:rtl/>
        </w:rPr>
        <w:t xml:space="preserve"> </w:t>
      </w:r>
      <w:r w:rsidRPr="00654B32">
        <w:rPr>
          <w:rFonts w:hint="eastAsia"/>
          <w:b/>
          <w:bCs/>
          <w:rtl/>
        </w:rPr>
        <w:t>ישראל</w:t>
      </w:r>
      <w:r w:rsidRPr="00654B32">
        <w:rPr>
          <w:rtl/>
        </w:rPr>
        <w:t xml:space="preserve"> (19.1.</w:t>
      </w:r>
      <w:r>
        <w:rPr>
          <w:rFonts w:hint="cs"/>
          <w:rtl/>
        </w:rPr>
        <w:t>20</w:t>
      </w:r>
      <w:r>
        <w:rPr>
          <w:rtl/>
        </w:rPr>
        <w:t>17</w:t>
      </w:r>
      <w:r>
        <w:rPr>
          <w:rFonts w:hint="cs"/>
          <w:rtl/>
        </w:rPr>
        <w:t xml:space="preserve">) נדחה ערעור על חומרת העונש </w:t>
      </w:r>
      <w:r w:rsidRPr="00654B32">
        <w:rPr>
          <w:rFonts w:hint="eastAsia"/>
          <w:rtl/>
        </w:rPr>
        <w:t>של</w:t>
      </w:r>
      <w:r w:rsidRPr="00654B32">
        <w:rPr>
          <w:rtl/>
        </w:rPr>
        <w:t xml:space="preserve"> </w:t>
      </w:r>
      <w:r w:rsidRPr="00654B32">
        <w:rPr>
          <w:rFonts w:hint="eastAsia"/>
          <w:rtl/>
        </w:rPr>
        <w:t>מי</w:t>
      </w:r>
      <w:r w:rsidRPr="00654B32">
        <w:rPr>
          <w:rtl/>
        </w:rPr>
        <w:t xml:space="preserve"> </w:t>
      </w:r>
      <w:r w:rsidRPr="00654B32">
        <w:rPr>
          <w:rFonts w:hint="eastAsia"/>
          <w:rtl/>
        </w:rPr>
        <w:t>שמכר</w:t>
      </w:r>
      <w:r w:rsidRPr="00654B32">
        <w:rPr>
          <w:rtl/>
        </w:rPr>
        <w:t xml:space="preserve"> </w:t>
      </w:r>
      <w:r w:rsidRPr="00654B32">
        <w:rPr>
          <w:rFonts w:hint="eastAsia"/>
          <w:rtl/>
        </w:rPr>
        <w:t>לסוכן</w:t>
      </w:r>
      <w:r w:rsidRPr="00654B32">
        <w:rPr>
          <w:rtl/>
        </w:rPr>
        <w:t xml:space="preserve"> </w:t>
      </w:r>
      <w:r w:rsidRPr="00654B32">
        <w:rPr>
          <w:rFonts w:hint="eastAsia"/>
          <w:rtl/>
        </w:rPr>
        <w:t>משטרתי</w:t>
      </w:r>
      <w:r w:rsidRPr="00654B32">
        <w:rPr>
          <w:rtl/>
        </w:rPr>
        <w:t xml:space="preserve">, </w:t>
      </w:r>
      <w:r w:rsidRPr="00654B32">
        <w:rPr>
          <w:rFonts w:hint="eastAsia"/>
          <w:rtl/>
        </w:rPr>
        <w:t>בשני</w:t>
      </w:r>
      <w:r w:rsidRPr="00654B32">
        <w:rPr>
          <w:rtl/>
        </w:rPr>
        <w:t xml:space="preserve"> </w:t>
      </w:r>
      <w:r w:rsidRPr="00654B32">
        <w:rPr>
          <w:rFonts w:hint="eastAsia"/>
          <w:rtl/>
        </w:rPr>
        <w:t>מועדים</w:t>
      </w:r>
      <w:r w:rsidRPr="00654B32">
        <w:rPr>
          <w:rtl/>
        </w:rPr>
        <w:t xml:space="preserve">, </w:t>
      </w:r>
      <w:r w:rsidRPr="00654B32">
        <w:rPr>
          <w:rFonts w:hint="eastAsia"/>
          <w:rtl/>
        </w:rPr>
        <w:t>אקדח</w:t>
      </w:r>
      <w:r w:rsidRPr="00654B32">
        <w:rPr>
          <w:rtl/>
        </w:rPr>
        <w:t xml:space="preserve"> </w:t>
      </w:r>
      <w:r w:rsidRPr="00654B32">
        <w:rPr>
          <w:rFonts w:hint="eastAsia"/>
          <w:rtl/>
        </w:rPr>
        <w:t>וכן</w:t>
      </w:r>
      <w:r w:rsidRPr="00654B32">
        <w:rPr>
          <w:rtl/>
        </w:rPr>
        <w:t xml:space="preserve"> </w:t>
      </w:r>
      <w:r w:rsidRPr="00654B32">
        <w:rPr>
          <w:rFonts w:hint="eastAsia"/>
          <w:rtl/>
        </w:rPr>
        <w:t>רובה</w:t>
      </w:r>
      <w:r w:rsidRPr="00654B32">
        <w:rPr>
          <w:rtl/>
        </w:rPr>
        <w:t xml:space="preserve"> </w:t>
      </w:r>
      <w:r w:rsidRPr="00654B32">
        <w:rPr>
          <w:rFonts w:hint="eastAsia"/>
          <w:rtl/>
        </w:rPr>
        <w:t>ציד</w:t>
      </w:r>
      <w:r w:rsidRPr="00654B32">
        <w:rPr>
          <w:rtl/>
        </w:rPr>
        <w:t xml:space="preserve"> </w:t>
      </w:r>
      <w:r w:rsidRPr="00654B32">
        <w:rPr>
          <w:rFonts w:hint="eastAsia"/>
          <w:rtl/>
        </w:rPr>
        <w:t>מאולתר</w:t>
      </w:r>
      <w:r w:rsidRPr="00654B32">
        <w:rPr>
          <w:rtl/>
        </w:rPr>
        <w:t xml:space="preserve">. </w:t>
      </w:r>
      <w:r>
        <w:rPr>
          <w:rFonts w:hint="cs"/>
          <w:rtl/>
        </w:rPr>
        <w:t xml:space="preserve">בית המשפט המחוזי </w:t>
      </w:r>
      <w:r w:rsidRPr="00654B32">
        <w:rPr>
          <w:rFonts w:hint="eastAsia"/>
          <w:rtl/>
        </w:rPr>
        <w:t>קבע</w:t>
      </w:r>
      <w:r w:rsidRPr="00654B32">
        <w:rPr>
          <w:rtl/>
        </w:rPr>
        <w:t xml:space="preserve"> </w:t>
      </w:r>
      <w:r>
        <w:rPr>
          <w:rFonts w:hint="cs"/>
          <w:rtl/>
        </w:rPr>
        <w:t xml:space="preserve">באותו מקרה </w:t>
      </w:r>
      <w:r w:rsidRPr="00654B32">
        <w:rPr>
          <w:rFonts w:hint="eastAsia"/>
          <w:rtl/>
        </w:rPr>
        <w:t>שני</w:t>
      </w:r>
      <w:r w:rsidRPr="00654B32">
        <w:rPr>
          <w:rtl/>
        </w:rPr>
        <w:t xml:space="preserve"> </w:t>
      </w:r>
      <w:r w:rsidRPr="00654B32">
        <w:rPr>
          <w:rFonts w:hint="eastAsia"/>
          <w:rtl/>
        </w:rPr>
        <w:t>מתחמים</w:t>
      </w:r>
      <w:r w:rsidRPr="00654B32">
        <w:rPr>
          <w:rtl/>
        </w:rPr>
        <w:t xml:space="preserve"> </w:t>
      </w:r>
      <w:r w:rsidRPr="00654B32">
        <w:rPr>
          <w:rFonts w:hint="eastAsia"/>
          <w:rtl/>
        </w:rPr>
        <w:t>ב</w:t>
      </w:r>
      <w:r>
        <w:rPr>
          <w:rFonts w:hint="cs"/>
          <w:rtl/>
        </w:rPr>
        <w:t>ני</w:t>
      </w:r>
      <w:r w:rsidRPr="00654B32">
        <w:rPr>
          <w:rtl/>
        </w:rPr>
        <w:t xml:space="preserve"> </w:t>
      </w:r>
      <w:r>
        <w:rPr>
          <w:rFonts w:hint="cs"/>
          <w:rtl/>
        </w:rPr>
        <w:t>2-5</w:t>
      </w:r>
      <w:r w:rsidRPr="00654B32">
        <w:rPr>
          <w:rtl/>
        </w:rPr>
        <w:t xml:space="preserve"> </w:t>
      </w:r>
      <w:r w:rsidRPr="00654B32">
        <w:rPr>
          <w:rFonts w:hint="eastAsia"/>
          <w:rtl/>
        </w:rPr>
        <w:t>שנות</w:t>
      </w:r>
      <w:r w:rsidRPr="00654B32">
        <w:rPr>
          <w:rtl/>
        </w:rPr>
        <w:t xml:space="preserve"> </w:t>
      </w:r>
      <w:r w:rsidRPr="00654B32">
        <w:rPr>
          <w:rFonts w:hint="eastAsia"/>
          <w:rtl/>
        </w:rPr>
        <w:t>מאסר</w:t>
      </w:r>
      <w:r>
        <w:rPr>
          <w:rFonts w:hint="cs"/>
          <w:rtl/>
        </w:rPr>
        <w:t xml:space="preserve"> כל אחד</w:t>
      </w:r>
      <w:r w:rsidRPr="00654B32">
        <w:rPr>
          <w:rtl/>
        </w:rPr>
        <w:t xml:space="preserve">, </w:t>
      </w:r>
      <w:r w:rsidRPr="00654B32">
        <w:rPr>
          <w:rFonts w:hint="eastAsia"/>
          <w:rtl/>
        </w:rPr>
        <w:t>וגזר</w:t>
      </w:r>
      <w:r w:rsidRPr="00654B32">
        <w:rPr>
          <w:rtl/>
        </w:rPr>
        <w:t xml:space="preserve"> </w:t>
      </w:r>
      <w:r w:rsidRPr="00654B32">
        <w:rPr>
          <w:rFonts w:hint="eastAsia"/>
          <w:rtl/>
        </w:rPr>
        <w:t>עונש</w:t>
      </w:r>
      <w:r w:rsidRPr="00654B32">
        <w:rPr>
          <w:rtl/>
        </w:rPr>
        <w:t xml:space="preserve"> </w:t>
      </w:r>
      <w:r w:rsidRPr="00654B32">
        <w:rPr>
          <w:rFonts w:hint="eastAsia"/>
          <w:rtl/>
        </w:rPr>
        <w:t>כולל</w:t>
      </w:r>
      <w:r w:rsidRPr="00654B32">
        <w:rPr>
          <w:rtl/>
        </w:rPr>
        <w:t xml:space="preserve"> </w:t>
      </w:r>
      <w:r w:rsidRPr="00654B32">
        <w:rPr>
          <w:rFonts w:hint="eastAsia"/>
          <w:rtl/>
        </w:rPr>
        <w:t>של</w:t>
      </w:r>
      <w:r w:rsidRPr="00654B32">
        <w:rPr>
          <w:rtl/>
        </w:rPr>
        <w:t xml:space="preserve"> 45 </w:t>
      </w:r>
      <w:r w:rsidRPr="00654B32">
        <w:rPr>
          <w:rFonts w:hint="eastAsia"/>
          <w:rtl/>
        </w:rPr>
        <w:t>חודשי</w:t>
      </w:r>
      <w:r w:rsidRPr="00654B32">
        <w:rPr>
          <w:rtl/>
        </w:rPr>
        <w:t xml:space="preserve"> </w:t>
      </w:r>
      <w:r w:rsidRPr="00654B32">
        <w:rPr>
          <w:rFonts w:hint="eastAsia"/>
          <w:rtl/>
        </w:rPr>
        <w:t>מאסר</w:t>
      </w:r>
      <w:r>
        <w:rPr>
          <w:rFonts w:hint="cs"/>
          <w:rtl/>
        </w:rPr>
        <w:t xml:space="preserve">. </w:t>
      </w:r>
    </w:p>
    <w:p w14:paraId="39E2C884" w14:textId="77777777" w:rsidR="0009401E" w:rsidRDefault="0009401E" w:rsidP="0009401E">
      <w:pPr>
        <w:spacing w:after="240" w:line="360" w:lineRule="auto"/>
        <w:ind w:left="720" w:hanging="720"/>
        <w:jc w:val="both"/>
        <w:rPr>
          <w:rtl/>
        </w:rPr>
      </w:pPr>
      <w:r>
        <w:rPr>
          <w:rtl/>
        </w:rPr>
        <w:tab/>
      </w:r>
      <w:r>
        <w:rPr>
          <w:rFonts w:hint="cs"/>
          <w:rtl/>
        </w:rPr>
        <w:t>ב</w:t>
      </w:r>
      <w:hyperlink r:id="rId61" w:history="1">
        <w:r w:rsidR="0047431A" w:rsidRPr="0047431A">
          <w:rPr>
            <w:color w:val="0000FF"/>
            <w:u w:val="single"/>
            <w:rtl/>
          </w:rPr>
          <w:t>ע"פ 1397/16</w:t>
        </w:r>
      </w:hyperlink>
      <w:r>
        <w:rPr>
          <w:rFonts w:hint="cs"/>
          <w:rtl/>
        </w:rPr>
        <w:t xml:space="preserve"> </w:t>
      </w:r>
      <w:r w:rsidRPr="00654B32">
        <w:rPr>
          <w:rFonts w:hint="eastAsia"/>
          <w:b/>
          <w:bCs/>
          <w:rtl/>
        </w:rPr>
        <w:t>מדינת</w:t>
      </w:r>
      <w:r w:rsidRPr="00654B32">
        <w:rPr>
          <w:b/>
          <w:bCs/>
          <w:rtl/>
        </w:rPr>
        <w:t xml:space="preserve"> </w:t>
      </w:r>
      <w:r w:rsidRPr="00654B32">
        <w:rPr>
          <w:rFonts w:hint="eastAsia"/>
          <w:b/>
          <w:bCs/>
          <w:rtl/>
        </w:rPr>
        <w:t>ישראל</w:t>
      </w:r>
      <w:r w:rsidRPr="00654B32">
        <w:rPr>
          <w:b/>
          <w:bCs/>
          <w:rtl/>
        </w:rPr>
        <w:t xml:space="preserve"> </w:t>
      </w:r>
      <w:r w:rsidRPr="00654B32">
        <w:rPr>
          <w:rFonts w:hint="eastAsia"/>
          <w:b/>
          <w:bCs/>
          <w:rtl/>
        </w:rPr>
        <w:t>נ</w:t>
      </w:r>
      <w:r w:rsidRPr="00654B32">
        <w:rPr>
          <w:b/>
          <w:bCs/>
          <w:rtl/>
        </w:rPr>
        <w:t xml:space="preserve">' </w:t>
      </w:r>
      <w:r w:rsidRPr="00654B32">
        <w:rPr>
          <w:rFonts w:hint="eastAsia"/>
          <w:b/>
          <w:bCs/>
          <w:rtl/>
        </w:rPr>
        <w:t>חמאיל</w:t>
      </w:r>
      <w:r w:rsidRPr="00654B32">
        <w:rPr>
          <w:rtl/>
        </w:rPr>
        <w:t xml:space="preserve"> (6.9.</w:t>
      </w:r>
      <w:r>
        <w:rPr>
          <w:rFonts w:hint="cs"/>
          <w:rtl/>
        </w:rPr>
        <w:t>20</w:t>
      </w:r>
      <w:r w:rsidRPr="00654B32">
        <w:rPr>
          <w:rtl/>
        </w:rPr>
        <w:t xml:space="preserve">16) </w:t>
      </w:r>
      <w:r w:rsidRPr="00654B32">
        <w:rPr>
          <w:rFonts w:hint="eastAsia"/>
          <w:rtl/>
        </w:rPr>
        <w:t>נד</w:t>
      </w:r>
      <w:r>
        <w:rPr>
          <w:rFonts w:hint="cs"/>
          <w:rtl/>
        </w:rPr>
        <w:t xml:space="preserve">חה הערעור </w:t>
      </w:r>
      <w:r w:rsidRPr="00654B32">
        <w:rPr>
          <w:rFonts w:hint="eastAsia"/>
          <w:rtl/>
        </w:rPr>
        <w:t>בעניינו</w:t>
      </w:r>
      <w:r w:rsidRPr="00654B32">
        <w:rPr>
          <w:rtl/>
        </w:rPr>
        <w:t xml:space="preserve"> </w:t>
      </w:r>
      <w:r w:rsidRPr="00654B32">
        <w:rPr>
          <w:rFonts w:hint="eastAsia"/>
          <w:rtl/>
        </w:rPr>
        <w:t>של</w:t>
      </w:r>
      <w:r w:rsidRPr="00654B32">
        <w:rPr>
          <w:rtl/>
        </w:rPr>
        <w:t xml:space="preserve"> </w:t>
      </w:r>
      <w:r w:rsidRPr="00654B32">
        <w:rPr>
          <w:rFonts w:hint="eastAsia"/>
          <w:rtl/>
        </w:rPr>
        <w:t>מי</w:t>
      </w:r>
      <w:r w:rsidRPr="00654B32">
        <w:rPr>
          <w:rtl/>
        </w:rPr>
        <w:t xml:space="preserve"> </w:t>
      </w:r>
      <w:r w:rsidRPr="00654B32">
        <w:rPr>
          <w:rFonts w:hint="eastAsia"/>
          <w:rtl/>
        </w:rPr>
        <w:t>שמכר</w:t>
      </w:r>
      <w:r w:rsidRPr="00654B32">
        <w:rPr>
          <w:rtl/>
        </w:rPr>
        <w:t xml:space="preserve"> </w:t>
      </w:r>
      <w:r w:rsidRPr="00654B32">
        <w:rPr>
          <w:rFonts w:hint="eastAsia"/>
          <w:rtl/>
        </w:rPr>
        <w:t>לסוכן</w:t>
      </w:r>
      <w:r w:rsidRPr="00654B32">
        <w:rPr>
          <w:rtl/>
        </w:rPr>
        <w:t xml:space="preserve"> </w:t>
      </w:r>
      <w:r w:rsidRPr="00654B32">
        <w:rPr>
          <w:rFonts w:hint="eastAsia"/>
          <w:rtl/>
        </w:rPr>
        <w:t>משטרתי</w:t>
      </w:r>
      <w:r w:rsidRPr="00654B32">
        <w:rPr>
          <w:rtl/>
        </w:rPr>
        <w:t xml:space="preserve">, </w:t>
      </w:r>
      <w:r>
        <w:rPr>
          <w:rFonts w:hint="cs"/>
          <w:rtl/>
        </w:rPr>
        <w:t>בשלוש</w:t>
      </w:r>
      <w:r w:rsidRPr="00654B32">
        <w:rPr>
          <w:rtl/>
        </w:rPr>
        <w:t xml:space="preserve"> </w:t>
      </w:r>
      <w:r w:rsidRPr="00654B32">
        <w:rPr>
          <w:rFonts w:hint="eastAsia"/>
          <w:rtl/>
        </w:rPr>
        <w:t>הזדמנויות</w:t>
      </w:r>
      <w:r w:rsidRPr="00654B32">
        <w:rPr>
          <w:rtl/>
        </w:rPr>
        <w:t xml:space="preserve"> </w:t>
      </w:r>
      <w:r w:rsidRPr="00654B32">
        <w:rPr>
          <w:rFonts w:hint="eastAsia"/>
          <w:rtl/>
        </w:rPr>
        <w:t>שונות</w:t>
      </w:r>
      <w:r w:rsidRPr="00654B32">
        <w:rPr>
          <w:rtl/>
        </w:rPr>
        <w:t xml:space="preserve">, </w:t>
      </w:r>
      <w:r w:rsidRPr="00654B32">
        <w:rPr>
          <w:rFonts w:hint="eastAsia"/>
          <w:rtl/>
        </w:rPr>
        <w:t>כלי</w:t>
      </w:r>
      <w:r w:rsidRPr="00654B32">
        <w:rPr>
          <w:rtl/>
        </w:rPr>
        <w:t xml:space="preserve"> </w:t>
      </w:r>
      <w:r w:rsidRPr="00654B32">
        <w:rPr>
          <w:rFonts w:hint="eastAsia"/>
          <w:rtl/>
        </w:rPr>
        <w:t>נשק</w:t>
      </w:r>
      <w:r w:rsidRPr="00654B32">
        <w:rPr>
          <w:rtl/>
        </w:rPr>
        <w:t xml:space="preserve"> (</w:t>
      </w:r>
      <w:r w:rsidRPr="00654B32">
        <w:rPr>
          <w:rFonts w:hint="eastAsia"/>
          <w:rtl/>
        </w:rPr>
        <w:t>רובה</w:t>
      </w:r>
      <w:r w:rsidRPr="00654B32">
        <w:rPr>
          <w:rtl/>
        </w:rPr>
        <w:t xml:space="preserve"> 16 – </w:t>
      </w:r>
      <w:r w:rsidRPr="00654B32">
        <w:t>M</w:t>
      </w:r>
      <w:r w:rsidRPr="00654B32">
        <w:rPr>
          <w:rtl/>
        </w:rPr>
        <w:t xml:space="preserve">; </w:t>
      </w:r>
      <w:r w:rsidRPr="00654B32">
        <w:rPr>
          <w:rFonts w:hint="eastAsia"/>
          <w:rtl/>
        </w:rPr>
        <w:t>תת</w:t>
      </w:r>
      <w:r w:rsidRPr="00654B32">
        <w:rPr>
          <w:rtl/>
        </w:rPr>
        <w:t xml:space="preserve"> </w:t>
      </w:r>
      <w:r w:rsidRPr="00654B32">
        <w:rPr>
          <w:rFonts w:hint="eastAsia"/>
          <w:rtl/>
        </w:rPr>
        <w:t>מקלע</w:t>
      </w:r>
      <w:r w:rsidRPr="00654B32">
        <w:rPr>
          <w:rtl/>
        </w:rPr>
        <w:t xml:space="preserve"> </w:t>
      </w:r>
      <w:r w:rsidRPr="00654B32">
        <w:rPr>
          <w:rFonts w:hint="eastAsia"/>
          <w:rtl/>
        </w:rPr>
        <w:t>קרל</w:t>
      </w:r>
      <w:r w:rsidRPr="00654B32">
        <w:rPr>
          <w:rtl/>
        </w:rPr>
        <w:t xml:space="preserve"> </w:t>
      </w:r>
      <w:r w:rsidRPr="00654B32">
        <w:rPr>
          <w:rFonts w:hint="eastAsia"/>
          <w:rtl/>
        </w:rPr>
        <w:t>גוסטב</w:t>
      </w:r>
      <w:r w:rsidRPr="00654B32">
        <w:rPr>
          <w:rtl/>
        </w:rPr>
        <w:t xml:space="preserve">; </w:t>
      </w:r>
      <w:r w:rsidRPr="00654B32">
        <w:rPr>
          <w:rFonts w:hint="eastAsia"/>
          <w:rtl/>
        </w:rPr>
        <w:t>רובה</w:t>
      </w:r>
      <w:r w:rsidRPr="00654B32">
        <w:rPr>
          <w:rtl/>
        </w:rPr>
        <w:t xml:space="preserve"> </w:t>
      </w:r>
      <w:r w:rsidRPr="00654B32">
        <w:t xml:space="preserve">M-16 </w:t>
      </w:r>
      <w:r w:rsidRPr="00654B32">
        <w:rPr>
          <w:rtl/>
        </w:rPr>
        <w:t xml:space="preserve"> </w:t>
      </w:r>
      <w:r w:rsidRPr="00654B32">
        <w:rPr>
          <w:rFonts w:hint="eastAsia"/>
          <w:rtl/>
        </w:rPr>
        <w:t>ואקדח</w:t>
      </w:r>
      <w:r w:rsidRPr="00654B32">
        <w:rPr>
          <w:rtl/>
        </w:rPr>
        <w:t xml:space="preserve"> </w:t>
      </w:r>
      <w:r w:rsidRPr="00654B32">
        <w:rPr>
          <w:rFonts w:hint="eastAsia"/>
          <w:rtl/>
        </w:rPr>
        <w:t>מסוג</w:t>
      </w:r>
      <w:r w:rsidRPr="00654B32">
        <w:rPr>
          <w:rtl/>
        </w:rPr>
        <w:t xml:space="preserve"> </w:t>
      </w:r>
      <w:r w:rsidRPr="00654B32">
        <w:t>FN</w:t>
      </w:r>
      <w:r w:rsidRPr="00654B32">
        <w:rPr>
          <w:rtl/>
        </w:rPr>
        <w:t xml:space="preserve">). </w:t>
      </w:r>
      <w:r w:rsidRPr="00654B32">
        <w:rPr>
          <w:rFonts w:hint="eastAsia"/>
          <w:rtl/>
        </w:rPr>
        <w:t>בית</w:t>
      </w:r>
      <w:r w:rsidRPr="00654B32">
        <w:rPr>
          <w:rtl/>
        </w:rPr>
        <w:t xml:space="preserve"> </w:t>
      </w:r>
      <w:r w:rsidRPr="00654B32">
        <w:rPr>
          <w:rFonts w:hint="eastAsia"/>
          <w:rtl/>
        </w:rPr>
        <w:t>המשפט</w:t>
      </w:r>
      <w:r w:rsidRPr="00654B32">
        <w:rPr>
          <w:rtl/>
        </w:rPr>
        <w:t xml:space="preserve"> </w:t>
      </w:r>
      <w:r w:rsidRPr="00654B32">
        <w:rPr>
          <w:rFonts w:hint="eastAsia"/>
          <w:rtl/>
        </w:rPr>
        <w:t>המחוזי</w:t>
      </w:r>
      <w:r w:rsidRPr="00654B32">
        <w:rPr>
          <w:rtl/>
        </w:rPr>
        <w:t xml:space="preserve"> </w:t>
      </w:r>
      <w:r w:rsidRPr="00654B32">
        <w:rPr>
          <w:rFonts w:hint="eastAsia"/>
          <w:rtl/>
        </w:rPr>
        <w:t>קבע</w:t>
      </w:r>
      <w:r w:rsidRPr="00654B32">
        <w:rPr>
          <w:rtl/>
        </w:rPr>
        <w:t xml:space="preserve"> </w:t>
      </w:r>
      <w:r w:rsidRPr="00654B32">
        <w:rPr>
          <w:rFonts w:hint="eastAsia"/>
          <w:rtl/>
        </w:rPr>
        <w:t>מתחם</w:t>
      </w:r>
      <w:r w:rsidRPr="00654B32">
        <w:rPr>
          <w:rtl/>
        </w:rPr>
        <w:t xml:space="preserve"> </w:t>
      </w:r>
      <w:r w:rsidRPr="00654B32">
        <w:rPr>
          <w:rFonts w:hint="eastAsia"/>
          <w:rtl/>
        </w:rPr>
        <w:t>עונש</w:t>
      </w:r>
      <w:r w:rsidRPr="00654B32">
        <w:rPr>
          <w:rtl/>
        </w:rPr>
        <w:t xml:space="preserve"> </w:t>
      </w:r>
      <w:r w:rsidRPr="00654B32">
        <w:rPr>
          <w:rFonts w:hint="eastAsia"/>
          <w:rtl/>
        </w:rPr>
        <w:t>של</w:t>
      </w:r>
      <w:r w:rsidRPr="00654B32">
        <w:rPr>
          <w:rtl/>
        </w:rPr>
        <w:t xml:space="preserve"> </w:t>
      </w:r>
      <w:r>
        <w:rPr>
          <w:rFonts w:hint="cs"/>
          <w:rtl/>
        </w:rPr>
        <w:t>3-6</w:t>
      </w:r>
      <w:r w:rsidRPr="00654B32">
        <w:rPr>
          <w:rtl/>
        </w:rPr>
        <w:t xml:space="preserve"> </w:t>
      </w:r>
      <w:r w:rsidRPr="00654B32">
        <w:rPr>
          <w:rFonts w:hint="eastAsia"/>
          <w:rtl/>
        </w:rPr>
        <w:t>שנות</w:t>
      </w:r>
      <w:r w:rsidRPr="00654B32">
        <w:rPr>
          <w:rtl/>
        </w:rPr>
        <w:t xml:space="preserve"> </w:t>
      </w:r>
      <w:r w:rsidRPr="00654B32">
        <w:rPr>
          <w:rFonts w:hint="eastAsia"/>
          <w:rtl/>
        </w:rPr>
        <w:t>מאסר</w:t>
      </w:r>
      <w:r w:rsidRPr="00654B32">
        <w:rPr>
          <w:rtl/>
        </w:rPr>
        <w:t xml:space="preserve"> </w:t>
      </w:r>
      <w:r w:rsidRPr="00654B32">
        <w:rPr>
          <w:rFonts w:hint="eastAsia"/>
          <w:rtl/>
        </w:rPr>
        <w:t>וגזר</w:t>
      </w:r>
      <w:r w:rsidRPr="00654B32">
        <w:rPr>
          <w:rtl/>
        </w:rPr>
        <w:t xml:space="preserve"> </w:t>
      </w:r>
      <w:r w:rsidRPr="00654B32">
        <w:rPr>
          <w:rFonts w:hint="eastAsia"/>
          <w:rtl/>
        </w:rPr>
        <w:t>על</w:t>
      </w:r>
      <w:r w:rsidRPr="00654B32">
        <w:rPr>
          <w:rtl/>
        </w:rPr>
        <w:t xml:space="preserve"> </w:t>
      </w:r>
      <w:r w:rsidRPr="00654B32">
        <w:rPr>
          <w:rFonts w:hint="eastAsia"/>
          <w:rtl/>
        </w:rPr>
        <w:t>הנאשם</w:t>
      </w:r>
      <w:r w:rsidRPr="00654B32">
        <w:rPr>
          <w:rtl/>
        </w:rPr>
        <w:t xml:space="preserve"> 48 </w:t>
      </w:r>
      <w:r w:rsidRPr="00654B32">
        <w:rPr>
          <w:rFonts w:hint="eastAsia"/>
          <w:rtl/>
        </w:rPr>
        <w:t>חודשי</w:t>
      </w:r>
      <w:r w:rsidRPr="00654B32">
        <w:rPr>
          <w:rtl/>
        </w:rPr>
        <w:t xml:space="preserve"> </w:t>
      </w:r>
      <w:r w:rsidRPr="00654B32">
        <w:rPr>
          <w:rFonts w:hint="eastAsia"/>
          <w:rtl/>
        </w:rPr>
        <w:t>מאסר</w:t>
      </w:r>
      <w:r>
        <w:rPr>
          <w:rFonts w:hint="cs"/>
          <w:rtl/>
        </w:rPr>
        <w:t xml:space="preserve">. בערעור ציין </w:t>
      </w:r>
      <w:r w:rsidRPr="00654B32">
        <w:rPr>
          <w:rFonts w:hint="eastAsia"/>
          <w:rtl/>
        </w:rPr>
        <w:t>בית</w:t>
      </w:r>
      <w:r w:rsidRPr="00654B32">
        <w:rPr>
          <w:rtl/>
        </w:rPr>
        <w:t xml:space="preserve"> </w:t>
      </w:r>
      <w:r w:rsidRPr="00654B32">
        <w:rPr>
          <w:rFonts w:hint="eastAsia"/>
          <w:rtl/>
        </w:rPr>
        <w:t>המשפט</w:t>
      </w:r>
      <w:r w:rsidRPr="00654B32">
        <w:rPr>
          <w:rtl/>
        </w:rPr>
        <w:t xml:space="preserve"> </w:t>
      </w:r>
      <w:r w:rsidRPr="00654B32">
        <w:rPr>
          <w:rFonts w:hint="eastAsia"/>
          <w:rtl/>
        </w:rPr>
        <w:t>העליון</w:t>
      </w:r>
      <w:r w:rsidRPr="00654B32">
        <w:rPr>
          <w:rtl/>
        </w:rPr>
        <w:t xml:space="preserve"> </w:t>
      </w:r>
      <w:r w:rsidRPr="00654B32">
        <w:rPr>
          <w:rFonts w:hint="eastAsia"/>
          <w:rtl/>
        </w:rPr>
        <w:t>כי</w:t>
      </w:r>
      <w:r w:rsidRPr="00654B32">
        <w:rPr>
          <w:rtl/>
        </w:rPr>
        <w:t xml:space="preserve"> </w:t>
      </w:r>
      <w:r w:rsidRPr="00654B32">
        <w:rPr>
          <w:rFonts w:hint="eastAsia"/>
          <w:rtl/>
        </w:rPr>
        <w:t>ראוי</w:t>
      </w:r>
      <w:r w:rsidRPr="00654B32">
        <w:rPr>
          <w:rtl/>
        </w:rPr>
        <w:t xml:space="preserve"> </w:t>
      </w:r>
      <w:r w:rsidRPr="00654B32">
        <w:rPr>
          <w:rFonts w:hint="eastAsia"/>
          <w:rtl/>
        </w:rPr>
        <w:t>היה</w:t>
      </w:r>
      <w:r w:rsidRPr="00654B32">
        <w:rPr>
          <w:rtl/>
        </w:rPr>
        <w:t xml:space="preserve"> </w:t>
      </w:r>
      <w:r w:rsidRPr="00654B32">
        <w:rPr>
          <w:rFonts w:hint="eastAsia"/>
          <w:rtl/>
        </w:rPr>
        <w:t>לגזור</w:t>
      </w:r>
      <w:r w:rsidRPr="00654B32">
        <w:rPr>
          <w:rtl/>
        </w:rPr>
        <w:t xml:space="preserve"> </w:t>
      </w:r>
      <w:r>
        <w:rPr>
          <w:rFonts w:hint="cs"/>
          <w:rtl/>
        </w:rPr>
        <w:t xml:space="preserve">באותו מקרה </w:t>
      </w:r>
      <w:r w:rsidRPr="00654B32">
        <w:rPr>
          <w:rFonts w:hint="eastAsia"/>
          <w:rtl/>
        </w:rPr>
        <w:t>עונש</w:t>
      </w:r>
      <w:r w:rsidRPr="00654B32">
        <w:rPr>
          <w:rtl/>
        </w:rPr>
        <w:t xml:space="preserve"> </w:t>
      </w:r>
      <w:r w:rsidRPr="00654B32">
        <w:rPr>
          <w:rFonts w:hint="eastAsia"/>
          <w:rtl/>
        </w:rPr>
        <w:t>חמור</w:t>
      </w:r>
      <w:r w:rsidRPr="00654B32">
        <w:rPr>
          <w:rtl/>
        </w:rPr>
        <w:t xml:space="preserve"> </w:t>
      </w:r>
      <w:r w:rsidRPr="00654B32">
        <w:rPr>
          <w:rFonts w:hint="eastAsia"/>
          <w:rtl/>
        </w:rPr>
        <w:t>יותר</w:t>
      </w:r>
      <w:r w:rsidRPr="00654B32">
        <w:rPr>
          <w:rtl/>
        </w:rPr>
        <w:t xml:space="preserve">, </w:t>
      </w:r>
      <w:r>
        <w:rPr>
          <w:rFonts w:hint="cs"/>
          <w:rtl/>
        </w:rPr>
        <w:t xml:space="preserve">אך החליט שלא להתערב בעונש שנגזר מאחר שלא הייתה חריגה </w:t>
      </w:r>
      <w:r w:rsidRPr="00BC7F7A">
        <w:rPr>
          <w:rFonts w:hint="eastAsia"/>
          <w:rtl/>
        </w:rPr>
        <w:t>ממשי</w:t>
      </w:r>
      <w:r w:rsidRPr="00BC7F7A">
        <w:rPr>
          <w:rFonts w:hint="cs"/>
          <w:rtl/>
        </w:rPr>
        <w:t>ת</w:t>
      </w:r>
      <w:r w:rsidRPr="00BC7F7A">
        <w:rPr>
          <w:rtl/>
        </w:rPr>
        <w:t xml:space="preserve"> </w:t>
      </w:r>
      <w:r w:rsidRPr="00654B32">
        <w:rPr>
          <w:rFonts w:hint="eastAsia"/>
          <w:rtl/>
        </w:rPr>
        <w:t>מרמת</w:t>
      </w:r>
      <w:r w:rsidRPr="00654B32">
        <w:rPr>
          <w:rtl/>
        </w:rPr>
        <w:t xml:space="preserve"> </w:t>
      </w:r>
      <w:r w:rsidRPr="00654B32">
        <w:rPr>
          <w:rFonts w:hint="eastAsia"/>
          <w:rtl/>
        </w:rPr>
        <w:t>הענישה</w:t>
      </w:r>
      <w:r w:rsidRPr="00654B32">
        <w:rPr>
          <w:rtl/>
        </w:rPr>
        <w:t xml:space="preserve"> </w:t>
      </w:r>
      <w:r w:rsidRPr="00654B32">
        <w:rPr>
          <w:rFonts w:hint="eastAsia"/>
          <w:rtl/>
        </w:rPr>
        <w:t>המקובלת</w:t>
      </w:r>
      <w:r w:rsidRPr="00654B32">
        <w:rPr>
          <w:rtl/>
        </w:rPr>
        <w:t xml:space="preserve">. </w:t>
      </w:r>
    </w:p>
    <w:p w14:paraId="4C333AF5" w14:textId="77777777" w:rsidR="0009401E" w:rsidRPr="00727CF1" w:rsidRDefault="0009401E" w:rsidP="0009401E">
      <w:pPr>
        <w:pStyle w:val="a9"/>
        <w:spacing w:line="360" w:lineRule="auto"/>
        <w:ind w:left="720" w:hanging="720"/>
        <w:jc w:val="both"/>
        <w:rPr>
          <w:rFonts w:cs="David"/>
          <w:sz w:val="24"/>
          <w:szCs w:val="24"/>
          <w:rtl/>
        </w:rPr>
      </w:pPr>
      <w:r>
        <w:rPr>
          <w:rFonts w:cs="David" w:hint="cs"/>
          <w:sz w:val="24"/>
          <w:szCs w:val="24"/>
          <w:rtl/>
        </w:rPr>
        <w:t>35.</w:t>
      </w:r>
      <w:r>
        <w:rPr>
          <w:rFonts w:cs="David" w:hint="cs"/>
          <w:sz w:val="24"/>
          <w:szCs w:val="24"/>
          <w:rtl/>
        </w:rPr>
        <w:tab/>
        <w:t>יצוין, כי נסר, המעורב אף הוא בפרשה זו, ומי שהורשע גם כן בששה אישומים הנוגעים לעבירות נשק, נדון ל- 6 שנות מאסר בפועל לצד עונשים נלווים, כאשר נקבע כי מתחם העונש ההולם בעניינו נע בין 4 ל- 8 שנות מאסר (</w:t>
      </w:r>
      <w:hyperlink r:id="rId62" w:history="1">
        <w:r w:rsidR="0047431A" w:rsidRPr="0047431A">
          <w:rPr>
            <w:rFonts w:cs="David" w:hint="cs"/>
            <w:color w:val="0000FF"/>
            <w:sz w:val="24"/>
            <w:szCs w:val="24"/>
            <w:u w:val="single"/>
            <w:rtl/>
          </w:rPr>
          <w:t>ת</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12695-05-17</w:t>
        </w:r>
      </w:hyperlink>
      <w:r>
        <w:rPr>
          <w:rFonts w:cs="David" w:hint="cs"/>
          <w:sz w:val="24"/>
          <w:szCs w:val="24"/>
          <w:rtl/>
        </w:rPr>
        <w:t xml:space="preserve"> (מחוזי חי')</w:t>
      </w:r>
      <w:r w:rsidRPr="003157D2">
        <w:rPr>
          <w:rFonts w:cs="David"/>
          <w:sz w:val="24"/>
          <w:szCs w:val="24"/>
          <w:rtl/>
        </w:rPr>
        <w:t xml:space="preserve"> </w:t>
      </w:r>
      <w:r w:rsidRPr="003157D2">
        <w:rPr>
          <w:rFonts w:cs="David" w:hint="cs"/>
          <w:b/>
          <w:bCs/>
          <w:sz w:val="24"/>
          <w:szCs w:val="24"/>
          <w:rtl/>
        </w:rPr>
        <w:t>מדינת</w:t>
      </w:r>
      <w:r w:rsidRPr="003157D2">
        <w:rPr>
          <w:rFonts w:cs="David"/>
          <w:b/>
          <w:bCs/>
          <w:sz w:val="24"/>
          <w:szCs w:val="24"/>
          <w:rtl/>
        </w:rPr>
        <w:t xml:space="preserve"> </w:t>
      </w:r>
      <w:r w:rsidRPr="003157D2">
        <w:rPr>
          <w:rFonts w:cs="David" w:hint="cs"/>
          <w:b/>
          <w:bCs/>
          <w:sz w:val="24"/>
          <w:szCs w:val="24"/>
          <w:rtl/>
        </w:rPr>
        <w:t>ישראל</w:t>
      </w:r>
      <w:r w:rsidRPr="003157D2">
        <w:rPr>
          <w:rFonts w:cs="David"/>
          <w:b/>
          <w:bCs/>
          <w:sz w:val="24"/>
          <w:szCs w:val="24"/>
          <w:rtl/>
        </w:rPr>
        <w:t xml:space="preserve"> </w:t>
      </w:r>
      <w:r w:rsidRPr="003157D2">
        <w:rPr>
          <w:rFonts w:cs="David" w:hint="cs"/>
          <w:b/>
          <w:bCs/>
          <w:sz w:val="24"/>
          <w:szCs w:val="24"/>
          <w:rtl/>
        </w:rPr>
        <w:t>נ</w:t>
      </w:r>
      <w:r w:rsidRPr="003157D2">
        <w:rPr>
          <w:rFonts w:cs="David"/>
          <w:b/>
          <w:bCs/>
          <w:sz w:val="24"/>
          <w:szCs w:val="24"/>
          <w:rtl/>
        </w:rPr>
        <w:t xml:space="preserve">' </w:t>
      </w:r>
      <w:r w:rsidRPr="003157D2">
        <w:rPr>
          <w:rFonts w:cs="David" w:hint="cs"/>
          <w:b/>
          <w:bCs/>
          <w:sz w:val="24"/>
          <w:szCs w:val="24"/>
          <w:rtl/>
        </w:rPr>
        <w:t>ח</w:t>
      </w:r>
      <w:r w:rsidRPr="003157D2">
        <w:rPr>
          <w:rFonts w:cs="David"/>
          <w:b/>
          <w:bCs/>
          <w:sz w:val="24"/>
          <w:szCs w:val="24"/>
          <w:rtl/>
        </w:rPr>
        <w:t>'</w:t>
      </w:r>
      <w:r w:rsidRPr="003157D2">
        <w:rPr>
          <w:rFonts w:cs="David" w:hint="cs"/>
          <w:b/>
          <w:bCs/>
          <w:sz w:val="24"/>
          <w:szCs w:val="24"/>
          <w:rtl/>
        </w:rPr>
        <w:t>ליפה</w:t>
      </w:r>
      <w:r>
        <w:rPr>
          <w:rFonts w:cs="David" w:hint="cs"/>
          <w:sz w:val="24"/>
          <w:szCs w:val="24"/>
          <w:rtl/>
        </w:rPr>
        <w:t xml:space="preserve"> (21.2.2018)). עוד יוער כי מוחמד, המעורב האחר באותה פרשה, אשר הורשע בשתי עבירות של סחר בנשק וכן עבירות בנשק (החזקה) במסגרת שלושה אישומים (</w:t>
      </w:r>
      <w:hyperlink r:id="rId63" w:history="1">
        <w:r w:rsidR="0047431A" w:rsidRPr="0047431A">
          <w:rPr>
            <w:rFonts w:cs="David" w:hint="cs"/>
            <w:color w:val="0000FF"/>
            <w:sz w:val="24"/>
            <w:szCs w:val="24"/>
            <w:u w:val="single"/>
            <w:rtl/>
          </w:rPr>
          <w:t>ת</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633-05-17</w:t>
        </w:r>
      </w:hyperlink>
      <w:r>
        <w:rPr>
          <w:rFonts w:cs="David" w:hint="cs"/>
          <w:sz w:val="24"/>
          <w:szCs w:val="24"/>
          <w:rtl/>
        </w:rPr>
        <w:t xml:space="preserve"> (מחוזי חי') </w:t>
      </w:r>
      <w:r>
        <w:rPr>
          <w:rFonts w:cs="David" w:hint="cs"/>
          <w:b/>
          <w:bCs/>
          <w:sz w:val="24"/>
          <w:szCs w:val="24"/>
          <w:rtl/>
        </w:rPr>
        <w:t>מדינת ישראל נ' שלאעטה</w:t>
      </w:r>
      <w:r>
        <w:rPr>
          <w:rFonts w:cs="David" w:hint="cs"/>
          <w:sz w:val="24"/>
          <w:szCs w:val="24"/>
          <w:rtl/>
        </w:rPr>
        <w:t xml:space="preserve">), נדון ל- 4 שנות מאסר בפועל לאחר שנקבע כי המתחם ההולם בעניינו נע בין 3- 6 שנות מאסר בפועל. </w:t>
      </w:r>
    </w:p>
    <w:p w14:paraId="64699C06" w14:textId="77777777" w:rsidR="0009401E" w:rsidRDefault="0009401E" w:rsidP="0009401E">
      <w:pPr>
        <w:pStyle w:val="a9"/>
        <w:spacing w:line="360" w:lineRule="auto"/>
        <w:ind w:left="720" w:hanging="720"/>
        <w:jc w:val="both"/>
        <w:rPr>
          <w:rFonts w:cs="David"/>
          <w:sz w:val="24"/>
          <w:szCs w:val="24"/>
          <w:rtl/>
        </w:rPr>
      </w:pPr>
    </w:p>
    <w:p w14:paraId="429375E9" w14:textId="77777777" w:rsidR="0009401E" w:rsidRPr="001B6E92" w:rsidRDefault="0009401E" w:rsidP="0009401E">
      <w:pPr>
        <w:pStyle w:val="a9"/>
        <w:spacing w:line="360" w:lineRule="auto"/>
        <w:ind w:left="720" w:hanging="720"/>
        <w:jc w:val="both"/>
        <w:rPr>
          <w:rFonts w:cs="David"/>
          <w:sz w:val="24"/>
          <w:szCs w:val="24"/>
          <w:rtl/>
        </w:rPr>
      </w:pPr>
      <w:r>
        <w:rPr>
          <w:rFonts w:cs="David" w:hint="cs"/>
          <w:sz w:val="24"/>
          <w:szCs w:val="24"/>
          <w:rtl/>
        </w:rPr>
        <w:t>36.</w:t>
      </w:r>
      <w:r>
        <w:rPr>
          <w:rFonts w:cs="David"/>
          <w:sz w:val="24"/>
          <w:szCs w:val="24"/>
          <w:rtl/>
        </w:rPr>
        <w:tab/>
      </w:r>
      <w:r>
        <w:rPr>
          <w:rFonts w:cs="David" w:hint="cs"/>
          <w:sz w:val="24"/>
          <w:szCs w:val="24"/>
          <w:rtl/>
        </w:rPr>
        <w:t xml:space="preserve">מאחר שעסקינן באותה פרשה ממש, הרי שיש ליתן משקל לעקרון </w:t>
      </w:r>
      <w:r w:rsidRPr="0013261B">
        <w:rPr>
          <w:rFonts w:cs="David" w:hint="cs"/>
          <w:sz w:val="24"/>
          <w:szCs w:val="24"/>
          <w:rtl/>
        </w:rPr>
        <w:t xml:space="preserve">אחידות הענישה, </w:t>
      </w:r>
      <w:r>
        <w:rPr>
          <w:rFonts w:cs="David" w:hint="cs"/>
          <w:sz w:val="24"/>
          <w:szCs w:val="24"/>
          <w:rtl/>
        </w:rPr>
        <w:t xml:space="preserve">עליו נאמר כי הוא </w:t>
      </w:r>
      <w:r w:rsidRPr="0013261B">
        <w:rPr>
          <w:rFonts w:cs="David"/>
          <w:b/>
          <w:bCs/>
          <w:sz w:val="24"/>
          <w:szCs w:val="24"/>
          <w:rtl/>
        </w:rPr>
        <w:t>"משקף את ערכי השוויון, ההגינות והצדק, ואף את האינטרס לשמור על אמון הציבור בהליך הפלילי ובמערכת המשפט"</w:t>
      </w:r>
      <w:r w:rsidRPr="0013261B">
        <w:rPr>
          <w:rFonts w:cs="David"/>
          <w:sz w:val="24"/>
          <w:szCs w:val="24"/>
          <w:rtl/>
        </w:rPr>
        <w:t xml:space="preserve"> (</w:t>
      </w:r>
      <w:hyperlink r:id="rId64" w:history="1">
        <w:r w:rsidR="0047431A" w:rsidRPr="0047431A">
          <w:rPr>
            <w:rFonts w:cs="David" w:hint="cs"/>
            <w:color w:val="0000FF"/>
            <w:sz w:val="24"/>
            <w:szCs w:val="24"/>
            <w:u w:val="single"/>
            <w:rtl/>
          </w:rPr>
          <w:t>ע</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5195/11</w:t>
        </w:r>
      </w:hyperlink>
      <w:r w:rsidRPr="0013261B">
        <w:rPr>
          <w:rFonts w:cs="David"/>
          <w:sz w:val="24"/>
          <w:szCs w:val="24"/>
          <w:rtl/>
        </w:rPr>
        <w:t xml:space="preserve"> </w:t>
      </w:r>
      <w:r w:rsidRPr="0013261B">
        <w:rPr>
          <w:rFonts w:cs="David"/>
          <w:b/>
          <w:bCs/>
          <w:sz w:val="24"/>
          <w:szCs w:val="24"/>
          <w:rtl/>
        </w:rPr>
        <w:t>קריניאן נ' מ"י</w:t>
      </w:r>
      <w:r w:rsidRPr="0013261B">
        <w:rPr>
          <w:rFonts w:cs="David"/>
          <w:sz w:val="24"/>
          <w:szCs w:val="24"/>
          <w:rtl/>
        </w:rPr>
        <w:t xml:space="preserve"> (</w:t>
      </w:r>
      <w:r>
        <w:rPr>
          <w:rFonts w:cs="David" w:hint="cs"/>
          <w:sz w:val="24"/>
          <w:szCs w:val="24"/>
          <w:rtl/>
        </w:rPr>
        <w:t>28.3.2012</w:t>
      </w:r>
      <w:r w:rsidRPr="0013261B">
        <w:rPr>
          <w:rFonts w:cs="David"/>
          <w:sz w:val="24"/>
          <w:szCs w:val="24"/>
          <w:rtl/>
        </w:rPr>
        <w:t xml:space="preserve">)). </w:t>
      </w:r>
      <w:r w:rsidRPr="00017160">
        <w:rPr>
          <w:rFonts w:cs="David"/>
          <w:sz w:val="24"/>
          <w:szCs w:val="24"/>
          <w:rtl/>
        </w:rPr>
        <w:t>ב</w:t>
      </w:r>
      <w:hyperlink r:id="rId65" w:history="1">
        <w:r w:rsidR="0047431A" w:rsidRPr="0047431A">
          <w:rPr>
            <w:rFonts w:hint="cs"/>
            <w:color w:val="0000FF"/>
            <w:u w:val="single"/>
            <w:rtl/>
          </w:rPr>
          <w:t>ע</w:t>
        </w:r>
        <w:r w:rsidR="0047431A" w:rsidRPr="0047431A">
          <w:rPr>
            <w:color w:val="0000FF"/>
            <w:u w:val="single"/>
            <w:rtl/>
          </w:rPr>
          <w:t>"</w:t>
        </w:r>
        <w:r w:rsidR="0047431A" w:rsidRPr="0047431A">
          <w:rPr>
            <w:rFonts w:hint="cs"/>
            <w:color w:val="0000FF"/>
            <w:u w:val="single"/>
            <w:rtl/>
          </w:rPr>
          <w:t>פ</w:t>
        </w:r>
        <w:r w:rsidR="0047431A" w:rsidRPr="0047431A">
          <w:rPr>
            <w:color w:val="0000FF"/>
            <w:u w:val="single"/>
            <w:rtl/>
          </w:rPr>
          <w:t xml:space="preserve"> 2580/14</w:t>
        </w:r>
      </w:hyperlink>
      <w:r w:rsidRPr="001B6E92">
        <w:rPr>
          <w:rFonts w:cs="David"/>
          <w:sz w:val="24"/>
          <w:szCs w:val="24"/>
          <w:rtl/>
        </w:rPr>
        <w:t xml:space="preserve"> </w:t>
      </w:r>
      <w:r w:rsidRPr="001B6E92">
        <w:rPr>
          <w:rFonts w:cs="David"/>
          <w:b/>
          <w:bCs/>
          <w:sz w:val="24"/>
          <w:szCs w:val="24"/>
          <w:rtl/>
        </w:rPr>
        <w:t>חסן נ' מדינת ישראל</w:t>
      </w:r>
      <w:r w:rsidRPr="001B6E92">
        <w:rPr>
          <w:rFonts w:cs="David"/>
          <w:sz w:val="24"/>
          <w:szCs w:val="24"/>
          <w:rtl/>
        </w:rPr>
        <w:t xml:space="preserve"> (23.9.2014)</w:t>
      </w:r>
      <w:r w:rsidRPr="001B6E92">
        <w:rPr>
          <w:rFonts w:cs="David" w:hint="cs"/>
          <w:sz w:val="24"/>
          <w:szCs w:val="24"/>
          <w:rtl/>
        </w:rPr>
        <w:t xml:space="preserve"> נאמר</w:t>
      </w:r>
      <w:r w:rsidRPr="001B6E92">
        <w:rPr>
          <w:rFonts w:cs="David"/>
          <w:sz w:val="24"/>
          <w:szCs w:val="24"/>
          <w:rtl/>
        </w:rPr>
        <w:t>:</w:t>
      </w:r>
    </w:p>
    <w:p w14:paraId="2E1F3C6B" w14:textId="77777777" w:rsidR="0009401E" w:rsidRPr="001B6E92" w:rsidRDefault="0009401E" w:rsidP="0009401E">
      <w:pPr>
        <w:pStyle w:val="a9"/>
        <w:spacing w:line="360" w:lineRule="auto"/>
        <w:ind w:left="720"/>
        <w:jc w:val="both"/>
        <w:rPr>
          <w:rtl/>
        </w:rPr>
      </w:pPr>
    </w:p>
    <w:p w14:paraId="7F5DA75D" w14:textId="77777777" w:rsidR="0009401E" w:rsidRPr="00017160" w:rsidRDefault="0009401E" w:rsidP="0009401E">
      <w:pPr>
        <w:pStyle w:val="aa"/>
        <w:rPr>
          <w:rtl/>
        </w:rPr>
      </w:pPr>
      <w:r w:rsidRPr="00017160">
        <w:rPr>
          <w:rtl/>
        </w:rPr>
        <w:t xml:space="preserve">"עקרון אחידות הענישה הוא עקרון יסוד במשפט הפלילי אשר נועד להבטיח שוויון בפני החוק ולמנוע שרירות בענישה. עקרון זה מורה כי יש להחיל שיקולי ענישה דומים על מי שביצעו עבירות דומות במהותן, בנסיבות דומות ובעלי נסיבות אישיות דומות. </w:t>
      </w:r>
      <w:r w:rsidRPr="00017160">
        <w:rPr>
          <w:u w:val="single"/>
          <w:rtl/>
        </w:rPr>
        <w:t>עקרון זה מקבל משנה חשיבות כאשר מדובר בנאשמים שונים המורשעים בגדרה של אותה פרשה.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המבצע"</w:t>
      </w:r>
      <w:r>
        <w:rPr>
          <w:rFonts w:hint="cs"/>
          <w:rtl/>
        </w:rPr>
        <w:t xml:space="preserve"> (ההדגשה שלי - א.ט).</w:t>
      </w:r>
    </w:p>
    <w:p w14:paraId="46EA9A76" w14:textId="77777777" w:rsidR="0009401E" w:rsidRDefault="0009401E" w:rsidP="0009401E">
      <w:pPr>
        <w:pStyle w:val="a9"/>
        <w:spacing w:line="360" w:lineRule="auto"/>
        <w:ind w:left="720" w:firstLine="698"/>
        <w:jc w:val="both"/>
        <w:rPr>
          <w:rFonts w:cs="David"/>
          <w:sz w:val="24"/>
          <w:szCs w:val="24"/>
          <w:rtl/>
        </w:rPr>
      </w:pPr>
    </w:p>
    <w:p w14:paraId="31348E7D" w14:textId="77777777" w:rsidR="0009401E" w:rsidRDefault="0009401E" w:rsidP="0009401E">
      <w:pPr>
        <w:pStyle w:val="a9"/>
        <w:spacing w:line="360" w:lineRule="auto"/>
        <w:ind w:firstLine="720"/>
        <w:jc w:val="both"/>
        <w:rPr>
          <w:rFonts w:cs="David"/>
          <w:sz w:val="24"/>
          <w:szCs w:val="24"/>
          <w:rtl/>
        </w:rPr>
      </w:pPr>
      <w:r w:rsidRPr="0013261B">
        <w:rPr>
          <w:rFonts w:cs="David" w:hint="cs"/>
          <w:sz w:val="24"/>
          <w:szCs w:val="24"/>
          <w:rtl/>
        </w:rPr>
        <w:t xml:space="preserve"> </w:t>
      </w:r>
      <w:r>
        <w:rPr>
          <w:rFonts w:cs="David" w:hint="cs"/>
          <w:sz w:val="24"/>
          <w:szCs w:val="24"/>
          <w:rtl/>
        </w:rPr>
        <w:t xml:space="preserve">לעניין זה </w:t>
      </w:r>
      <w:r w:rsidRPr="0013261B">
        <w:rPr>
          <w:rFonts w:cs="David" w:hint="cs"/>
          <w:sz w:val="24"/>
          <w:szCs w:val="24"/>
          <w:rtl/>
        </w:rPr>
        <w:t xml:space="preserve">ראו גם </w:t>
      </w:r>
      <w:hyperlink r:id="rId66" w:history="1">
        <w:r w:rsidR="0047431A" w:rsidRPr="0047431A">
          <w:rPr>
            <w:rFonts w:cs="David" w:hint="cs"/>
            <w:color w:val="0000FF"/>
            <w:sz w:val="24"/>
            <w:szCs w:val="24"/>
            <w:u w:val="single"/>
            <w:rtl/>
          </w:rPr>
          <w:t>ע</w:t>
        </w:r>
        <w:r w:rsidR="0047431A" w:rsidRPr="0047431A">
          <w:rPr>
            <w:rFonts w:cs="David"/>
            <w:color w:val="0000FF"/>
            <w:sz w:val="24"/>
            <w:szCs w:val="24"/>
            <w:u w:val="single"/>
            <w:rtl/>
          </w:rPr>
          <w:t>"</w:t>
        </w:r>
        <w:r w:rsidR="0047431A" w:rsidRPr="0047431A">
          <w:rPr>
            <w:rFonts w:cs="David" w:hint="cs"/>
            <w:color w:val="0000FF"/>
            <w:sz w:val="24"/>
            <w:szCs w:val="24"/>
            <w:u w:val="single"/>
            <w:rtl/>
          </w:rPr>
          <w:t>פ</w:t>
        </w:r>
        <w:r w:rsidR="0047431A" w:rsidRPr="0047431A">
          <w:rPr>
            <w:rFonts w:cs="David"/>
            <w:color w:val="0000FF"/>
            <w:sz w:val="24"/>
            <w:szCs w:val="24"/>
            <w:u w:val="single"/>
            <w:rtl/>
          </w:rPr>
          <w:t xml:space="preserve"> 8066/15</w:t>
        </w:r>
      </w:hyperlink>
      <w:r w:rsidRPr="0013261B">
        <w:rPr>
          <w:rFonts w:cs="David" w:hint="cs"/>
          <w:sz w:val="24"/>
          <w:szCs w:val="24"/>
          <w:rtl/>
        </w:rPr>
        <w:t xml:space="preserve"> </w:t>
      </w:r>
      <w:r w:rsidRPr="0013261B">
        <w:rPr>
          <w:rFonts w:cs="David" w:hint="cs"/>
          <w:b/>
          <w:bCs/>
          <w:sz w:val="24"/>
          <w:szCs w:val="24"/>
          <w:rtl/>
        </w:rPr>
        <w:t>חנון נ' מ</w:t>
      </w:r>
      <w:r>
        <w:rPr>
          <w:rFonts w:cs="David" w:hint="cs"/>
          <w:b/>
          <w:bCs/>
          <w:sz w:val="24"/>
          <w:szCs w:val="24"/>
          <w:rtl/>
        </w:rPr>
        <w:t>דינת ישראל</w:t>
      </w:r>
      <w:r w:rsidRPr="0013261B">
        <w:rPr>
          <w:rFonts w:cs="David" w:hint="cs"/>
          <w:b/>
          <w:bCs/>
          <w:sz w:val="24"/>
          <w:szCs w:val="24"/>
          <w:rtl/>
        </w:rPr>
        <w:t xml:space="preserve"> </w:t>
      </w:r>
      <w:r w:rsidRPr="0073537F">
        <w:rPr>
          <w:rFonts w:cs="David" w:hint="cs"/>
          <w:sz w:val="24"/>
          <w:szCs w:val="24"/>
          <w:rtl/>
        </w:rPr>
        <w:t>(</w:t>
      </w:r>
      <w:r>
        <w:rPr>
          <w:rFonts w:cs="David" w:hint="cs"/>
          <w:sz w:val="24"/>
          <w:szCs w:val="24"/>
          <w:rtl/>
        </w:rPr>
        <w:t xml:space="preserve">16.10.2016). </w:t>
      </w:r>
    </w:p>
    <w:p w14:paraId="484B2149" w14:textId="77777777" w:rsidR="0009401E" w:rsidRDefault="0009401E" w:rsidP="0009401E">
      <w:pPr>
        <w:pStyle w:val="a9"/>
        <w:spacing w:line="360" w:lineRule="auto"/>
        <w:ind w:left="720"/>
        <w:jc w:val="both"/>
        <w:rPr>
          <w:rFonts w:cs="David"/>
          <w:sz w:val="24"/>
          <w:szCs w:val="24"/>
          <w:rtl/>
        </w:rPr>
      </w:pPr>
    </w:p>
    <w:p w14:paraId="0548B920" w14:textId="77777777" w:rsidR="0009401E" w:rsidRDefault="0009401E" w:rsidP="0009401E">
      <w:pPr>
        <w:spacing w:after="240" w:line="360" w:lineRule="auto"/>
        <w:ind w:left="720" w:hanging="720"/>
        <w:jc w:val="both"/>
        <w:rPr>
          <w:rtl/>
        </w:rPr>
      </w:pPr>
      <w:r>
        <w:rPr>
          <w:rFonts w:hint="cs"/>
          <w:rtl/>
        </w:rPr>
        <w:t>37.</w:t>
      </w:r>
      <w:r>
        <w:rPr>
          <w:rFonts w:hint="cs"/>
          <w:rtl/>
        </w:rPr>
        <w:tab/>
        <w:t>לאור מקבץ האמור, בשים לב לחומרת העבירות בהן מדובר, נסיבות ביצוען לרבות התכנון והשיטתיות שנלוו להן, העובדה שבוצעו לאורך שנים, ונוכח מדיניות הענישה הנוהגת ועקרון אחידות הענישה, אני מוצא להעמיד את מתחם העונש ההולם בגין כלל העבירות בהן הורשע הנאשם בין 4 - 8 שנות מאסר.</w:t>
      </w:r>
    </w:p>
    <w:p w14:paraId="51F2BEAA" w14:textId="77777777" w:rsidR="0009401E" w:rsidRPr="003F00F3" w:rsidRDefault="0009401E" w:rsidP="0009401E">
      <w:pPr>
        <w:spacing w:after="240" w:line="360" w:lineRule="auto"/>
        <w:ind w:left="720" w:hanging="720"/>
        <w:jc w:val="both"/>
        <w:rPr>
          <w:u w:val="single"/>
        </w:rPr>
      </w:pPr>
      <w:r>
        <w:rPr>
          <w:rFonts w:hint="cs"/>
          <w:rtl/>
        </w:rPr>
        <w:t xml:space="preserve"> </w:t>
      </w:r>
      <w:r w:rsidRPr="003F00F3">
        <w:rPr>
          <w:rFonts w:hint="cs"/>
          <w:u w:val="single"/>
          <w:rtl/>
        </w:rPr>
        <w:t xml:space="preserve">גזירת העונש בתוך המתחם </w:t>
      </w:r>
    </w:p>
    <w:p w14:paraId="688968E1" w14:textId="77777777" w:rsidR="0009401E" w:rsidRDefault="0009401E" w:rsidP="0009401E">
      <w:pPr>
        <w:spacing w:after="120" w:line="360" w:lineRule="auto"/>
        <w:ind w:left="720" w:hanging="720"/>
        <w:jc w:val="both"/>
        <w:rPr>
          <w:rFonts w:ascii="David" w:hAnsi="David"/>
          <w:rtl/>
        </w:rPr>
      </w:pPr>
      <w:r>
        <w:rPr>
          <w:rFonts w:hint="cs"/>
          <w:rtl/>
        </w:rPr>
        <w:t>38</w:t>
      </w:r>
      <w:r w:rsidRPr="003F00F3">
        <w:rPr>
          <w:rFonts w:hint="cs"/>
          <w:rtl/>
        </w:rPr>
        <w:t>.</w:t>
      </w:r>
      <w:r w:rsidRPr="003F00F3">
        <w:rPr>
          <w:rFonts w:hint="cs"/>
          <w:rtl/>
        </w:rPr>
        <w:tab/>
      </w:r>
      <w:r w:rsidRPr="003F00F3">
        <w:rPr>
          <w:rFonts w:ascii="David" w:hAnsi="David" w:hint="cs"/>
          <w:rtl/>
        </w:rPr>
        <w:t>בנסיבות שאינן קשורות בביצוע העביר</w:t>
      </w:r>
      <w:r>
        <w:rPr>
          <w:rFonts w:ascii="David" w:hAnsi="David" w:hint="cs"/>
          <w:rtl/>
        </w:rPr>
        <w:t>ות</w:t>
      </w:r>
      <w:r w:rsidRPr="003F00F3">
        <w:rPr>
          <w:rFonts w:ascii="David" w:hAnsi="David" w:hint="cs"/>
          <w:rtl/>
        </w:rPr>
        <w:t xml:space="preserve"> ראיתי להביא בחשבון </w:t>
      </w:r>
      <w:r>
        <w:rPr>
          <w:rFonts w:ascii="David" w:hAnsi="David" w:hint="cs"/>
          <w:rtl/>
        </w:rPr>
        <w:t xml:space="preserve">לקולא את הודאתו של הנאשם, אם כי הודאה זו ניתנה לאחר שנשמעו חלק מעדי התביעה. בהודאה זו היה כדי להביא לחסכון בזמן שיפוטי יקר והיא מגלמת נטילת אחריות מצד הנאשם על מעשיו.  </w:t>
      </w:r>
    </w:p>
    <w:p w14:paraId="7A8979DE" w14:textId="77777777" w:rsidR="0009401E" w:rsidRDefault="0009401E" w:rsidP="0009401E">
      <w:pPr>
        <w:spacing w:after="120"/>
        <w:ind w:left="720" w:hanging="720"/>
        <w:jc w:val="both"/>
        <w:rPr>
          <w:rFonts w:ascii="David" w:hAnsi="David"/>
          <w:rtl/>
        </w:rPr>
      </w:pPr>
    </w:p>
    <w:p w14:paraId="07153CB4" w14:textId="77777777" w:rsidR="0009401E" w:rsidRDefault="0009401E" w:rsidP="0009401E">
      <w:pPr>
        <w:spacing w:after="120" w:line="360" w:lineRule="auto"/>
        <w:ind w:left="720" w:hanging="720"/>
        <w:jc w:val="both"/>
        <w:rPr>
          <w:rFonts w:ascii="David" w:hAnsi="David"/>
          <w:rtl/>
        </w:rPr>
      </w:pPr>
      <w:r>
        <w:rPr>
          <w:rFonts w:ascii="David" w:hAnsi="David" w:hint="cs"/>
          <w:rtl/>
        </w:rPr>
        <w:t>39.</w:t>
      </w:r>
      <w:r>
        <w:rPr>
          <w:rFonts w:ascii="David" w:hAnsi="David" w:hint="cs"/>
          <w:rtl/>
        </w:rPr>
        <w:tab/>
        <w:t xml:space="preserve">לחומרא ראיתי להביא בחשבון </w:t>
      </w:r>
      <w:r w:rsidRPr="003F00F3">
        <w:rPr>
          <w:rFonts w:ascii="David" w:hAnsi="David" w:hint="cs"/>
          <w:rtl/>
        </w:rPr>
        <w:t xml:space="preserve">את עברו </w:t>
      </w:r>
      <w:r>
        <w:rPr>
          <w:rFonts w:ascii="David" w:hAnsi="David" w:hint="cs"/>
          <w:rtl/>
        </w:rPr>
        <w:t xml:space="preserve">הפלילי </w:t>
      </w:r>
      <w:r w:rsidRPr="003F00F3">
        <w:rPr>
          <w:rFonts w:ascii="David" w:hAnsi="David" w:hint="cs"/>
          <w:rtl/>
        </w:rPr>
        <w:t xml:space="preserve">של הנאשם. </w:t>
      </w:r>
      <w:r>
        <w:rPr>
          <w:rFonts w:ascii="David" w:hAnsi="David" w:hint="cs"/>
          <w:rtl/>
        </w:rPr>
        <w:t xml:space="preserve">כאמור, אין זו היתקלותו הראשונה של הנאשם עם החוק, לאחר שבעבר הסתבך בעבירות ביטחון חמורות בגינן ריצה עונש מאסר ממושך. חרף דבריו על אודות הטראומה שחווה במהלך מאסרו הקודם והתנאים הקשים בהם הוחזק, בין היתר בתנאי בידוד, כדבריו, והמחיר הכבד ששילמה משפחתו בגין מעשיו, הרי שהנאשם לא השכיל, למרבה הצער יש לומר, להפיק את הלקחים המתבקשים מהמחיר ששילם בעבר, ושב והסתבך בעבירות חמורות פעם נוספת. </w:t>
      </w:r>
    </w:p>
    <w:p w14:paraId="54C66D07" w14:textId="77777777" w:rsidR="0009401E" w:rsidRDefault="0009401E" w:rsidP="0009401E">
      <w:pPr>
        <w:spacing w:after="120" w:line="360" w:lineRule="auto"/>
        <w:ind w:left="720" w:hanging="720"/>
        <w:jc w:val="both"/>
        <w:rPr>
          <w:rFonts w:ascii="David" w:hAnsi="David"/>
          <w:rtl/>
        </w:rPr>
      </w:pPr>
      <w:r>
        <w:rPr>
          <w:rFonts w:ascii="David" w:hAnsi="David"/>
          <w:rtl/>
        </w:rPr>
        <w:tab/>
      </w:r>
      <w:r>
        <w:rPr>
          <w:rFonts w:ascii="David" w:hAnsi="David" w:hint="cs"/>
          <w:rtl/>
        </w:rPr>
        <w:t>דבריה של רעייתו הצעירה כמו גם דברי אביו של הנאשם היו נוגעים ללב. אין בלבי ספק כי משפחתו משלמת מחיר כבד על התנהלותו העבריינית של הנאשם. מדובר במשפחה נורמטיבית ובהורים שעברו מסע קשה עם מאסרו הקודם של הנאשם, עוד בהיותו קטין. אלא שנוכח מעשיו החמורים, כפי שהם משתקפים מן העבירות בהן הורשע בתיק דנא, אין מנוס מלהטיל על הנאשם עונש מחמיר. מי יתן והפעם יפנים את חומרת מעשיו והשלכותיהם על חייו ועל כל היקרים לו וישכיל לתקן דרכיו עם שחרורו.</w:t>
      </w:r>
    </w:p>
    <w:p w14:paraId="5B5182C1" w14:textId="77777777" w:rsidR="0009401E" w:rsidRDefault="0009401E" w:rsidP="0009401E">
      <w:pPr>
        <w:spacing w:after="120" w:line="360" w:lineRule="auto"/>
        <w:ind w:left="720" w:hanging="720"/>
        <w:jc w:val="both"/>
        <w:rPr>
          <w:rFonts w:ascii="David" w:hAnsi="David"/>
        </w:rPr>
      </w:pPr>
    </w:p>
    <w:p w14:paraId="6111FE74" w14:textId="77777777" w:rsidR="0009401E" w:rsidRDefault="0009401E" w:rsidP="0009401E">
      <w:pPr>
        <w:spacing w:after="120" w:line="360" w:lineRule="auto"/>
        <w:ind w:left="720" w:hanging="720"/>
        <w:jc w:val="both"/>
        <w:rPr>
          <w:rFonts w:ascii="David" w:hAnsi="David"/>
        </w:rPr>
      </w:pPr>
    </w:p>
    <w:p w14:paraId="0A5B87E7" w14:textId="77777777" w:rsidR="0009401E" w:rsidRDefault="0009401E" w:rsidP="0009401E">
      <w:pPr>
        <w:spacing w:after="120" w:line="360" w:lineRule="auto"/>
        <w:ind w:left="720" w:hanging="720"/>
        <w:jc w:val="both"/>
        <w:rPr>
          <w:rFonts w:ascii="David" w:hAnsi="David"/>
        </w:rPr>
      </w:pPr>
    </w:p>
    <w:p w14:paraId="747961A3" w14:textId="77777777" w:rsidR="0009401E" w:rsidRDefault="0009401E" w:rsidP="0009401E">
      <w:pPr>
        <w:spacing w:after="120" w:line="360" w:lineRule="auto"/>
        <w:ind w:left="720" w:hanging="720"/>
        <w:jc w:val="both"/>
        <w:rPr>
          <w:rFonts w:ascii="David" w:hAnsi="David"/>
          <w:rtl/>
        </w:rPr>
      </w:pPr>
    </w:p>
    <w:p w14:paraId="6FA3974F" w14:textId="77777777" w:rsidR="0009401E" w:rsidRDefault="0009401E" w:rsidP="0009401E">
      <w:pPr>
        <w:spacing w:after="120" w:line="360" w:lineRule="auto"/>
        <w:ind w:left="720" w:hanging="720"/>
        <w:jc w:val="both"/>
        <w:rPr>
          <w:rtl/>
        </w:rPr>
      </w:pPr>
      <w:r>
        <w:rPr>
          <w:rFonts w:hint="cs"/>
          <w:rtl/>
        </w:rPr>
        <w:t>40</w:t>
      </w:r>
      <w:r w:rsidRPr="003F00F3">
        <w:rPr>
          <w:rFonts w:hint="cs"/>
          <w:rtl/>
        </w:rPr>
        <w:t>.</w:t>
      </w:r>
      <w:r w:rsidRPr="003F00F3">
        <w:rPr>
          <w:rFonts w:hint="cs"/>
          <w:rtl/>
        </w:rPr>
        <w:tab/>
        <w:t>על יסוד מקבץ השיקולים שמניתי לעיל, אני גוזר על הנאשם את העונשים הבאים:</w:t>
      </w:r>
    </w:p>
    <w:p w14:paraId="71F09D85" w14:textId="77777777" w:rsidR="0009401E" w:rsidRPr="003F00F3" w:rsidRDefault="0009401E" w:rsidP="0009401E">
      <w:pPr>
        <w:spacing w:after="120"/>
        <w:ind w:left="720" w:hanging="720"/>
        <w:jc w:val="both"/>
      </w:pPr>
    </w:p>
    <w:p w14:paraId="36D7DFD8" w14:textId="77777777" w:rsidR="0009401E" w:rsidRDefault="0009401E" w:rsidP="0009401E">
      <w:pPr>
        <w:spacing w:after="120" w:line="360" w:lineRule="auto"/>
        <w:ind w:left="720" w:hanging="720"/>
        <w:jc w:val="both"/>
        <w:rPr>
          <w:rtl/>
        </w:rPr>
      </w:pPr>
      <w:r w:rsidRPr="003F00F3">
        <w:rPr>
          <w:rFonts w:hint="cs"/>
          <w:rtl/>
        </w:rPr>
        <w:tab/>
        <w:t>א.</w:t>
      </w:r>
      <w:r w:rsidRPr="003F00F3">
        <w:rPr>
          <w:rFonts w:hint="cs"/>
          <w:rtl/>
        </w:rPr>
        <w:tab/>
      </w:r>
      <w:r>
        <w:rPr>
          <w:rFonts w:hint="cs"/>
          <w:rtl/>
        </w:rPr>
        <w:t>6 שנות</w:t>
      </w:r>
      <w:r w:rsidRPr="003F00F3">
        <w:rPr>
          <w:rFonts w:hint="cs"/>
          <w:rtl/>
        </w:rPr>
        <w:t xml:space="preserve"> מאסר בפועל, בניכוי ימי מעצרו מיום 30.</w:t>
      </w:r>
      <w:r>
        <w:rPr>
          <w:rFonts w:hint="cs"/>
          <w:rtl/>
        </w:rPr>
        <w:t>3</w:t>
      </w:r>
      <w:r w:rsidRPr="003F00F3">
        <w:rPr>
          <w:rFonts w:hint="cs"/>
          <w:rtl/>
        </w:rPr>
        <w:t xml:space="preserve">.2017. </w:t>
      </w:r>
    </w:p>
    <w:p w14:paraId="12B323EF" w14:textId="77777777" w:rsidR="0009401E" w:rsidRPr="003F00F3" w:rsidRDefault="0009401E" w:rsidP="0009401E">
      <w:pPr>
        <w:spacing w:after="120"/>
        <w:ind w:left="720" w:hanging="720"/>
        <w:jc w:val="both"/>
        <w:rPr>
          <w:rtl/>
        </w:rPr>
      </w:pPr>
    </w:p>
    <w:p w14:paraId="7D763FB8" w14:textId="77777777" w:rsidR="0009401E" w:rsidRDefault="0009401E" w:rsidP="0009401E">
      <w:pPr>
        <w:spacing w:after="120" w:line="360" w:lineRule="auto"/>
        <w:ind w:left="1440" w:hanging="720"/>
        <w:jc w:val="both"/>
        <w:rPr>
          <w:rFonts w:ascii="David" w:hAnsi="David"/>
          <w:rtl/>
        </w:rPr>
      </w:pPr>
      <w:r w:rsidRPr="003F00F3">
        <w:rPr>
          <w:rFonts w:hint="cs"/>
          <w:rtl/>
        </w:rPr>
        <w:t>ב.</w:t>
      </w:r>
      <w:r w:rsidRPr="003F00F3">
        <w:rPr>
          <w:rFonts w:hint="cs"/>
          <w:rtl/>
        </w:rPr>
        <w:tab/>
      </w:r>
      <w:r>
        <w:rPr>
          <w:rFonts w:hint="cs"/>
          <w:rtl/>
        </w:rPr>
        <w:t>12</w:t>
      </w:r>
      <w:r w:rsidRPr="003F00F3">
        <w:rPr>
          <w:rFonts w:hint="cs"/>
          <w:rtl/>
        </w:rPr>
        <w:t xml:space="preserve"> חודשי מאסר על תנאי למשך 3 שנים לבל יעבור עבירת </w:t>
      </w:r>
      <w:r w:rsidRPr="003F00F3">
        <w:rPr>
          <w:rFonts w:ascii="David" w:hAnsi="David" w:hint="cs"/>
          <w:rtl/>
        </w:rPr>
        <w:t xml:space="preserve">נשק מסוג פשע </w:t>
      </w:r>
      <w:r>
        <w:rPr>
          <w:rFonts w:ascii="David" w:hAnsi="David" w:hint="cs"/>
          <w:rtl/>
        </w:rPr>
        <w:t>ויורשע בגינה</w:t>
      </w:r>
      <w:r w:rsidRPr="003F00F3">
        <w:rPr>
          <w:rFonts w:ascii="David" w:hAnsi="David" w:hint="cs"/>
          <w:rtl/>
        </w:rPr>
        <w:t>.</w:t>
      </w:r>
    </w:p>
    <w:p w14:paraId="3C776304" w14:textId="77777777" w:rsidR="0009401E" w:rsidRPr="003F00F3" w:rsidRDefault="0009401E" w:rsidP="0009401E">
      <w:pPr>
        <w:spacing w:after="120"/>
        <w:ind w:left="1440" w:hanging="720"/>
        <w:jc w:val="both"/>
        <w:rPr>
          <w:rFonts w:ascii="David" w:hAnsi="David"/>
          <w:rtl/>
        </w:rPr>
      </w:pPr>
    </w:p>
    <w:p w14:paraId="4B1E5CF4" w14:textId="77777777" w:rsidR="0009401E" w:rsidRDefault="0009401E" w:rsidP="0009401E">
      <w:pPr>
        <w:spacing w:after="120" w:line="360" w:lineRule="auto"/>
        <w:ind w:left="720" w:hanging="720"/>
        <w:jc w:val="both"/>
        <w:rPr>
          <w:rtl/>
        </w:rPr>
      </w:pPr>
      <w:r w:rsidRPr="00E001AC">
        <w:rPr>
          <w:rtl/>
        </w:rPr>
        <w:tab/>
      </w:r>
      <w:r w:rsidRPr="00E001AC">
        <w:rPr>
          <w:rFonts w:hint="cs"/>
          <w:rtl/>
        </w:rPr>
        <w:t xml:space="preserve">ג. </w:t>
      </w:r>
      <w:r w:rsidRPr="00E001AC">
        <w:rPr>
          <w:rFonts w:hint="cs"/>
          <w:rtl/>
        </w:rPr>
        <w:tab/>
      </w:r>
      <w:r>
        <w:rPr>
          <w:rFonts w:hint="cs"/>
          <w:rtl/>
        </w:rPr>
        <w:t>6</w:t>
      </w:r>
      <w:r w:rsidRPr="00E001AC">
        <w:rPr>
          <w:rFonts w:hint="cs"/>
          <w:rtl/>
        </w:rPr>
        <w:t xml:space="preserve"> </w:t>
      </w:r>
      <w:r w:rsidRPr="003F00F3">
        <w:rPr>
          <w:rFonts w:hint="cs"/>
          <w:rtl/>
        </w:rPr>
        <w:t xml:space="preserve">חודשי מאסר על תנאי למשך 3 שנים לבל יעבור עבירת </w:t>
      </w:r>
      <w:r>
        <w:rPr>
          <w:rFonts w:hint="cs"/>
          <w:rtl/>
        </w:rPr>
        <w:t>נשק מסוג עוון ויורשע בגינה</w:t>
      </w:r>
      <w:r w:rsidRPr="00E001AC">
        <w:rPr>
          <w:rFonts w:hint="cs"/>
          <w:rtl/>
        </w:rPr>
        <w:t>.</w:t>
      </w:r>
    </w:p>
    <w:p w14:paraId="66E0E7F0" w14:textId="77777777" w:rsidR="0009401E" w:rsidRDefault="0009401E" w:rsidP="0009401E">
      <w:pPr>
        <w:spacing w:after="120" w:line="360" w:lineRule="auto"/>
        <w:ind w:left="720" w:hanging="720"/>
        <w:jc w:val="both"/>
        <w:rPr>
          <w:rtl/>
        </w:rPr>
      </w:pPr>
    </w:p>
    <w:p w14:paraId="5D2EC039" w14:textId="77777777" w:rsidR="0009401E" w:rsidRPr="00E001AC" w:rsidRDefault="0009401E" w:rsidP="0009401E">
      <w:pPr>
        <w:spacing w:after="120" w:line="360" w:lineRule="auto"/>
        <w:ind w:left="720" w:hanging="720"/>
        <w:jc w:val="both"/>
        <w:rPr>
          <w:rtl/>
        </w:rPr>
      </w:pPr>
      <w:r>
        <w:rPr>
          <w:rFonts w:hint="cs"/>
          <w:rtl/>
        </w:rPr>
        <w:t>זכות ערעור לבית המשפט העליון תוך 45 יום.</w:t>
      </w:r>
    </w:p>
    <w:p w14:paraId="659122F8" w14:textId="77777777" w:rsidR="0009401E" w:rsidRPr="00B05847" w:rsidRDefault="0009401E" w:rsidP="0009401E">
      <w:pPr>
        <w:spacing w:after="360" w:line="360" w:lineRule="auto"/>
        <w:ind w:left="720" w:hanging="720"/>
        <w:jc w:val="both"/>
        <w:rPr>
          <w:rtl/>
        </w:rPr>
      </w:pPr>
      <w:r>
        <w:rPr>
          <w:rFonts w:ascii="David" w:hAnsi="David"/>
          <w:rtl/>
        </w:rPr>
        <w:tab/>
      </w:r>
    </w:p>
    <w:p w14:paraId="0BF78340" w14:textId="77777777" w:rsidR="0009401E" w:rsidRDefault="0047431A" w:rsidP="0009401E">
      <w:pPr>
        <w:spacing w:line="360" w:lineRule="auto"/>
        <w:jc w:val="both"/>
        <w:rPr>
          <w:rFonts w:cs="FrankRuehl"/>
          <w:sz w:val="28"/>
          <w:szCs w:val="28"/>
          <w:rtl/>
        </w:rPr>
      </w:pPr>
      <w:r w:rsidRPr="0047431A">
        <w:rPr>
          <w:rFonts w:ascii="Arial" w:hAnsi="Arial"/>
          <w:color w:val="FFFFFF"/>
          <w:sz w:val="2"/>
          <w:szCs w:val="2"/>
          <w:rtl/>
        </w:rPr>
        <w:t>5129371</w:t>
      </w:r>
      <w:r>
        <w:rPr>
          <w:rFonts w:ascii="Arial" w:hAnsi="Arial"/>
          <w:rtl/>
        </w:rPr>
        <w:t xml:space="preserve">ניתן היום,  י"ח אייר תשע"ח, 03 מאי 2018,  בנוכחות הצדדים. </w:t>
      </w:r>
    </w:p>
    <w:p w14:paraId="3172EB18" w14:textId="77777777" w:rsidR="0009401E" w:rsidRPr="0047431A" w:rsidRDefault="0047431A" w:rsidP="0009401E">
      <w:pPr>
        <w:spacing w:line="360" w:lineRule="auto"/>
        <w:jc w:val="both"/>
        <w:rPr>
          <w:rFonts w:cs="FrankRuehl"/>
          <w:color w:val="FFFFFF"/>
          <w:sz w:val="2"/>
          <w:szCs w:val="2"/>
          <w:rtl/>
        </w:rPr>
      </w:pPr>
      <w:r w:rsidRPr="0047431A">
        <w:rPr>
          <w:rFonts w:cs="FrankRuehl"/>
          <w:color w:val="FFFFFF"/>
          <w:sz w:val="2"/>
          <w:szCs w:val="2"/>
          <w:rtl/>
        </w:rPr>
        <w:t>54678313</w:t>
      </w:r>
    </w:p>
    <w:p w14:paraId="20B1BE14" w14:textId="77777777" w:rsidR="0009401E" w:rsidRDefault="0009401E" w:rsidP="0009401E">
      <w:pPr>
        <w:spacing w:line="360" w:lineRule="auto"/>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DD5CE3F" w14:textId="77777777" w:rsidR="0009401E" w:rsidRDefault="0009401E" w:rsidP="0009401E">
      <w:pPr>
        <w:spacing w:line="360" w:lineRule="auto"/>
        <w:jc w:val="both"/>
        <w:rPr>
          <w:rFonts w:ascii="Arial" w:hAnsi="Arial" w:cs="FrankRuehl"/>
          <w:sz w:val="28"/>
          <w:szCs w:val="28"/>
          <w:rtl/>
        </w:rPr>
      </w:pPr>
    </w:p>
    <w:p w14:paraId="6E561D94" w14:textId="77777777" w:rsidR="0009401E" w:rsidRDefault="0009401E" w:rsidP="0009401E">
      <w:pPr>
        <w:spacing w:line="360" w:lineRule="auto"/>
        <w:jc w:val="both"/>
        <w:rPr>
          <w:rFonts w:cs="FrankRuehl"/>
          <w:sz w:val="28"/>
          <w:szCs w:val="28"/>
          <w:rtl/>
        </w:rPr>
      </w:pPr>
    </w:p>
    <w:p w14:paraId="78B996AC" w14:textId="77777777" w:rsidR="0009401E" w:rsidRPr="000E0EDD" w:rsidRDefault="000E0EDD" w:rsidP="0009401E">
      <w:pPr>
        <w:pStyle w:val="a3"/>
        <w:spacing w:line="360" w:lineRule="auto"/>
        <w:jc w:val="both"/>
        <w:rPr>
          <w:color w:val="FFFFFF"/>
          <w:sz w:val="2"/>
          <w:szCs w:val="2"/>
          <w:rtl/>
        </w:rPr>
      </w:pPr>
      <w:r w:rsidRPr="000E0EDD">
        <w:rPr>
          <w:color w:val="FFFFFF"/>
          <w:sz w:val="2"/>
          <w:szCs w:val="2"/>
          <w:rtl/>
        </w:rPr>
        <w:t>5129371</w:t>
      </w:r>
    </w:p>
    <w:p w14:paraId="02D63182" w14:textId="77777777" w:rsidR="002D7B2F" w:rsidRPr="000E0EDD" w:rsidRDefault="000E0EDD" w:rsidP="0047431A">
      <w:pPr>
        <w:keepNext/>
        <w:rPr>
          <w:rFonts w:ascii="David" w:hAnsi="David"/>
          <w:color w:val="FFFFFF"/>
          <w:sz w:val="2"/>
          <w:szCs w:val="2"/>
          <w:rtl/>
        </w:rPr>
      </w:pPr>
      <w:r w:rsidRPr="000E0EDD">
        <w:rPr>
          <w:rFonts w:ascii="David" w:hAnsi="David"/>
          <w:color w:val="FFFFFF"/>
          <w:sz w:val="2"/>
          <w:szCs w:val="2"/>
          <w:rtl/>
        </w:rPr>
        <w:t>54678313</w:t>
      </w:r>
    </w:p>
    <w:p w14:paraId="6E3606CA" w14:textId="77777777" w:rsidR="0047431A" w:rsidRPr="0047431A" w:rsidRDefault="0047431A" w:rsidP="0047431A">
      <w:pPr>
        <w:keepNext/>
        <w:rPr>
          <w:rFonts w:ascii="David" w:hAnsi="David"/>
          <w:color w:val="000000"/>
          <w:sz w:val="22"/>
          <w:szCs w:val="22"/>
          <w:rtl/>
        </w:rPr>
      </w:pPr>
      <w:r w:rsidRPr="0047431A">
        <w:rPr>
          <w:rFonts w:ascii="David" w:hAnsi="David"/>
          <w:color w:val="000000"/>
          <w:sz w:val="22"/>
          <w:szCs w:val="22"/>
          <w:rtl/>
        </w:rPr>
        <w:t>אמיר טובי 54678313</w:t>
      </w:r>
    </w:p>
    <w:p w14:paraId="29AF66ED" w14:textId="77777777" w:rsidR="0047431A" w:rsidRDefault="0047431A" w:rsidP="0047431A">
      <w:r w:rsidRPr="0047431A">
        <w:rPr>
          <w:color w:val="000000"/>
          <w:rtl/>
        </w:rPr>
        <w:t>נוסח מסמך זה כפוף לשינויי ניסוח ועריכה</w:t>
      </w:r>
    </w:p>
    <w:p w14:paraId="490C6019" w14:textId="77777777" w:rsidR="0047431A" w:rsidRDefault="0047431A" w:rsidP="0047431A">
      <w:pPr>
        <w:rPr>
          <w:rtl/>
        </w:rPr>
      </w:pPr>
    </w:p>
    <w:p w14:paraId="7ACF7C4A" w14:textId="77777777" w:rsidR="0047431A" w:rsidRDefault="0047431A" w:rsidP="0047431A">
      <w:pPr>
        <w:jc w:val="center"/>
        <w:rPr>
          <w:color w:val="0000FF"/>
          <w:u w:val="single"/>
        </w:rPr>
      </w:pPr>
      <w:hyperlink r:id="rId67" w:history="1">
        <w:r>
          <w:rPr>
            <w:color w:val="0000FF"/>
            <w:u w:val="single"/>
            <w:rtl/>
          </w:rPr>
          <w:t>בעניין עריכה ושינויים במסמכי פסיקה, חקיקה ועוד באתר נבו – הקש כאן</w:t>
        </w:r>
      </w:hyperlink>
    </w:p>
    <w:p w14:paraId="04E02197" w14:textId="77777777" w:rsidR="0047431A" w:rsidRPr="0047431A" w:rsidRDefault="0047431A" w:rsidP="000E0EDD">
      <w:pPr>
        <w:rPr>
          <w:color w:val="0000FF"/>
          <w:u w:val="single"/>
        </w:rPr>
      </w:pPr>
    </w:p>
    <w:sectPr w:rsidR="0047431A" w:rsidRPr="0047431A" w:rsidSect="000E0EDD">
      <w:headerReference w:type="even" r:id="rId68"/>
      <w:headerReference w:type="default" r:id="rId69"/>
      <w:footerReference w:type="even" r:id="rId70"/>
      <w:footerReference w:type="default" r:id="rId7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D9536" w14:textId="77777777" w:rsidR="006172C6" w:rsidRDefault="006172C6" w:rsidP="00054A36">
      <w:r>
        <w:separator/>
      </w:r>
    </w:p>
  </w:endnote>
  <w:endnote w:type="continuationSeparator" w:id="0">
    <w:p w14:paraId="5D0F1E3A" w14:textId="77777777" w:rsidR="006172C6" w:rsidRDefault="006172C6" w:rsidP="00054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EDE78" w14:textId="77777777" w:rsidR="000E0EDD" w:rsidRDefault="000E0EDD" w:rsidP="000E0E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4962B4" w14:textId="77777777" w:rsidR="00934A90" w:rsidRPr="000E0EDD" w:rsidRDefault="000E0EDD" w:rsidP="000E0EDD">
    <w:pPr>
      <w:pStyle w:val="a5"/>
      <w:pBdr>
        <w:top w:val="single" w:sz="4" w:space="1" w:color="auto"/>
        <w:between w:val="single" w:sz="4" w:space="0" w:color="auto"/>
      </w:pBdr>
      <w:spacing w:after="60"/>
      <w:jc w:val="center"/>
      <w:rPr>
        <w:rFonts w:ascii="FrankRuehl" w:hAnsi="FrankRuehl" w:cs="FrankRuehl"/>
        <w:color w:val="000000"/>
      </w:rPr>
    </w:pPr>
    <w:r w:rsidRPr="000E0E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3EA1C" w14:textId="77777777" w:rsidR="000E0EDD" w:rsidRDefault="000E0EDD" w:rsidP="000E0ED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75DC0">
      <w:rPr>
        <w:rFonts w:ascii="FrankRuehl" w:hAnsi="FrankRuehl" w:cs="FrankRuehl"/>
        <w:noProof/>
        <w:rtl/>
      </w:rPr>
      <w:t>1</w:t>
    </w:r>
    <w:r>
      <w:rPr>
        <w:rFonts w:ascii="FrankRuehl" w:hAnsi="FrankRuehl" w:cs="FrankRuehl"/>
        <w:rtl/>
      </w:rPr>
      <w:fldChar w:fldCharType="end"/>
    </w:r>
  </w:p>
  <w:p w14:paraId="6B28F9DA" w14:textId="77777777" w:rsidR="00934A90" w:rsidRPr="000E0EDD" w:rsidRDefault="000E0EDD" w:rsidP="000E0EDD">
    <w:pPr>
      <w:pStyle w:val="a5"/>
      <w:pBdr>
        <w:top w:val="single" w:sz="4" w:space="1" w:color="auto"/>
        <w:between w:val="single" w:sz="4" w:space="0" w:color="auto"/>
      </w:pBdr>
      <w:spacing w:after="60"/>
      <w:jc w:val="center"/>
      <w:rPr>
        <w:rFonts w:ascii="FrankRuehl" w:hAnsi="FrankRuehl" w:cs="FrankRuehl"/>
        <w:color w:val="000000"/>
      </w:rPr>
    </w:pPr>
    <w:r w:rsidRPr="000E0EDD">
      <w:rPr>
        <w:rFonts w:ascii="FrankRuehl" w:hAnsi="FrankRuehl" w:cs="FrankRuehl"/>
        <w:color w:val="000000"/>
      </w:rPr>
      <w:pict w14:anchorId="3A387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3F135" w14:textId="77777777" w:rsidR="006172C6" w:rsidRDefault="006172C6" w:rsidP="00054A36">
      <w:r>
        <w:separator/>
      </w:r>
    </w:p>
  </w:footnote>
  <w:footnote w:type="continuationSeparator" w:id="0">
    <w:p w14:paraId="45EA4A7B" w14:textId="77777777" w:rsidR="006172C6" w:rsidRDefault="006172C6" w:rsidP="00054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86936" w14:textId="77777777" w:rsidR="0047431A" w:rsidRPr="000E0EDD" w:rsidRDefault="000E0EDD" w:rsidP="000E0E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522-05-17</w:t>
    </w:r>
    <w:r>
      <w:rPr>
        <w:rFonts w:ascii="David" w:hAnsi="David"/>
        <w:color w:val="000000"/>
        <w:sz w:val="22"/>
        <w:szCs w:val="22"/>
        <w:rtl/>
      </w:rPr>
      <w:tab/>
      <w:t xml:space="preserve"> מדינת ישראל נ' רביע חוסין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AFD05" w14:textId="77777777" w:rsidR="0047431A" w:rsidRPr="000E0EDD" w:rsidRDefault="000E0EDD" w:rsidP="000E0E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522-05-17</w:t>
    </w:r>
    <w:r>
      <w:rPr>
        <w:rFonts w:ascii="David" w:hAnsi="David"/>
        <w:color w:val="000000"/>
        <w:sz w:val="22"/>
        <w:szCs w:val="22"/>
        <w:rtl/>
      </w:rPr>
      <w:tab/>
      <w:t xml:space="preserve"> מדינת ישראל נ' רביע חוסין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401E"/>
    <w:rsid w:val="00054A36"/>
    <w:rsid w:val="0009401E"/>
    <w:rsid w:val="000E0EDD"/>
    <w:rsid w:val="002D7B2F"/>
    <w:rsid w:val="00375DC0"/>
    <w:rsid w:val="0038267B"/>
    <w:rsid w:val="0047431A"/>
    <w:rsid w:val="006172C6"/>
    <w:rsid w:val="008E6719"/>
    <w:rsid w:val="00934A90"/>
    <w:rsid w:val="009518D0"/>
    <w:rsid w:val="00BA16A0"/>
    <w:rsid w:val="00F61B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18A2426"/>
  <w15:chartTrackingRefBased/>
  <w15:docId w15:val="{E140568A-59F8-4404-91B9-F5569AC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401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401E"/>
    <w:pPr>
      <w:tabs>
        <w:tab w:val="center" w:pos="4153"/>
        <w:tab w:val="right" w:pos="8306"/>
      </w:tabs>
    </w:pPr>
  </w:style>
  <w:style w:type="character" w:customStyle="1" w:styleId="a4">
    <w:name w:val="כותרת עליונה תו"/>
    <w:link w:val="a3"/>
    <w:rsid w:val="0009401E"/>
    <w:rPr>
      <w:rFonts w:ascii="Times New Roman" w:eastAsia="Times New Roman" w:hAnsi="Times New Roman" w:cs="David"/>
      <w:sz w:val="24"/>
      <w:szCs w:val="24"/>
    </w:rPr>
  </w:style>
  <w:style w:type="paragraph" w:styleId="a5">
    <w:name w:val="footer"/>
    <w:basedOn w:val="a"/>
    <w:link w:val="a6"/>
    <w:rsid w:val="0009401E"/>
    <w:pPr>
      <w:tabs>
        <w:tab w:val="center" w:pos="4153"/>
        <w:tab w:val="right" w:pos="8306"/>
      </w:tabs>
    </w:pPr>
  </w:style>
  <w:style w:type="character" w:customStyle="1" w:styleId="a6">
    <w:name w:val="כותרת תחתונה תו"/>
    <w:link w:val="a5"/>
    <w:rsid w:val="0009401E"/>
    <w:rPr>
      <w:rFonts w:ascii="Times New Roman" w:eastAsia="Times New Roman" w:hAnsi="Times New Roman" w:cs="David"/>
      <w:sz w:val="24"/>
      <w:szCs w:val="24"/>
    </w:rPr>
  </w:style>
  <w:style w:type="table" w:styleId="a7">
    <w:name w:val="Table Grid"/>
    <w:basedOn w:val="a1"/>
    <w:rsid w:val="0009401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401E"/>
  </w:style>
  <w:style w:type="paragraph" w:customStyle="1" w:styleId="12">
    <w:name w:val="רגיל + ‏12 נק'"/>
    <w:aliases w:val="מיושר לשני הצדדים,מרווח בין שורות:  שורה וחצי"/>
    <w:basedOn w:val="a"/>
    <w:rsid w:val="0009401E"/>
    <w:rPr>
      <w:b/>
      <w:bCs/>
      <w:u w:val="single"/>
    </w:rPr>
  </w:style>
  <w:style w:type="character" w:customStyle="1" w:styleId="TimesNewRomanTimesNewRoman">
    <w:name w:val="סגנון (לטיני) Times New Roman (עברית ושפות אחרות) Times New Roman..."/>
    <w:rsid w:val="0009401E"/>
    <w:rPr>
      <w:rFonts w:ascii="Times New Roman" w:hAnsi="Times New Roman" w:cs="David" w:hint="default"/>
      <w:b/>
      <w:bCs/>
      <w:sz w:val="26"/>
      <w:szCs w:val="26"/>
    </w:rPr>
  </w:style>
  <w:style w:type="paragraph" w:styleId="a9">
    <w:name w:val="No Spacing"/>
    <w:qFormat/>
    <w:rsid w:val="0009401E"/>
    <w:pPr>
      <w:bidi/>
    </w:pPr>
    <w:rPr>
      <w:sz w:val="22"/>
      <w:szCs w:val="22"/>
    </w:rPr>
  </w:style>
  <w:style w:type="character" w:styleId="Hyperlink">
    <w:name w:val="Hyperlink"/>
    <w:rsid w:val="0009401E"/>
    <w:rPr>
      <w:color w:val="0000FF"/>
      <w:u w:val="single"/>
    </w:rPr>
  </w:style>
  <w:style w:type="character" w:customStyle="1" w:styleId="QuoteChar">
    <w:name w:val="Quote Char"/>
    <w:link w:val="1"/>
    <w:locked/>
    <w:rsid w:val="0009401E"/>
    <w:rPr>
      <w:rFonts w:ascii="Calibri" w:eastAsia="Calibri" w:hAnsi="Calibri" w:cs="David"/>
      <w:i/>
      <w:szCs w:val="24"/>
    </w:rPr>
  </w:style>
  <w:style w:type="paragraph" w:customStyle="1" w:styleId="1">
    <w:name w:val="ציטוט1"/>
    <w:basedOn w:val="a"/>
    <w:next w:val="a"/>
    <w:link w:val="QuoteChar"/>
    <w:rsid w:val="0009401E"/>
    <w:pPr>
      <w:spacing w:line="360" w:lineRule="auto"/>
      <w:ind w:left="1134" w:right="1134"/>
      <w:jc w:val="both"/>
    </w:pPr>
    <w:rPr>
      <w:rFonts w:ascii="Calibri" w:eastAsia="Calibri" w:hAnsi="Calibri"/>
      <w:i/>
      <w:sz w:val="22"/>
    </w:rPr>
  </w:style>
  <w:style w:type="paragraph" w:styleId="aa">
    <w:name w:val="Quote"/>
    <w:basedOn w:val="a"/>
    <w:next w:val="a"/>
    <w:link w:val="ab"/>
    <w:qFormat/>
    <w:rsid w:val="0009401E"/>
    <w:pPr>
      <w:tabs>
        <w:tab w:val="left" w:pos="567"/>
        <w:tab w:val="left" w:pos="1134"/>
        <w:tab w:val="left" w:pos="1701"/>
      </w:tabs>
      <w:spacing w:line="360" w:lineRule="auto"/>
      <w:ind w:left="1418" w:right="1418"/>
      <w:jc w:val="both"/>
    </w:pPr>
    <w:rPr>
      <w:rFonts w:ascii="Calibri" w:eastAsia="Calibri" w:hAnsi="Calibri"/>
      <w:i/>
    </w:rPr>
  </w:style>
  <w:style w:type="character" w:customStyle="1" w:styleId="ab">
    <w:name w:val="ציטוט תו"/>
    <w:link w:val="aa"/>
    <w:rsid w:val="0009401E"/>
    <w:rPr>
      <w:rFonts w:cs="David"/>
      <w:i/>
      <w:sz w:val="24"/>
      <w:szCs w:val="24"/>
    </w:rPr>
  </w:style>
  <w:style w:type="character" w:styleId="ac">
    <w:name w:val="Unresolved Mention"/>
    <w:rsid w:val="004743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6950458" TargetMode="External"/><Relationship Id="rId47" Type="http://schemas.openxmlformats.org/officeDocument/2006/relationships/hyperlink" Target="http://www.nevo.co.il/case/6034921" TargetMode="External"/><Relationship Id="rId63" Type="http://schemas.openxmlformats.org/officeDocument/2006/relationships/hyperlink" Target="http://www.nevo.co.il/case/22579208" TargetMode="External"/><Relationship Id="rId68"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144.a" TargetMode="External"/><Relationship Id="rId29" Type="http://schemas.openxmlformats.org/officeDocument/2006/relationships/hyperlink" Target="http://www.nevo.co.il/law/70301/3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958246"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821328" TargetMode="External"/><Relationship Id="rId45" Type="http://schemas.openxmlformats.org/officeDocument/2006/relationships/hyperlink" Target="http://www.nevo.co.il/case/20395125" TargetMode="External"/><Relationship Id="rId53" Type="http://schemas.openxmlformats.org/officeDocument/2006/relationships/hyperlink" Target="http://www.nevo.co.il/case/5699080" TargetMode="External"/><Relationship Id="rId58" Type="http://schemas.openxmlformats.org/officeDocument/2006/relationships/hyperlink" Target="http://www.nevo.co.il/case/5580525" TargetMode="External"/><Relationship Id="rId66" Type="http://schemas.openxmlformats.org/officeDocument/2006/relationships/hyperlink" Target="http://www.nevo.co.il/case/20683396" TargetMode="External"/><Relationship Id="rId5" Type="http://schemas.openxmlformats.org/officeDocument/2006/relationships/endnotes" Target="endnotes.xml"/><Relationship Id="rId61" Type="http://schemas.openxmlformats.org/officeDocument/2006/relationships/hyperlink" Target="http://www.nevo.co.il/case/21472788"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144.b2.;144.c" TargetMode="External"/><Relationship Id="rId22" Type="http://schemas.openxmlformats.org/officeDocument/2006/relationships/hyperlink" Target="http://www.nevo.co.il/law/70301/144.a"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5716796" TargetMode="External"/><Relationship Id="rId48" Type="http://schemas.openxmlformats.org/officeDocument/2006/relationships/hyperlink" Target="http://www.nevo.co.il/case/5821327" TargetMode="External"/><Relationship Id="rId56" Type="http://schemas.openxmlformats.org/officeDocument/2006/relationships/hyperlink" Target="http://www.nevo.co.il/case/20531134" TargetMode="External"/><Relationship Id="rId64" Type="http://schemas.openxmlformats.org/officeDocument/2006/relationships/hyperlink" Target="http://www.nevo.co.il/case/5933664" TargetMode="External"/><Relationship Id="rId69"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hyperlink" Target="http://www.nevo.co.il/case/5821327"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nevo.co.il/law/70301/144.c" TargetMode="External"/><Relationship Id="rId17" Type="http://schemas.openxmlformats.org/officeDocument/2006/relationships/hyperlink" Target="http://www.nevo.co.il/law/70301/144.b2.;144.c" TargetMode="External"/><Relationship Id="rId25" Type="http://schemas.openxmlformats.org/officeDocument/2006/relationships/hyperlink" Target="http://www.nevo.co.il/law/70301/144.b2.;144.c" TargetMode="External"/><Relationship Id="rId33" Type="http://schemas.openxmlformats.org/officeDocument/2006/relationships/hyperlink" Target="http://www.nevo.co.il/case/20033641" TargetMode="External"/><Relationship Id="rId38" Type="http://schemas.openxmlformats.org/officeDocument/2006/relationships/hyperlink" Target="http://www.nevo.co.il/case/6151556" TargetMode="External"/><Relationship Id="rId46" Type="http://schemas.openxmlformats.org/officeDocument/2006/relationships/hyperlink" Target="http://www.nevo.co.il/case/17948130" TargetMode="External"/><Relationship Id="rId59" Type="http://schemas.openxmlformats.org/officeDocument/2006/relationships/hyperlink" Target="http://www.nevo.co.il/case/2539256" TargetMode="External"/><Relationship Id="rId67" Type="http://schemas.openxmlformats.org/officeDocument/2006/relationships/hyperlink" Target="http://www.nevo.co.il/advertisements/nevo-100.doc" TargetMode="External"/><Relationship Id="rId20" Type="http://schemas.openxmlformats.org/officeDocument/2006/relationships/hyperlink" Target="http://www.nevo.co.il/law/70301/144.b2.;14.c" TargetMode="External"/><Relationship Id="rId41" Type="http://schemas.openxmlformats.org/officeDocument/2006/relationships/hyperlink" Target="http://www.nevo.co.il/case/5878682" TargetMode="External"/><Relationship Id="rId54" Type="http://schemas.openxmlformats.org/officeDocument/2006/relationships/hyperlink" Target="http://www.nevo.co.il/case/6054579" TargetMode="External"/><Relationship Id="rId62" Type="http://schemas.openxmlformats.org/officeDocument/2006/relationships/hyperlink" Target="http://www.nevo.co.il/case/22594422" TargetMode="External"/><Relationship Id="rId7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 TargetMode="External"/><Relationship Id="rId23" Type="http://schemas.openxmlformats.org/officeDocument/2006/relationships/hyperlink" Target="http://www.nevo.co.il/law/70301/144.a"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40c" TargetMode="External"/><Relationship Id="rId49" Type="http://schemas.openxmlformats.org/officeDocument/2006/relationships/hyperlink" Target="http://www.nevo.co.il/case/20455789" TargetMode="External"/><Relationship Id="rId57" Type="http://schemas.openxmlformats.org/officeDocument/2006/relationships/hyperlink" Target="http://www.nevo.co.il/case/2826742"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case/21472954" TargetMode="External"/><Relationship Id="rId52" Type="http://schemas.openxmlformats.org/officeDocument/2006/relationships/hyperlink" Target="http://www.nevo.co.il/case/6034921" TargetMode="External"/><Relationship Id="rId60" Type="http://schemas.openxmlformats.org/officeDocument/2006/relationships/hyperlink" Target="http://www.nevo.co.il/case/21474520" TargetMode="External"/><Relationship Id="rId65" Type="http://schemas.openxmlformats.org/officeDocument/2006/relationships/hyperlink" Target="http://www.nevo.co.il/case/13104267"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40c" TargetMode="External"/><Relationship Id="rId13" Type="http://schemas.openxmlformats.org/officeDocument/2006/relationships/hyperlink" Target="http://www.nevo.co.il/law/70301/40jc.a" TargetMode="External"/><Relationship Id="rId18" Type="http://schemas.openxmlformats.org/officeDocument/2006/relationships/hyperlink" Target="http://www.nevo.co.il/law/70301" TargetMode="External"/><Relationship Id="rId39" Type="http://schemas.openxmlformats.org/officeDocument/2006/relationships/hyperlink" Target="http://www.nevo.co.il/case/5821327" TargetMode="External"/><Relationship Id="rId34" Type="http://schemas.openxmlformats.org/officeDocument/2006/relationships/hyperlink" Target="http://www.nevo.co.il/law/70301/40jc.a" TargetMode="External"/><Relationship Id="rId50" Type="http://schemas.openxmlformats.org/officeDocument/2006/relationships/hyperlink" Target="http://www.nevo.co.il/case/5703734" TargetMode="External"/><Relationship Id="rId55" Type="http://schemas.openxmlformats.org/officeDocument/2006/relationships/hyperlink" Target="http://www.nevo.co.il/case/8471804" TargetMode="External"/><Relationship Id="rId7" Type="http://schemas.openxmlformats.org/officeDocument/2006/relationships/hyperlink" Target="http://www.nevo.co.il/law/70301/14.c" TargetMode="External"/><Relationship Id="rId7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4865</Words>
  <Characters>24326</Characters>
  <Application>Microsoft Office Word</Application>
  <DocSecurity>0</DocSecurity>
  <Lines>202</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29133</CharactersWithSpaces>
  <SharedDoc>false</SharedDoc>
  <HLinks>
    <vt:vector size="372" baseType="variant">
      <vt:variant>
        <vt:i4>393283</vt:i4>
      </vt:variant>
      <vt:variant>
        <vt:i4>183</vt:i4>
      </vt:variant>
      <vt:variant>
        <vt:i4>0</vt:i4>
      </vt:variant>
      <vt:variant>
        <vt:i4>5</vt:i4>
      </vt:variant>
      <vt:variant>
        <vt:lpwstr>http://www.nevo.co.il/advertisements/nevo-100.doc</vt:lpwstr>
      </vt:variant>
      <vt:variant>
        <vt:lpwstr/>
      </vt:variant>
      <vt:variant>
        <vt:i4>4063359</vt:i4>
      </vt:variant>
      <vt:variant>
        <vt:i4>180</vt:i4>
      </vt:variant>
      <vt:variant>
        <vt:i4>0</vt:i4>
      </vt:variant>
      <vt:variant>
        <vt:i4>5</vt:i4>
      </vt:variant>
      <vt:variant>
        <vt:lpwstr>http://www.nevo.co.il/case/20683396</vt:lpwstr>
      </vt:variant>
      <vt:variant>
        <vt:lpwstr/>
      </vt:variant>
      <vt:variant>
        <vt:i4>3276917</vt:i4>
      </vt:variant>
      <vt:variant>
        <vt:i4>177</vt:i4>
      </vt:variant>
      <vt:variant>
        <vt:i4>0</vt:i4>
      </vt:variant>
      <vt:variant>
        <vt:i4>5</vt:i4>
      </vt:variant>
      <vt:variant>
        <vt:lpwstr>http://www.nevo.co.il/case/13104267</vt:lpwstr>
      </vt:variant>
      <vt:variant>
        <vt:lpwstr/>
      </vt:variant>
      <vt:variant>
        <vt:i4>3407992</vt:i4>
      </vt:variant>
      <vt:variant>
        <vt:i4>174</vt:i4>
      </vt:variant>
      <vt:variant>
        <vt:i4>0</vt:i4>
      </vt:variant>
      <vt:variant>
        <vt:i4>5</vt:i4>
      </vt:variant>
      <vt:variant>
        <vt:lpwstr>http://www.nevo.co.il/case/5933664</vt:lpwstr>
      </vt:variant>
      <vt:variant>
        <vt:lpwstr/>
      </vt:variant>
      <vt:variant>
        <vt:i4>4063347</vt:i4>
      </vt:variant>
      <vt:variant>
        <vt:i4>171</vt:i4>
      </vt:variant>
      <vt:variant>
        <vt:i4>0</vt:i4>
      </vt:variant>
      <vt:variant>
        <vt:i4>5</vt:i4>
      </vt:variant>
      <vt:variant>
        <vt:lpwstr>http://www.nevo.co.il/case/22579208</vt:lpwstr>
      </vt:variant>
      <vt:variant>
        <vt:lpwstr/>
      </vt:variant>
      <vt:variant>
        <vt:i4>3211387</vt:i4>
      </vt:variant>
      <vt:variant>
        <vt:i4>168</vt:i4>
      </vt:variant>
      <vt:variant>
        <vt:i4>0</vt:i4>
      </vt:variant>
      <vt:variant>
        <vt:i4>5</vt:i4>
      </vt:variant>
      <vt:variant>
        <vt:lpwstr>http://www.nevo.co.il/case/22594422</vt:lpwstr>
      </vt:variant>
      <vt:variant>
        <vt:lpwstr/>
      </vt:variant>
      <vt:variant>
        <vt:i4>3932277</vt:i4>
      </vt:variant>
      <vt:variant>
        <vt:i4>165</vt:i4>
      </vt:variant>
      <vt:variant>
        <vt:i4>0</vt:i4>
      </vt:variant>
      <vt:variant>
        <vt:i4>5</vt:i4>
      </vt:variant>
      <vt:variant>
        <vt:lpwstr>http://www.nevo.co.il/case/21472788</vt:lpwstr>
      </vt:variant>
      <vt:variant>
        <vt:lpwstr/>
      </vt:variant>
      <vt:variant>
        <vt:i4>3145847</vt:i4>
      </vt:variant>
      <vt:variant>
        <vt:i4>162</vt:i4>
      </vt:variant>
      <vt:variant>
        <vt:i4>0</vt:i4>
      </vt:variant>
      <vt:variant>
        <vt:i4>5</vt:i4>
      </vt:variant>
      <vt:variant>
        <vt:lpwstr>http://www.nevo.co.il/case/21474520</vt:lpwstr>
      </vt:variant>
      <vt:variant>
        <vt:lpwstr/>
      </vt:variant>
      <vt:variant>
        <vt:i4>3473533</vt:i4>
      </vt:variant>
      <vt:variant>
        <vt:i4>159</vt:i4>
      </vt:variant>
      <vt:variant>
        <vt:i4>0</vt:i4>
      </vt:variant>
      <vt:variant>
        <vt:i4>5</vt:i4>
      </vt:variant>
      <vt:variant>
        <vt:lpwstr>http://www.nevo.co.il/case/2539256</vt:lpwstr>
      </vt:variant>
      <vt:variant>
        <vt:lpwstr/>
      </vt:variant>
      <vt:variant>
        <vt:i4>3997811</vt:i4>
      </vt:variant>
      <vt:variant>
        <vt:i4>156</vt:i4>
      </vt:variant>
      <vt:variant>
        <vt:i4>0</vt:i4>
      </vt:variant>
      <vt:variant>
        <vt:i4>5</vt:i4>
      </vt:variant>
      <vt:variant>
        <vt:lpwstr>http://www.nevo.co.il/case/5580525</vt:lpwstr>
      </vt:variant>
      <vt:variant>
        <vt:lpwstr/>
      </vt:variant>
      <vt:variant>
        <vt:i4>3473534</vt:i4>
      </vt:variant>
      <vt:variant>
        <vt:i4>153</vt:i4>
      </vt:variant>
      <vt:variant>
        <vt:i4>0</vt:i4>
      </vt:variant>
      <vt:variant>
        <vt:i4>5</vt:i4>
      </vt:variant>
      <vt:variant>
        <vt:lpwstr>http://www.nevo.co.il/case/2826742</vt:lpwstr>
      </vt:variant>
      <vt:variant>
        <vt:lpwstr/>
      </vt:variant>
      <vt:variant>
        <vt:i4>3473526</vt:i4>
      </vt:variant>
      <vt:variant>
        <vt:i4>150</vt:i4>
      </vt:variant>
      <vt:variant>
        <vt:i4>0</vt:i4>
      </vt:variant>
      <vt:variant>
        <vt:i4>5</vt:i4>
      </vt:variant>
      <vt:variant>
        <vt:lpwstr>http://www.nevo.co.il/case/20531134</vt:lpwstr>
      </vt:variant>
      <vt:variant>
        <vt:lpwstr/>
      </vt:variant>
      <vt:variant>
        <vt:i4>3342449</vt:i4>
      </vt:variant>
      <vt:variant>
        <vt:i4>147</vt:i4>
      </vt:variant>
      <vt:variant>
        <vt:i4>0</vt:i4>
      </vt:variant>
      <vt:variant>
        <vt:i4>5</vt:i4>
      </vt:variant>
      <vt:variant>
        <vt:lpwstr>http://www.nevo.co.il/case/8471804</vt:lpwstr>
      </vt:variant>
      <vt:variant>
        <vt:lpwstr/>
      </vt:variant>
      <vt:variant>
        <vt:i4>4128887</vt:i4>
      </vt:variant>
      <vt:variant>
        <vt:i4>144</vt:i4>
      </vt:variant>
      <vt:variant>
        <vt:i4>0</vt:i4>
      </vt:variant>
      <vt:variant>
        <vt:i4>5</vt:i4>
      </vt:variant>
      <vt:variant>
        <vt:lpwstr>http://www.nevo.co.il/case/6054579</vt:lpwstr>
      </vt:variant>
      <vt:variant>
        <vt:lpwstr/>
      </vt:variant>
      <vt:variant>
        <vt:i4>3932275</vt:i4>
      </vt:variant>
      <vt:variant>
        <vt:i4>141</vt:i4>
      </vt:variant>
      <vt:variant>
        <vt:i4>0</vt:i4>
      </vt:variant>
      <vt:variant>
        <vt:i4>5</vt:i4>
      </vt:variant>
      <vt:variant>
        <vt:lpwstr>http://www.nevo.co.il/case/5699080</vt:lpwstr>
      </vt:variant>
      <vt:variant>
        <vt:lpwstr/>
      </vt:variant>
      <vt:variant>
        <vt:i4>3997810</vt:i4>
      </vt:variant>
      <vt:variant>
        <vt:i4>138</vt:i4>
      </vt:variant>
      <vt:variant>
        <vt:i4>0</vt:i4>
      </vt:variant>
      <vt:variant>
        <vt:i4>5</vt:i4>
      </vt:variant>
      <vt:variant>
        <vt:lpwstr>http://www.nevo.co.il/case/6034921</vt:lpwstr>
      </vt:variant>
      <vt:variant>
        <vt:lpwstr/>
      </vt:variant>
      <vt:variant>
        <vt:i4>3342463</vt:i4>
      </vt:variant>
      <vt:variant>
        <vt:i4>135</vt:i4>
      </vt:variant>
      <vt:variant>
        <vt:i4>0</vt:i4>
      </vt:variant>
      <vt:variant>
        <vt:i4>5</vt:i4>
      </vt:variant>
      <vt:variant>
        <vt:lpwstr>http://www.nevo.co.il/case/5821327</vt:lpwstr>
      </vt:variant>
      <vt:variant>
        <vt:lpwstr/>
      </vt:variant>
      <vt:variant>
        <vt:i4>3539059</vt:i4>
      </vt:variant>
      <vt:variant>
        <vt:i4>132</vt:i4>
      </vt:variant>
      <vt:variant>
        <vt:i4>0</vt:i4>
      </vt:variant>
      <vt:variant>
        <vt:i4>5</vt:i4>
      </vt:variant>
      <vt:variant>
        <vt:lpwstr>http://www.nevo.co.il/case/5703734</vt:lpwstr>
      </vt:variant>
      <vt:variant>
        <vt:lpwstr/>
      </vt:variant>
      <vt:variant>
        <vt:i4>3866742</vt:i4>
      </vt:variant>
      <vt:variant>
        <vt:i4>129</vt:i4>
      </vt:variant>
      <vt:variant>
        <vt:i4>0</vt:i4>
      </vt:variant>
      <vt:variant>
        <vt:i4>5</vt:i4>
      </vt:variant>
      <vt:variant>
        <vt:lpwstr>http://www.nevo.co.il/case/20455789</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3997810</vt:i4>
      </vt:variant>
      <vt:variant>
        <vt:i4>123</vt:i4>
      </vt:variant>
      <vt:variant>
        <vt:i4>0</vt:i4>
      </vt:variant>
      <vt:variant>
        <vt:i4>5</vt:i4>
      </vt:variant>
      <vt:variant>
        <vt:lpwstr>http://www.nevo.co.il/case/6034921</vt:lpwstr>
      </vt:variant>
      <vt:variant>
        <vt:lpwstr/>
      </vt:variant>
      <vt:variant>
        <vt:i4>3342454</vt:i4>
      </vt:variant>
      <vt:variant>
        <vt:i4>120</vt:i4>
      </vt:variant>
      <vt:variant>
        <vt:i4>0</vt:i4>
      </vt:variant>
      <vt:variant>
        <vt:i4>5</vt:i4>
      </vt:variant>
      <vt:variant>
        <vt:lpwstr>http://www.nevo.co.il/case/17948130</vt:lpwstr>
      </vt:variant>
      <vt:variant>
        <vt:lpwstr/>
      </vt:variant>
      <vt:variant>
        <vt:i4>3539068</vt:i4>
      </vt:variant>
      <vt:variant>
        <vt:i4>117</vt:i4>
      </vt:variant>
      <vt:variant>
        <vt:i4>0</vt:i4>
      </vt:variant>
      <vt:variant>
        <vt:i4>5</vt:i4>
      </vt:variant>
      <vt:variant>
        <vt:lpwstr>http://www.nevo.co.il/case/20395125</vt:lpwstr>
      </vt:variant>
      <vt:variant>
        <vt:lpwstr/>
      </vt:variant>
      <vt:variant>
        <vt:i4>3211387</vt:i4>
      </vt:variant>
      <vt:variant>
        <vt:i4>114</vt:i4>
      </vt:variant>
      <vt:variant>
        <vt:i4>0</vt:i4>
      </vt:variant>
      <vt:variant>
        <vt:i4>5</vt:i4>
      </vt:variant>
      <vt:variant>
        <vt:lpwstr>http://www.nevo.co.il/case/21472954</vt:lpwstr>
      </vt:variant>
      <vt:variant>
        <vt:lpwstr/>
      </vt:variant>
      <vt:variant>
        <vt:i4>3473532</vt:i4>
      </vt:variant>
      <vt:variant>
        <vt:i4>111</vt:i4>
      </vt:variant>
      <vt:variant>
        <vt:i4>0</vt:i4>
      </vt:variant>
      <vt:variant>
        <vt:i4>5</vt:i4>
      </vt:variant>
      <vt:variant>
        <vt:lpwstr>http://www.nevo.co.il/case/5716796</vt:lpwstr>
      </vt:variant>
      <vt:variant>
        <vt:lpwstr/>
      </vt:variant>
      <vt:variant>
        <vt:i4>4128888</vt:i4>
      </vt:variant>
      <vt:variant>
        <vt:i4>108</vt:i4>
      </vt:variant>
      <vt:variant>
        <vt:i4>0</vt:i4>
      </vt:variant>
      <vt:variant>
        <vt:i4>5</vt:i4>
      </vt:variant>
      <vt:variant>
        <vt:lpwstr>http://www.nevo.co.il/case/6950458</vt:lpwstr>
      </vt:variant>
      <vt:variant>
        <vt:lpwstr/>
      </vt:variant>
      <vt:variant>
        <vt:i4>3539068</vt:i4>
      </vt:variant>
      <vt:variant>
        <vt:i4>105</vt:i4>
      </vt:variant>
      <vt:variant>
        <vt:i4>0</vt:i4>
      </vt:variant>
      <vt:variant>
        <vt:i4>5</vt:i4>
      </vt:variant>
      <vt:variant>
        <vt:lpwstr>http://www.nevo.co.il/case/5878682</vt:lpwstr>
      </vt:variant>
      <vt:variant>
        <vt:lpwstr/>
      </vt:variant>
      <vt:variant>
        <vt:i4>3932287</vt:i4>
      </vt:variant>
      <vt:variant>
        <vt:i4>102</vt:i4>
      </vt:variant>
      <vt:variant>
        <vt:i4>0</vt:i4>
      </vt:variant>
      <vt:variant>
        <vt:i4>5</vt:i4>
      </vt:variant>
      <vt:variant>
        <vt:lpwstr>http://www.nevo.co.il/case/5821328</vt:lpwstr>
      </vt:variant>
      <vt:variant>
        <vt:lpwstr/>
      </vt:variant>
      <vt:variant>
        <vt:i4>3342463</vt:i4>
      </vt:variant>
      <vt:variant>
        <vt:i4>99</vt:i4>
      </vt:variant>
      <vt:variant>
        <vt:i4>0</vt:i4>
      </vt:variant>
      <vt:variant>
        <vt:i4>5</vt:i4>
      </vt:variant>
      <vt:variant>
        <vt:lpwstr>http://www.nevo.co.il/case/5821327</vt:lpwstr>
      </vt:variant>
      <vt:variant>
        <vt:lpwstr/>
      </vt:variant>
      <vt:variant>
        <vt:i4>3145841</vt:i4>
      </vt:variant>
      <vt:variant>
        <vt:i4>96</vt:i4>
      </vt:variant>
      <vt:variant>
        <vt:i4>0</vt:i4>
      </vt:variant>
      <vt:variant>
        <vt:i4>5</vt:i4>
      </vt:variant>
      <vt:variant>
        <vt:lpwstr>http://www.nevo.co.il/case/6151556</vt:lpwstr>
      </vt:variant>
      <vt:variant>
        <vt:lpwstr/>
      </vt:variant>
      <vt:variant>
        <vt:i4>7995492</vt:i4>
      </vt:variant>
      <vt:variant>
        <vt:i4>93</vt:i4>
      </vt:variant>
      <vt:variant>
        <vt:i4>0</vt:i4>
      </vt:variant>
      <vt:variant>
        <vt:i4>5</vt:i4>
      </vt:variant>
      <vt:variant>
        <vt:lpwstr>http://www.nevo.co.il/law/70301</vt:lpwstr>
      </vt:variant>
      <vt:variant>
        <vt:lpwstr/>
      </vt:variant>
      <vt:variant>
        <vt:i4>6619233</vt:i4>
      </vt:variant>
      <vt:variant>
        <vt:i4>90</vt:i4>
      </vt:variant>
      <vt:variant>
        <vt:i4>0</vt:i4>
      </vt:variant>
      <vt:variant>
        <vt:i4>5</vt:i4>
      </vt:variant>
      <vt:variant>
        <vt:lpwstr>http://www.nevo.co.il/law/70301/40c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6750245</vt:i4>
      </vt:variant>
      <vt:variant>
        <vt:i4>84</vt:i4>
      </vt:variant>
      <vt:variant>
        <vt:i4>0</vt:i4>
      </vt:variant>
      <vt:variant>
        <vt:i4>5</vt:i4>
      </vt:variant>
      <vt:variant>
        <vt:lpwstr>http://www.nevo.co.il/law/70301/40jc.a</vt:lpwstr>
      </vt:variant>
      <vt:variant>
        <vt:lpwstr/>
      </vt:variant>
      <vt:variant>
        <vt:i4>3473521</vt:i4>
      </vt:variant>
      <vt:variant>
        <vt:i4>81</vt:i4>
      </vt:variant>
      <vt:variant>
        <vt:i4>0</vt:i4>
      </vt:variant>
      <vt:variant>
        <vt:i4>5</vt:i4>
      </vt:variant>
      <vt:variant>
        <vt:lpwstr>http://www.nevo.co.il/case/20033641</vt:lpwstr>
      </vt:variant>
      <vt:variant>
        <vt:lpwstr/>
      </vt:variant>
      <vt:variant>
        <vt:i4>3539057</vt:i4>
      </vt:variant>
      <vt:variant>
        <vt:i4>78</vt:i4>
      </vt:variant>
      <vt:variant>
        <vt:i4>0</vt:i4>
      </vt:variant>
      <vt:variant>
        <vt:i4>5</vt:i4>
      </vt:variant>
      <vt:variant>
        <vt:lpwstr>http://www.nevo.co.il/case/7958246</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6553702</vt:i4>
      </vt:variant>
      <vt:variant>
        <vt:i4>69</vt:i4>
      </vt:variant>
      <vt:variant>
        <vt:i4>0</vt:i4>
      </vt:variant>
      <vt:variant>
        <vt:i4>5</vt:i4>
      </vt:variant>
      <vt:variant>
        <vt:lpwstr>http://www.nevo.co.il/law/70301/31</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5177424</vt:i4>
      </vt:variant>
      <vt:variant>
        <vt:i4>63</vt:i4>
      </vt:variant>
      <vt:variant>
        <vt:i4>0</vt:i4>
      </vt:variant>
      <vt:variant>
        <vt:i4>5</vt:i4>
      </vt:variant>
      <vt:variant>
        <vt:lpwstr>http://www.nevo.co.il/law/70301/144.a</vt:lpwstr>
      </vt:variant>
      <vt:variant>
        <vt:lpwstr/>
      </vt:variant>
      <vt:variant>
        <vt:i4>7995492</vt:i4>
      </vt:variant>
      <vt:variant>
        <vt:i4>60</vt:i4>
      </vt:variant>
      <vt:variant>
        <vt:i4>0</vt:i4>
      </vt:variant>
      <vt:variant>
        <vt:i4>5</vt:i4>
      </vt:variant>
      <vt:variant>
        <vt:lpwstr>http://www.nevo.co.il/law/70301</vt:lpwstr>
      </vt:variant>
      <vt:variant>
        <vt:lpwstr/>
      </vt:variant>
      <vt:variant>
        <vt:i4>6029337</vt:i4>
      </vt:variant>
      <vt:variant>
        <vt:i4>57</vt:i4>
      </vt:variant>
      <vt:variant>
        <vt:i4>0</vt:i4>
      </vt:variant>
      <vt:variant>
        <vt:i4>5</vt:i4>
      </vt:variant>
      <vt:variant>
        <vt:lpwstr>http://www.nevo.co.il/law/70301/144.b2.;144.c</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http://www.nevo.co.il/law/70301/144.a</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1114115</vt:i4>
      </vt:variant>
      <vt:variant>
        <vt:i4>42</vt:i4>
      </vt:variant>
      <vt:variant>
        <vt:i4>0</vt:i4>
      </vt:variant>
      <vt:variant>
        <vt:i4>5</vt:i4>
      </vt:variant>
      <vt:variant>
        <vt:lpwstr>http://www.nevo.co.il/law/70301/144.b2.;14.c</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6029337</vt:i4>
      </vt:variant>
      <vt:variant>
        <vt:i4>33</vt:i4>
      </vt:variant>
      <vt:variant>
        <vt:i4>0</vt:i4>
      </vt:variant>
      <vt:variant>
        <vt:i4>5</vt:i4>
      </vt:variant>
      <vt:variant>
        <vt:lpwstr>http://www.nevo.co.il/law/70301/144.b2.;144.c</vt:lpwstr>
      </vt:variant>
      <vt:variant>
        <vt:lpwstr/>
      </vt:variant>
      <vt:variant>
        <vt:i4>5177424</vt:i4>
      </vt:variant>
      <vt:variant>
        <vt:i4>30</vt:i4>
      </vt:variant>
      <vt:variant>
        <vt:i4>0</vt:i4>
      </vt:variant>
      <vt:variant>
        <vt:i4>5</vt:i4>
      </vt:variant>
      <vt:variant>
        <vt:lpwstr>http://www.nevo.co.il/law/70301/144.a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6029337</vt:i4>
      </vt:variant>
      <vt:variant>
        <vt:i4>24</vt:i4>
      </vt:variant>
      <vt:variant>
        <vt:i4>0</vt:i4>
      </vt:variant>
      <vt:variant>
        <vt:i4>5</vt:i4>
      </vt:variant>
      <vt:variant>
        <vt:lpwstr>http://www.nevo.co.il/law/70301/144.b2.;144.c</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5177424</vt:i4>
      </vt:variant>
      <vt:variant>
        <vt:i4>18</vt:i4>
      </vt:variant>
      <vt:variant>
        <vt:i4>0</vt:i4>
      </vt:variant>
      <vt:variant>
        <vt:i4>5</vt:i4>
      </vt:variant>
      <vt:variant>
        <vt:lpwstr>http://www.nevo.co.il/law/70301/144.c</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6553702</vt:i4>
      </vt:variant>
      <vt:variant>
        <vt:i4>6</vt:i4>
      </vt:variant>
      <vt:variant>
        <vt:i4>0</vt:i4>
      </vt:variant>
      <vt:variant>
        <vt:i4>5</vt:i4>
      </vt:variant>
      <vt:variant>
        <vt:lpwstr>http://www.nevo.co.il/law/70301/31</vt:lpwstr>
      </vt:variant>
      <vt:variant>
        <vt:lpwstr/>
      </vt:variant>
      <vt:variant>
        <vt:i4>131146</vt:i4>
      </vt:variant>
      <vt:variant>
        <vt:i4>3</vt:i4>
      </vt:variant>
      <vt:variant>
        <vt:i4>0</vt:i4>
      </vt:variant>
      <vt:variant>
        <vt:i4>5</vt:i4>
      </vt:variant>
      <vt:variant>
        <vt:lpwstr>http://www.nevo.co.il/law/70301/14.c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2025-01-19T16:16:00Z</dcterms:created>
  <dcterms:modified xsi:type="dcterms:W3CDTF">2025-01-19T16:16:00Z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רביע חוסין </vt:lpwstr>
  </property>
  <property fmtid="{D5CDD505-2E9C-101B-9397-08002B2CF9AE}" pid="10" name="LAWYER">
    <vt:lpwstr>עינב איטסקו;דוניא נעאמנה</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20180503</vt:lpwstr>
  </property>
  <property fmtid="{D5CDD505-2E9C-101B-9397-08002B2CF9AE}" pid="14" name="TYPE_N_DATE">
    <vt:lpwstr>39020180503</vt:lpwstr>
  </property>
  <property fmtid="{D5CDD505-2E9C-101B-9397-08002B2CF9AE}" pid="15" name="WORDNUMPAGES">
    <vt:lpwstr>14</vt:lpwstr>
  </property>
  <property fmtid="{D5CDD505-2E9C-101B-9397-08002B2CF9AE}" pid="16" name="TYPE_ABS_DATE">
    <vt:lpwstr>390020180503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13093721;7958246;20033641;6151556;5821327:3;5821328;5878682;6950458;5716796;21472954;20395125;17948130;6034921:2;20455789;5703734;5699080;6054579;8471804;20531134;2826742;5580525;2539256;21474520;21472788;22594422;22579208;5933664;13104267;20683396</vt:lpwstr>
  </property>
  <property fmtid="{D5CDD505-2E9C-101B-9397-08002B2CF9AE}" pid="36" name="LAWLISTTMP1">
    <vt:lpwstr>70301/144.b2:4;144.c:3;144.a:6;014.c;031;40jc.a;040c</vt:lpwstr>
  </property>
</Properties>
</file>