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F83313" w:rsidRPr="008130E1" w14:paraId="7BA81321" w14:textId="77777777" w:rsidTr="00345B5F">
        <w:trPr>
          <w:trHeight w:hRule="exact" w:val="851"/>
          <w:jc w:val="center"/>
        </w:trPr>
        <w:tc>
          <w:tcPr>
            <w:tcW w:w="8721" w:type="dxa"/>
            <w:gridSpan w:val="2"/>
          </w:tcPr>
          <w:p w14:paraId="34B6FB69" w14:textId="77777777" w:rsidR="00F83313" w:rsidRPr="008130E1" w:rsidRDefault="00F83313" w:rsidP="00965C77">
            <w:pPr>
              <w:pStyle w:val="a3"/>
              <w:jc w:val="center"/>
              <w:rPr>
                <w:rFonts w:ascii="Tahoma" w:hAnsi="Tahoma" w:cs="Tahoma"/>
                <w:b/>
                <w:bCs/>
                <w:color w:val="000080"/>
                <w:rtl/>
              </w:rPr>
            </w:pPr>
            <w:bookmarkStart w:id="0" w:name="LastJudge"/>
            <w:r w:rsidRPr="008130E1">
              <w:rPr>
                <w:rFonts w:ascii="Tahoma" w:hAnsi="Tahoma" w:cs="Tahoma"/>
                <w:b/>
                <w:bCs/>
                <w:color w:val="000080"/>
                <w:rtl/>
              </w:rPr>
              <w:t>בית המשפט המחוזי בירושלים</w:t>
            </w:r>
          </w:p>
          <w:p w14:paraId="6AD7BB2A" w14:textId="77777777" w:rsidR="00F83313" w:rsidRPr="008130E1" w:rsidRDefault="00F83313" w:rsidP="00965C77">
            <w:pPr>
              <w:pStyle w:val="a3"/>
              <w:jc w:val="center"/>
              <w:rPr>
                <w:b/>
                <w:bCs/>
                <w:sz w:val="28"/>
                <w:szCs w:val="28"/>
                <w:rtl/>
              </w:rPr>
            </w:pPr>
            <w:r w:rsidRPr="008130E1">
              <w:rPr>
                <w:rFonts w:hint="cs"/>
                <w:b/>
                <w:bCs/>
                <w:sz w:val="28"/>
                <w:szCs w:val="28"/>
                <w:rtl/>
              </w:rPr>
              <w:t xml:space="preserve">לפני כב' השופט דניאל טפרברג </w:t>
            </w:r>
          </w:p>
          <w:p w14:paraId="71343A28" w14:textId="77777777" w:rsidR="00F83313" w:rsidRPr="008130E1" w:rsidRDefault="00F83313" w:rsidP="00965C77">
            <w:pPr>
              <w:pStyle w:val="a3"/>
              <w:jc w:val="center"/>
              <w:rPr>
                <w:rFonts w:ascii="Tahoma" w:hAnsi="Tahoma" w:cs="Tahoma"/>
                <w:color w:val="000080"/>
                <w:rtl/>
              </w:rPr>
            </w:pPr>
          </w:p>
        </w:tc>
      </w:tr>
      <w:tr w:rsidR="00F83313" w:rsidRPr="008130E1" w14:paraId="0E762208" w14:textId="77777777" w:rsidTr="00345B5F">
        <w:trPr>
          <w:trHeight w:val="337"/>
          <w:jc w:val="center"/>
        </w:trPr>
        <w:tc>
          <w:tcPr>
            <w:tcW w:w="5056" w:type="dxa"/>
          </w:tcPr>
          <w:p w14:paraId="79F2C9E7" w14:textId="77777777" w:rsidR="00F83313" w:rsidRPr="008130E1" w:rsidRDefault="00F83313" w:rsidP="00965C77">
            <w:pPr>
              <w:rPr>
                <w:rFonts w:cs="FrankRuehl"/>
                <w:sz w:val="28"/>
                <w:szCs w:val="28"/>
                <w:rtl/>
              </w:rPr>
            </w:pPr>
            <w:r w:rsidRPr="008130E1">
              <w:rPr>
                <w:rFonts w:cs="FrankRuehl"/>
                <w:sz w:val="28"/>
                <w:szCs w:val="28"/>
                <w:rtl/>
              </w:rPr>
              <w:t>ת"פ</w:t>
            </w:r>
            <w:r w:rsidRPr="008130E1">
              <w:rPr>
                <w:rFonts w:cs="FrankRuehl" w:hint="cs"/>
                <w:sz w:val="28"/>
                <w:szCs w:val="28"/>
                <w:rtl/>
              </w:rPr>
              <w:t xml:space="preserve"> </w:t>
            </w:r>
            <w:r w:rsidRPr="008130E1">
              <w:rPr>
                <w:rFonts w:cs="FrankRuehl"/>
                <w:sz w:val="28"/>
                <w:szCs w:val="28"/>
                <w:rtl/>
              </w:rPr>
              <w:t>57628-05-17</w:t>
            </w:r>
            <w:r w:rsidRPr="008130E1">
              <w:rPr>
                <w:rFonts w:cs="FrankRuehl" w:hint="cs"/>
                <w:sz w:val="28"/>
                <w:szCs w:val="28"/>
                <w:rtl/>
              </w:rPr>
              <w:t xml:space="preserve"> </w:t>
            </w:r>
            <w:r w:rsidRPr="008130E1">
              <w:rPr>
                <w:rFonts w:cs="FrankRuehl"/>
                <w:sz w:val="28"/>
                <w:szCs w:val="28"/>
                <w:rtl/>
              </w:rPr>
              <w:t>מדינת ישראל נ' עבדאללה</w:t>
            </w:r>
          </w:p>
          <w:p w14:paraId="723898ED" w14:textId="77777777" w:rsidR="00F83313" w:rsidRPr="008130E1" w:rsidRDefault="00F83313" w:rsidP="00965C77">
            <w:pPr>
              <w:pStyle w:val="a3"/>
              <w:rPr>
                <w:rFonts w:cs="FrankRuehl"/>
                <w:sz w:val="28"/>
                <w:szCs w:val="28"/>
                <w:rtl/>
              </w:rPr>
            </w:pPr>
          </w:p>
        </w:tc>
        <w:tc>
          <w:tcPr>
            <w:tcW w:w="3665" w:type="dxa"/>
          </w:tcPr>
          <w:p w14:paraId="004FBF9A" w14:textId="77777777" w:rsidR="00F83313" w:rsidRPr="008130E1" w:rsidRDefault="00F83313" w:rsidP="00965C77">
            <w:pPr>
              <w:pStyle w:val="a3"/>
              <w:jc w:val="right"/>
              <w:rPr>
                <w:rFonts w:cs="FrankRuehl"/>
                <w:sz w:val="28"/>
                <w:szCs w:val="28"/>
                <w:rtl/>
              </w:rPr>
            </w:pPr>
          </w:p>
        </w:tc>
      </w:tr>
    </w:tbl>
    <w:p w14:paraId="65045164" w14:textId="77777777" w:rsidR="00F83313" w:rsidRPr="008130E1" w:rsidRDefault="00F83313" w:rsidP="00F83313">
      <w:pPr>
        <w:pStyle w:val="a3"/>
        <w:rPr>
          <w:rtl/>
        </w:rPr>
      </w:pPr>
      <w:r w:rsidRPr="008130E1">
        <w:rPr>
          <w:rFonts w:hint="cs"/>
          <w:rtl/>
        </w:rPr>
        <w:t xml:space="preserve"> </w:t>
      </w:r>
    </w:p>
    <w:p w14:paraId="71B35248" w14:textId="77777777" w:rsidR="00F83313" w:rsidRPr="008130E1" w:rsidRDefault="00F83313" w:rsidP="00F83313">
      <w:pPr>
        <w:rPr>
          <w:rFonts w:cs="FrankRuehl"/>
          <w:sz w:val="26"/>
          <w:szCs w:val="26"/>
          <w:rtl/>
        </w:rPr>
      </w:pPr>
    </w:p>
    <w:p w14:paraId="07688839" w14:textId="77777777" w:rsidR="00F83313" w:rsidRPr="008130E1" w:rsidRDefault="00F83313" w:rsidP="00F83313">
      <w:pPr>
        <w:rPr>
          <w:rFonts w:cs="FrankRuehl"/>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83313" w:rsidRPr="008130E1" w14:paraId="1EEFAA71" w14:textId="77777777" w:rsidTr="00F83313">
        <w:trPr>
          <w:trHeight w:val="295"/>
          <w:jc w:val="center"/>
        </w:trPr>
        <w:tc>
          <w:tcPr>
            <w:tcW w:w="923" w:type="dxa"/>
            <w:tcBorders>
              <w:top w:val="nil"/>
              <w:left w:val="nil"/>
              <w:bottom w:val="nil"/>
              <w:right w:val="nil"/>
            </w:tcBorders>
            <w:shd w:val="clear" w:color="auto" w:fill="auto"/>
          </w:tcPr>
          <w:p w14:paraId="503EB41E" w14:textId="77777777" w:rsidR="00F83313" w:rsidRPr="008130E1" w:rsidRDefault="00F83313" w:rsidP="00F83313">
            <w:pPr>
              <w:jc w:val="both"/>
              <w:rPr>
                <w:rFonts w:ascii="Arial" w:hAnsi="Arial" w:cs="FrankRuehl"/>
                <w:sz w:val="26"/>
                <w:szCs w:val="26"/>
              </w:rPr>
            </w:pPr>
          </w:p>
        </w:tc>
        <w:tc>
          <w:tcPr>
            <w:tcW w:w="7897" w:type="dxa"/>
            <w:gridSpan w:val="2"/>
            <w:tcBorders>
              <w:top w:val="nil"/>
              <w:left w:val="nil"/>
              <w:bottom w:val="nil"/>
              <w:right w:val="nil"/>
            </w:tcBorders>
            <w:shd w:val="clear" w:color="auto" w:fill="auto"/>
          </w:tcPr>
          <w:p w14:paraId="1090D2B2" w14:textId="77777777" w:rsidR="00F83313" w:rsidRPr="008130E1" w:rsidRDefault="00F83313" w:rsidP="00F83313">
            <w:pPr>
              <w:jc w:val="both"/>
              <w:rPr>
                <w:rFonts w:ascii="Arial" w:hAnsi="Arial" w:cs="FrankRuehl"/>
                <w:sz w:val="26"/>
                <w:szCs w:val="26"/>
              </w:rPr>
            </w:pPr>
          </w:p>
        </w:tc>
      </w:tr>
      <w:tr w:rsidR="00F83313" w:rsidRPr="008130E1" w14:paraId="5A893DB8" w14:textId="77777777" w:rsidTr="00F83313">
        <w:trPr>
          <w:trHeight w:val="355"/>
          <w:jc w:val="center"/>
        </w:trPr>
        <w:tc>
          <w:tcPr>
            <w:tcW w:w="923" w:type="dxa"/>
            <w:tcBorders>
              <w:top w:val="nil"/>
              <w:left w:val="nil"/>
              <w:bottom w:val="nil"/>
              <w:right w:val="nil"/>
            </w:tcBorders>
            <w:shd w:val="clear" w:color="auto" w:fill="auto"/>
          </w:tcPr>
          <w:p w14:paraId="6B6A783B" w14:textId="77777777" w:rsidR="00F83313" w:rsidRPr="008130E1" w:rsidRDefault="00F83313" w:rsidP="00F83313">
            <w:pPr>
              <w:jc w:val="both"/>
              <w:rPr>
                <w:rFonts w:ascii="Arial" w:hAnsi="Arial" w:cs="FrankRuehl"/>
                <w:b/>
                <w:bCs/>
                <w:sz w:val="26"/>
                <w:szCs w:val="26"/>
              </w:rPr>
            </w:pPr>
            <w:bookmarkStart w:id="1" w:name="FirstAppellant"/>
            <w:bookmarkStart w:id="2" w:name="FirstLawyer"/>
            <w:r w:rsidRPr="008130E1">
              <w:rPr>
                <w:rFonts w:ascii="Arial" w:hAnsi="Arial" w:cs="FrankRuehl"/>
                <w:b/>
                <w:bCs/>
                <w:sz w:val="26"/>
                <w:szCs w:val="26"/>
                <w:rtl/>
              </w:rPr>
              <w:t>בעניין:</w:t>
            </w:r>
          </w:p>
        </w:tc>
        <w:tc>
          <w:tcPr>
            <w:tcW w:w="4126" w:type="dxa"/>
            <w:tcBorders>
              <w:top w:val="nil"/>
              <w:left w:val="nil"/>
              <w:bottom w:val="nil"/>
              <w:right w:val="nil"/>
            </w:tcBorders>
            <w:shd w:val="clear" w:color="auto" w:fill="auto"/>
          </w:tcPr>
          <w:p w14:paraId="6E935EB3" w14:textId="77777777" w:rsidR="00F83313" w:rsidRPr="008130E1" w:rsidRDefault="00F83313" w:rsidP="00965C77">
            <w:pPr>
              <w:rPr>
                <w:rFonts w:ascii="Arial" w:hAnsi="Arial" w:cs="FrankRuehl"/>
                <w:b/>
                <w:bCs/>
                <w:sz w:val="26"/>
                <w:szCs w:val="26"/>
                <w:rtl/>
              </w:rPr>
            </w:pPr>
            <w:r w:rsidRPr="008130E1">
              <w:rPr>
                <w:rFonts w:ascii="Arial" w:hAnsi="Arial" w:cs="FrankRuehl"/>
                <w:b/>
                <w:bCs/>
                <w:sz w:val="26"/>
                <w:szCs w:val="26"/>
                <w:rtl/>
              </w:rPr>
              <w:t>מדינת ישראל</w:t>
            </w:r>
          </w:p>
          <w:p w14:paraId="26A4EF31" w14:textId="77777777" w:rsidR="00F83313" w:rsidRPr="008130E1" w:rsidRDefault="00F83313" w:rsidP="00965C77">
            <w:pPr>
              <w:rPr>
                <w:rFonts w:cs="FrankRuehl"/>
                <w:b/>
                <w:bCs/>
                <w:sz w:val="26"/>
                <w:szCs w:val="26"/>
              </w:rPr>
            </w:pPr>
            <w:r w:rsidRPr="008130E1">
              <w:rPr>
                <w:rFonts w:cs="FrankRuehl" w:hint="cs"/>
                <w:b/>
                <w:bCs/>
                <w:sz w:val="26"/>
                <w:szCs w:val="26"/>
                <w:rtl/>
              </w:rPr>
              <w:t>ע"י ב"כ עו"ד סאמי חוראני</w:t>
            </w:r>
          </w:p>
        </w:tc>
        <w:tc>
          <w:tcPr>
            <w:tcW w:w="3771" w:type="dxa"/>
            <w:tcBorders>
              <w:top w:val="nil"/>
              <w:left w:val="nil"/>
              <w:bottom w:val="nil"/>
              <w:right w:val="nil"/>
            </w:tcBorders>
            <w:shd w:val="clear" w:color="auto" w:fill="auto"/>
          </w:tcPr>
          <w:p w14:paraId="2078EF83" w14:textId="77777777" w:rsidR="00F83313" w:rsidRPr="008130E1" w:rsidRDefault="00F83313" w:rsidP="00F83313">
            <w:pPr>
              <w:jc w:val="both"/>
              <w:rPr>
                <w:rFonts w:ascii="Arial" w:hAnsi="Arial" w:cs="FrankRuehl"/>
                <w:b/>
                <w:bCs/>
                <w:sz w:val="26"/>
                <w:szCs w:val="26"/>
              </w:rPr>
            </w:pPr>
          </w:p>
        </w:tc>
      </w:tr>
      <w:bookmarkEnd w:id="1"/>
      <w:bookmarkEnd w:id="2"/>
      <w:tr w:rsidR="00F83313" w:rsidRPr="008130E1" w14:paraId="579FFD37" w14:textId="77777777" w:rsidTr="00F83313">
        <w:trPr>
          <w:trHeight w:val="355"/>
          <w:jc w:val="center"/>
        </w:trPr>
        <w:tc>
          <w:tcPr>
            <w:tcW w:w="923" w:type="dxa"/>
            <w:tcBorders>
              <w:top w:val="nil"/>
              <w:left w:val="nil"/>
              <w:bottom w:val="nil"/>
              <w:right w:val="nil"/>
            </w:tcBorders>
            <w:shd w:val="clear" w:color="auto" w:fill="auto"/>
          </w:tcPr>
          <w:p w14:paraId="5E11A079" w14:textId="77777777" w:rsidR="00F83313" w:rsidRPr="008130E1" w:rsidRDefault="00F83313" w:rsidP="00F83313">
            <w:pPr>
              <w:jc w:val="both"/>
              <w:rPr>
                <w:rFonts w:ascii="Arial" w:hAnsi="Arial" w:cs="FrankRuehl"/>
                <w:b/>
                <w:bCs/>
                <w:sz w:val="26"/>
                <w:szCs w:val="26"/>
                <w:rtl/>
              </w:rPr>
            </w:pPr>
          </w:p>
        </w:tc>
        <w:tc>
          <w:tcPr>
            <w:tcW w:w="4126" w:type="dxa"/>
            <w:tcBorders>
              <w:top w:val="nil"/>
              <w:left w:val="nil"/>
              <w:bottom w:val="nil"/>
              <w:right w:val="nil"/>
            </w:tcBorders>
            <w:shd w:val="clear" w:color="auto" w:fill="auto"/>
          </w:tcPr>
          <w:p w14:paraId="6546199F" w14:textId="77777777" w:rsidR="00F83313" w:rsidRPr="008130E1" w:rsidRDefault="00F83313" w:rsidP="00F83313">
            <w:pPr>
              <w:jc w:val="both"/>
              <w:rPr>
                <w:rFonts w:cs="FrankRuehl"/>
                <w:b/>
                <w:bCs/>
                <w:sz w:val="26"/>
                <w:szCs w:val="26"/>
                <w:rtl/>
              </w:rPr>
            </w:pPr>
          </w:p>
        </w:tc>
        <w:tc>
          <w:tcPr>
            <w:tcW w:w="3771" w:type="dxa"/>
            <w:tcBorders>
              <w:top w:val="nil"/>
              <w:left w:val="nil"/>
              <w:bottom w:val="nil"/>
              <w:right w:val="nil"/>
            </w:tcBorders>
            <w:shd w:val="clear" w:color="auto" w:fill="auto"/>
          </w:tcPr>
          <w:p w14:paraId="4D51D688" w14:textId="77777777" w:rsidR="00F83313" w:rsidRPr="008130E1" w:rsidRDefault="00F83313" w:rsidP="00F83313">
            <w:pPr>
              <w:jc w:val="right"/>
              <w:rPr>
                <w:rFonts w:ascii="Arial" w:hAnsi="Arial" w:cs="FrankRuehl"/>
                <w:b/>
                <w:bCs/>
                <w:sz w:val="26"/>
                <w:szCs w:val="26"/>
                <w:rtl/>
              </w:rPr>
            </w:pPr>
            <w:r w:rsidRPr="008130E1">
              <w:rPr>
                <w:rFonts w:ascii="Arial" w:hAnsi="Arial" w:cs="FrankRuehl"/>
                <w:b/>
                <w:bCs/>
                <w:sz w:val="26"/>
                <w:szCs w:val="26"/>
                <w:rtl/>
              </w:rPr>
              <w:t>המאשימה</w:t>
            </w:r>
          </w:p>
        </w:tc>
      </w:tr>
      <w:tr w:rsidR="00F83313" w:rsidRPr="008130E1" w14:paraId="5C7DD25E" w14:textId="77777777" w:rsidTr="00F83313">
        <w:trPr>
          <w:trHeight w:val="355"/>
          <w:jc w:val="center"/>
        </w:trPr>
        <w:tc>
          <w:tcPr>
            <w:tcW w:w="923" w:type="dxa"/>
            <w:tcBorders>
              <w:top w:val="nil"/>
              <w:left w:val="nil"/>
              <w:bottom w:val="nil"/>
              <w:right w:val="nil"/>
            </w:tcBorders>
            <w:shd w:val="clear" w:color="auto" w:fill="auto"/>
          </w:tcPr>
          <w:p w14:paraId="2FC210B5" w14:textId="77777777" w:rsidR="00F83313" w:rsidRPr="008130E1" w:rsidRDefault="00F83313" w:rsidP="00F83313">
            <w:pPr>
              <w:jc w:val="both"/>
              <w:rPr>
                <w:rFonts w:ascii="Arial" w:hAnsi="Arial" w:cs="FrankRuehl"/>
                <w:b/>
                <w:bCs/>
                <w:sz w:val="26"/>
                <w:szCs w:val="26"/>
                <w:rtl/>
              </w:rPr>
            </w:pPr>
          </w:p>
        </w:tc>
        <w:tc>
          <w:tcPr>
            <w:tcW w:w="7897" w:type="dxa"/>
            <w:gridSpan w:val="2"/>
            <w:tcBorders>
              <w:top w:val="nil"/>
              <w:left w:val="nil"/>
              <w:bottom w:val="nil"/>
              <w:right w:val="nil"/>
            </w:tcBorders>
            <w:shd w:val="clear" w:color="auto" w:fill="auto"/>
          </w:tcPr>
          <w:p w14:paraId="4307AE8B" w14:textId="77777777" w:rsidR="00F83313" w:rsidRPr="008130E1" w:rsidRDefault="00F83313" w:rsidP="00F83313">
            <w:pPr>
              <w:jc w:val="center"/>
              <w:rPr>
                <w:rFonts w:ascii="Arial" w:hAnsi="Arial" w:cs="FrankRuehl"/>
                <w:b/>
                <w:bCs/>
                <w:sz w:val="26"/>
                <w:szCs w:val="26"/>
                <w:rtl/>
              </w:rPr>
            </w:pPr>
          </w:p>
          <w:p w14:paraId="18BFEC94" w14:textId="77777777" w:rsidR="00F83313" w:rsidRPr="008130E1" w:rsidRDefault="00F83313" w:rsidP="00F83313">
            <w:pPr>
              <w:jc w:val="center"/>
              <w:rPr>
                <w:rFonts w:ascii="Arial" w:hAnsi="Arial" w:cs="FrankRuehl"/>
                <w:b/>
                <w:bCs/>
                <w:sz w:val="26"/>
                <w:szCs w:val="26"/>
                <w:rtl/>
              </w:rPr>
            </w:pPr>
            <w:r w:rsidRPr="008130E1">
              <w:rPr>
                <w:rFonts w:ascii="Arial" w:hAnsi="Arial" w:cs="FrankRuehl"/>
                <w:b/>
                <w:bCs/>
                <w:sz w:val="26"/>
                <w:szCs w:val="26"/>
                <w:rtl/>
              </w:rPr>
              <w:t>נגד</w:t>
            </w:r>
          </w:p>
          <w:p w14:paraId="15E3BAB1" w14:textId="77777777" w:rsidR="00F83313" w:rsidRPr="008130E1" w:rsidRDefault="00F83313" w:rsidP="00F83313">
            <w:pPr>
              <w:jc w:val="both"/>
              <w:rPr>
                <w:rFonts w:ascii="Arial" w:hAnsi="Arial" w:cs="FrankRuehl"/>
                <w:b/>
                <w:bCs/>
                <w:sz w:val="26"/>
                <w:szCs w:val="26"/>
              </w:rPr>
            </w:pPr>
          </w:p>
        </w:tc>
      </w:tr>
      <w:tr w:rsidR="00F83313" w:rsidRPr="008130E1" w14:paraId="4AE0C000" w14:textId="77777777" w:rsidTr="00F83313">
        <w:trPr>
          <w:trHeight w:val="355"/>
          <w:jc w:val="center"/>
        </w:trPr>
        <w:tc>
          <w:tcPr>
            <w:tcW w:w="923" w:type="dxa"/>
            <w:tcBorders>
              <w:top w:val="nil"/>
              <w:left w:val="nil"/>
              <w:bottom w:val="nil"/>
              <w:right w:val="nil"/>
            </w:tcBorders>
            <w:shd w:val="clear" w:color="auto" w:fill="auto"/>
          </w:tcPr>
          <w:p w14:paraId="61FC5795" w14:textId="77777777" w:rsidR="00F83313" w:rsidRPr="008130E1" w:rsidRDefault="00F83313" w:rsidP="00965C77">
            <w:pPr>
              <w:rPr>
                <w:rFonts w:ascii="Arial" w:hAnsi="Arial" w:cs="FrankRuehl"/>
                <w:b/>
                <w:bCs/>
                <w:sz w:val="26"/>
                <w:szCs w:val="26"/>
                <w:rtl/>
              </w:rPr>
            </w:pPr>
          </w:p>
        </w:tc>
        <w:tc>
          <w:tcPr>
            <w:tcW w:w="4126" w:type="dxa"/>
            <w:tcBorders>
              <w:top w:val="nil"/>
              <w:left w:val="nil"/>
              <w:bottom w:val="nil"/>
              <w:right w:val="nil"/>
            </w:tcBorders>
            <w:shd w:val="clear" w:color="auto" w:fill="auto"/>
          </w:tcPr>
          <w:p w14:paraId="28B8DD80" w14:textId="77777777" w:rsidR="00F83313" w:rsidRPr="008130E1" w:rsidRDefault="00F83313" w:rsidP="00965C77">
            <w:pPr>
              <w:rPr>
                <w:rFonts w:cs="FrankRuehl"/>
                <w:b/>
                <w:bCs/>
                <w:sz w:val="26"/>
                <w:szCs w:val="26"/>
                <w:rtl/>
              </w:rPr>
            </w:pPr>
            <w:r w:rsidRPr="008130E1">
              <w:rPr>
                <w:rFonts w:ascii="Arial" w:hAnsi="Arial" w:cs="FrankRuehl"/>
                <w:b/>
                <w:bCs/>
                <w:sz w:val="26"/>
                <w:szCs w:val="26"/>
                <w:rtl/>
              </w:rPr>
              <w:t>אדם אחמד עבדאללה</w:t>
            </w:r>
          </w:p>
          <w:p w14:paraId="57164054" w14:textId="77777777" w:rsidR="00F83313" w:rsidRPr="008130E1" w:rsidRDefault="00F83313" w:rsidP="00965C77">
            <w:pPr>
              <w:rPr>
                <w:rFonts w:cs="FrankRuehl"/>
                <w:b/>
                <w:bCs/>
                <w:sz w:val="26"/>
                <w:szCs w:val="26"/>
                <w:rtl/>
              </w:rPr>
            </w:pPr>
            <w:r w:rsidRPr="008130E1">
              <w:rPr>
                <w:rFonts w:cs="FrankRuehl" w:hint="cs"/>
                <w:b/>
                <w:bCs/>
                <w:sz w:val="26"/>
                <w:szCs w:val="26"/>
                <w:rtl/>
              </w:rPr>
              <w:t xml:space="preserve">ע"י ב"כ עו"ד אורי בן נתן </w:t>
            </w:r>
          </w:p>
        </w:tc>
        <w:tc>
          <w:tcPr>
            <w:tcW w:w="3771" w:type="dxa"/>
            <w:tcBorders>
              <w:top w:val="nil"/>
              <w:left w:val="nil"/>
              <w:bottom w:val="nil"/>
              <w:right w:val="nil"/>
            </w:tcBorders>
            <w:shd w:val="clear" w:color="auto" w:fill="auto"/>
          </w:tcPr>
          <w:p w14:paraId="0BAEC5A3" w14:textId="77777777" w:rsidR="00F83313" w:rsidRPr="008130E1" w:rsidRDefault="00F83313" w:rsidP="00F83313">
            <w:pPr>
              <w:jc w:val="right"/>
              <w:rPr>
                <w:rFonts w:ascii="Arial" w:hAnsi="Arial" w:cs="FrankRuehl"/>
                <w:b/>
                <w:bCs/>
                <w:sz w:val="26"/>
                <w:szCs w:val="26"/>
              </w:rPr>
            </w:pPr>
          </w:p>
        </w:tc>
      </w:tr>
      <w:tr w:rsidR="00F83313" w:rsidRPr="008130E1" w14:paraId="41E446AE" w14:textId="77777777" w:rsidTr="00F83313">
        <w:trPr>
          <w:trHeight w:val="355"/>
          <w:jc w:val="center"/>
        </w:trPr>
        <w:tc>
          <w:tcPr>
            <w:tcW w:w="923" w:type="dxa"/>
            <w:tcBorders>
              <w:top w:val="nil"/>
              <w:left w:val="nil"/>
              <w:bottom w:val="nil"/>
              <w:right w:val="nil"/>
            </w:tcBorders>
            <w:shd w:val="clear" w:color="auto" w:fill="auto"/>
          </w:tcPr>
          <w:p w14:paraId="2B32AC46" w14:textId="77777777" w:rsidR="00F83313" w:rsidRPr="008130E1" w:rsidRDefault="00F83313" w:rsidP="00F83313">
            <w:pPr>
              <w:jc w:val="both"/>
              <w:rPr>
                <w:rFonts w:ascii="Arial" w:hAnsi="Arial" w:cs="FrankRuehl"/>
                <w:b/>
                <w:bCs/>
                <w:sz w:val="26"/>
                <w:szCs w:val="26"/>
                <w:rtl/>
              </w:rPr>
            </w:pPr>
          </w:p>
        </w:tc>
        <w:tc>
          <w:tcPr>
            <w:tcW w:w="4126" w:type="dxa"/>
            <w:tcBorders>
              <w:top w:val="nil"/>
              <w:left w:val="nil"/>
              <w:bottom w:val="nil"/>
              <w:right w:val="nil"/>
            </w:tcBorders>
            <w:shd w:val="clear" w:color="auto" w:fill="auto"/>
          </w:tcPr>
          <w:p w14:paraId="5207BEF6" w14:textId="77777777" w:rsidR="00F83313" w:rsidRPr="008130E1" w:rsidRDefault="00F83313" w:rsidP="00F83313">
            <w:pPr>
              <w:jc w:val="both"/>
              <w:rPr>
                <w:rFonts w:cs="FrankRuehl"/>
                <w:b/>
                <w:bCs/>
                <w:sz w:val="26"/>
                <w:szCs w:val="26"/>
                <w:rtl/>
              </w:rPr>
            </w:pPr>
          </w:p>
        </w:tc>
        <w:tc>
          <w:tcPr>
            <w:tcW w:w="3771" w:type="dxa"/>
            <w:tcBorders>
              <w:top w:val="nil"/>
              <w:left w:val="nil"/>
              <w:bottom w:val="nil"/>
              <w:right w:val="nil"/>
            </w:tcBorders>
            <w:shd w:val="clear" w:color="auto" w:fill="auto"/>
          </w:tcPr>
          <w:p w14:paraId="0E35D2CA" w14:textId="77777777" w:rsidR="00F83313" w:rsidRPr="008130E1" w:rsidRDefault="00F83313" w:rsidP="00F83313">
            <w:pPr>
              <w:jc w:val="right"/>
              <w:rPr>
                <w:rFonts w:ascii="Arial" w:hAnsi="Arial" w:cs="FrankRuehl"/>
                <w:b/>
                <w:bCs/>
                <w:sz w:val="26"/>
                <w:szCs w:val="26"/>
              </w:rPr>
            </w:pPr>
            <w:r w:rsidRPr="008130E1">
              <w:rPr>
                <w:rFonts w:ascii="Arial" w:hAnsi="Arial" w:cs="FrankRuehl"/>
                <w:b/>
                <w:bCs/>
                <w:sz w:val="26"/>
                <w:szCs w:val="26"/>
                <w:rtl/>
              </w:rPr>
              <w:t>הנאשם</w:t>
            </w:r>
          </w:p>
        </w:tc>
      </w:tr>
    </w:tbl>
    <w:p w14:paraId="6D785CFF" w14:textId="77777777" w:rsidR="008130E1" w:rsidRPr="008130E1" w:rsidRDefault="008130E1" w:rsidP="008130E1">
      <w:pPr>
        <w:spacing w:before="120" w:after="120" w:line="240" w:lineRule="exact"/>
        <w:ind w:left="283" w:hanging="283"/>
        <w:jc w:val="both"/>
        <w:rPr>
          <w:rFonts w:ascii="FrankRuehl" w:hAnsi="FrankRuehl" w:cs="FrankRuehl"/>
          <w:rtl/>
        </w:rPr>
      </w:pPr>
    </w:p>
    <w:p w14:paraId="3D949008" w14:textId="77777777" w:rsidR="008130E1" w:rsidRPr="008130E1" w:rsidRDefault="008130E1" w:rsidP="008130E1">
      <w:pPr>
        <w:rPr>
          <w:rFonts w:cs="FrankRuehl"/>
          <w:sz w:val="26"/>
          <w:szCs w:val="26"/>
          <w:rtl/>
        </w:rPr>
      </w:pPr>
    </w:p>
    <w:p w14:paraId="0766643E" w14:textId="77777777" w:rsidR="00345B5F" w:rsidRPr="00345B5F" w:rsidRDefault="00345B5F" w:rsidP="00345B5F">
      <w:pPr>
        <w:spacing w:before="120" w:after="120" w:line="240" w:lineRule="exact"/>
        <w:ind w:left="283" w:hanging="283"/>
        <w:jc w:val="both"/>
        <w:rPr>
          <w:rFonts w:ascii="FrankRuehl" w:hAnsi="FrankRuehl" w:cs="FrankRuehl"/>
        </w:rPr>
      </w:pPr>
      <w:bookmarkStart w:id="3" w:name="LawTable"/>
      <w:bookmarkEnd w:id="3"/>
      <w:r w:rsidRPr="00345B5F">
        <w:rPr>
          <w:rFonts w:ascii="FrankRuehl" w:hAnsi="FrankRuehl" w:cs="FrankRuehl"/>
          <w:rtl/>
        </w:rPr>
        <w:t xml:space="preserve">חקיקה שאוזכרה: </w:t>
      </w:r>
    </w:p>
    <w:p w14:paraId="7E20501F" w14:textId="77777777" w:rsidR="00345B5F" w:rsidRPr="00345B5F" w:rsidRDefault="00345B5F" w:rsidP="00345B5F">
      <w:pPr>
        <w:spacing w:before="120" w:after="120" w:line="240" w:lineRule="exact"/>
        <w:ind w:left="283" w:hanging="283"/>
        <w:jc w:val="both"/>
        <w:rPr>
          <w:rFonts w:ascii="FrankRuehl" w:hAnsi="FrankRuehl" w:cs="FrankRuehl"/>
        </w:rPr>
      </w:pPr>
      <w:hyperlink r:id="rId7" w:history="1">
        <w:r w:rsidRPr="00345B5F">
          <w:rPr>
            <w:rFonts w:ascii="FrankRuehl" w:hAnsi="FrankRuehl" w:cs="FrankRuehl"/>
            <w:color w:val="0000FF"/>
            <w:u w:val="single"/>
            <w:rtl/>
          </w:rPr>
          <w:t>חוק העונשין, תשל"ז-1977</w:t>
        </w:r>
      </w:hyperlink>
      <w:r w:rsidRPr="00345B5F">
        <w:rPr>
          <w:rFonts w:ascii="FrankRuehl" w:hAnsi="FrankRuehl" w:cs="FrankRuehl"/>
        </w:rPr>
        <w:t xml:space="preserve">: </w:t>
      </w:r>
      <w:r w:rsidRPr="00345B5F">
        <w:rPr>
          <w:rFonts w:ascii="FrankRuehl" w:hAnsi="FrankRuehl" w:cs="FrankRuehl"/>
          <w:rtl/>
        </w:rPr>
        <w:t>סע</w:t>
      </w:r>
      <w:r w:rsidRPr="00345B5F">
        <w:rPr>
          <w:rFonts w:ascii="FrankRuehl" w:hAnsi="FrankRuehl" w:cs="FrankRuehl"/>
        </w:rPr>
        <w:t xml:space="preserve">'  </w:t>
      </w:r>
      <w:hyperlink r:id="rId8" w:history="1">
        <w:r w:rsidRPr="00345B5F">
          <w:rPr>
            <w:rFonts w:ascii="FrankRuehl" w:hAnsi="FrankRuehl" w:cs="FrankRuehl"/>
            <w:color w:val="0000FF"/>
            <w:u w:val="single"/>
          </w:rPr>
          <w:t>29</w:t>
        </w:r>
      </w:hyperlink>
      <w:r w:rsidRPr="00345B5F">
        <w:rPr>
          <w:rFonts w:ascii="FrankRuehl" w:hAnsi="FrankRuehl" w:cs="FrankRuehl"/>
        </w:rPr>
        <w:t xml:space="preserve">, </w:t>
      </w:r>
      <w:hyperlink r:id="rId9" w:history="1">
        <w:r w:rsidRPr="00345B5F">
          <w:rPr>
            <w:rFonts w:ascii="FrankRuehl" w:hAnsi="FrankRuehl" w:cs="FrankRuehl"/>
            <w:color w:val="0000FF"/>
            <w:u w:val="single"/>
          </w:rPr>
          <w:t>40</w:t>
        </w:r>
        <w:r w:rsidRPr="00345B5F">
          <w:rPr>
            <w:rFonts w:ascii="FrankRuehl" w:hAnsi="FrankRuehl" w:cs="FrankRuehl"/>
            <w:color w:val="0000FF"/>
            <w:u w:val="single"/>
            <w:rtl/>
          </w:rPr>
          <w:t>ב</w:t>
        </w:r>
        <w:r w:rsidRPr="00345B5F">
          <w:rPr>
            <w:rFonts w:ascii="FrankRuehl" w:hAnsi="FrankRuehl" w:cs="FrankRuehl"/>
            <w:color w:val="0000FF"/>
            <w:u w:val="single"/>
          </w:rPr>
          <w:t>'</w:t>
        </w:r>
      </w:hyperlink>
      <w:r w:rsidRPr="00345B5F">
        <w:rPr>
          <w:rFonts w:ascii="FrankRuehl" w:hAnsi="FrankRuehl" w:cs="FrankRuehl"/>
        </w:rPr>
        <w:t xml:space="preserve">, </w:t>
      </w:r>
      <w:hyperlink r:id="rId10" w:history="1">
        <w:r w:rsidRPr="00345B5F">
          <w:rPr>
            <w:rFonts w:ascii="FrankRuehl" w:hAnsi="FrankRuehl" w:cs="FrankRuehl"/>
            <w:color w:val="0000FF"/>
            <w:u w:val="single"/>
          </w:rPr>
          <w:t>144(</w:t>
        </w:r>
        <w:r w:rsidRPr="00345B5F">
          <w:rPr>
            <w:rFonts w:ascii="FrankRuehl" w:hAnsi="FrankRuehl" w:cs="FrankRuehl"/>
            <w:color w:val="0000FF"/>
            <w:u w:val="single"/>
            <w:rtl/>
          </w:rPr>
          <w:t>ב</w:t>
        </w:r>
        <w:r w:rsidRPr="00345B5F">
          <w:rPr>
            <w:rFonts w:ascii="FrankRuehl" w:hAnsi="FrankRuehl" w:cs="FrankRuehl"/>
            <w:color w:val="0000FF"/>
            <w:u w:val="single"/>
          </w:rPr>
          <w:t>')</w:t>
        </w:r>
      </w:hyperlink>
      <w:r w:rsidRPr="00345B5F">
        <w:rPr>
          <w:rFonts w:ascii="FrankRuehl" w:hAnsi="FrankRuehl" w:cs="FrankRuehl"/>
        </w:rPr>
        <w:t xml:space="preserve">, </w:t>
      </w:r>
      <w:hyperlink r:id="rId11" w:history="1">
        <w:r w:rsidRPr="00345B5F">
          <w:rPr>
            <w:rFonts w:ascii="FrankRuehl" w:hAnsi="FrankRuehl" w:cs="FrankRuehl"/>
            <w:color w:val="0000FF"/>
            <w:u w:val="single"/>
          </w:rPr>
          <w:t>192</w:t>
        </w:r>
      </w:hyperlink>
      <w:r w:rsidRPr="00345B5F">
        <w:rPr>
          <w:rFonts w:ascii="FrankRuehl" w:hAnsi="FrankRuehl" w:cs="FrankRuehl"/>
        </w:rPr>
        <w:t xml:space="preserve">, </w:t>
      </w:r>
      <w:hyperlink r:id="rId12" w:history="1">
        <w:r w:rsidRPr="00345B5F">
          <w:rPr>
            <w:rFonts w:ascii="FrankRuehl" w:hAnsi="FrankRuehl" w:cs="FrankRuehl"/>
            <w:color w:val="0000FF"/>
            <w:u w:val="single"/>
          </w:rPr>
          <w:t>274</w:t>
        </w:r>
      </w:hyperlink>
      <w:r w:rsidRPr="00345B5F">
        <w:rPr>
          <w:rFonts w:ascii="FrankRuehl" w:hAnsi="FrankRuehl" w:cs="FrankRuehl"/>
        </w:rPr>
        <w:t xml:space="preserve">, </w:t>
      </w:r>
      <w:hyperlink r:id="rId13" w:history="1">
        <w:r w:rsidRPr="00345B5F">
          <w:rPr>
            <w:rFonts w:ascii="FrankRuehl" w:hAnsi="FrankRuehl" w:cs="FrankRuehl"/>
            <w:color w:val="0000FF"/>
            <w:u w:val="single"/>
          </w:rPr>
          <w:t>275</w:t>
        </w:r>
      </w:hyperlink>
      <w:r w:rsidRPr="00345B5F">
        <w:rPr>
          <w:rFonts w:ascii="FrankRuehl" w:hAnsi="FrankRuehl" w:cs="FrankRuehl"/>
        </w:rPr>
        <w:t xml:space="preserve">, </w:t>
      </w:r>
      <w:hyperlink r:id="rId14" w:history="1">
        <w:r w:rsidRPr="00345B5F">
          <w:rPr>
            <w:rFonts w:ascii="FrankRuehl" w:hAnsi="FrankRuehl" w:cs="FrankRuehl"/>
            <w:color w:val="0000FF"/>
            <w:u w:val="single"/>
          </w:rPr>
          <w:t>287(</w:t>
        </w:r>
        <w:r w:rsidRPr="00345B5F">
          <w:rPr>
            <w:rFonts w:ascii="FrankRuehl" w:hAnsi="FrankRuehl" w:cs="FrankRuehl"/>
            <w:color w:val="0000FF"/>
            <w:u w:val="single"/>
            <w:rtl/>
          </w:rPr>
          <w:t>א</w:t>
        </w:r>
        <w:r w:rsidRPr="00345B5F">
          <w:rPr>
            <w:rFonts w:ascii="FrankRuehl" w:hAnsi="FrankRuehl" w:cs="FrankRuehl"/>
            <w:color w:val="0000FF"/>
            <w:u w:val="single"/>
          </w:rPr>
          <w:t>)</w:t>
        </w:r>
      </w:hyperlink>
      <w:r w:rsidRPr="00345B5F">
        <w:rPr>
          <w:rFonts w:ascii="FrankRuehl" w:hAnsi="FrankRuehl" w:cs="FrankRuehl"/>
        </w:rPr>
        <w:t xml:space="preserve">, </w:t>
      </w:r>
      <w:hyperlink r:id="rId15" w:history="1">
        <w:r w:rsidRPr="00345B5F">
          <w:rPr>
            <w:rFonts w:ascii="FrankRuehl" w:hAnsi="FrankRuehl" w:cs="FrankRuehl"/>
            <w:color w:val="0000FF"/>
            <w:u w:val="single"/>
          </w:rPr>
          <w:t>338(</w:t>
        </w:r>
        <w:r w:rsidRPr="00345B5F">
          <w:rPr>
            <w:rFonts w:ascii="FrankRuehl" w:hAnsi="FrankRuehl" w:cs="FrankRuehl"/>
            <w:color w:val="0000FF"/>
            <w:u w:val="single"/>
            <w:rtl/>
          </w:rPr>
          <w:t>א)(3</w:t>
        </w:r>
        <w:r w:rsidRPr="00345B5F">
          <w:rPr>
            <w:rFonts w:ascii="FrankRuehl" w:hAnsi="FrankRuehl" w:cs="FrankRuehl"/>
            <w:color w:val="0000FF"/>
            <w:u w:val="single"/>
          </w:rPr>
          <w:t>)+</w:t>
        </w:r>
      </w:hyperlink>
      <w:r w:rsidRPr="00345B5F">
        <w:rPr>
          <w:rFonts w:ascii="FrankRuehl" w:hAnsi="FrankRuehl" w:cs="FrankRuehl"/>
        </w:rPr>
        <w:t xml:space="preserve">, </w:t>
      </w:r>
      <w:hyperlink r:id="rId16" w:history="1">
        <w:r w:rsidRPr="00345B5F">
          <w:rPr>
            <w:rFonts w:ascii="FrankRuehl" w:hAnsi="FrankRuehl" w:cs="FrankRuehl"/>
            <w:color w:val="0000FF"/>
            <w:u w:val="single"/>
          </w:rPr>
          <w:t>413</w:t>
        </w:r>
      </w:hyperlink>
      <w:r w:rsidRPr="00345B5F">
        <w:rPr>
          <w:rFonts w:ascii="FrankRuehl" w:hAnsi="FrankRuehl" w:cs="FrankRuehl"/>
        </w:rPr>
        <w:t xml:space="preserve">, </w:t>
      </w:r>
      <w:hyperlink r:id="rId17" w:history="1">
        <w:r w:rsidRPr="00345B5F">
          <w:rPr>
            <w:rFonts w:ascii="FrankRuehl" w:hAnsi="FrankRuehl" w:cs="FrankRuehl"/>
            <w:color w:val="0000FF"/>
            <w:u w:val="single"/>
          </w:rPr>
          <w:t>413</w:t>
        </w:r>
        <w:r w:rsidRPr="00345B5F">
          <w:rPr>
            <w:rFonts w:ascii="FrankRuehl" w:hAnsi="FrankRuehl" w:cs="FrankRuehl"/>
            <w:color w:val="0000FF"/>
            <w:u w:val="single"/>
            <w:rtl/>
          </w:rPr>
          <w:t>ה</w:t>
        </w:r>
        <w:r w:rsidRPr="00345B5F">
          <w:rPr>
            <w:rFonts w:ascii="FrankRuehl" w:hAnsi="FrankRuehl" w:cs="FrankRuehl"/>
            <w:color w:val="0000FF"/>
            <w:u w:val="single"/>
          </w:rPr>
          <w:t>'</w:t>
        </w:r>
      </w:hyperlink>
      <w:r w:rsidRPr="00345B5F">
        <w:rPr>
          <w:rFonts w:ascii="FrankRuehl" w:hAnsi="FrankRuehl" w:cs="FrankRuehl"/>
        </w:rPr>
        <w:t xml:space="preserve">, </w:t>
      </w:r>
      <w:hyperlink r:id="rId18" w:history="1">
        <w:r w:rsidRPr="00345B5F">
          <w:rPr>
            <w:rFonts w:ascii="FrankRuehl" w:hAnsi="FrankRuehl" w:cs="FrankRuehl"/>
            <w:color w:val="0000FF"/>
            <w:u w:val="single"/>
          </w:rPr>
          <w:t>448</w:t>
        </w:r>
      </w:hyperlink>
      <w:r w:rsidRPr="00345B5F">
        <w:rPr>
          <w:rFonts w:ascii="FrankRuehl" w:hAnsi="FrankRuehl" w:cs="FrankRuehl"/>
        </w:rPr>
        <w:t xml:space="preserve">, </w:t>
      </w:r>
      <w:hyperlink r:id="rId19" w:history="1">
        <w:r w:rsidRPr="00345B5F">
          <w:rPr>
            <w:rFonts w:ascii="FrankRuehl" w:hAnsi="FrankRuehl" w:cs="FrankRuehl"/>
            <w:color w:val="0000FF"/>
            <w:u w:val="single"/>
          </w:rPr>
          <w:t>448(</w:t>
        </w:r>
        <w:r w:rsidRPr="00345B5F">
          <w:rPr>
            <w:rFonts w:ascii="FrankRuehl" w:hAnsi="FrankRuehl" w:cs="FrankRuehl"/>
            <w:color w:val="0000FF"/>
            <w:u w:val="single"/>
            <w:rtl/>
          </w:rPr>
          <w:t>א</w:t>
        </w:r>
        <w:r w:rsidRPr="00345B5F">
          <w:rPr>
            <w:rFonts w:ascii="FrankRuehl" w:hAnsi="FrankRuehl" w:cs="FrankRuehl"/>
            <w:color w:val="0000FF"/>
            <w:u w:val="single"/>
          </w:rPr>
          <w:t>)</w:t>
        </w:r>
      </w:hyperlink>
      <w:r w:rsidRPr="00345B5F">
        <w:rPr>
          <w:rFonts w:ascii="FrankRuehl" w:hAnsi="FrankRuehl" w:cs="FrankRuehl"/>
        </w:rPr>
        <w:t xml:space="preserve">, </w:t>
      </w:r>
      <w:hyperlink r:id="rId20" w:history="1">
        <w:r w:rsidRPr="00345B5F">
          <w:rPr>
            <w:rFonts w:ascii="FrankRuehl" w:hAnsi="FrankRuehl" w:cs="FrankRuehl"/>
            <w:color w:val="0000FF"/>
            <w:u w:val="single"/>
          </w:rPr>
          <w:t>449(</w:t>
        </w:r>
        <w:r w:rsidRPr="00345B5F">
          <w:rPr>
            <w:rFonts w:ascii="FrankRuehl" w:hAnsi="FrankRuehl" w:cs="FrankRuehl"/>
            <w:color w:val="0000FF"/>
            <w:u w:val="single"/>
            <w:rtl/>
          </w:rPr>
          <w:t>א)(1</w:t>
        </w:r>
        <w:r w:rsidRPr="00345B5F">
          <w:rPr>
            <w:rFonts w:ascii="FrankRuehl" w:hAnsi="FrankRuehl" w:cs="FrankRuehl"/>
            <w:color w:val="0000FF"/>
            <w:u w:val="single"/>
          </w:rPr>
          <w:t>).</w:t>
        </w:r>
      </w:hyperlink>
      <w:r w:rsidRPr="00345B5F">
        <w:rPr>
          <w:rFonts w:ascii="FrankRuehl" w:hAnsi="FrankRuehl" w:cs="FrankRuehl"/>
        </w:rPr>
        <w:t xml:space="preserve">, </w:t>
      </w:r>
      <w:hyperlink r:id="rId21" w:history="1">
        <w:r w:rsidRPr="00345B5F">
          <w:rPr>
            <w:rFonts w:ascii="FrankRuehl" w:hAnsi="FrankRuehl" w:cs="FrankRuehl"/>
            <w:color w:val="0000FF"/>
            <w:u w:val="single"/>
          </w:rPr>
          <w:t>498</w:t>
        </w:r>
      </w:hyperlink>
    </w:p>
    <w:p w14:paraId="38AEBEE8" w14:textId="77777777" w:rsidR="00F83313" w:rsidRDefault="00F83313" w:rsidP="00345B5F">
      <w:pPr>
        <w:rPr>
          <w:rFonts w:cs="FrankRuehl" w:hint="cs"/>
          <w:sz w:val="26"/>
          <w:szCs w:val="26"/>
          <w:rtl/>
        </w:rPr>
      </w:pPr>
      <w:bookmarkStart w:id="4" w:name="LawTable_End"/>
      <w:bookmarkEnd w:id="4"/>
    </w:p>
    <w:p w14:paraId="22DE97AF" w14:textId="77777777" w:rsidR="00345B5F" w:rsidRDefault="00345B5F" w:rsidP="00345B5F">
      <w:pPr>
        <w:rPr>
          <w:rFonts w:cs="FrankRuehl" w:hint="cs"/>
          <w:sz w:val="26"/>
          <w:szCs w:val="26"/>
          <w:rtl/>
        </w:rPr>
      </w:pPr>
    </w:p>
    <w:p w14:paraId="506DE067" w14:textId="77777777" w:rsidR="00345B5F" w:rsidRPr="00345B5F" w:rsidRDefault="00345B5F" w:rsidP="00345B5F">
      <w:pPr>
        <w:rPr>
          <w:rFonts w:cs="FrankRuehl"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83313" w:rsidRPr="00AE6016" w14:paraId="5B351DC0" w14:textId="77777777" w:rsidTr="00F83313">
        <w:trPr>
          <w:trHeight w:val="355"/>
          <w:jc w:val="center"/>
        </w:trPr>
        <w:tc>
          <w:tcPr>
            <w:tcW w:w="8820" w:type="dxa"/>
            <w:tcBorders>
              <w:top w:val="nil"/>
              <w:left w:val="nil"/>
              <w:bottom w:val="nil"/>
              <w:right w:val="nil"/>
            </w:tcBorders>
            <w:shd w:val="clear" w:color="auto" w:fill="auto"/>
          </w:tcPr>
          <w:p w14:paraId="2246A25E" w14:textId="77777777" w:rsidR="008130E1" w:rsidRPr="008130E1" w:rsidRDefault="008130E1" w:rsidP="008130E1">
            <w:pPr>
              <w:jc w:val="center"/>
              <w:rPr>
                <w:rFonts w:ascii="Arial" w:hAnsi="Arial" w:cs="FrankRuehl"/>
                <w:b/>
                <w:bCs/>
                <w:sz w:val="26"/>
                <w:szCs w:val="26"/>
                <w:u w:val="single"/>
                <w:rtl/>
              </w:rPr>
            </w:pPr>
            <w:bookmarkStart w:id="5" w:name="PsakDin" w:colFirst="0" w:colLast="0"/>
            <w:bookmarkEnd w:id="0"/>
            <w:r w:rsidRPr="008130E1">
              <w:rPr>
                <w:rFonts w:ascii="Arial" w:hAnsi="Arial" w:cs="FrankRuehl"/>
                <w:b/>
                <w:bCs/>
                <w:sz w:val="26"/>
                <w:szCs w:val="26"/>
                <w:u w:val="single"/>
                <w:rtl/>
              </w:rPr>
              <w:t>גזר דין</w:t>
            </w:r>
          </w:p>
          <w:p w14:paraId="0ACFA68D" w14:textId="77777777" w:rsidR="00F83313" w:rsidRPr="008130E1" w:rsidRDefault="00F83313" w:rsidP="008130E1">
            <w:pPr>
              <w:jc w:val="center"/>
              <w:rPr>
                <w:rFonts w:ascii="Arial" w:hAnsi="Arial" w:cs="FrankRuehl"/>
                <w:bCs/>
                <w:sz w:val="26"/>
                <w:szCs w:val="26"/>
                <w:u w:val="single"/>
                <w:rtl/>
              </w:rPr>
            </w:pPr>
          </w:p>
        </w:tc>
      </w:tr>
      <w:bookmarkEnd w:id="5"/>
    </w:tbl>
    <w:p w14:paraId="1FC3473D" w14:textId="77777777" w:rsidR="00F83313" w:rsidRPr="00AE6016" w:rsidRDefault="00F83313" w:rsidP="00F83313">
      <w:pPr>
        <w:rPr>
          <w:rFonts w:ascii="Arial" w:hAnsi="Arial" w:cs="FrankRuehl"/>
          <w:sz w:val="26"/>
          <w:szCs w:val="26"/>
          <w:rtl/>
        </w:rPr>
      </w:pPr>
    </w:p>
    <w:p w14:paraId="2190A5A3" w14:textId="77777777" w:rsidR="00F83313" w:rsidRPr="00AE6016" w:rsidRDefault="00F83313" w:rsidP="00F83313">
      <w:pPr>
        <w:rPr>
          <w:rFonts w:ascii="Arial" w:hAnsi="Arial" w:cs="FrankRuehl"/>
          <w:sz w:val="26"/>
          <w:szCs w:val="26"/>
          <w:rtl/>
        </w:rPr>
      </w:pPr>
      <w:bookmarkStart w:id="6" w:name="ABSTRACT_START"/>
      <w:bookmarkEnd w:id="6"/>
    </w:p>
    <w:p w14:paraId="452F13B7" w14:textId="77777777" w:rsidR="00F83313"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הנאשם הורשע על פי הודאתו בעובדות כתב האישום המתוקן במסגרת הסדר טיעון, בעבירה של חבלה במזיד ברכב, עבירה לפי </w:t>
      </w:r>
      <w:hyperlink r:id="rId22" w:history="1">
        <w:r w:rsidR="00345B5F" w:rsidRPr="00345B5F">
          <w:rPr>
            <w:rFonts w:cs="FrankRuehl"/>
            <w:color w:val="0000FF"/>
            <w:sz w:val="26"/>
            <w:szCs w:val="26"/>
            <w:u w:val="single"/>
            <w:rtl/>
          </w:rPr>
          <w:t>סעיף 413ה'</w:t>
        </w:r>
      </w:hyperlink>
      <w:r w:rsidRPr="00AE6016">
        <w:rPr>
          <w:rFonts w:cs="FrankRuehl"/>
          <w:sz w:val="26"/>
          <w:szCs w:val="26"/>
          <w:rtl/>
        </w:rPr>
        <w:t xml:space="preserve"> ל</w:t>
      </w:r>
      <w:hyperlink r:id="rId23" w:history="1">
        <w:r w:rsidR="008130E1" w:rsidRPr="008130E1">
          <w:rPr>
            <w:rFonts w:cs="FrankRuehl"/>
            <w:color w:val="0000FF"/>
            <w:sz w:val="26"/>
            <w:szCs w:val="26"/>
            <w:u w:val="single"/>
            <w:rtl/>
          </w:rPr>
          <w:t>חוק העונשין</w:t>
        </w:r>
      </w:hyperlink>
      <w:r w:rsidRPr="00AE6016">
        <w:rPr>
          <w:rFonts w:cs="FrankRuehl"/>
          <w:sz w:val="26"/>
          <w:szCs w:val="26"/>
          <w:rtl/>
        </w:rPr>
        <w:t xml:space="preserve">, התשל"ז -1977 ובעבירה של מתן אמצעים לביצוע פשע, עבירה לפי </w:t>
      </w:r>
      <w:hyperlink r:id="rId24" w:history="1">
        <w:r w:rsidR="00345B5F" w:rsidRPr="00345B5F">
          <w:rPr>
            <w:rFonts w:cs="FrankRuehl"/>
            <w:color w:val="0000FF"/>
            <w:sz w:val="26"/>
            <w:szCs w:val="26"/>
            <w:u w:val="single"/>
            <w:rtl/>
          </w:rPr>
          <w:t>סעיף 498</w:t>
        </w:r>
      </w:hyperlink>
      <w:r w:rsidRPr="00AE6016">
        <w:rPr>
          <w:rFonts w:cs="FrankRuehl"/>
          <w:sz w:val="26"/>
          <w:szCs w:val="26"/>
          <w:rtl/>
        </w:rPr>
        <w:t xml:space="preserve"> לחוק העונשין. לא היתה הסכמה לעניין העונש והצדדים טענו לעונש באופן חופשי.  </w:t>
      </w:r>
    </w:p>
    <w:p w14:paraId="3A14217B" w14:textId="77777777" w:rsidR="00F83313" w:rsidRPr="00C27D8D" w:rsidRDefault="00F83313" w:rsidP="00F83313">
      <w:pPr>
        <w:spacing w:line="360" w:lineRule="auto"/>
        <w:ind w:left="785"/>
        <w:contextualSpacing/>
        <w:jc w:val="both"/>
        <w:rPr>
          <w:rFonts w:cs="FrankRuehl"/>
          <w:sz w:val="26"/>
          <w:szCs w:val="26"/>
        </w:rPr>
      </w:pPr>
    </w:p>
    <w:p w14:paraId="315548E5" w14:textId="77777777" w:rsidR="00F83313" w:rsidRPr="00C27D8D" w:rsidRDefault="00F83313" w:rsidP="00F83313">
      <w:pPr>
        <w:spacing w:line="360" w:lineRule="auto"/>
        <w:ind w:left="420"/>
        <w:jc w:val="both"/>
        <w:rPr>
          <w:rFonts w:cs="FrankRuehl"/>
          <w:b/>
          <w:bCs/>
          <w:sz w:val="26"/>
          <w:szCs w:val="26"/>
          <w:u w:val="single"/>
        </w:rPr>
      </w:pPr>
      <w:bookmarkStart w:id="7" w:name="ABSTRACT_END"/>
      <w:bookmarkEnd w:id="7"/>
      <w:r w:rsidRPr="00C27D8D">
        <w:rPr>
          <w:rFonts w:cs="FrankRuehl"/>
          <w:b/>
          <w:bCs/>
          <w:sz w:val="26"/>
          <w:szCs w:val="26"/>
          <w:u w:val="single"/>
          <w:rtl/>
        </w:rPr>
        <w:t xml:space="preserve">עובדות כתב האישום המתוקן: </w:t>
      </w:r>
    </w:p>
    <w:p w14:paraId="2FDA5188"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הנאשם מתגורר בכפר עין נקובא ומצוי בסכסוך עם בני משפחת ברהום המתגוררים בכפר עין ראופה. </w:t>
      </w:r>
    </w:p>
    <w:p w14:paraId="6576AE2A"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lastRenderedPageBreak/>
        <w:t>הנאשם נהג לסייע כלכלית מדי פעם לאדם בשם פיראס בדואן (להלן: "פיראס"). סמוך למחצית שנת 2016 סיכמו הנאשם ופיראס לחבול במזיד ברכבו של מוסטפא רומאן תושב עין ראפה</w:t>
      </w:r>
      <w:r>
        <w:rPr>
          <w:rFonts w:cs="FrankRuehl" w:hint="cs"/>
          <w:sz w:val="26"/>
          <w:szCs w:val="26"/>
          <w:rtl/>
        </w:rPr>
        <w:t xml:space="preserve"> </w:t>
      </w:r>
      <w:r w:rsidRPr="00AE6016">
        <w:rPr>
          <w:rFonts w:cs="FrankRuehl"/>
          <w:sz w:val="26"/>
          <w:szCs w:val="26"/>
          <w:rtl/>
        </w:rPr>
        <w:t xml:space="preserve"> המצוי בקשרי נישואין עם משפחת ברהום (להלן: "המתלונן). </w:t>
      </w:r>
    </w:p>
    <w:p w14:paraId="15046058"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הנאשם מסר לפיראס בקבוק בנזין לצורך הפגיעה ברכב. </w:t>
      </w:r>
    </w:p>
    <w:p w14:paraId="63F0D6B3"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בליל האירוע, פנה פיראס עם אחיו פאדי בדוואן (להלן: "פאדי") אל עבר ביתו של המתלונן בשעה 02:00. </w:t>
      </w:r>
    </w:p>
    <w:p w14:paraId="29697CDA"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במרחק של קילומטר מן הבית נפרד פיראס והתקדם לבדו לעבר רכבו של המתלונן מסוג פולסווגן  פולו ל.ז 68-902-07 (להלן : "הרכב").</w:t>
      </w:r>
    </w:p>
    <w:p w14:paraId="4EE77948"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פיראס שפך את תכולת הבקבוק על גבי חלקו הקדמי של הרכב, אשר חנה בחצר ביתו של המתלונן, והדליק את הבנזין באמצעות מצית. </w:t>
      </w:r>
    </w:p>
    <w:p w14:paraId="2124A0F1"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כתוצאה ממעשי הנאשם ופיראס נשרף חלקו הקדמי של הרכב והמתלונן הפנה אותו לפירוק.</w:t>
      </w:r>
    </w:p>
    <w:p w14:paraId="153EF29A"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במעשיו המתוארים לעיל, הרס הנאשם או פגע במזיד ברכב או בחלקו בצוותא חדא עם אחר. כמו כן, נתן הנאשם כלים או חומרים כשהוא יודע שהם עלולים לשמש לביצוע פשע.   </w:t>
      </w:r>
    </w:p>
    <w:p w14:paraId="2AEDC880" w14:textId="77777777" w:rsidR="00F83313" w:rsidRDefault="00F83313" w:rsidP="00F83313">
      <w:pPr>
        <w:spacing w:line="360" w:lineRule="auto"/>
        <w:ind w:left="420"/>
        <w:jc w:val="both"/>
        <w:rPr>
          <w:rFonts w:cs="FrankRuehl"/>
          <w:b/>
          <w:bCs/>
          <w:sz w:val="26"/>
          <w:szCs w:val="26"/>
          <w:rtl/>
        </w:rPr>
      </w:pPr>
    </w:p>
    <w:p w14:paraId="7F31A612" w14:textId="77777777" w:rsidR="00F83313" w:rsidRPr="00C27D8D" w:rsidRDefault="00F83313" w:rsidP="00F83313">
      <w:pPr>
        <w:spacing w:line="360" w:lineRule="auto"/>
        <w:ind w:left="420"/>
        <w:jc w:val="both"/>
        <w:rPr>
          <w:rFonts w:cs="FrankRuehl"/>
          <w:sz w:val="26"/>
          <w:szCs w:val="26"/>
          <w:u w:val="single"/>
          <w:rtl/>
        </w:rPr>
      </w:pPr>
      <w:r w:rsidRPr="00C27D8D">
        <w:rPr>
          <w:rFonts w:cs="FrankRuehl"/>
          <w:b/>
          <w:bCs/>
          <w:sz w:val="26"/>
          <w:szCs w:val="26"/>
          <w:u w:val="single"/>
          <w:rtl/>
        </w:rPr>
        <w:t>תסקיר שירות המבחן</w:t>
      </w:r>
      <w:r w:rsidRPr="00C27D8D">
        <w:rPr>
          <w:rFonts w:cs="FrankRuehl"/>
          <w:sz w:val="26"/>
          <w:szCs w:val="26"/>
          <w:u w:val="single"/>
          <w:rtl/>
        </w:rPr>
        <w:t xml:space="preserve">: </w:t>
      </w:r>
    </w:p>
    <w:p w14:paraId="2EBCFCFF"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ביום 1.7.19 הוגש תסקיר בעניינו של הנאשם. בתסקיר צוין, כי הנאשם בן 30 נשוי ואב לילד, עובד במוסך בחולון ובעל בית קפה. מהתסקיר עולה כי הנאשם גדל במשפחה נורמטיבית לאבא פנסיונר של משטרת ישראל </w:t>
      </w:r>
      <w:r w:rsidRPr="00AE6016">
        <w:rPr>
          <w:rFonts w:cs="FrankRuehl" w:hint="cs"/>
          <w:sz w:val="26"/>
          <w:szCs w:val="26"/>
          <w:rtl/>
        </w:rPr>
        <w:t>ואימ</w:t>
      </w:r>
      <w:r w:rsidRPr="00AE6016">
        <w:rPr>
          <w:rFonts w:cs="FrankRuehl" w:hint="eastAsia"/>
          <w:sz w:val="26"/>
          <w:szCs w:val="26"/>
          <w:rtl/>
        </w:rPr>
        <w:t>א</w:t>
      </w:r>
      <w:r w:rsidRPr="00AE6016">
        <w:rPr>
          <w:rFonts w:cs="FrankRuehl"/>
          <w:sz w:val="26"/>
          <w:szCs w:val="26"/>
          <w:rtl/>
        </w:rPr>
        <w:t xml:space="preserve"> עקרת בית, עמה יש לו יחסים חמים. הנאשם סיים 12 שנות לימוד ללא תעודת בגרות.  </w:t>
      </w:r>
    </w:p>
    <w:p w14:paraId="2342913D"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לנאשם אין עבר פלילי. ביחס לעבירה נשוא כתב האישום מסר לשירות המבחן, כי ברקע לעבירה ולסכסוך עומד אירוע כמפורט בתסקיר. הנאשם שיתף כי לוקח אחריות על מעשיו, אך כשפיראס הציע לו לפגוע ברכבם כנקמה, לא חשב על ההשלכות האפשריות. הנאשם שלל התנהגות אלימה ומסר כי כיום במצב של פגיעה הוא פונה לגורמי אכיפת החוק. בנוסף ציין כי שתי המשפחות עשו סולחה ביניהן (לא הוצגו מסמכים לגיבוי הטענה). </w:t>
      </w:r>
    </w:p>
    <w:p w14:paraId="4BCA9964"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הנאשם הביע רצון להשתלב בקבוצה טיפולית בשירות המבחן וביטא כוונתו לשמור על אורח חיים נורמטיבי ושומר חוק. </w:t>
      </w:r>
    </w:p>
    <w:p w14:paraId="366B6F10"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כגורמי סיכוי ציין שירות המבחן את עברו הנקי של הנאשם, לקיחת האחריות והבעת החרטה של הנאשם. עוד צוין, כי הנאשם הביע אמפתיה כלפי הנפגע ונכונות לעמוד על התנהגותו העומדת בבסיס העבירה במסגרת טיפול. בנוסף, הנאשם מצליח לשמור על יציבות תעסוקתית ומגלה אחריות כלפי תפקידו כאב משפחה ומפרנס. הנאשם עומד בתנאים מגבילים במשך תקופה ממושכת ושירות המבחן התרשם כי ההליך הפלילי מהווה עבורו גורם מרתיע ומציב גבול.  </w:t>
      </w:r>
    </w:p>
    <w:p w14:paraId="52909B91"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lastRenderedPageBreak/>
        <w:t xml:space="preserve">כגורמי סיכון התרשם שירות המבחן, כי תפיסתו העצמית של הנאשם כמי שמנהל אורח חיים תקין מסייע לו לטשטש צדדים פוגעניים באישיותו. עוד צוין כגורמי סיכון, את פנייתו להתנהגות אלימה במקום הסתייעות בגורמי אכיפת החוק וחומרת העבירות. </w:t>
      </w:r>
    </w:p>
    <w:p w14:paraId="10ACF2F4"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לסיכום, ביקש שירות המבחן לדחות את מתן המלצתם לעוד ארבעה חודשים על מנת שיוכלו לבחון את שילוב הנאשם בקבוצה טיפולית ובהתאם לכך יבואו בהמלצה עונשית. </w:t>
      </w:r>
    </w:p>
    <w:p w14:paraId="55F135FC"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ביום 29.7.19 הוגש תסקיר משלים בו הומלץ על הטלת עונש מאסר קצר שירוצה בעבודות שירות. ההמלצה הוגשה על רקע התרשמותו של שירות המבחן, כי הנאשם אשר נעדר עבר פלילי, לקח אחריות על ביצוע העבירה, מביע חרטה ומכיר בחומרת העבירה. בנוסף צוין, כי הנאשם עומד בתנאים המגבילים במשך תקופה ממושכת וההתרשמות כי ההליך הפלילי מהווה עבורו גורם מרתיע ומציב גבול. שירות המבחן הוסיף, כי ככל והנאשם יבטא הסכמה ומחויבות להשתלב בהליך טיפולי בשירות המבחן יומלץ על צו מבחן לשנה. </w:t>
      </w:r>
    </w:p>
    <w:p w14:paraId="21B0D8FE"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ביום 13.11.19 התקיים דיון, אשר היה קבוע לטיעונים לעונש, בפתח הדיון טענה המאשימה כי יש שינוי נסיבות אשר יש בו כדי לדחות את מועד הטיעונים לעונש על מנת לבחון מחדש את המלצות התסקיר. לפיכך נעתרתי לבקשת המאשימה והורתי לשירות המבחן להגיש תסקיר משלים בעניינו של הנאשם. </w:t>
      </w:r>
    </w:p>
    <w:p w14:paraId="188156F3"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ביום 1.12.19 הוגש תסקיר משלים, בו עדכן שירות המבחן, כי הנאשם נעצר ביום 3.8.19 בגין חשד לביצוע עבירות חבלה בנסיבות מחמירות, אותן ביצע לכאורה על אף היותו בתנאים מגבילים ותוך הליך משפטי. נוכח האמור, ציין שירות המבחן כי ייתכן וההליך הפלילי לא מהווה עבור הנאשם גורם מרתיע ומציב גבול וקיים ספק באשר להפקת תועלת מהליך שיקומי במסגרת שירות המבחן. שירות המבחן, ציין כי  נדרש פרק זמן ממושך יותר בכדי לבחון יכולתו של הנאשם להירתם להליך השיקומי ולבוא בהמלצה סופית ואינם יכולים לבוא בהמלצה בעת הזאת. </w:t>
      </w:r>
    </w:p>
    <w:p w14:paraId="34F1777A" w14:textId="77777777" w:rsidR="00F83313" w:rsidRPr="00C27D8D" w:rsidRDefault="00F83313" w:rsidP="00F83313">
      <w:pPr>
        <w:spacing w:line="360" w:lineRule="auto"/>
        <w:ind w:left="780"/>
        <w:contextualSpacing/>
        <w:jc w:val="both"/>
        <w:rPr>
          <w:rFonts w:cs="FrankRuehl"/>
          <w:b/>
          <w:bCs/>
          <w:sz w:val="16"/>
          <w:szCs w:val="16"/>
          <w:rtl/>
        </w:rPr>
      </w:pPr>
    </w:p>
    <w:p w14:paraId="2E815CF0" w14:textId="77777777" w:rsidR="00F83313" w:rsidRPr="00C27D8D" w:rsidRDefault="00F83313" w:rsidP="00F83313">
      <w:pPr>
        <w:spacing w:line="360" w:lineRule="auto"/>
        <w:ind w:left="780"/>
        <w:contextualSpacing/>
        <w:jc w:val="both"/>
        <w:rPr>
          <w:rFonts w:cs="FrankRuehl"/>
          <w:b/>
          <w:bCs/>
          <w:sz w:val="26"/>
          <w:szCs w:val="26"/>
          <w:u w:val="single"/>
          <w:rtl/>
        </w:rPr>
      </w:pPr>
      <w:r w:rsidRPr="00C27D8D">
        <w:rPr>
          <w:rFonts w:cs="FrankRuehl"/>
          <w:b/>
          <w:bCs/>
          <w:sz w:val="26"/>
          <w:szCs w:val="26"/>
          <w:u w:val="single"/>
          <w:rtl/>
        </w:rPr>
        <w:t xml:space="preserve">טיעוני </w:t>
      </w:r>
      <w:r w:rsidRPr="00C27D8D">
        <w:rPr>
          <w:rFonts w:cs="FrankRuehl" w:hint="cs"/>
          <w:b/>
          <w:bCs/>
          <w:sz w:val="26"/>
          <w:szCs w:val="26"/>
          <w:u w:val="single"/>
          <w:rtl/>
        </w:rPr>
        <w:t xml:space="preserve"> </w:t>
      </w:r>
      <w:r w:rsidRPr="00C27D8D">
        <w:rPr>
          <w:rFonts w:cs="FrankRuehl"/>
          <w:b/>
          <w:bCs/>
          <w:sz w:val="26"/>
          <w:szCs w:val="26"/>
          <w:u w:val="single"/>
          <w:rtl/>
        </w:rPr>
        <w:t>המאשימה לעונש:</w:t>
      </w:r>
    </w:p>
    <w:p w14:paraId="33D71FF5"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המאשימה ציינה כי לנאשם אין הרשעות קודמות. </w:t>
      </w:r>
    </w:p>
    <w:p w14:paraId="5EF1B964"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מבחינת הערכים שנפגעו, הצביעה המאשימה על פגיעה בקניין, בסדר הציבורי בשלומם ושלמות גופם של נפגעי העבירה. המאשימה ציינה כי נפגע העבירה כלל אינו קשור לסכסוך והוא נפל קורבן רק בשל חטאו היחיד שהוא קרוב משפחה של המשפחה המסוכסכת עם הנאשם. עובדה זו מלמדת על אופן החשיבה של הנאשם שבמסגרת סכסוך הכל כשר והכל מותר.  </w:t>
      </w:r>
    </w:p>
    <w:p w14:paraId="7A6224CA"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המאשימה ציינה, כי אומנם הנאשם הוא לא אשר הצית את המכונית בפועל, אך יש לראות בו כמבצע העיקרי, שכן המניע לביצוע העבירה היה הסכסוך שלו עם משפחת נפגע העבירה ולפיראס  אין כל עניין אישי בסכסוך זה. בנוסף, הנאשם הוא אשר נתן לפיראס את האמצעים להצית את הרכב והדבר מלמד על חלקו העיקרי של הנאשם. דגש נוסף הוא היחסים בין הנאשם לפיראס אשר היה נעזר בנאשם כלכלית ולכן גם היה לו קשה לסרב לבקשותיו.</w:t>
      </w:r>
    </w:p>
    <w:p w14:paraId="222A5611"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באשר לנזק, נגרם נזק בפועל לרכב אשר בעליו הפנה אותו לפירוק אחרי האירוע. בנוסף לא ניתן להתעלם מהנזק הפוטנציאלי בעקבות הפגיעה. הרכב היה ממוקם מתחת לבית מגורים, כך שלא ניתן לדעת כיצד האירוע יכול היה להסתיים. </w:t>
      </w:r>
    </w:p>
    <w:p w14:paraId="4D34873E" w14:textId="77777777" w:rsidR="00F83313" w:rsidRPr="00AE6016" w:rsidRDefault="00F83313" w:rsidP="00F83313">
      <w:pPr>
        <w:numPr>
          <w:ilvl w:val="0"/>
          <w:numId w:val="1"/>
        </w:numPr>
        <w:spacing w:line="360" w:lineRule="auto"/>
        <w:ind w:left="785"/>
        <w:contextualSpacing/>
        <w:jc w:val="both"/>
        <w:rPr>
          <w:rFonts w:cs="FrankRuehl"/>
          <w:sz w:val="26"/>
          <w:szCs w:val="26"/>
          <w:rtl/>
        </w:rPr>
      </w:pPr>
      <w:r w:rsidRPr="00AE6016">
        <w:rPr>
          <w:rFonts w:cs="FrankRuehl"/>
          <w:sz w:val="26"/>
          <w:szCs w:val="26"/>
          <w:rtl/>
        </w:rPr>
        <w:t>המאשימה הפנתה לעניינו של שותפו לעבירה של הנאשם פיראס (</w:t>
      </w:r>
      <w:hyperlink r:id="rId25" w:history="1">
        <w:r w:rsidR="008130E1" w:rsidRPr="008130E1">
          <w:rPr>
            <w:rFonts w:cs="FrankRuehl"/>
            <w:color w:val="0000FF"/>
            <w:sz w:val="26"/>
            <w:szCs w:val="26"/>
            <w:u w:val="single"/>
            <w:rtl/>
          </w:rPr>
          <w:t>ע"פ 2231/18</w:t>
        </w:r>
      </w:hyperlink>
      <w:r w:rsidRPr="00AE6016">
        <w:rPr>
          <w:rFonts w:cs="FrankRuehl"/>
          <w:sz w:val="26"/>
          <w:szCs w:val="26"/>
          <w:rtl/>
        </w:rPr>
        <w:t xml:space="preserve"> </w:t>
      </w:r>
      <w:r w:rsidRPr="00AE6016">
        <w:rPr>
          <w:rFonts w:cs="FrankRuehl"/>
          <w:b/>
          <w:bCs/>
          <w:sz w:val="26"/>
          <w:szCs w:val="26"/>
          <w:rtl/>
        </w:rPr>
        <w:t>פראס בדוואן נ' מדינת ישראל</w:t>
      </w:r>
      <w:r w:rsidRPr="00AE6016">
        <w:rPr>
          <w:rFonts w:cs="FrankRuehl"/>
          <w:sz w:val="26"/>
          <w:szCs w:val="26"/>
          <w:rtl/>
        </w:rPr>
        <w:t xml:space="preserve">) אשר הורשע במסגרת הסדר טיעון בעבירה של הצתה לפי </w:t>
      </w:r>
      <w:hyperlink r:id="rId26" w:history="1">
        <w:r w:rsidR="00345B5F" w:rsidRPr="00345B5F">
          <w:rPr>
            <w:rFonts w:cs="FrankRuehl"/>
            <w:color w:val="0000FF"/>
            <w:sz w:val="26"/>
            <w:szCs w:val="26"/>
            <w:u w:val="single"/>
            <w:rtl/>
          </w:rPr>
          <w:t>סעיף 448</w:t>
        </w:r>
      </w:hyperlink>
      <w:r w:rsidRPr="00AE6016">
        <w:rPr>
          <w:rFonts w:cs="FrankRuehl"/>
          <w:sz w:val="26"/>
          <w:szCs w:val="26"/>
          <w:rtl/>
        </w:rPr>
        <w:t xml:space="preserve"> רישא לחוק ובעבירה של נשיאה והובלה של נשק לפי </w:t>
      </w:r>
      <w:hyperlink r:id="rId27" w:history="1">
        <w:r w:rsidR="00345B5F" w:rsidRPr="00345B5F">
          <w:rPr>
            <w:rFonts w:cs="FrankRuehl"/>
            <w:color w:val="0000FF"/>
            <w:sz w:val="26"/>
            <w:szCs w:val="26"/>
            <w:u w:val="single"/>
            <w:rtl/>
          </w:rPr>
          <w:t>סעיף 144(ב')</w:t>
        </w:r>
      </w:hyperlink>
      <w:r w:rsidRPr="00AE6016">
        <w:rPr>
          <w:rFonts w:cs="FrankRuehl"/>
          <w:sz w:val="26"/>
          <w:szCs w:val="26"/>
          <w:rtl/>
        </w:rPr>
        <w:t xml:space="preserve"> רישא לחוק. בפסק דינו של בית המשפט העליון (במסגרת ערעור שהוגש כנגד גזר הדין) נקבע, כי יש מקום להקל בעונשו של פיראס אשר הושת עליו בבית המשפט המחוזי. זאת משום שהמבצע העיקרי הוא הנאשם בענייננו, אשר סיפק לפיראס את הכלים לביצוע העבירה. לפיכך הוקל עונשו של פיראס ממאסר בפועל של 32 חודשים אשר נקבע בבית משפט קמא למאסר בפועל  של 26 חודשים.</w:t>
      </w:r>
    </w:p>
    <w:p w14:paraId="733530C9"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המאשימה הפנתה לפסיקה נוספת </w:t>
      </w:r>
      <w:hyperlink r:id="rId28" w:history="1">
        <w:r w:rsidR="008130E1" w:rsidRPr="008130E1">
          <w:rPr>
            <w:rFonts w:cs="FrankRuehl"/>
            <w:color w:val="0000FF"/>
            <w:sz w:val="26"/>
            <w:szCs w:val="26"/>
            <w:u w:val="single"/>
            <w:rtl/>
          </w:rPr>
          <w:t>ע"פ 7887/12</w:t>
        </w:r>
      </w:hyperlink>
      <w:r w:rsidRPr="00AE6016">
        <w:rPr>
          <w:rFonts w:cs="FrankRuehl"/>
          <w:sz w:val="26"/>
          <w:szCs w:val="26"/>
          <w:rtl/>
        </w:rPr>
        <w:t xml:space="preserve"> </w:t>
      </w:r>
      <w:r w:rsidRPr="00AE6016">
        <w:rPr>
          <w:rFonts w:cs="FrankRuehl"/>
          <w:b/>
          <w:bCs/>
          <w:sz w:val="26"/>
          <w:szCs w:val="26"/>
          <w:rtl/>
        </w:rPr>
        <w:t>מאיר שאול נ' מדינת ישראל</w:t>
      </w:r>
      <w:r w:rsidRPr="00AE6016">
        <w:rPr>
          <w:rFonts w:cs="FrankRuehl"/>
          <w:sz w:val="26"/>
          <w:szCs w:val="26"/>
          <w:rtl/>
        </w:rPr>
        <w:t xml:space="preserve">, ערעור על חומרת העונש שגזר בית המשפט המחוזי של 30 חודשי מאסר בגין עבירת הצתה לפי </w:t>
      </w:r>
      <w:hyperlink r:id="rId29" w:history="1">
        <w:r w:rsidR="00345B5F" w:rsidRPr="00345B5F">
          <w:rPr>
            <w:rFonts w:cs="FrankRuehl"/>
            <w:color w:val="0000FF"/>
            <w:sz w:val="26"/>
            <w:szCs w:val="26"/>
            <w:u w:val="single"/>
            <w:rtl/>
          </w:rPr>
          <w:t>סעיף 448(א)</w:t>
        </w:r>
      </w:hyperlink>
      <w:r w:rsidRPr="00AE6016">
        <w:rPr>
          <w:rFonts w:cs="FrankRuehl"/>
          <w:sz w:val="26"/>
          <w:szCs w:val="26"/>
          <w:rtl/>
        </w:rPr>
        <w:t xml:space="preserve"> רישא לחוק. באותו מקרה, בין המערער למתלונן היה סכסוך מתמשך, בעקבותיו ניגש המערער לתחנת דלק מילא מיכל פלסטיק בדלק ובסמוך לכך הצית בקבוקי פלסטיק והשליכם במזיד לעבר מגרש. כתוצאה מכך, נשרף ציוד רב השייך למתלונן ולשותפו אשר אוחסן במגרש. בית המשפט העליון דחה את הערעור. </w:t>
      </w:r>
    </w:p>
    <w:p w14:paraId="5A9D7200"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ב</w:t>
      </w:r>
      <w:hyperlink r:id="rId30" w:history="1">
        <w:r w:rsidR="008130E1" w:rsidRPr="008130E1">
          <w:rPr>
            <w:rFonts w:cs="FrankRuehl"/>
            <w:color w:val="0000FF"/>
            <w:sz w:val="26"/>
            <w:szCs w:val="26"/>
            <w:u w:val="single"/>
            <w:rtl/>
          </w:rPr>
          <w:t>ע"פ 1846/13</w:t>
        </w:r>
      </w:hyperlink>
      <w:r w:rsidRPr="00AE6016">
        <w:rPr>
          <w:rFonts w:cs="FrankRuehl"/>
          <w:sz w:val="26"/>
          <w:szCs w:val="26"/>
          <w:rtl/>
        </w:rPr>
        <w:t xml:space="preserve"> </w:t>
      </w:r>
      <w:r w:rsidRPr="00AE6016">
        <w:rPr>
          <w:rFonts w:cs="FrankRuehl"/>
          <w:b/>
          <w:bCs/>
          <w:sz w:val="26"/>
          <w:szCs w:val="26"/>
          <w:rtl/>
        </w:rPr>
        <w:t>ג'מאל עמאש נ' מדינת ישראל</w:t>
      </w:r>
      <w:r w:rsidRPr="00AE6016">
        <w:rPr>
          <w:rFonts w:cs="FrankRuehl"/>
          <w:sz w:val="26"/>
          <w:szCs w:val="26"/>
          <w:rtl/>
        </w:rPr>
        <w:t>, דחה בית המשפט העליון ערעור על חומרת העונש. שם המערערים הציתו רכב שהיה בבעלות משותפת של המערער והמתלונן על רקע סכסוך בנוגע לאחזקת הרכב. מערער 2 גם נהג ברכב בלי שהיה לו רישיון נהיגה תקף וללא פוליסת ביטוח תקפה, לפיכך הורשע גם בעבירה של נהיגה ללא רישיון נהיגה ובעבירה של קשירת קשר לביצוע פשע. בית המשפט הותיר את העונשים הבאים למערער 1- 27 חודשי מאסר בפועל ולמערער 2- 38 חודשי מאסר והפעלת מאסר על תנאי בן 6 חודשים לריצוי במצטבר כך שבסה"כ ירצה 44 חודשי מאסר.</w:t>
      </w:r>
    </w:p>
    <w:p w14:paraId="652B41E4"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 </w:t>
      </w:r>
      <w:hyperlink r:id="rId31" w:history="1">
        <w:r w:rsidR="008130E1" w:rsidRPr="008130E1">
          <w:rPr>
            <w:rFonts w:cs="FrankRuehl"/>
            <w:color w:val="0000FF"/>
            <w:sz w:val="26"/>
            <w:szCs w:val="26"/>
            <w:u w:val="single"/>
            <w:rtl/>
          </w:rPr>
          <w:t>ע"פ 907/14</w:t>
        </w:r>
      </w:hyperlink>
      <w:r w:rsidRPr="00AE6016">
        <w:rPr>
          <w:rFonts w:cs="FrankRuehl"/>
          <w:sz w:val="26"/>
          <w:szCs w:val="26"/>
          <w:rtl/>
        </w:rPr>
        <w:t xml:space="preserve"> </w:t>
      </w:r>
      <w:r w:rsidRPr="00AE6016">
        <w:rPr>
          <w:rFonts w:cs="FrankRuehl"/>
          <w:b/>
          <w:bCs/>
          <w:sz w:val="26"/>
          <w:szCs w:val="26"/>
          <w:rtl/>
        </w:rPr>
        <w:t>דניאל רחמים נ' מדינת ישראל</w:t>
      </w:r>
      <w:r w:rsidRPr="00AE6016">
        <w:rPr>
          <w:rFonts w:cs="FrankRuehl"/>
          <w:sz w:val="26"/>
          <w:szCs w:val="26"/>
          <w:rtl/>
        </w:rPr>
        <w:t xml:space="preserve">. נדחה הערעור על חומרת העונש של 30 חודשי מאסר והפעלת עונש  מאסר על תנאי של 6 חודשים שהופעל במצטבר בגין עבירת ההצתה לפי </w:t>
      </w:r>
      <w:hyperlink r:id="rId32" w:history="1">
        <w:r w:rsidR="00345B5F" w:rsidRPr="00345B5F">
          <w:rPr>
            <w:rFonts w:cs="FrankRuehl"/>
            <w:color w:val="0000FF"/>
            <w:sz w:val="26"/>
            <w:szCs w:val="26"/>
            <w:u w:val="single"/>
            <w:rtl/>
          </w:rPr>
          <w:t>סעיף 448(א)</w:t>
        </w:r>
      </w:hyperlink>
      <w:r w:rsidRPr="00AE6016">
        <w:rPr>
          <w:rFonts w:cs="FrankRuehl"/>
          <w:sz w:val="26"/>
          <w:szCs w:val="26"/>
          <w:rtl/>
        </w:rPr>
        <w:t xml:space="preserve"> לחוק ועבירה של קשירת קשר לביצוע פשע לפי </w:t>
      </w:r>
      <w:hyperlink r:id="rId33" w:history="1">
        <w:r w:rsidR="00345B5F" w:rsidRPr="00345B5F">
          <w:rPr>
            <w:rFonts w:cs="FrankRuehl"/>
            <w:color w:val="0000FF"/>
            <w:sz w:val="26"/>
            <w:szCs w:val="26"/>
            <w:u w:val="single"/>
            <w:rtl/>
          </w:rPr>
          <w:t>סעיף 449(א)(1).</w:t>
        </w:r>
      </w:hyperlink>
      <w:r w:rsidRPr="00AE6016">
        <w:rPr>
          <w:rFonts w:cs="FrankRuehl"/>
          <w:sz w:val="26"/>
          <w:szCs w:val="26"/>
          <w:rtl/>
        </w:rPr>
        <w:t xml:space="preserve"> המערער קשר קשר עם קטין להצית רכבה של המתלוננת ילידת 1938, בשל העובדה שיום לפני כן בקשה ממנו להזיז את רכבו אותו חנה על המדרכה מול ביתה.  </w:t>
      </w:r>
    </w:p>
    <w:p w14:paraId="478BA424"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המאשימה ציינה, כי לקחה בחשבון את העובדה שהנאשם הודה וחסך זמן שיפוטי, יחד עם זאת יש לשים לב שהודה באמצע הוכחות במעשים קלים יותר מהאישומים במסגרת כתב האישום המקורי. עוד ציינה המאשימה, כי בהתאם לתסקיר האחרון בעניינו של הנאשם  לקיחת אחריותו למעשה הינה פורמלית בלבד והתיק האחרון שנפתח בעניינו מלמד כי ההליך הפלילי לא מהווה גורם מרתיע עבורו. </w:t>
      </w:r>
    </w:p>
    <w:p w14:paraId="5324CA86" w14:textId="77777777" w:rsidR="00F83313"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לאור האמור סבורה המאשימה, כי יש לקבוע מתחם ענישה בעניינו של הנאשם הנע בין 20 ל-40 חודשי מאסר בפועל ולמקם את הנאשם ברף העליון של השליש התחתון, קרי, 26 חודשי מאסר. בנוסף עתרה המאשימה לגזור על הנאשם מאסר על תנאי, קנס ופיצוי לבעל הרכב.</w:t>
      </w:r>
    </w:p>
    <w:p w14:paraId="457A6187" w14:textId="77777777" w:rsidR="00F83313" w:rsidRPr="00C27D8D" w:rsidRDefault="00F83313" w:rsidP="00F83313">
      <w:pPr>
        <w:spacing w:line="360" w:lineRule="auto"/>
        <w:contextualSpacing/>
        <w:jc w:val="both"/>
        <w:rPr>
          <w:rFonts w:cs="FrankRuehl"/>
          <w:sz w:val="12"/>
          <w:szCs w:val="12"/>
        </w:rPr>
      </w:pPr>
    </w:p>
    <w:p w14:paraId="02FC52A3" w14:textId="77777777" w:rsidR="00F83313" w:rsidRPr="00C27D8D" w:rsidRDefault="00F83313" w:rsidP="00F83313">
      <w:pPr>
        <w:spacing w:line="360" w:lineRule="auto"/>
        <w:ind w:left="420"/>
        <w:contextualSpacing/>
        <w:jc w:val="both"/>
        <w:rPr>
          <w:rFonts w:cs="FrankRuehl"/>
          <w:sz w:val="26"/>
          <w:szCs w:val="26"/>
          <w:u w:val="single"/>
        </w:rPr>
      </w:pPr>
      <w:r w:rsidRPr="00C27D8D">
        <w:rPr>
          <w:rFonts w:cs="FrankRuehl"/>
          <w:b/>
          <w:bCs/>
          <w:sz w:val="26"/>
          <w:szCs w:val="26"/>
          <w:u w:val="single"/>
          <w:rtl/>
        </w:rPr>
        <w:t>טיעוני ב"כ הנאשם לעונש</w:t>
      </w:r>
      <w:r w:rsidRPr="00C27D8D">
        <w:rPr>
          <w:rFonts w:cs="FrankRuehl"/>
          <w:sz w:val="26"/>
          <w:szCs w:val="26"/>
          <w:u w:val="single"/>
          <w:rtl/>
        </w:rPr>
        <w:t xml:space="preserve">:  </w:t>
      </w:r>
    </w:p>
    <w:p w14:paraId="24FADB7B"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לנאשם אין עבר פלילי וזוהי הסתבכותו הראשונה עם החוק. </w:t>
      </w:r>
    </w:p>
    <w:p w14:paraId="46C2D43A"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הפסיקה אותה הגישה המאשימה אינה רלוונטית, שכן היא מדברת על הצתה שעה שבעניינו מדובר בעבירת היזק לרכב, עבירת עוון שנידונה בבתי משפט השלום. </w:t>
      </w:r>
    </w:p>
    <w:p w14:paraId="3B549E0C"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הנאשם היה במעצר ממושך במהלך פרשה זו החל מיום 11.5.17 ועד ליום 8.8.17, כאשר לאחר מכן נעצר </w:t>
      </w:r>
      <w:r w:rsidRPr="00AE6016">
        <w:rPr>
          <w:rFonts w:cs="FrankRuehl" w:hint="cs"/>
          <w:sz w:val="26"/>
          <w:szCs w:val="26"/>
          <w:rtl/>
        </w:rPr>
        <w:t>באזוק</w:t>
      </w:r>
      <w:r w:rsidRPr="00AE6016">
        <w:rPr>
          <w:rFonts w:cs="FrankRuehl"/>
          <w:sz w:val="26"/>
          <w:szCs w:val="26"/>
          <w:rtl/>
        </w:rPr>
        <w:t xml:space="preserve"> אלקטרוני למשך 5 חודשים. הפסיקה הכירה כי יש להתחשב גם בתקופת מעצר באזוק אלקטרוני. </w:t>
      </w:r>
    </w:p>
    <w:p w14:paraId="383FF831"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מדובר בעבירה שבוצעה לפני 3.5 שנים, כאשר כתב האישום המקורי דיבר על שני </w:t>
      </w:r>
      <w:r w:rsidRPr="00AE6016">
        <w:rPr>
          <w:rFonts w:cs="FrankRuehl" w:hint="cs"/>
          <w:sz w:val="26"/>
          <w:szCs w:val="26"/>
          <w:rtl/>
        </w:rPr>
        <w:t>אישומם</w:t>
      </w:r>
      <w:r w:rsidRPr="00AE6016">
        <w:rPr>
          <w:rFonts w:cs="FrankRuehl"/>
          <w:sz w:val="26"/>
          <w:szCs w:val="26"/>
          <w:rtl/>
        </w:rPr>
        <w:t xml:space="preserve"> ובמסגרת כתב האישום המתוקן אישום אחד נמחק. מאז האירוע במשך 3.5 שנים אין לנאשם שום הפרה חוקית. ולגבי "העננה" שמרחפת בשל האמור בתסקיר החדש, טען ב"כ הנאשם, כי באוגוסט 2019 תקפו בני משפחה יריבה את משפחתו של הנאשם והנאשם ברח עם מכוניתו ופגע באדם שלא במתכוון. הנאשם הסביר את הדברים במשטרה ולא בכדי שוחרר הנאשם והמדינה לא הגישה ערעור על כך.   </w:t>
      </w:r>
    </w:p>
    <w:p w14:paraId="092154BC"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ב"כ הנאשם הדגיש, שהעבירה בה הורשע שותפו של הנאשם היא החזקת אמל"ח והצתה, בענייננו מדובר בעבירה קלה הרבה יותר של חבלה במזיד שהעונש בצידה הוא שליש מהעונש שבצד עבירת ההצתה. לפיכך, לדידו, אין להתייחס לאמירת בית המשפט העליון בתיק של פיראס לפיה, הנאשם בענייננו הוא הרוח החיה מאחורי המעשה, שכן מדובר בשני כתבי אישום שונים עם תשתית ראייתית שונה בכל כתב אישום. </w:t>
      </w:r>
    </w:p>
    <w:p w14:paraId="5EBC571C"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ב"כ הנאשם הגיש פסיקה. </w:t>
      </w:r>
      <w:hyperlink r:id="rId34" w:history="1">
        <w:r w:rsidR="008130E1" w:rsidRPr="008130E1">
          <w:rPr>
            <w:rFonts w:cs="FrankRuehl"/>
            <w:color w:val="0000FF"/>
            <w:sz w:val="26"/>
            <w:szCs w:val="26"/>
            <w:u w:val="single"/>
            <w:rtl/>
          </w:rPr>
          <w:t>ת"פ 45215-03-13</w:t>
        </w:r>
      </w:hyperlink>
      <w:r w:rsidRPr="00AE6016">
        <w:rPr>
          <w:rFonts w:cs="FrankRuehl"/>
          <w:sz w:val="26"/>
          <w:szCs w:val="26"/>
          <w:rtl/>
        </w:rPr>
        <w:t xml:space="preserve"> </w:t>
      </w:r>
      <w:r w:rsidRPr="00AE6016">
        <w:rPr>
          <w:rFonts w:cs="FrankRuehl"/>
          <w:b/>
          <w:bCs/>
          <w:sz w:val="26"/>
          <w:szCs w:val="26"/>
          <w:rtl/>
        </w:rPr>
        <w:t>מדינת ישראל נ' אדם אליאסין</w:t>
      </w:r>
      <w:r w:rsidRPr="00AE6016">
        <w:rPr>
          <w:rFonts w:cs="FrankRuehl"/>
          <w:sz w:val="26"/>
          <w:szCs w:val="26"/>
          <w:rtl/>
        </w:rPr>
        <w:t xml:space="preserve"> (בית משפט השלום עכו) - שם הנאשם הורשע בעבירות של תקיפת שוטר בנסיבות מחמירות, לפי סעיף </w:t>
      </w:r>
      <w:hyperlink r:id="rId35" w:history="1">
        <w:r w:rsidR="00345B5F" w:rsidRPr="00345B5F">
          <w:rPr>
            <w:rFonts w:cs="FrankRuehl"/>
            <w:color w:val="0000FF"/>
            <w:sz w:val="26"/>
            <w:szCs w:val="26"/>
            <w:u w:val="single"/>
            <w:rtl/>
          </w:rPr>
          <w:t>274</w:t>
        </w:r>
      </w:hyperlink>
      <w:r w:rsidRPr="00AE6016">
        <w:rPr>
          <w:rFonts w:cs="FrankRuehl"/>
          <w:sz w:val="26"/>
          <w:szCs w:val="26"/>
          <w:rtl/>
        </w:rPr>
        <w:t xml:space="preserve">(/) לחוק, הפרעה לשוטר במילוי תפקידו לפי </w:t>
      </w:r>
      <w:hyperlink r:id="rId36" w:history="1">
        <w:r w:rsidR="00345B5F" w:rsidRPr="00345B5F">
          <w:rPr>
            <w:rFonts w:cs="FrankRuehl"/>
            <w:color w:val="0000FF"/>
            <w:sz w:val="26"/>
            <w:szCs w:val="26"/>
            <w:u w:val="single"/>
            <w:rtl/>
          </w:rPr>
          <w:t>סעיף 275</w:t>
        </w:r>
      </w:hyperlink>
      <w:r w:rsidRPr="00AE6016">
        <w:rPr>
          <w:rFonts w:cs="FrankRuehl"/>
          <w:sz w:val="26"/>
          <w:szCs w:val="26"/>
          <w:rtl/>
        </w:rPr>
        <w:t xml:space="preserve"> לחוק וחבלה במזיד לפי </w:t>
      </w:r>
      <w:hyperlink r:id="rId37" w:history="1">
        <w:r w:rsidR="00345B5F" w:rsidRPr="00345B5F">
          <w:rPr>
            <w:rFonts w:cs="FrankRuehl"/>
            <w:color w:val="0000FF"/>
            <w:sz w:val="26"/>
            <w:szCs w:val="26"/>
            <w:u w:val="single"/>
            <w:rtl/>
          </w:rPr>
          <w:t>סעיף 413ה</w:t>
        </w:r>
      </w:hyperlink>
      <w:r w:rsidRPr="00AE6016">
        <w:rPr>
          <w:rFonts w:cs="FrankRuehl"/>
          <w:sz w:val="26"/>
          <w:szCs w:val="26"/>
          <w:rtl/>
        </w:rPr>
        <w:t xml:space="preserve"> לחוק. נקבע מתחם הכולל מאסר על תנאי עד למאסר בפועל של 8 חודשים וקנס כספי. לבסוף נגזרו מאסרים מותנים, של"צ בהיקף של 180 שעות וקנס כספי. </w:t>
      </w:r>
    </w:p>
    <w:p w14:paraId="7A66AA74" w14:textId="77777777" w:rsidR="00F83313" w:rsidRPr="00AE6016" w:rsidRDefault="008130E1" w:rsidP="00F83313">
      <w:pPr>
        <w:numPr>
          <w:ilvl w:val="0"/>
          <w:numId w:val="1"/>
        </w:numPr>
        <w:spacing w:line="360" w:lineRule="auto"/>
        <w:ind w:left="785"/>
        <w:contextualSpacing/>
        <w:jc w:val="both"/>
        <w:rPr>
          <w:rFonts w:cs="FrankRuehl"/>
          <w:sz w:val="26"/>
          <w:szCs w:val="26"/>
        </w:rPr>
      </w:pPr>
      <w:hyperlink r:id="rId38" w:history="1">
        <w:r w:rsidRPr="008130E1">
          <w:rPr>
            <w:rFonts w:cs="FrankRuehl"/>
            <w:color w:val="0000FF"/>
            <w:sz w:val="26"/>
            <w:szCs w:val="26"/>
            <w:u w:val="single"/>
            <w:rtl/>
          </w:rPr>
          <w:t>ת"פ 31087-09-14</w:t>
        </w:r>
      </w:hyperlink>
      <w:r w:rsidR="00F83313" w:rsidRPr="00AE6016">
        <w:rPr>
          <w:rFonts w:cs="FrankRuehl"/>
          <w:sz w:val="26"/>
          <w:szCs w:val="26"/>
          <w:rtl/>
        </w:rPr>
        <w:t xml:space="preserve"> </w:t>
      </w:r>
      <w:r w:rsidR="00F83313" w:rsidRPr="00AE6016">
        <w:rPr>
          <w:rFonts w:cs="FrankRuehl"/>
          <w:b/>
          <w:bCs/>
          <w:sz w:val="26"/>
          <w:szCs w:val="26"/>
          <w:rtl/>
        </w:rPr>
        <w:t xml:space="preserve">מדינת ישראל נ' מסרי אח' (מחוזי) </w:t>
      </w:r>
      <w:r w:rsidR="00F83313" w:rsidRPr="00AE6016">
        <w:rPr>
          <w:rFonts w:cs="FrankRuehl"/>
          <w:sz w:val="26"/>
          <w:szCs w:val="26"/>
          <w:rtl/>
        </w:rPr>
        <w:t xml:space="preserve">הנאשמים הורשעו בעבירות של חבלה במזיד ברכב עבירה לפי סעיף </w:t>
      </w:r>
      <w:hyperlink r:id="rId39" w:history="1">
        <w:r w:rsidR="00345B5F" w:rsidRPr="00345B5F">
          <w:rPr>
            <w:rFonts w:cs="FrankRuehl"/>
            <w:color w:val="0000FF"/>
            <w:sz w:val="26"/>
            <w:szCs w:val="26"/>
            <w:u w:val="single"/>
            <w:rtl/>
          </w:rPr>
          <w:t>413ה</w:t>
        </w:r>
      </w:hyperlink>
      <w:r w:rsidR="00F83313" w:rsidRPr="00AE6016">
        <w:rPr>
          <w:rFonts w:cs="FrankRuehl"/>
          <w:sz w:val="26"/>
          <w:szCs w:val="26"/>
          <w:rtl/>
        </w:rPr>
        <w:t xml:space="preserve">+ </w:t>
      </w:r>
      <w:hyperlink r:id="rId40" w:history="1">
        <w:r w:rsidR="00345B5F" w:rsidRPr="00345B5F">
          <w:rPr>
            <w:rFonts w:cs="FrankRuehl"/>
            <w:color w:val="0000FF"/>
            <w:sz w:val="26"/>
            <w:szCs w:val="26"/>
            <w:u w:val="single"/>
            <w:rtl/>
          </w:rPr>
          <w:t>סעיף 29</w:t>
        </w:r>
      </w:hyperlink>
      <w:r w:rsidR="00F83313" w:rsidRPr="00AE6016">
        <w:rPr>
          <w:rFonts w:cs="FrankRuehl"/>
          <w:sz w:val="26"/>
          <w:szCs w:val="26"/>
          <w:rtl/>
        </w:rPr>
        <w:t xml:space="preserve"> לחוק ועבירה של מעשי פזיזות ורשלנות עבירה לפי </w:t>
      </w:r>
      <w:hyperlink r:id="rId41" w:history="1">
        <w:r w:rsidR="00345B5F" w:rsidRPr="00345B5F">
          <w:rPr>
            <w:rFonts w:cs="FrankRuehl"/>
            <w:color w:val="0000FF"/>
            <w:sz w:val="26"/>
            <w:szCs w:val="26"/>
            <w:u w:val="single"/>
            <w:rtl/>
          </w:rPr>
          <w:t>סעיף 338(א)(3)+</w:t>
        </w:r>
      </w:hyperlink>
      <w:r w:rsidR="00F83313" w:rsidRPr="00AE6016">
        <w:rPr>
          <w:rFonts w:cs="FrankRuehl"/>
          <w:sz w:val="26"/>
          <w:szCs w:val="26"/>
          <w:rtl/>
        </w:rPr>
        <w:t xml:space="preserve"> </w:t>
      </w:r>
      <w:hyperlink r:id="rId42" w:history="1">
        <w:r w:rsidR="00345B5F" w:rsidRPr="00345B5F">
          <w:rPr>
            <w:rFonts w:cs="FrankRuehl"/>
            <w:color w:val="0000FF"/>
            <w:sz w:val="26"/>
            <w:szCs w:val="26"/>
            <w:u w:val="single"/>
            <w:rtl/>
          </w:rPr>
          <w:t>סעיף 29</w:t>
        </w:r>
      </w:hyperlink>
      <w:r w:rsidR="00F83313" w:rsidRPr="00AE6016">
        <w:rPr>
          <w:rFonts w:cs="FrankRuehl"/>
          <w:sz w:val="26"/>
          <w:szCs w:val="26"/>
          <w:rtl/>
        </w:rPr>
        <w:t xml:space="preserve"> לחוק. באותו מקרה, בין נאשם 2 לבין המתלונן היה קיים סכסוך על רקע כספי, הנאשמים הגיעו ליד ביתו של המתלונן והציתו אש בבקבוק ופיסת בד כשהאש התלקחה ואחזה גם ברכב. כתוצאה ממעשיהם של הנאשמים עלה הרכב באש ונגרמו לו נזקים. נקבע מתחם בין 6 חודשי מאסר שיכול ויבוצעו בעבודות שירות עד 12 חודשי מאסר בפועל. העונש שנגזר לנאשם 1 לבסוף הוא צו מבחן ועבודות של"צ בהיקף של 120 שעות, מאסר מותנה וחתימה על התחייבות. </w:t>
      </w:r>
    </w:p>
    <w:p w14:paraId="4FA629D0" w14:textId="77777777" w:rsidR="00F83313" w:rsidRPr="00AE6016" w:rsidRDefault="008130E1" w:rsidP="00F83313">
      <w:pPr>
        <w:numPr>
          <w:ilvl w:val="0"/>
          <w:numId w:val="1"/>
        </w:numPr>
        <w:spacing w:line="360" w:lineRule="auto"/>
        <w:ind w:left="785"/>
        <w:contextualSpacing/>
        <w:jc w:val="both"/>
        <w:rPr>
          <w:rFonts w:cs="FrankRuehl"/>
          <w:sz w:val="26"/>
          <w:szCs w:val="26"/>
        </w:rPr>
      </w:pPr>
      <w:hyperlink r:id="rId43" w:history="1">
        <w:r w:rsidRPr="008130E1">
          <w:rPr>
            <w:rFonts w:cs="FrankRuehl"/>
            <w:color w:val="0000FF"/>
            <w:sz w:val="26"/>
            <w:szCs w:val="26"/>
            <w:u w:val="single"/>
            <w:rtl/>
          </w:rPr>
          <w:t>תפ 28430-12-14</w:t>
        </w:r>
      </w:hyperlink>
      <w:r w:rsidR="00F83313" w:rsidRPr="00AE6016">
        <w:rPr>
          <w:rFonts w:cs="FrankRuehl"/>
          <w:sz w:val="26"/>
          <w:szCs w:val="26"/>
          <w:rtl/>
        </w:rPr>
        <w:t xml:space="preserve"> </w:t>
      </w:r>
      <w:r w:rsidR="00F83313" w:rsidRPr="00AE6016">
        <w:rPr>
          <w:rFonts w:cs="FrankRuehl"/>
          <w:b/>
          <w:bCs/>
          <w:sz w:val="26"/>
          <w:szCs w:val="26"/>
          <w:rtl/>
        </w:rPr>
        <w:t xml:space="preserve">מדינת ישראל נ' סויסה (שלום)- </w:t>
      </w:r>
      <w:r w:rsidR="00F83313" w:rsidRPr="00AE6016">
        <w:rPr>
          <w:rFonts w:cs="FrankRuehl"/>
          <w:sz w:val="26"/>
          <w:szCs w:val="26"/>
          <w:rtl/>
        </w:rPr>
        <w:t xml:space="preserve">במסגרת הסדר טיעון סגור, הרשעה בעבירות איומים לפי </w:t>
      </w:r>
      <w:hyperlink r:id="rId44" w:history="1">
        <w:r w:rsidR="00345B5F" w:rsidRPr="00345B5F">
          <w:rPr>
            <w:rFonts w:cs="FrankRuehl"/>
            <w:color w:val="0000FF"/>
            <w:sz w:val="26"/>
            <w:szCs w:val="26"/>
            <w:u w:val="single"/>
            <w:rtl/>
          </w:rPr>
          <w:t>סעיף 192</w:t>
        </w:r>
      </w:hyperlink>
      <w:r w:rsidR="00F83313" w:rsidRPr="00AE6016">
        <w:rPr>
          <w:rFonts w:cs="FrankRuehl"/>
          <w:sz w:val="26"/>
          <w:szCs w:val="26"/>
          <w:rtl/>
        </w:rPr>
        <w:t xml:space="preserve"> לחוק, חבלה במזיד ברכב </w:t>
      </w:r>
      <w:hyperlink r:id="rId45" w:history="1">
        <w:r w:rsidR="00345B5F" w:rsidRPr="00345B5F">
          <w:rPr>
            <w:rFonts w:cs="FrankRuehl"/>
            <w:color w:val="0000FF"/>
            <w:sz w:val="26"/>
            <w:szCs w:val="26"/>
            <w:u w:val="single"/>
            <w:rtl/>
          </w:rPr>
          <w:t>לסעיף 413ה'</w:t>
        </w:r>
      </w:hyperlink>
      <w:r w:rsidR="00F83313" w:rsidRPr="00AE6016">
        <w:rPr>
          <w:rFonts w:cs="FrankRuehl"/>
          <w:sz w:val="26"/>
          <w:szCs w:val="26"/>
          <w:rtl/>
        </w:rPr>
        <w:t xml:space="preserve"> והפרת הוראה חוקית לפי  </w:t>
      </w:r>
      <w:hyperlink r:id="rId46" w:history="1">
        <w:r w:rsidR="00345B5F" w:rsidRPr="00345B5F">
          <w:rPr>
            <w:rFonts w:cs="FrankRuehl"/>
            <w:color w:val="0000FF"/>
            <w:sz w:val="26"/>
            <w:szCs w:val="26"/>
            <w:u w:val="single"/>
            <w:rtl/>
          </w:rPr>
          <w:t>סעיף 287(א)</w:t>
        </w:r>
      </w:hyperlink>
      <w:r w:rsidR="00F83313" w:rsidRPr="00AE6016">
        <w:rPr>
          <w:rFonts w:cs="FrankRuehl"/>
          <w:sz w:val="26"/>
          <w:szCs w:val="26"/>
          <w:rtl/>
        </w:rPr>
        <w:t xml:space="preserve"> לחוק</w:t>
      </w:r>
      <w:r w:rsidR="00F83313" w:rsidRPr="00AE6016">
        <w:rPr>
          <w:rFonts w:cs="FrankRuehl"/>
          <w:b/>
          <w:bCs/>
          <w:sz w:val="26"/>
          <w:szCs w:val="26"/>
          <w:rtl/>
        </w:rPr>
        <w:t xml:space="preserve">. </w:t>
      </w:r>
      <w:r w:rsidR="00F83313" w:rsidRPr="00AE6016">
        <w:rPr>
          <w:rFonts w:cs="FrankRuehl"/>
          <w:sz w:val="26"/>
          <w:szCs w:val="26"/>
          <w:rtl/>
        </w:rPr>
        <w:t xml:space="preserve">באותו מקרה, הנאשם עקר עצים אשר נשתלו ע"י עריית דימונה בשטח הציבורי הסמוך לביתו, כששכן העיר לו על כך איים עליו הנאשם באיומים חמורים, לאחר האירוע פגע הנאשם ברכב השייך לאותו שכן, בכך ששרט את </w:t>
      </w:r>
      <w:r w:rsidR="00F83313" w:rsidRPr="00AE6016">
        <w:rPr>
          <w:rFonts w:cs="FrankRuehl" w:hint="cs"/>
          <w:sz w:val="26"/>
          <w:szCs w:val="26"/>
          <w:rtl/>
        </w:rPr>
        <w:t>צדו</w:t>
      </w:r>
      <w:r w:rsidR="00F83313" w:rsidRPr="00AE6016">
        <w:rPr>
          <w:rFonts w:cs="FrankRuehl"/>
          <w:sz w:val="26"/>
          <w:szCs w:val="26"/>
          <w:rtl/>
        </w:rPr>
        <w:t xml:space="preserve"> הימני של הרכב באמצעות חפץ חד, המעשה היווה גם הפרה חוקית שניתנה ע"י בית המשפט בהקשר לאירוע הקודם.  העונש שנגזר במסגרת ההסדר הסגור הוא 6 חודשי מאסר על תנאי למשך 3 שנים, פיצוי כספי והתחייבות.</w:t>
      </w:r>
    </w:p>
    <w:p w14:paraId="349EEC33"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 </w:t>
      </w:r>
      <w:hyperlink r:id="rId47" w:history="1">
        <w:r w:rsidR="008130E1" w:rsidRPr="008130E1">
          <w:rPr>
            <w:rFonts w:cs="FrankRuehl"/>
            <w:color w:val="0000FF"/>
            <w:sz w:val="26"/>
            <w:szCs w:val="26"/>
            <w:u w:val="single"/>
            <w:rtl/>
          </w:rPr>
          <w:t>ת"פ 65587-11-15</w:t>
        </w:r>
      </w:hyperlink>
      <w:r w:rsidRPr="00AE6016">
        <w:rPr>
          <w:rFonts w:cs="FrankRuehl"/>
          <w:sz w:val="26"/>
          <w:szCs w:val="26"/>
          <w:rtl/>
        </w:rPr>
        <w:t xml:space="preserve"> (שלום) </w:t>
      </w:r>
      <w:r w:rsidRPr="00AE6016">
        <w:rPr>
          <w:rFonts w:cs="FrankRuehl"/>
          <w:b/>
          <w:bCs/>
          <w:sz w:val="26"/>
          <w:szCs w:val="26"/>
          <w:rtl/>
        </w:rPr>
        <w:t>מדינת ישראל נ' אל צאנע</w:t>
      </w:r>
      <w:r w:rsidRPr="00AE6016">
        <w:rPr>
          <w:rFonts w:cs="FrankRuehl"/>
          <w:sz w:val="26"/>
          <w:szCs w:val="26"/>
          <w:rtl/>
        </w:rPr>
        <w:t xml:space="preserve">- הרשעה במסגרת הסדר טיעון מתוקן בעבירת האיומים לפי </w:t>
      </w:r>
      <w:hyperlink r:id="rId48" w:history="1">
        <w:r w:rsidR="00345B5F" w:rsidRPr="00345B5F">
          <w:rPr>
            <w:rFonts w:cs="FrankRuehl"/>
            <w:color w:val="0000FF"/>
            <w:sz w:val="26"/>
            <w:szCs w:val="26"/>
            <w:u w:val="single"/>
            <w:rtl/>
          </w:rPr>
          <w:t>סעיף 192</w:t>
        </w:r>
      </w:hyperlink>
      <w:r w:rsidRPr="00AE6016">
        <w:rPr>
          <w:rFonts w:cs="FrankRuehl"/>
          <w:sz w:val="26"/>
          <w:szCs w:val="26"/>
          <w:rtl/>
        </w:rPr>
        <w:t xml:space="preserve"> לחוק וחבלה במזיד לפי </w:t>
      </w:r>
      <w:hyperlink r:id="rId49" w:history="1">
        <w:r w:rsidR="00345B5F" w:rsidRPr="00345B5F">
          <w:rPr>
            <w:rFonts w:cs="FrankRuehl"/>
            <w:color w:val="0000FF"/>
            <w:sz w:val="26"/>
            <w:szCs w:val="26"/>
            <w:u w:val="single"/>
            <w:rtl/>
          </w:rPr>
          <w:t>סעיף 413</w:t>
        </w:r>
      </w:hyperlink>
      <w:r w:rsidRPr="00AE6016">
        <w:rPr>
          <w:rFonts w:cs="FrankRuehl"/>
          <w:sz w:val="26"/>
          <w:szCs w:val="26"/>
          <w:rtl/>
        </w:rPr>
        <w:t xml:space="preserve"> לחוק. באותו מקרה הנאשם איים על המתלונן בכך שיהרוס אותו יפגע לו בבית שלו ובחווה שלו. בהמשך, השליך אבן על חלון הטרקטור </w:t>
      </w:r>
      <w:r w:rsidRPr="00AE6016">
        <w:rPr>
          <w:rFonts w:cs="FrankRuehl" w:hint="cs"/>
          <w:sz w:val="26"/>
          <w:szCs w:val="26"/>
          <w:rtl/>
        </w:rPr>
        <w:t>אתו</w:t>
      </w:r>
      <w:r w:rsidRPr="00AE6016">
        <w:rPr>
          <w:rFonts w:cs="FrankRuehl"/>
          <w:sz w:val="26"/>
          <w:szCs w:val="26"/>
          <w:rtl/>
        </w:rPr>
        <w:t xml:space="preserve"> עבד המתלונן ושבר את החלון.  נגזרו על הנאשם 6 חודשי מאסר על תנאי, קנס ופיצוי. </w:t>
      </w:r>
    </w:p>
    <w:p w14:paraId="4FD83FFC" w14:textId="77777777" w:rsidR="00F83313" w:rsidRPr="00AE6016" w:rsidRDefault="008130E1" w:rsidP="00F83313">
      <w:pPr>
        <w:numPr>
          <w:ilvl w:val="0"/>
          <w:numId w:val="1"/>
        </w:numPr>
        <w:spacing w:line="360" w:lineRule="auto"/>
        <w:ind w:left="785"/>
        <w:contextualSpacing/>
        <w:jc w:val="both"/>
        <w:rPr>
          <w:rFonts w:cs="FrankRuehl"/>
          <w:sz w:val="26"/>
          <w:szCs w:val="26"/>
        </w:rPr>
      </w:pPr>
      <w:hyperlink r:id="rId50" w:history="1">
        <w:r w:rsidRPr="008130E1">
          <w:rPr>
            <w:rFonts w:cs="FrankRuehl"/>
            <w:color w:val="0000FF"/>
            <w:sz w:val="26"/>
            <w:szCs w:val="26"/>
            <w:u w:val="single"/>
            <w:rtl/>
          </w:rPr>
          <w:t>ת"פ 25842-03-12</w:t>
        </w:r>
      </w:hyperlink>
      <w:r w:rsidR="00F83313" w:rsidRPr="00AE6016">
        <w:rPr>
          <w:rFonts w:cs="FrankRuehl"/>
          <w:sz w:val="26"/>
          <w:szCs w:val="26"/>
          <w:rtl/>
        </w:rPr>
        <w:t xml:space="preserve"> </w:t>
      </w:r>
      <w:r w:rsidR="00F83313" w:rsidRPr="00AE6016">
        <w:rPr>
          <w:rFonts w:cs="FrankRuehl"/>
          <w:b/>
          <w:bCs/>
          <w:sz w:val="26"/>
          <w:szCs w:val="26"/>
          <w:rtl/>
        </w:rPr>
        <w:t>מדינת ישראל נ' סבן</w:t>
      </w:r>
      <w:r w:rsidR="00F83313" w:rsidRPr="00AE6016">
        <w:rPr>
          <w:rFonts w:cs="FrankRuehl"/>
          <w:sz w:val="26"/>
          <w:szCs w:val="26"/>
          <w:rtl/>
        </w:rPr>
        <w:t xml:space="preserve"> (מחוזי), הנאשם הורשע על פי הודאתו במסגרת הסדר טיעון בעבירה של חבלה במזיד לרכב לפי </w:t>
      </w:r>
      <w:hyperlink r:id="rId51" w:history="1">
        <w:r w:rsidR="00345B5F" w:rsidRPr="00345B5F">
          <w:rPr>
            <w:rFonts w:cs="FrankRuehl"/>
            <w:color w:val="0000FF"/>
            <w:sz w:val="26"/>
            <w:szCs w:val="26"/>
            <w:u w:val="single"/>
            <w:rtl/>
          </w:rPr>
          <w:t>סעיף 413ה'</w:t>
        </w:r>
      </w:hyperlink>
      <w:r w:rsidR="00F83313" w:rsidRPr="00AE6016">
        <w:rPr>
          <w:rFonts w:cs="FrankRuehl"/>
          <w:sz w:val="26"/>
          <w:szCs w:val="26"/>
          <w:rtl/>
        </w:rPr>
        <w:t xml:space="preserve"> לחוק. באותו מקרה, הנאשם מילא בקבוק זכוכית ריק בבנזין וסגר אותו באמצעות נייר וביחד עם אחר הציתו את בקבוק התבערה שברו את חלון מכונית המתלונן והשליכו את בקבוק התבערה לתוך המכונית. כתוצאה מהמעשה נגרם נזק לספסל האחורי של מכונית המתלונן. נגזרו על הנאשם 6 חודשי מאסר שיבוצעו בעבודות שירות ועונשים נלווים.  </w:t>
      </w:r>
    </w:p>
    <w:p w14:paraId="361B901F"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ב"כ הנאשם ציין את היות משפחת הנאשם משפחה נורמטיבית, אביו פנסיונר של המשטרה, נכה צה"ל. הנאשם בן 30 נשוי מזה 10 שנים כאשר רק לפני עשרה חודשים הצליחו להביא ילד לעולם. הנאשם לוקח אחריות, מביע חרטה. לא ניתן לומר שהנאשם ניהל הליך סרק בגלל שהודה רק במהלך הוכחות, שכן למעשה כתב האישום תוקן בהתאם לראיות בתיק. </w:t>
      </w:r>
    </w:p>
    <w:p w14:paraId="5A74CC7A" w14:textId="77777777" w:rsidR="00F83313" w:rsidRPr="00C27D8D" w:rsidRDefault="00F83313" w:rsidP="00F83313">
      <w:pPr>
        <w:numPr>
          <w:ilvl w:val="0"/>
          <w:numId w:val="1"/>
        </w:numPr>
        <w:spacing w:line="360" w:lineRule="auto"/>
        <w:ind w:left="785"/>
        <w:contextualSpacing/>
        <w:jc w:val="both"/>
        <w:rPr>
          <w:rFonts w:cs="FrankRuehl"/>
          <w:sz w:val="26"/>
          <w:szCs w:val="26"/>
        </w:rPr>
      </w:pPr>
      <w:r w:rsidRPr="00C27D8D">
        <w:rPr>
          <w:rFonts w:cs="FrankRuehl"/>
          <w:sz w:val="26"/>
          <w:szCs w:val="26"/>
          <w:rtl/>
        </w:rPr>
        <w:t>התסקיר האחרון בעניינו של הנאשם נערך</w:t>
      </w:r>
      <w:r>
        <w:rPr>
          <w:rFonts w:cs="FrankRuehl" w:hint="cs"/>
          <w:sz w:val="26"/>
          <w:szCs w:val="26"/>
          <w:rtl/>
        </w:rPr>
        <w:t xml:space="preserve"> </w:t>
      </w:r>
      <w:r w:rsidRPr="00C27D8D">
        <w:rPr>
          <w:rFonts w:cs="FrankRuehl"/>
          <w:sz w:val="26"/>
          <w:szCs w:val="26"/>
          <w:rtl/>
        </w:rPr>
        <w:t>ע"י שירות מבחן בעקבות החלטת בית המשפט ללא</w:t>
      </w:r>
      <w:r w:rsidRPr="00AE6016">
        <w:rPr>
          <w:rFonts w:cs="FrankRuehl"/>
          <w:sz w:val="26"/>
          <w:szCs w:val="26"/>
          <w:rtl/>
        </w:rPr>
        <w:t xml:space="preserve"> פגישה מחודשת עם הנאשם כאשר הפגישה האחרונה </w:t>
      </w:r>
      <w:r w:rsidRPr="00AE6016">
        <w:rPr>
          <w:rFonts w:cs="FrankRuehl" w:hint="cs"/>
          <w:sz w:val="26"/>
          <w:szCs w:val="26"/>
          <w:rtl/>
        </w:rPr>
        <w:t>עמו</w:t>
      </w:r>
      <w:r w:rsidRPr="00AE6016">
        <w:rPr>
          <w:rFonts w:cs="FrankRuehl"/>
          <w:sz w:val="26"/>
          <w:szCs w:val="26"/>
          <w:rtl/>
        </w:rPr>
        <w:t xml:space="preserve"> נערכה ביוני 2019. עוד הוסיף ב"כ </w:t>
      </w:r>
      <w:r w:rsidRPr="00C27D8D">
        <w:rPr>
          <w:rFonts w:cs="FrankRuehl"/>
          <w:sz w:val="26"/>
          <w:szCs w:val="26"/>
          <w:rtl/>
        </w:rPr>
        <w:t xml:space="preserve">הנאשם כי הנאשם מתחיל בהליך החדש קבוצה טיפולית בשבוע הקרוב. </w:t>
      </w:r>
    </w:p>
    <w:p w14:paraId="4DD54EA5"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לבסוף עתר ב"כ הנאשם להסתפק בתקופת המעצר שריצה הנאשם, תוך התחשבות בתנאים המגבילים </w:t>
      </w:r>
      <w:r w:rsidRPr="00AE6016">
        <w:rPr>
          <w:rFonts w:cs="FrankRuehl" w:hint="cs"/>
          <w:sz w:val="26"/>
          <w:szCs w:val="26"/>
          <w:rtl/>
        </w:rPr>
        <w:t>ובאזוק</w:t>
      </w:r>
      <w:r w:rsidRPr="00AE6016">
        <w:rPr>
          <w:rFonts w:cs="FrankRuehl"/>
          <w:sz w:val="26"/>
          <w:szCs w:val="26"/>
          <w:rtl/>
        </w:rPr>
        <w:t xml:space="preserve"> האלקטרוני במהלך ההליך, לחילופין יש לבחון שילובו של הנאשם בעבודות שירות בהתאם להמלצות הממונה. </w:t>
      </w:r>
    </w:p>
    <w:p w14:paraId="0B36E01E"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בתגובה לטיעוני ב"כ הנאשם לעונש, טענה המאשימה, כי בפסיקה אליה הפנה ב"כ הנאשם דובר בהליכים בהם היה שיקום או שלא דובר בהיזק תוך הצתה. </w:t>
      </w:r>
    </w:p>
    <w:p w14:paraId="5340A003"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b/>
          <w:bCs/>
          <w:sz w:val="26"/>
          <w:szCs w:val="26"/>
          <w:rtl/>
        </w:rPr>
        <w:t>זכות המילה האחרונה של הנאשם</w:t>
      </w:r>
      <w:r w:rsidRPr="00AE6016">
        <w:rPr>
          <w:rFonts w:cs="FrankRuehl"/>
          <w:sz w:val="26"/>
          <w:szCs w:val="26"/>
          <w:rtl/>
        </w:rPr>
        <w:t xml:space="preserve">: "אני מצטער על מה שקרה, שילמתי על כך, הייתי שנתיים בתנאים מגבילים ובמעצר ממש, אבקש להסתפק במה ששילמתי. החיים שלי השתנו יש לי בן עכשיו". </w:t>
      </w:r>
    </w:p>
    <w:p w14:paraId="71476702" w14:textId="77777777" w:rsidR="00F83313" w:rsidRPr="00C27D8D" w:rsidRDefault="00F83313" w:rsidP="00F83313">
      <w:pPr>
        <w:spacing w:line="360" w:lineRule="auto"/>
        <w:ind w:left="420"/>
        <w:contextualSpacing/>
        <w:jc w:val="both"/>
        <w:rPr>
          <w:rFonts w:cs="FrankRuehl"/>
          <w:b/>
          <w:bCs/>
          <w:sz w:val="12"/>
          <w:szCs w:val="12"/>
          <w:rtl/>
        </w:rPr>
      </w:pPr>
    </w:p>
    <w:p w14:paraId="5B47A259" w14:textId="77777777" w:rsidR="00F83313" w:rsidRPr="00C27D8D" w:rsidRDefault="00F83313" w:rsidP="00F83313">
      <w:pPr>
        <w:spacing w:line="360" w:lineRule="auto"/>
        <w:ind w:left="420"/>
        <w:contextualSpacing/>
        <w:jc w:val="both"/>
        <w:rPr>
          <w:rFonts w:cs="FrankRuehl"/>
          <w:sz w:val="26"/>
          <w:szCs w:val="26"/>
          <w:u w:val="single"/>
          <w:rtl/>
        </w:rPr>
      </w:pPr>
      <w:r w:rsidRPr="00C27D8D">
        <w:rPr>
          <w:rFonts w:cs="FrankRuehl"/>
          <w:b/>
          <w:bCs/>
          <w:sz w:val="26"/>
          <w:szCs w:val="26"/>
          <w:u w:val="single"/>
          <w:rtl/>
        </w:rPr>
        <w:t>דיון והכרעה</w:t>
      </w:r>
      <w:r w:rsidRPr="00C27D8D">
        <w:rPr>
          <w:rFonts w:cs="FrankRuehl"/>
          <w:sz w:val="26"/>
          <w:szCs w:val="26"/>
          <w:u w:val="single"/>
          <w:rtl/>
        </w:rPr>
        <w:t xml:space="preserve">: </w:t>
      </w:r>
    </w:p>
    <w:p w14:paraId="662C1C74" w14:textId="77777777" w:rsidR="00F83313" w:rsidRPr="00AE6016" w:rsidRDefault="00F83313" w:rsidP="00F83313">
      <w:pPr>
        <w:numPr>
          <w:ilvl w:val="0"/>
          <w:numId w:val="1"/>
        </w:numPr>
        <w:spacing w:before="120" w:after="120" w:line="360" w:lineRule="auto"/>
        <w:ind w:left="785"/>
        <w:contextualSpacing/>
        <w:jc w:val="both"/>
        <w:rPr>
          <w:rFonts w:cs="FrankRuehl"/>
          <w:b/>
          <w:bCs/>
          <w:sz w:val="26"/>
          <w:szCs w:val="26"/>
        </w:rPr>
      </w:pPr>
      <w:r w:rsidRPr="00AE6016">
        <w:rPr>
          <w:rFonts w:ascii="Arial" w:hAnsi="Arial" w:cs="FrankRuehl"/>
          <w:sz w:val="26"/>
          <w:szCs w:val="26"/>
          <w:rtl/>
        </w:rPr>
        <w:t xml:space="preserve">בהתאם </w:t>
      </w:r>
      <w:hyperlink r:id="rId52" w:history="1">
        <w:r w:rsidR="00345B5F" w:rsidRPr="00345B5F">
          <w:rPr>
            <w:rFonts w:ascii="Arial" w:hAnsi="Arial" w:cs="FrankRuehl"/>
            <w:color w:val="0000FF"/>
            <w:sz w:val="26"/>
            <w:szCs w:val="26"/>
            <w:u w:val="single"/>
            <w:rtl/>
          </w:rPr>
          <w:t>לסעיף 40ב'</w:t>
        </w:r>
      </w:hyperlink>
      <w:r w:rsidRPr="00AE6016">
        <w:rPr>
          <w:rFonts w:ascii="Calibri" w:hAnsi="Calibri" w:cs="FrankRuehl"/>
          <w:sz w:val="26"/>
          <w:szCs w:val="26"/>
          <w:rtl/>
        </w:rPr>
        <w:t xml:space="preserve"> </w:t>
      </w:r>
      <w:r w:rsidRPr="00AE6016">
        <w:rPr>
          <w:rFonts w:ascii="Calibri" w:hAnsi="Calibri" w:cs="FrankRuehl" w:hint="eastAsia"/>
          <w:sz w:val="26"/>
          <w:szCs w:val="26"/>
          <w:rtl/>
        </w:rPr>
        <w:t>ל</w:t>
      </w:r>
      <w:hyperlink r:id="rId53" w:history="1">
        <w:r w:rsidR="008130E1" w:rsidRPr="008130E1">
          <w:rPr>
            <w:rFonts w:ascii="Calibri" w:hAnsi="Calibri" w:cs="FrankRuehl" w:hint="eastAsia"/>
            <w:color w:val="0000FF"/>
            <w:sz w:val="26"/>
            <w:szCs w:val="26"/>
            <w:u w:val="single"/>
            <w:rtl/>
          </w:rPr>
          <w:t>חוק</w:t>
        </w:r>
        <w:r w:rsidR="008130E1" w:rsidRPr="008130E1">
          <w:rPr>
            <w:rFonts w:ascii="Calibri" w:hAnsi="Calibri" w:cs="FrankRuehl"/>
            <w:color w:val="0000FF"/>
            <w:sz w:val="26"/>
            <w:szCs w:val="26"/>
            <w:u w:val="single"/>
            <w:rtl/>
          </w:rPr>
          <w:t xml:space="preserve"> </w:t>
        </w:r>
        <w:r w:rsidR="008130E1" w:rsidRPr="008130E1">
          <w:rPr>
            <w:rFonts w:ascii="Calibri" w:hAnsi="Calibri" w:cs="FrankRuehl" w:hint="eastAsia"/>
            <w:color w:val="0000FF"/>
            <w:sz w:val="26"/>
            <w:szCs w:val="26"/>
            <w:u w:val="single"/>
            <w:rtl/>
          </w:rPr>
          <w:t>העונשין</w:t>
        </w:r>
      </w:hyperlink>
      <w:r w:rsidRPr="00AE6016">
        <w:rPr>
          <w:rFonts w:ascii="Calibri" w:hAnsi="Calibri" w:cs="FrankRuehl"/>
          <w:sz w:val="26"/>
          <w:szCs w:val="26"/>
          <w:rtl/>
        </w:rPr>
        <w:t xml:space="preserve">, </w:t>
      </w:r>
      <w:r w:rsidRPr="00AE6016">
        <w:rPr>
          <w:rFonts w:ascii="Calibri" w:hAnsi="Calibri" w:cs="FrankRuehl" w:hint="eastAsia"/>
          <w:sz w:val="26"/>
          <w:szCs w:val="26"/>
          <w:rtl/>
        </w:rPr>
        <w:t>העיקרון</w:t>
      </w:r>
      <w:r w:rsidRPr="00AE6016">
        <w:rPr>
          <w:rFonts w:ascii="Calibri" w:hAnsi="Calibri" w:cs="FrankRuehl"/>
          <w:sz w:val="26"/>
          <w:szCs w:val="26"/>
          <w:rtl/>
        </w:rPr>
        <w:t xml:space="preserve"> </w:t>
      </w:r>
      <w:r w:rsidRPr="00AE6016">
        <w:rPr>
          <w:rFonts w:ascii="Calibri" w:hAnsi="Calibri" w:cs="FrankRuehl" w:hint="eastAsia"/>
          <w:sz w:val="26"/>
          <w:szCs w:val="26"/>
          <w:rtl/>
        </w:rPr>
        <w:t>המנחה</w:t>
      </w:r>
      <w:r w:rsidRPr="00AE6016">
        <w:rPr>
          <w:rFonts w:ascii="Calibri" w:hAnsi="Calibri" w:cs="FrankRuehl"/>
          <w:sz w:val="26"/>
          <w:szCs w:val="26"/>
          <w:rtl/>
        </w:rPr>
        <w:t xml:space="preserve"> </w:t>
      </w:r>
      <w:r w:rsidRPr="00AE6016">
        <w:rPr>
          <w:rFonts w:ascii="Calibri" w:hAnsi="Calibri" w:cs="FrankRuehl" w:hint="eastAsia"/>
          <w:sz w:val="26"/>
          <w:szCs w:val="26"/>
          <w:rtl/>
        </w:rPr>
        <w:t>בענישה</w:t>
      </w:r>
      <w:r w:rsidRPr="00AE6016">
        <w:rPr>
          <w:rFonts w:ascii="Calibri" w:hAnsi="Calibri" w:cs="FrankRuehl"/>
          <w:sz w:val="26"/>
          <w:szCs w:val="26"/>
          <w:rtl/>
        </w:rPr>
        <w:t xml:space="preserve"> </w:t>
      </w:r>
      <w:r w:rsidRPr="00AE6016">
        <w:rPr>
          <w:rFonts w:ascii="Calibri" w:hAnsi="Calibri" w:cs="FrankRuehl" w:hint="eastAsia"/>
          <w:sz w:val="26"/>
          <w:szCs w:val="26"/>
          <w:rtl/>
        </w:rPr>
        <w:t>הוא</w:t>
      </w:r>
      <w:r w:rsidRPr="00AE6016">
        <w:rPr>
          <w:rFonts w:ascii="Calibri" w:hAnsi="Calibri" w:cs="FrankRuehl"/>
          <w:sz w:val="26"/>
          <w:szCs w:val="26"/>
          <w:rtl/>
        </w:rPr>
        <w:t xml:space="preserve"> </w:t>
      </w:r>
      <w:r w:rsidRPr="00AE6016">
        <w:rPr>
          <w:rFonts w:ascii="Calibri" w:hAnsi="Calibri" w:cs="FrankRuehl" w:hint="eastAsia"/>
          <w:sz w:val="26"/>
          <w:szCs w:val="26"/>
          <w:rtl/>
        </w:rPr>
        <w:t>הלימה</w:t>
      </w:r>
      <w:r w:rsidRPr="00AE6016">
        <w:rPr>
          <w:rFonts w:ascii="Calibri" w:hAnsi="Calibri" w:cs="FrankRuehl"/>
          <w:sz w:val="26"/>
          <w:szCs w:val="26"/>
          <w:rtl/>
        </w:rPr>
        <w:t xml:space="preserve">, </w:t>
      </w:r>
      <w:r w:rsidRPr="00AE6016">
        <w:rPr>
          <w:rFonts w:ascii="Calibri" w:hAnsi="Calibri" w:cs="FrankRuehl" w:hint="eastAsia"/>
          <w:sz w:val="26"/>
          <w:szCs w:val="26"/>
          <w:rtl/>
        </w:rPr>
        <w:t>קרי</w:t>
      </w:r>
      <w:r w:rsidRPr="00AE6016">
        <w:rPr>
          <w:rFonts w:ascii="Calibri" w:hAnsi="Calibri" w:cs="FrankRuehl"/>
          <w:sz w:val="26"/>
          <w:szCs w:val="26"/>
          <w:rtl/>
        </w:rPr>
        <w:t xml:space="preserve">: </w:t>
      </w:r>
      <w:r w:rsidRPr="00AE6016">
        <w:rPr>
          <w:rFonts w:ascii="Calibri" w:hAnsi="Calibri" w:cs="FrankRuehl" w:hint="eastAsia"/>
          <w:sz w:val="26"/>
          <w:szCs w:val="26"/>
          <w:rtl/>
        </w:rPr>
        <w:t>יחס</w:t>
      </w:r>
      <w:r w:rsidRPr="00AE6016">
        <w:rPr>
          <w:rFonts w:ascii="Calibri" w:hAnsi="Calibri" w:cs="FrankRuehl"/>
          <w:sz w:val="26"/>
          <w:szCs w:val="26"/>
          <w:rtl/>
        </w:rPr>
        <w:t xml:space="preserve"> </w:t>
      </w:r>
      <w:r w:rsidRPr="00AE6016">
        <w:rPr>
          <w:rFonts w:ascii="Calibri" w:hAnsi="Calibri" w:cs="FrankRuehl" w:hint="eastAsia"/>
          <w:sz w:val="26"/>
          <w:szCs w:val="26"/>
          <w:rtl/>
        </w:rPr>
        <w:t>הולם</w:t>
      </w:r>
      <w:r w:rsidRPr="00AE6016">
        <w:rPr>
          <w:rFonts w:ascii="Calibri" w:hAnsi="Calibri" w:cs="FrankRuehl"/>
          <w:sz w:val="26"/>
          <w:szCs w:val="26"/>
          <w:rtl/>
        </w:rPr>
        <w:t xml:space="preserve"> </w:t>
      </w:r>
      <w:r w:rsidRPr="00AE6016">
        <w:rPr>
          <w:rFonts w:ascii="Calibri" w:hAnsi="Calibri" w:cs="FrankRuehl" w:hint="eastAsia"/>
          <w:sz w:val="26"/>
          <w:szCs w:val="26"/>
          <w:rtl/>
        </w:rPr>
        <w:t>בין</w:t>
      </w:r>
      <w:r w:rsidRPr="00AE6016">
        <w:rPr>
          <w:rFonts w:ascii="Calibri" w:hAnsi="Calibri" w:cs="FrankRuehl"/>
          <w:sz w:val="26"/>
          <w:szCs w:val="26"/>
          <w:rtl/>
        </w:rPr>
        <w:t xml:space="preserve"> </w:t>
      </w:r>
      <w:r w:rsidRPr="00AE6016">
        <w:rPr>
          <w:rFonts w:ascii="Calibri" w:hAnsi="Calibri" w:cs="FrankRuehl" w:hint="eastAsia"/>
          <w:sz w:val="26"/>
          <w:szCs w:val="26"/>
          <w:rtl/>
        </w:rPr>
        <w:t>חומרת</w:t>
      </w:r>
      <w:r w:rsidRPr="00AE6016">
        <w:rPr>
          <w:rFonts w:ascii="Calibri" w:hAnsi="Calibri" w:cs="FrankRuehl"/>
          <w:sz w:val="26"/>
          <w:szCs w:val="26"/>
          <w:rtl/>
        </w:rPr>
        <w:t xml:space="preserve"> </w:t>
      </w:r>
      <w:r w:rsidRPr="00AE6016">
        <w:rPr>
          <w:rFonts w:ascii="Calibri" w:hAnsi="Calibri" w:cs="FrankRuehl" w:hint="eastAsia"/>
          <w:sz w:val="26"/>
          <w:szCs w:val="26"/>
          <w:rtl/>
        </w:rPr>
        <w:t>מעשה</w:t>
      </w:r>
      <w:r w:rsidRPr="00AE6016">
        <w:rPr>
          <w:rFonts w:ascii="Calibri" w:hAnsi="Calibri" w:cs="FrankRuehl"/>
          <w:sz w:val="26"/>
          <w:szCs w:val="26"/>
          <w:rtl/>
        </w:rPr>
        <w:t xml:space="preserve"> </w:t>
      </w:r>
      <w:r w:rsidRPr="00AE6016">
        <w:rPr>
          <w:rFonts w:ascii="Calibri" w:hAnsi="Calibri" w:cs="FrankRuehl" w:hint="eastAsia"/>
          <w:sz w:val="26"/>
          <w:szCs w:val="26"/>
          <w:rtl/>
        </w:rPr>
        <w:t>העבירה</w:t>
      </w:r>
      <w:r w:rsidRPr="00AE6016">
        <w:rPr>
          <w:rFonts w:ascii="Calibri" w:hAnsi="Calibri" w:cs="FrankRuehl"/>
          <w:sz w:val="26"/>
          <w:szCs w:val="26"/>
          <w:rtl/>
        </w:rPr>
        <w:t xml:space="preserve"> </w:t>
      </w:r>
      <w:r w:rsidRPr="00AE6016">
        <w:rPr>
          <w:rFonts w:ascii="Calibri" w:hAnsi="Calibri" w:cs="FrankRuehl" w:hint="eastAsia"/>
          <w:sz w:val="26"/>
          <w:szCs w:val="26"/>
          <w:rtl/>
        </w:rPr>
        <w:t>ונסיבותיו</w:t>
      </w:r>
      <w:r w:rsidRPr="00AE6016">
        <w:rPr>
          <w:rFonts w:ascii="Calibri" w:hAnsi="Calibri" w:cs="FrankRuehl"/>
          <w:sz w:val="26"/>
          <w:szCs w:val="26"/>
          <w:rtl/>
        </w:rPr>
        <w:t xml:space="preserve"> </w:t>
      </w:r>
      <w:r w:rsidRPr="00AE6016">
        <w:rPr>
          <w:rFonts w:ascii="Calibri" w:hAnsi="Calibri" w:cs="FrankRuehl" w:hint="eastAsia"/>
          <w:sz w:val="26"/>
          <w:szCs w:val="26"/>
          <w:rtl/>
        </w:rPr>
        <w:t>ומידת</w:t>
      </w:r>
      <w:r w:rsidRPr="00AE6016">
        <w:rPr>
          <w:rFonts w:ascii="Calibri" w:hAnsi="Calibri" w:cs="FrankRuehl"/>
          <w:sz w:val="26"/>
          <w:szCs w:val="26"/>
          <w:rtl/>
        </w:rPr>
        <w:t xml:space="preserve"> </w:t>
      </w:r>
      <w:r w:rsidRPr="00AE6016">
        <w:rPr>
          <w:rFonts w:ascii="Calibri" w:hAnsi="Calibri" w:cs="FrankRuehl" w:hint="eastAsia"/>
          <w:sz w:val="26"/>
          <w:szCs w:val="26"/>
          <w:rtl/>
        </w:rPr>
        <w:t>אשמו</w:t>
      </w:r>
      <w:r w:rsidRPr="00AE6016">
        <w:rPr>
          <w:rFonts w:ascii="Calibri" w:hAnsi="Calibri" w:cs="FrankRuehl"/>
          <w:sz w:val="26"/>
          <w:szCs w:val="26"/>
          <w:rtl/>
        </w:rPr>
        <w:t xml:space="preserve"> </w:t>
      </w:r>
      <w:r w:rsidRPr="00AE6016">
        <w:rPr>
          <w:rFonts w:ascii="Calibri" w:hAnsi="Calibri" w:cs="FrankRuehl" w:hint="eastAsia"/>
          <w:sz w:val="26"/>
          <w:szCs w:val="26"/>
          <w:rtl/>
        </w:rPr>
        <w:t>של</w:t>
      </w:r>
      <w:r w:rsidRPr="00AE6016">
        <w:rPr>
          <w:rFonts w:ascii="Calibri" w:hAnsi="Calibri" w:cs="FrankRuehl"/>
          <w:sz w:val="26"/>
          <w:szCs w:val="26"/>
          <w:rtl/>
        </w:rPr>
        <w:t xml:space="preserve"> </w:t>
      </w:r>
      <w:r w:rsidRPr="00AE6016">
        <w:rPr>
          <w:rFonts w:ascii="Calibri" w:hAnsi="Calibri" w:cs="FrankRuehl" w:hint="eastAsia"/>
          <w:sz w:val="26"/>
          <w:szCs w:val="26"/>
          <w:rtl/>
        </w:rPr>
        <w:t>הנאשם</w:t>
      </w:r>
      <w:r w:rsidRPr="00AE6016">
        <w:rPr>
          <w:rFonts w:ascii="Calibri" w:hAnsi="Calibri" w:cs="FrankRuehl"/>
          <w:sz w:val="26"/>
          <w:szCs w:val="26"/>
          <w:rtl/>
        </w:rPr>
        <w:t xml:space="preserve">, </w:t>
      </w:r>
      <w:r w:rsidRPr="00AE6016">
        <w:rPr>
          <w:rFonts w:ascii="Calibri" w:hAnsi="Calibri" w:cs="FrankRuehl" w:hint="eastAsia"/>
          <w:sz w:val="26"/>
          <w:szCs w:val="26"/>
          <w:rtl/>
        </w:rPr>
        <w:t>לבין</w:t>
      </w:r>
      <w:r w:rsidRPr="00AE6016">
        <w:rPr>
          <w:rFonts w:ascii="Calibri" w:hAnsi="Calibri" w:cs="FrankRuehl"/>
          <w:sz w:val="26"/>
          <w:szCs w:val="26"/>
          <w:rtl/>
        </w:rPr>
        <w:t xml:space="preserve"> </w:t>
      </w:r>
      <w:r w:rsidRPr="00AE6016">
        <w:rPr>
          <w:rFonts w:ascii="Calibri" w:hAnsi="Calibri" w:cs="FrankRuehl" w:hint="eastAsia"/>
          <w:sz w:val="26"/>
          <w:szCs w:val="26"/>
          <w:rtl/>
        </w:rPr>
        <w:t>סוג</w:t>
      </w:r>
      <w:r w:rsidRPr="00AE6016">
        <w:rPr>
          <w:rFonts w:ascii="Calibri" w:hAnsi="Calibri" w:cs="FrankRuehl"/>
          <w:sz w:val="26"/>
          <w:szCs w:val="26"/>
          <w:rtl/>
        </w:rPr>
        <w:t xml:space="preserve"> </w:t>
      </w:r>
      <w:r w:rsidRPr="00AE6016">
        <w:rPr>
          <w:rFonts w:ascii="Calibri" w:hAnsi="Calibri" w:cs="FrankRuehl" w:hint="eastAsia"/>
          <w:sz w:val="26"/>
          <w:szCs w:val="26"/>
          <w:rtl/>
        </w:rPr>
        <w:t>ומידת</w:t>
      </w:r>
      <w:r w:rsidRPr="00AE6016">
        <w:rPr>
          <w:rFonts w:ascii="Calibri" w:hAnsi="Calibri" w:cs="FrankRuehl"/>
          <w:sz w:val="26"/>
          <w:szCs w:val="26"/>
          <w:rtl/>
        </w:rPr>
        <w:t xml:space="preserve"> </w:t>
      </w:r>
      <w:r w:rsidRPr="00AE6016">
        <w:rPr>
          <w:rFonts w:ascii="Calibri" w:hAnsi="Calibri" w:cs="FrankRuehl" w:hint="eastAsia"/>
          <w:sz w:val="26"/>
          <w:szCs w:val="26"/>
          <w:rtl/>
        </w:rPr>
        <w:t>העונש</w:t>
      </w:r>
      <w:r w:rsidRPr="00AE6016">
        <w:rPr>
          <w:rFonts w:ascii="Calibri" w:hAnsi="Calibri" w:cs="FrankRuehl"/>
          <w:sz w:val="26"/>
          <w:szCs w:val="26"/>
          <w:rtl/>
        </w:rPr>
        <w:t xml:space="preserve"> </w:t>
      </w:r>
      <w:r w:rsidRPr="00AE6016">
        <w:rPr>
          <w:rFonts w:ascii="Calibri" w:hAnsi="Calibri" w:cs="FrankRuehl" w:hint="eastAsia"/>
          <w:sz w:val="26"/>
          <w:szCs w:val="26"/>
          <w:rtl/>
        </w:rPr>
        <w:t>המוטל</w:t>
      </w:r>
      <w:r w:rsidRPr="00AE6016">
        <w:rPr>
          <w:rFonts w:ascii="Calibri" w:hAnsi="Calibri" w:cs="FrankRuehl"/>
          <w:sz w:val="26"/>
          <w:szCs w:val="26"/>
          <w:rtl/>
        </w:rPr>
        <w:t xml:space="preserve"> </w:t>
      </w:r>
      <w:r w:rsidRPr="00AE6016">
        <w:rPr>
          <w:rFonts w:ascii="Calibri" w:hAnsi="Calibri" w:cs="FrankRuehl" w:hint="eastAsia"/>
          <w:sz w:val="26"/>
          <w:szCs w:val="26"/>
          <w:rtl/>
        </w:rPr>
        <w:t>עליו</w:t>
      </w:r>
      <w:r w:rsidRPr="00AE6016">
        <w:rPr>
          <w:rFonts w:ascii="Calibri" w:hAnsi="Calibri" w:cs="FrankRuehl"/>
          <w:sz w:val="26"/>
          <w:szCs w:val="26"/>
          <w:rtl/>
        </w:rPr>
        <w:t xml:space="preserve">. </w:t>
      </w:r>
      <w:r w:rsidRPr="00AE6016">
        <w:rPr>
          <w:rFonts w:ascii="Calibri" w:hAnsi="Calibri" w:cs="FrankRuehl" w:hint="eastAsia"/>
          <w:sz w:val="26"/>
          <w:szCs w:val="26"/>
          <w:rtl/>
        </w:rPr>
        <w:t>בקביעת</w:t>
      </w:r>
      <w:r w:rsidRPr="00AE6016">
        <w:rPr>
          <w:rFonts w:ascii="Calibri" w:hAnsi="Calibri" w:cs="FrankRuehl"/>
          <w:sz w:val="26"/>
          <w:szCs w:val="26"/>
          <w:rtl/>
        </w:rPr>
        <w:t xml:space="preserve"> </w:t>
      </w:r>
      <w:r w:rsidRPr="00AE6016">
        <w:rPr>
          <w:rFonts w:ascii="Calibri" w:hAnsi="Calibri" w:cs="FrankRuehl" w:hint="eastAsia"/>
          <w:sz w:val="26"/>
          <w:szCs w:val="26"/>
          <w:rtl/>
        </w:rPr>
        <w:t>מתחם</w:t>
      </w:r>
      <w:r w:rsidRPr="00AE6016">
        <w:rPr>
          <w:rFonts w:ascii="Calibri" w:hAnsi="Calibri" w:cs="FrankRuehl"/>
          <w:sz w:val="26"/>
          <w:szCs w:val="26"/>
          <w:rtl/>
        </w:rPr>
        <w:t xml:space="preserve"> </w:t>
      </w:r>
      <w:r w:rsidRPr="00AE6016">
        <w:rPr>
          <w:rFonts w:ascii="Calibri" w:hAnsi="Calibri" w:cs="FrankRuehl" w:hint="eastAsia"/>
          <w:sz w:val="26"/>
          <w:szCs w:val="26"/>
          <w:rtl/>
        </w:rPr>
        <w:t>העונש</w:t>
      </w:r>
      <w:r w:rsidRPr="00AE6016">
        <w:rPr>
          <w:rFonts w:ascii="Calibri" w:hAnsi="Calibri" w:cs="FrankRuehl"/>
          <w:sz w:val="26"/>
          <w:szCs w:val="26"/>
          <w:rtl/>
        </w:rPr>
        <w:t xml:space="preserve"> </w:t>
      </w:r>
      <w:r w:rsidRPr="00AE6016">
        <w:rPr>
          <w:rFonts w:ascii="Calibri" w:hAnsi="Calibri" w:cs="FrankRuehl" w:hint="eastAsia"/>
          <w:sz w:val="26"/>
          <w:szCs w:val="26"/>
          <w:rtl/>
        </w:rPr>
        <w:t>ההולם</w:t>
      </w:r>
      <w:r w:rsidRPr="00AE6016">
        <w:rPr>
          <w:rFonts w:ascii="Calibri" w:hAnsi="Calibri" w:cs="FrankRuehl"/>
          <w:sz w:val="26"/>
          <w:szCs w:val="26"/>
          <w:rtl/>
        </w:rPr>
        <w:t xml:space="preserve">, </w:t>
      </w:r>
      <w:r w:rsidRPr="00AE6016">
        <w:rPr>
          <w:rFonts w:ascii="Calibri" w:hAnsi="Calibri" w:cs="FrankRuehl" w:hint="eastAsia"/>
          <w:sz w:val="26"/>
          <w:szCs w:val="26"/>
          <w:rtl/>
        </w:rPr>
        <w:t>על</w:t>
      </w:r>
      <w:r w:rsidRPr="00AE6016">
        <w:rPr>
          <w:rFonts w:ascii="Calibri" w:hAnsi="Calibri" w:cs="FrankRuehl"/>
          <w:sz w:val="26"/>
          <w:szCs w:val="26"/>
          <w:rtl/>
        </w:rPr>
        <w:t xml:space="preserve"> </w:t>
      </w:r>
      <w:r w:rsidRPr="00AE6016">
        <w:rPr>
          <w:rFonts w:ascii="Calibri" w:hAnsi="Calibri" w:cs="FrankRuehl" w:hint="eastAsia"/>
          <w:sz w:val="26"/>
          <w:szCs w:val="26"/>
          <w:rtl/>
        </w:rPr>
        <w:t>בית</w:t>
      </w:r>
      <w:r w:rsidRPr="00AE6016">
        <w:rPr>
          <w:rFonts w:ascii="Calibri" w:hAnsi="Calibri" w:cs="FrankRuehl"/>
          <w:sz w:val="26"/>
          <w:szCs w:val="26"/>
          <w:rtl/>
        </w:rPr>
        <w:t xml:space="preserve"> </w:t>
      </w:r>
      <w:r w:rsidRPr="00AE6016">
        <w:rPr>
          <w:rFonts w:ascii="Calibri" w:hAnsi="Calibri" w:cs="FrankRuehl" w:hint="eastAsia"/>
          <w:sz w:val="26"/>
          <w:szCs w:val="26"/>
          <w:rtl/>
        </w:rPr>
        <w:t>המשפט</w:t>
      </w:r>
      <w:r w:rsidRPr="00AE6016">
        <w:rPr>
          <w:rFonts w:ascii="Calibri" w:hAnsi="Calibri" w:cs="FrankRuehl"/>
          <w:sz w:val="26"/>
          <w:szCs w:val="26"/>
          <w:rtl/>
        </w:rPr>
        <w:t xml:space="preserve"> </w:t>
      </w:r>
      <w:r w:rsidRPr="00AE6016">
        <w:rPr>
          <w:rFonts w:ascii="Calibri" w:hAnsi="Calibri" w:cs="FrankRuehl" w:hint="eastAsia"/>
          <w:sz w:val="26"/>
          <w:szCs w:val="26"/>
          <w:rtl/>
        </w:rPr>
        <w:t>להתחשב</w:t>
      </w:r>
      <w:r w:rsidRPr="00AE6016">
        <w:rPr>
          <w:rFonts w:ascii="Calibri" w:hAnsi="Calibri" w:cs="FrankRuehl"/>
          <w:sz w:val="26"/>
          <w:szCs w:val="26"/>
          <w:rtl/>
        </w:rPr>
        <w:t xml:space="preserve"> </w:t>
      </w:r>
      <w:r w:rsidRPr="00AE6016">
        <w:rPr>
          <w:rFonts w:ascii="Calibri" w:hAnsi="Calibri" w:cs="FrankRuehl" w:hint="eastAsia"/>
          <w:sz w:val="26"/>
          <w:szCs w:val="26"/>
          <w:rtl/>
        </w:rPr>
        <w:t>בערך</w:t>
      </w:r>
      <w:r w:rsidRPr="00AE6016">
        <w:rPr>
          <w:rFonts w:ascii="Calibri" w:hAnsi="Calibri" w:cs="FrankRuehl"/>
          <w:sz w:val="26"/>
          <w:szCs w:val="26"/>
          <w:rtl/>
        </w:rPr>
        <w:t xml:space="preserve"> </w:t>
      </w:r>
      <w:r w:rsidRPr="00AE6016">
        <w:rPr>
          <w:rFonts w:ascii="Calibri" w:hAnsi="Calibri" w:cs="FrankRuehl" w:hint="eastAsia"/>
          <w:sz w:val="26"/>
          <w:szCs w:val="26"/>
          <w:rtl/>
        </w:rPr>
        <w:t>החברתי</w:t>
      </w:r>
      <w:r w:rsidRPr="00AE6016">
        <w:rPr>
          <w:rFonts w:ascii="Calibri" w:hAnsi="Calibri" w:cs="FrankRuehl"/>
          <w:sz w:val="26"/>
          <w:szCs w:val="26"/>
          <w:rtl/>
        </w:rPr>
        <w:t xml:space="preserve"> </w:t>
      </w:r>
      <w:r w:rsidRPr="00AE6016">
        <w:rPr>
          <w:rFonts w:ascii="Calibri" w:hAnsi="Calibri" w:cs="FrankRuehl" w:hint="eastAsia"/>
          <w:sz w:val="26"/>
          <w:szCs w:val="26"/>
          <w:rtl/>
        </w:rPr>
        <w:t>שנפגע</w:t>
      </w:r>
      <w:r w:rsidRPr="00AE6016">
        <w:rPr>
          <w:rFonts w:ascii="Calibri" w:hAnsi="Calibri" w:cs="FrankRuehl"/>
          <w:sz w:val="26"/>
          <w:szCs w:val="26"/>
          <w:rtl/>
        </w:rPr>
        <w:t xml:space="preserve">, </w:t>
      </w:r>
      <w:r w:rsidRPr="00AE6016">
        <w:rPr>
          <w:rFonts w:ascii="Calibri" w:hAnsi="Calibri" w:cs="FrankRuehl" w:hint="eastAsia"/>
          <w:sz w:val="26"/>
          <w:szCs w:val="26"/>
          <w:rtl/>
        </w:rPr>
        <w:t>במידת</w:t>
      </w:r>
      <w:r w:rsidRPr="00AE6016">
        <w:rPr>
          <w:rFonts w:ascii="Calibri" w:hAnsi="Calibri" w:cs="FrankRuehl"/>
          <w:sz w:val="26"/>
          <w:szCs w:val="26"/>
          <w:rtl/>
        </w:rPr>
        <w:t xml:space="preserve"> </w:t>
      </w:r>
      <w:r w:rsidRPr="00AE6016">
        <w:rPr>
          <w:rFonts w:ascii="Calibri" w:hAnsi="Calibri" w:cs="FrankRuehl" w:hint="eastAsia"/>
          <w:sz w:val="26"/>
          <w:szCs w:val="26"/>
          <w:rtl/>
        </w:rPr>
        <w:t>הפגיעה</w:t>
      </w:r>
      <w:r w:rsidRPr="00AE6016">
        <w:rPr>
          <w:rFonts w:ascii="Calibri" w:hAnsi="Calibri" w:cs="FrankRuehl"/>
          <w:sz w:val="26"/>
          <w:szCs w:val="26"/>
          <w:rtl/>
        </w:rPr>
        <w:t xml:space="preserve"> </w:t>
      </w:r>
      <w:r w:rsidRPr="00AE6016">
        <w:rPr>
          <w:rFonts w:ascii="Calibri" w:hAnsi="Calibri" w:cs="FrankRuehl" w:hint="eastAsia"/>
          <w:sz w:val="26"/>
          <w:szCs w:val="26"/>
          <w:rtl/>
        </w:rPr>
        <w:t>בו</w:t>
      </w:r>
      <w:r w:rsidRPr="00AE6016">
        <w:rPr>
          <w:rFonts w:ascii="Calibri" w:hAnsi="Calibri" w:cs="FrankRuehl"/>
          <w:sz w:val="26"/>
          <w:szCs w:val="26"/>
          <w:rtl/>
        </w:rPr>
        <w:t xml:space="preserve">, </w:t>
      </w:r>
      <w:r w:rsidRPr="00AE6016">
        <w:rPr>
          <w:rFonts w:ascii="Calibri" w:hAnsi="Calibri" w:cs="FrankRuehl" w:hint="eastAsia"/>
          <w:sz w:val="26"/>
          <w:szCs w:val="26"/>
          <w:rtl/>
        </w:rPr>
        <w:t>במדיניות</w:t>
      </w:r>
      <w:r w:rsidRPr="00AE6016">
        <w:rPr>
          <w:rFonts w:ascii="Calibri" w:hAnsi="Calibri" w:cs="FrankRuehl"/>
          <w:sz w:val="26"/>
          <w:szCs w:val="26"/>
          <w:rtl/>
        </w:rPr>
        <w:t xml:space="preserve"> </w:t>
      </w:r>
      <w:r w:rsidRPr="00AE6016">
        <w:rPr>
          <w:rFonts w:ascii="Calibri" w:hAnsi="Calibri" w:cs="FrankRuehl" w:hint="eastAsia"/>
          <w:sz w:val="26"/>
          <w:szCs w:val="26"/>
          <w:rtl/>
        </w:rPr>
        <w:t>הענישה</w:t>
      </w:r>
      <w:r w:rsidRPr="00AE6016">
        <w:rPr>
          <w:rFonts w:ascii="Calibri" w:hAnsi="Calibri" w:cs="FrankRuehl"/>
          <w:sz w:val="26"/>
          <w:szCs w:val="26"/>
          <w:rtl/>
        </w:rPr>
        <w:t xml:space="preserve"> </w:t>
      </w:r>
      <w:r w:rsidRPr="00AE6016">
        <w:rPr>
          <w:rFonts w:ascii="Calibri" w:hAnsi="Calibri" w:cs="FrankRuehl" w:hint="eastAsia"/>
          <w:sz w:val="26"/>
          <w:szCs w:val="26"/>
          <w:rtl/>
        </w:rPr>
        <w:t>הנהוגה</w:t>
      </w:r>
      <w:r w:rsidRPr="00AE6016">
        <w:rPr>
          <w:rFonts w:ascii="Calibri" w:hAnsi="Calibri" w:cs="FrankRuehl"/>
          <w:sz w:val="26"/>
          <w:szCs w:val="26"/>
          <w:rtl/>
        </w:rPr>
        <w:t xml:space="preserve"> </w:t>
      </w:r>
      <w:r w:rsidRPr="00AE6016">
        <w:rPr>
          <w:rFonts w:ascii="Calibri" w:hAnsi="Calibri" w:cs="FrankRuehl" w:hint="eastAsia"/>
          <w:sz w:val="26"/>
          <w:szCs w:val="26"/>
          <w:rtl/>
        </w:rPr>
        <w:t>ובנסיבות</w:t>
      </w:r>
      <w:r w:rsidRPr="00AE6016">
        <w:rPr>
          <w:rFonts w:ascii="Calibri" w:hAnsi="Calibri" w:cs="FrankRuehl"/>
          <w:sz w:val="26"/>
          <w:szCs w:val="26"/>
          <w:rtl/>
        </w:rPr>
        <w:t xml:space="preserve"> </w:t>
      </w:r>
      <w:r w:rsidRPr="00AE6016">
        <w:rPr>
          <w:rFonts w:ascii="Calibri" w:hAnsi="Calibri" w:cs="FrankRuehl" w:hint="eastAsia"/>
          <w:sz w:val="26"/>
          <w:szCs w:val="26"/>
          <w:rtl/>
        </w:rPr>
        <w:t>הקשורות</w:t>
      </w:r>
      <w:r w:rsidRPr="00AE6016">
        <w:rPr>
          <w:rFonts w:ascii="Calibri" w:hAnsi="Calibri" w:cs="FrankRuehl"/>
          <w:sz w:val="26"/>
          <w:szCs w:val="26"/>
          <w:rtl/>
        </w:rPr>
        <w:t xml:space="preserve"> </w:t>
      </w:r>
      <w:r w:rsidRPr="00AE6016">
        <w:rPr>
          <w:rFonts w:ascii="Calibri" w:hAnsi="Calibri" w:cs="FrankRuehl" w:hint="eastAsia"/>
          <w:sz w:val="26"/>
          <w:szCs w:val="26"/>
          <w:rtl/>
        </w:rPr>
        <w:t>לביצוע</w:t>
      </w:r>
      <w:r w:rsidRPr="00AE6016">
        <w:rPr>
          <w:rFonts w:ascii="Calibri" w:hAnsi="Calibri" w:cs="FrankRuehl"/>
          <w:sz w:val="26"/>
          <w:szCs w:val="26"/>
          <w:rtl/>
        </w:rPr>
        <w:t xml:space="preserve"> </w:t>
      </w:r>
      <w:r w:rsidRPr="00AE6016">
        <w:rPr>
          <w:rFonts w:ascii="Calibri" w:hAnsi="Calibri" w:cs="FrankRuehl" w:hint="eastAsia"/>
          <w:sz w:val="26"/>
          <w:szCs w:val="26"/>
          <w:rtl/>
        </w:rPr>
        <w:t>העבירה</w:t>
      </w:r>
      <w:r w:rsidRPr="00AE6016">
        <w:rPr>
          <w:rFonts w:ascii="Calibri" w:hAnsi="Calibri" w:cs="FrankRuehl"/>
          <w:sz w:val="26"/>
          <w:szCs w:val="26"/>
          <w:rtl/>
        </w:rPr>
        <w:t xml:space="preserve">. </w:t>
      </w:r>
    </w:p>
    <w:p w14:paraId="454C6C1A"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ascii="David" w:hAnsi="David" w:cs="FrankRuehl"/>
          <w:sz w:val="26"/>
          <w:szCs w:val="26"/>
          <w:rtl/>
        </w:rPr>
        <w:t xml:space="preserve">הערכים החברתיים המוגנים העומדים בבסיס העבירות בהן הורשע הנאשם, הם </w:t>
      </w:r>
      <w:r w:rsidRPr="00AE6016">
        <w:rPr>
          <w:rFonts w:cs="FrankRuehl"/>
          <w:sz w:val="26"/>
          <w:szCs w:val="26"/>
          <w:rtl/>
        </w:rPr>
        <w:t xml:space="preserve">הגנה על שלום הפרט והציבור, ביטחונו והגנה על זכות הקניין והרכוש. במסגרת העבירה הוצת רכבו של המתלונן סמוך למקום מגורים. מדובר בפוטנציאל סיכון גבוה שכן האש היתה עלולה להתפשט ולפגוע גם בחיי אדם. בפועל בעקבות המעשה נשרף חלקו הקדמי של רכבו של המתלונן והוא הפנה אותו לפירוק.   </w:t>
      </w:r>
    </w:p>
    <w:p w14:paraId="1FDBF2BF"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ascii="David" w:hAnsi="David" w:cs="FrankRuehl"/>
          <w:sz w:val="26"/>
          <w:szCs w:val="26"/>
          <w:rtl/>
        </w:rPr>
        <w:t xml:space="preserve">מדובר באירוע חמור של בריונות וניסיון לפתרון סכסוכים בדרך של אלימות וונדאליזם. כבר נפסק לא אחת, על הסיכון לחיי אדם ולחברה כולה כתוצאה מתופעות אלו והצורך להוקיע </w:t>
      </w:r>
      <w:r w:rsidRPr="00AE6016">
        <w:rPr>
          <w:rFonts w:cs="FrankRuehl"/>
          <w:sz w:val="26"/>
          <w:szCs w:val="26"/>
          <w:rtl/>
        </w:rPr>
        <w:t xml:space="preserve">אותן, ראו לעניין זה </w:t>
      </w:r>
      <w:hyperlink r:id="rId54" w:history="1">
        <w:r w:rsidR="008130E1" w:rsidRPr="008130E1">
          <w:rPr>
            <w:rFonts w:cs="FrankRuehl"/>
            <w:color w:val="0000FF"/>
            <w:sz w:val="26"/>
            <w:szCs w:val="26"/>
            <w:u w:val="single"/>
            <w:rtl/>
          </w:rPr>
          <w:t>ע"פ 8568/14</w:t>
        </w:r>
      </w:hyperlink>
      <w:r w:rsidRPr="00AE6016">
        <w:rPr>
          <w:rFonts w:cs="FrankRuehl"/>
          <w:sz w:val="26"/>
          <w:szCs w:val="26"/>
          <w:rtl/>
        </w:rPr>
        <w:t xml:space="preserve"> </w:t>
      </w:r>
      <w:r w:rsidRPr="00AE6016">
        <w:rPr>
          <w:rFonts w:cs="FrankRuehl"/>
          <w:b/>
          <w:bCs/>
          <w:sz w:val="26"/>
          <w:szCs w:val="26"/>
          <w:rtl/>
        </w:rPr>
        <w:t>סאלם אבו גאבר נ' מדינת ישראל</w:t>
      </w:r>
    </w:p>
    <w:p w14:paraId="53FC3FEF" w14:textId="77777777" w:rsidR="00F83313" w:rsidRPr="00C27D8D" w:rsidRDefault="00F83313" w:rsidP="00F83313">
      <w:pPr>
        <w:spacing w:line="360" w:lineRule="auto"/>
        <w:ind w:left="780"/>
        <w:contextualSpacing/>
        <w:jc w:val="both"/>
        <w:rPr>
          <w:rFonts w:cs="FrankRuehl"/>
          <w:sz w:val="16"/>
          <w:szCs w:val="16"/>
        </w:rPr>
      </w:pPr>
    </w:p>
    <w:p w14:paraId="0F2D96A8" w14:textId="77777777" w:rsidR="00F83313" w:rsidRPr="00AE6016" w:rsidRDefault="00F83313" w:rsidP="00F83313">
      <w:pPr>
        <w:spacing w:line="360" w:lineRule="auto"/>
        <w:ind w:left="1275" w:right="851"/>
        <w:contextualSpacing/>
        <w:jc w:val="both"/>
        <w:rPr>
          <w:rFonts w:cs="FrankRuehl"/>
          <w:sz w:val="26"/>
          <w:szCs w:val="26"/>
          <w:rtl/>
        </w:rPr>
      </w:pPr>
      <w:r w:rsidRPr="00AE6016">
        <w:rPr>
          <w:rFonts w:ascii="David" w:hAnsi="David" w:cs="FrankRuehl"/>
          <w:b/>
          <w:bCs/>
          <w:sz w:val="26"/>
          <w:szCs w:val="26"/>
          <w:rtl/>
        </w:rPr>
        <w:t xml:space="preserve">" על דרך הכלל, בית משפט זה נדרש לצערי לא אחת </w:t>
      </w:r>
      <w:r w:rsidRPr="00AE6016">
        <w:rPr>
          <w:rFonts w:cs="FrankRuehl"/>
          <w:b/>
          <w:bCs/>
          <w:sz w:val="26"/>
          <w:szCs w:val="26"/>
          <w:rtl/>
        </w:rPr>
        <w:t>לאירועים מעין אלה של פתרון סכסוכים בדרכי אלימות, ולא תתכן מחלוקת כי יש להטיל עונשים משמעותיים, על פי רוב מאחורי סורג ובריח, כדי לעקור תופעות אלה מהשורש</w:t>
      </w:r>
      <w:r w:rsidRPr="00AE6016">
        <w:rPr>
          <w:rFonts w:cs="FrankRuehl"/>
          <w:sz w:val="26"/>
          <w:szCs w:val="26"/>
          <w:rtl/>
        </w:rPr>
        <w:t xml:space="preserve">. </w:t>
      </w:r>
      <w:r w:rsidRPr="00AE6016">
        <w:rPr>
          <w:rFonts w:cs="FrankRuehl"/>
          <w:b/>
          <w:bCs/>
          <w:sz w:val="26"/>
          <w:szCs w:val="26"/>
          <w:rtl/>
        </w:rPr>
        <w:t>אין מקום לסובלנות כלפי יד קלה על ההדק או קת סכין או במקל חובלים. ועל כך נאמר יש מקום שגם בית המשפט יתרום את חלקו למלחמה נגד האלימות. לעיתים יש תחושה שכל אמרה לא נכונה או התנהגות שבעיני אחר סוטה מן השורה, ולו במקצת, מהווה הצדקה עבור הפוגע וסביבתו לפגוע  באמצעות נשק קר ביחיד ובסביבתו".</w:t>
      </w:r>
      <w:r w:rsidRPr="00AE6016">
        <w:rPr>
          <w:rFonts w:cs="FrankRuehl"/>
          <w:sz w:val="26"/>
          <w:szCs w:val="26"/>
          <w:rtl/>
        </w:rPr>
        <w:t xml:space="preserve">  (עוד לעניין זה ראו </w:t>
      </w:r>
      <w:hyperlink r:id="rId55" w:history="1">
        <w:r w:rsidR="008130E1" w:rsidRPr="008130E1">
          <w:rPr>
            <w:rFonts w:cs="FrankRuehl"/>
            <w:color w:val="0000FF"/>
            <w:sz w:val="26"/>
            <w:szCs w:val="26"/>
            <w:u w:val="single"/>
            <w:rtl/>
          </w:rPr>
          <w:t>ע"פ 4173/07</w:t>
        </w:r>
      </w:hyperlink>
      <w:r w:rsidRPr="00AE6016">
        <w:rPr>
          <w:rFonts w:cs="FrankRuehl"/>
          <w:sz w:val="26"/>
          <w:szCs w:val="26"/>
          <w:rtl/>
        </w:rPr>
        <w:t xml:space="preserve"> </w:t>
      </w:r>
      <w:r w:rsidRPr="00AE6016">
        <w:rPr>
          <w:rFonts w:cs="FrankRuehl"/>
          <w:b/>
          <w:bCs/>
          <w:sz w:val="26"/>
          <w:szCs w:val="26"/>
          <w:rtl/>
        </w:rPr>
        <w:t>פלוני נ' מדינת ישראל</w:t>
      </w:r>
      <w:r w:rsidRPr="00AE6016">
        <w:rPr>
          <w:rFonts w:cs="FrankRuehl"/>
          <w:sz w:val="26"/>
          <w:szCs w:val="26"/>
          <w:rtl/>
        </w:rPr>
        <w:t xml:space="preserve"> (2007)</w:t>
      </w:r>
      <w:r w:rsidRPr="00AE6016">
        <w:rPr>
          <w:rFonts w:cs="FrankRuehl"/>
          <w:sz w:val="26"/>
          <w:szCs w:val="26"/>
        </w:rPr>
        <w:t xml:space="preserve">; </w:t>
      </w:r>
      <w:r w:rsidRPr="00AE6016">
        <w:rPr>
          <w:rFonts w:cs="FrankRuehl"/>
          <w:sz w:val="26"/>
          <w:szCs w:val="26"/>
          <w:rtl/>
        </w:rPr>
        <w:t xml:space="preserve"> </w:t>
      </w:r>
      <w:hyperlink r:id="rId56" w:history="1">
        <w:r w:rsidR="008130E1" w:rsidRPr="008130E1">
          <w:rPr>
            <w:rFonts w:cs="FrankRuehl"/>
            <w:color w:val="0000FF"/>
            <w:sz w:val="26"/>
            <w:szCs w:val="26"/>
            <w:u w:val="single"/>
            <w:rtl/>
          </w:rPr>
          <w:t>ע"פ 8991/10</w:t>
        </w:r>
      </w:hyperlink>
      <w:r w:rsidRPr="00AE6016">
        <w:rPr>
          <w:rFonts w:cs="FrankRuehl"/>
          <w:sz w:val="26"/>
          <w:szCs w:val="26"/>
          <w:rtl/>
        </w:rPr>
        <w:t xml:space="preserve"> </w:t>
      </w:r>
      <w:r w:rsidRPr="00AE6016">
        <w:rPr>
          <w:rFonts w:cs="FrankRuehl"/>
          <w:b/>
          <w:bCs/>
          <w:sz w:val="26"/>
          <w:szCs w:val="26"/>
          <w:rtl/>
        </w:rPr>
        <w:t>מכבי נ' מדינת ישראל</w:t>
      </w:r>
      <w:r w:rsidRPr="00AE6016">
        <w:rPr>
          <w:rFonts w:cs="FrankRuehl"/>
          <w:sz w:val="26"/>
          <w:szCs w:val="26"/>
          <w:rtl/>
        </w:rPr>
        <w:t xml:space="preserve"> (2011)</w:t>
      </w:r>
      <w:r w:rsidRPr="00AE6016">
        <w:rPr>
          <w:rFonts w:cs="FrankRuehl"/>
          <w:sz w:val="26"/>
          <w:szCs w:val="26"/>
        </w:rPr>
        <w:t xml:space="preserve">; </w:t>
      </w:r>
      <w:r w:rsidRPr="00AE6016">
        <w:rPr>
          <w:rFonts w:cs="FrankRuehl"/>
          <w:sz w:val="26"/>
          <w:szCs w:val="26"/>
          <w:rtl/>
        </w:rPr>
        <w:t xml:space="preserve"> </w:t>
      </w:r>
      <w:hyperlink r:id="rId57" w:history="1">
        <w:r w:rsidR="008130E1" w:rsidRPr="008130E1">
          <w:rPr>
            <w:rFonts w:cs="FrankRuehl"/>
            <w:color w:val="0000FF"/>
            <w:sz w:val="26"/>
            <w:szCs w:val="26"/>
            <w:u w:val="single"/>
            <w:rtl/>
          </w:rPr>
          <w:t>ע"פ 7360/13</w:t>
        </w:r>
      </w:hyperlink>
      <w:r w:rsidRPr="00AE6016">
        <w:rPr>
          <w:rFonts w:cs="FrankRuehl"/>
          <w:sz w:val="26"/>
          <w:szCs w:val="26"/>
          <w:rtl/>
        </w:rPr>
        <w:t xml:space="preserve"> </w:t>
      </w:r>
      <w:r w:rsidRPr="00AE6016">
        <w:rPr>
          <w:rFonts w:cs="FrankRuehl"/>
          <w:b/>
          <w:bCs/>
          <w:sz w:val="26"/>
          <w:szCs w:val="26"/>
          <w:rtl/>
        </w:rPr>
        <w:t>טאהא נ' מדינת ישראל</w:t>
      </w:r>
      <w:r w:rsidRPr="00AE6016">
        <w:rPr>
          <w:rFonts w:cs="FrankRuehl"/>
          <w:sz w:val="26"/>
          <w:szCs w:val="26"/>
          <w:rtl/>
        </w:rPr>
        <w:t xml:space="preserve"> (2014).</w:t>
      </w:r>
    </w:p>
    <w:p w14:paraId="62F974E9" w14:textId="77777777" w:rsidR="00F83313" w:rsidRPr="00AE6016" w:rsidRDefault="00F83313" w:rsidP="00F83313">
      <w:pPr>
        <w:numPr>
          <w:ilvl w:val="0"/>
          <w:numId w:val="1"/>
        </w:numPr>
        <w:tabs>
          <w:tab w:val="center" w:pos="4153"/>
          <w:tab w:val="right" w:pos="8306"/>
        </w:tabs>
        <w:spacing w:before="120" w:after="120" w:line="360" w:lineRule="auto"/>
        <w:ind w:left="785"/>
        <w:jc w:val="both"/>
        <w:rPr>
          <w:rFonts w:ascii="David" w:hAnsi="David" w:cs="FrankRuehl"/>
          <w:b/>
          <w:bCs/>
          <w:color w:val="C00000"/>
          <w:sz w:val="26"/>
          <w:szCs w:val="26"/>
        </w:rPr>
      </w:pPr>
      <w:r w:rsidRPr="00AE6016">
        <w:rPr>
          <w:rFonts w:ascii="David" w:hAnsi="David" w:cs="FrankRuehl"/>
          <w:sz w:val="26"/>
          <w:szCs w:val="26"/>
          <w:rtl/>
        </w:rPr>
        <w:t>אשר ל</w:t>
      </w:r>
      <w:r w:rsidRPr="00AE6016">
        <w:rPr>
          <w:rFonts w:ascii="David" w:hAnsi="David" w:cs="FrankRuehl"/>
          <w:b/>
          <w:bCs/>
          <w:sz w:val="26"/>
          <w:szCs w:val="26"/>
          <w:rtl/>
        </w:rPr>
        <w:t>מדיניות הענישה הנהוגה</w:t>
      </w:r>
      <w:r w:rsidRPr="00AE6016">
        <w:rPr>
          <w:rFonts w:ascii="David" w:hAnsi="David" w:cs="FrankRuehl"/>
          <w:sz w:val="26"/>
          <w:szCs w:val="26"/>
          <w:rtl/>
        </w:rPr>
        <w:t xml:space="preserve">- ראשית אעיר, כי לאור תיקון כתב האישום מ-2 </w:t>
      </w:r>
      <w:r w:rsidRPr="00AE6016">
        <w:rPr>
          <w:rFonts w:ascii="David" w:hAnsi="David" w:cs="FrankRuehl" w:hint="cs"/>
          <w:sz w:val="26"/>
          <w:szCs w:val="26"/>
          <w:rtl/>
        </w:rPr>
        <w:t>אישומם</w:t>
      </w:r>
      <w:r w:rsidRPr="00AE6016">
        <w:rPr>
          <w:rFonts w:ascii="David" w:hAnsi="David" w:cs="FrankRuehl"/>
          <w:sz w:val="26"/>
          <w:szCs w:val="26"/>
          <w:rtl/>
        </w:rPr>
        <w:t xml:space="preserve"> של עבירת הצתה, נשיאה והובלה של נשק וניסיון להרוס נכס בחומר נפץ לכתב אישום מתוקן של עבירת חבלה במזיד ומתן אמצעים לביצוע פשע - עבירות הנדונות בית משפט השלום. על כן הענישה הנוהגת הרלוונטית היא גם כזו שמקורה בגזרי דין שניתנו בבית משפט שלום.</w:t>
      </w:r>
    </w:p>
    <w:p w14:paraId="1706EC3C"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מעיון בפסקי הדין אותם הגישו הצדדים, ניתן לראות כי טווח הענישה </w:t>
      </w:r>
      <w:r w:rsidRPr="00AE6016">
        <w:rPr>
          <w:rFonts w:cs="FrankRuehl" w:hint="cs"/>
          <w:sz w:val="26"/>
          <w:szCs w:val="26"/>
          <w:rtl/>
        </w:rPr>
        <w:t>בענייננ</w:t>
      </w:r>
      <w:r w:rsidRPr="00AE6016">
        <w:rPr>
          <w:rFonts w:cs="FrankRuehl" w:hint="eastAsia"/>
          <w:sz w:val="26"/>
          <w:szCs w:val="26"/>
          <w:rtl/>
        </w:rPr>
        <w:t>ו</w:t>
      </w:r>
      <w:r w:rsidRPr="00AE6016">
        <w:rPr>
          <w:rFonts w:cs="FrankRuehl"/>
          <w:sz w:val="26"/>
          <w:szCs w:val="26"/>
          <w:rtl/>
        </w:rPr>
        <w:t xml:space="preserve"> הינו רחב. להלן אתייחס לפסקי הדין בפירוט. </w:t>
      </w:r>
    </w:p>
    <w:p w14:paraId="7FA16840"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באשר להגשת פסק הדין של המאשימה, בעניינו של פיראס, מדובר באירוע משותף שלו עם הנאשם בענייננו ומצטיירת תמונה של אירוע חמור בו לקחו השניים את החוק לידיים תוך פתרון סכסוכים בבריונות וונדליזם. יחד עם זאת, לא ניתן להתעלם מהתיקונים שהוכנסו לכתב האישום בעניינו של הנאשם, בגדרם נמחק אישום ושונו הוראות החיקוק שיוחסו לו. כתב האישום המתוקן מתייחס לעבירה של הזיק במזיד לרכב ומתן אמצעים בביצוע פשע. כעולה מטיעוני הצדדים, תיקון כתב האישום התבצע על רקע קשיים </w:t>
      </w:r>
      <w:r w:rsidRPr="00AE6016">
        <w:rPr>
          <w:rFonts w:cs="FrankRuehl" w:hint="cs"/>
          <w:sz w:val="26"/>
          <w:szCs w:val="26"/>
          <w:rtl/>
        </w:rPr>
        <w:t>ראייתיי</w:t>
      </w:r>
      <w:r w:rsidRPr="00AE6016">
        <w:rPr>
          <w:rFonts w:cs="FrankRuehl" w:hint="eastAsia"/>
          <w:sz w:val="26"/>
          <w:szCs w:val="26"/>
          <w:rtl/>
        </w:rPr>
        <w:t>ם</w:t>
      </w:r>
      <w:r w:rsidRPr="00AE6016">
        <w:rPr>
          <w:rFonts w:cs="FrankRuehl"/>
          <w:sz w:val="26"/>
          <w:szCs w:val="26"/>
          <w:rtl/>
        </w:rPr>
        <w:t>. לתיקון המשמעותי בכתב האישום השלכה ניכרת על מידת העונש שיש להטיל על הנאשם. ואמנם גם בהינתן האמור, ניתן לראות כי מקריאת כתב האישום המתוקן, הנאשם הוא הרוח החיה והעומד מאחורי המעשה. הסכסוך של הנאשם עם משפחת המתלונן הוא אשר היווה את המניע לעבירה, למבצע בפועל –פיראס לא היה כל קשר לסכסוך. הנאשם הוא אשר סיפק לפיראס את בקבוק הבנזין לצורך הפגיעה ברכב. מכאן שגם בהתעלם מכתב האישום בעניינו של פיראס חלקו של הנאשם באירוע החמור הינו מכריע ובלעדיו ככל הנראה האירוע לא היה מתרחש.</w:t>
      </w:r>
    </w:p>
    <w:p w14:paraId="6E2950C4"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בפסיקה הנוספת אליה הפנתה המאשימה, דובר על אישום חמור יותר של עבירת "ההצתה" אשר כאמור הושמטה מכתב האישום בעניינו, בנוסף דובר על עבירות חמורות נלוות נוספות בפסיקה שצורפה (ראה למשל עניין עמאש) או בנסיבות חמורות יותר  (כגון בעניין רחמים), בה המתלוננת הינה קשישה ילידת 1938 והנאשם בעל עבר פלילי. </w:t>
      </w:r>
    </w:p>
    <w:p w14:paraId="420C503C"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באשר לפסיקה אליה הפנה ב"כ הנאשם, מדובר במקרים בהם הנאשמים היו בגיל צעיר (קטינים- בגירים בגילאי 19.5-20) בעת ביצוע העבירה, הנאשמים התנצלו באופן אישי למתלונן ותקנו את רכבו ודובר באופק שיקומי מובהק (למשל בעניין מסרי). בנוסף, מדובר בנסיבות חמורות פחות, כגון, על עבירה שבוצעה שלא על רקע נקמני אלא של רוח שטות </w:t>
      </w:r>
      <w:r w:rsidRPr="00AE6016">
        <w:rPr>
          <w:rFonts w:cs="FrankRuehl" w:hint="cs"/>
          <w:sz w:val="26"/>
          <w:szCs w:val="26"/>
          <w:rtl/>
        </w:rPr>
        <w:t>ובגילופי</w:t>
      </w:r>
      <w:r w:rsidRPr="00AE6016">
        <w:rPr>
          <w:rFonts w:cs="FrankRuehl" w:hint="eastAsia"/>
          <w:sz w:val="26"/>
          <w:szCs w:val="26"/>
          <w:rtl/>
        </w:rPr>
        <w:t>ן</w:t>
      </w:r>
      <w:r w:rsidRPr="00AE6016">
        <w:rPr>
          <w:rFonts w:cs="FrankRuehl"/>
          <w:sz w:val="26"/>
          <w:szCs w:val="26"/>
          <w:rtl/>
        </w:rPr>
        <w:t xml:space="preserve"> (כמו בעניין סבן). פסיקה נוספת שהוגשה עסקה במקרה שלא כלל תכנון מראש, לא בוצע בתחכום תוך שימוש בנשק חם או קר ולא בוצעה בצוותא( עניין אליאסין) בגזר דין נוסף שהוגש דובר בהיזק (בפועל ובפוטנציאל) לרכוש בלבד ולא כבענייננו שההיזק עלול לפגוע גם בחיי אדם (עניין אל צאנע).           </w:t>
      </w:r>
    </w:p>
    <w:p w14:paraId="6D6EF053"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באשר</w:t>
      </w:r>
      <w:r w:rsidRPr="00AE6016">
        <w:rPr>
          <w:rFonts w:cs="FrankRuehl"/>
          <w:b/>
          <w:bCs/>
          <w:sz w:val="26"/>
          <w:szCs w:val="26"/>
          <w:rtl/>
        </w:rPr>
        <w:t xml:space="preserve"> לנסיבות ביצוע העבירה</w:t>
      </w:r>
      <w:r w:rsidRPr="00AE6016">
        <w:rPr>
          <w:rFonts w:cs="FrankRuehl"/>
          <w:sz w:val="26"/>
          <w:szCs w:val="26"/>
          <w:rtl/>
        </w:rPr>
        <w:t xml:space="preserve">, מדובר בעבירה אשר בוצעה תוך תכנון מראש, הנאשם מסר לפיראס בקבוק בנזין לצורך הפגיעה ברכב המתלונן על רקע סכסוך של הנאשם עם משפחתו של המתלונן (המצוי בקשרי נישואין עימם). בנוסף, לעובדה שהעבירה נעברה בצוותא חדא יש אלמנט מחמיר.    </w:t>
      </w:r>
    </w:p>
    <w:p w14:paraId="54069AE2"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ascii="Calibri" w:hAnsi="Calibri" w:cs="FrankRuehl" w:hint="eastAsia"/>
          <w:sz w:val="26"/>
          <w:szCs w:val="26"/>
          <w:rtl/>
        </w:rPr>
        <w:t>לאחר</w:t>
      </w:r>
      <w:r w:rsidRPr="00AE6016">
        <w:rPr>
          <w:rFonts w:ascii="Calibri" w:hAnsi="Calibri" w:cs="FrankRuehl"/>
          <w:sz w:val="26"/>
          <w:szCs w:val="26"/>
          <w:rtl/>
        </w:rPr>
        <w:t xml:space="preserve"> </w:t>
      </w:r>
      <w:r w:rsidRPr="00AE6016">
        <w:rPr>
          <w:rFonts w:ascii="Calibri" w:hAnsi="Calibri" w:cs="FrankRuehl" w:hint="eastAsia"/>
          <w:sz w:val="26"/>
          <w:szCs w:val="26"/>
          <w:rtl/>
        </w:rPr>
        <w:t>שהבאתי</w:t>
      </w:r>
      <w:r w:rsidRPr="00AE6016">
        <w:rPr>
          <w:rFonts w:ascii="Calibri" w:hAnsi="Calibri" w:cs="FrankRuehl"/>
          <w:sz w:val="26"/>
          <w:szCs w:val="26"/>
          <w:rtl/>
        </w:rPr>
        <w:t xml:space="preserve"> </w:t>
      </w:r>
      <w:r w:rsidRPr="00AE6016">
        <w:rPr>
          <w:rFonts w:ascii="Calibri" w:hAnsi="Calibri" w:cs="FrankRuehl" w:hint="eastAsia"/>
          <w:sz w:val="26"/>
          <w:szCs w:val="26"/>
          <w:rtl/>
        </w:rPr>
        <w:t>בחשבון</w:t>
      </w:r>
      <w:r w:rsidRPr="00AE6016">
        <w:rPr>
          <w:rFonts w:ascii="Calibri" w:hAnsi="Calibri" w:cs="FrankRuehl"/>
          <w:sz w:val="26"/>
          <w:szCs w:val="26"/>
          <w:rtl/>
        </w:rPr>
        <w:t xml:space="preserve"> </w:t>
      </w:r>
      <w:r w:rsidRPr="00AE6016">
        <w:rPr>
          <w:rFonts w:ascii="Calibri" w:hAnsi="Calibri" w:cs="FrankRuehl" w:hint="eastAsia"/>
          <w:sz w:val="26"/>
          <w:szCs w:val="26"/>
          <w:rtl/>
        </w:rPr>
        <w:t>את</w:t>
      </w:r>
      <w:r w:rsidRPr="00AE6016">
        <w:rPr>
          <w:rFonts w:ascii="Calibri" w:hAnsi="Calibri" w:cs="FrankRuehl"/>
          <w:sz w:val="26"/>
          <w:szCs w:val="26"/>
          <w:rtl/>
        </w:rPr>
        <w:t xml:space="preserve"> </w:t>
      </w:r>
      <w:r w:rsidRPr="00AE6016">
        <w:rPr>
          <w:rFonts w:ascii="Calibri" w:hAnsi="Calibri" w:cs="FrankRuehl" w:hint="eastAsia"/>
          <w:sz w:val="26"/>
          <w:szCs w:val="26"/>
          <w:rtl/>
        </w:rPr>
        <w:t>הערכים</w:t>
      </w:r>
      <w:r w:rsidRPr="00AE6016">
        <w:rPr>
          <w:rFonts w:ascii="Calibri" w:hAnsi="Calibri" w:cs="FrankRuehl"/>
          <w:sz w:val="26"/>
          <w:szCs w:val="26"/>
          <w:rtl/>
        </w:rPr>
        <w:t xml:space="preserve"> </w:t>
      </w:r>
      <w:r w:rsidRPr="00AE6016">
        <w:rPr>
          <w:rFonts w:ascii="Calibri" w:hAnsi="Calibri" w:cs="FrankRuehl" w:hint="eastAsia"/>
          <w:sz w:val="26"/>
          <w:szCs w:val="26"/>
          <w:rtl/>
        </w:rPr>
        <w:t>החברתיים</w:t>
      </w:r>
      <w:r w:rsidRPr="00AE6016">
        <w:rPr>
          <w:rFonts w:ascii="Calibri" w:hAnsi="Calibri" w:cs="FrankRuehl"/>
          <w:sz w:val="26"/>
          <w:szCs w:val="26"/>
          <w:rtl/>
        </w:rPr>
        <w:t xml:space="preserve"> </w:t>
      </w:r>
      <w:r w:rsidRPr="00AE6016">
        <w:rPr>
          <w:rFonts w:ascii="Calibri" w:hAnsi="Calibri" w:cs="FrankRuehl" w:hint="eastAsia"/>
          <w:sz w:val="26"/>
          <w:szCs w:val="26"/>
          <w:rtl/>
        </w:rPr>
        <w:t>שנפגעו</w:t>
      </w:r>
      <w:r w:rsidRPr="00AE6016">
        <w:rPr>
          <w:rFonts w:ascii="Calibri" w:hAnsi="Calibri" w:cs="FrankRuehl"/>
          <w:sz w:val="26"/>
          <w:szCs w:val="26"/>
          <w:rtl/>
        </w:rPr>
        <w:t xml:space="preserve"> </w:t>
      </w:r>
      <w:r w:rsidRPr="00AE6016">
        <w:rPr>
          <w:rFonts w:ascii="Calibri" w:hAnsi="Calibri" w:cs="FrankRuehl" w:hint="eastAsia"/>
          <w:sz w:val="26"/>
          <w:szCs w:val="26"/>
          <w:rtl/>
        </w:rPr>
        <w:t>כתוצאה</w:t>
      </w:r>
      <w:r w:rsidRPr="00AE6016">
        <w:rPr>
          <w:rFonts w:ascii="Calibri" w:hAnsi="Calibri" w:cs="FrankRuehl"/>
          <w:sz w:val="26"/>
          <w:szCs w:val="26"/>
          <w:rtl/>
        </w:rPr>
        <w:t xml:space="preserve"> </w:t>
      </w:r>
      <w:r w:rsidRPr="00AE6016">
        <w:rPr>
          <w:rFonts w:ascii="Calibri" w:hAnsi="Calibri" w:cs="FrankRuehl" w:hint="eastAsia"/>
          <w:sz w:val="26"/>
          <w:szCs w:val="26"/>
          <w:rtl/>
        </w:rPr>
        <w:t>ממעשי</w:t>
      </w:r>
      <w:r w:rsidRPr="00AE6016">
        <w:rPr>
          <w:rFonts w:ascii="Calibri" w:hAnsi="Calibri" w:cs="FrankRuehl"/>
          <w:sz w:val="26"/>
          <w:szCs w:val="26"/>
          <w:rtl/>
        </w:rPr>
        <w:t xml:space="preserve"> </w:t>
      </w:r>
      <w:r w:rsidRPr="00AE6016">
        <w:rPr>
          <w:rFonts w:ascii="Calibri" w:hAnsi="Calibri" w:cs="FrankRuehl" w:hint="eastAsia"/>
          <w:sz w:val="26"/>
          <w:szCs w:val="26"/>
          <w:rtl/>
        </w:rPr>
        <w:t>הנאשם</w:t>
      </w:r>
      <w:r w:rsidRPr="00AE6016">
        <w:rPr>
          <w:rFonts w:ascii="Calibri" w:hAnsi="Calibri" w:cs="FrankRuehl"/>
          <w:sz w:val="26"/>
          <w:szCs w:val="26"/>
          <w:rtl/>
        </w:rPr>
        <w:t xml:space="preserve">, </w:t>
      </w:r>
      <w:r w:rsidRPr="00AE6016">
        <w:rPr>
          <w:rFonts w:ascii="Calibri" w:hAnsi="Calibri" w:cs="FrankRuehl" w:hint="eastAsia"/>
          <w:sz w:val="26"/>
          <w:szCs w:val="26"/>
          <w:rtl/>
        </w:rPr>
        <w:t>את</w:t>
      </w:r>
      <w:r w:rsidRPr="00AE6016">
        <w:rPr>
          <w:rFonts w:ascii="Calibri" w:hAnsi="Calibri" w:cs="FrankRuehl"/>
          <w:sz w:val="26"/>
          <w:szCs w:val="26"/>
          <w:rtl/>
        </w:rPr>
        <w:t xml:space="preserve"> </w:t>
      </w:r>
      <w:r w:rsidRPr="00AE6016">
        <w:rPr>
          <w:rFonts w:ascii="Calibri" w:hAnsi="Calibri" w:cs="FrankRuehl" w:hint="eastAsia"/>
          <w:sz w:val="26"/>
          <w:szCs w:val="26"/>
          <w:rtl/>
        </w:rPr>
        <w:t>מדיניות</w:t>
      </w:r>
      <w:r w:rsidRPr="00AE6016">
        <w:rPr>
          <w:rFonts w:ascii="Calibri" w:hAnsi="Calibri" w:cs="FrankRuehl"/>
          <w:sz w:val="26"/>
          <w:szCs w:val="26"/>
          <w:rtl/>
        </w:rPr>
        <w:t xml:space="preserve"> </w:t>
      </w:r>
      <w:r w:rsidRPr="00AE6016">
        <w:rPr>
          <w:rFonts w:ascii="Calibri" w:hAnsi="Calibri" w:cs="FrankRuehl" w:hint="eastAsia"/>
          <w:sz w:val="26"/>
          <w:szCs w:val="26"/>
          <w:rtl/>
        </w:rPr>
        <w:t>הענישה</w:t>
      </w:r>
      <w:r w:rsidRPr="00AE6016">
        <w:rPr>
          <w:rFonts w:ascii="Calibri" w:hAnsi="Calibri" w:cs="FrankRuehl"/>
          <w:sz w:val="26"/>
          <w:szCs w:val="26"/>
          <w:rtl/>
        </w:rPr>
        <w:t xml:space="preserve"> </w:t>
      </w:r>
      <w:r w:rsidRPr="00AE6016">
        <w:rPr>
          <w:rFonts w:ascii="Calibri" w:hAnsi="Calibri" w:cs="FrankRuehl" w:hint="eastAsia"/>
          <w:sz w:val="26"/>
          <w:szCs w:val="26"/>
          <w:rtl/>
        </w:rPr>
        <w:t>הנוהגת</w:t>
      </w:r>
      <w:r w:rsidRPr="00AE6016">
        <w:rPr>
          <w:rFonts w:ascii="Calibri" w:hAnsi="Calibri" w:cs="FrankRuehl"/>
          <w:sz w:val="26"/>
          <w:szCs w:val="26"/>
          <w:rtl/>
        </w:rPr>
        <w:t xml:space="preserve"> </w:t>
      </w:r>
      <w:r w:rsidRPr="00AE6016">
        <w:rPr>
          <w:rFonts w:ascii="Calibri" w:hAnsi="Calibri" w:cs="FrankRuehl" w:hint="eastAsia"/>
          <w:sz w:val="26"/>
          <w:szCs w:val="26"/>
          <w:rtl/>
        </w:rPr>
        <w:t>ואת</w:t>
      </w:r>
      <w:r w:rsidRPr="00AE6016">
        <w:rPr>
          <w:rFonts w:ascii="Calibri" w:hAnsi="Calibri" w:cs="FrankRuehl"/>
          <w:sz w:val="26"/>
          <w:szCs w:val="26"/>
          <w:rtl/>
        </w:rPr>
        <w:t xml:space="preserve"> </w:t>
      </w:r>
      <w:r w:rsidRPr="00AE6016">
        <w:rPr>
          <w:rFonts w:ascii="Calibri" w:hAnsi="Calibri" w:cs="FrankRuehl" w:hint="eastAsia"/>
          <w:sz w:val="26"/>
          <w:szCs w:val="26"/>
          <w:rtl/>
        </w:rPr>
        <w:t>הנסיבות</w:t>
      </w:r>
      <w:r w:rsidRPr="00AE6016">
        <w:rPr>
          <w:rFonts w:ascii="Calibri" w:hAnsi="Calibri" w:cs="FrankRuehl"/>
          <w:sz w:val="26"/>
          <w:szCs w:val="26"/>
          <w:rtl/>
        </w:rPr>
        <w:t xml:space="preserve"> </w:t>
      </w:r>
      <w:r w:rsidRPr="00AE6016">
        <w:rPr>
          <w:rFonts w:ascii="Calibri" w:hAnsi="Calibri" w:cs="FrankRuehl" w:hint="eastAsia"/>
          <w:sz w:val="26"/>
          <w:szCs w:val="26"/>
          <w:rtl/>
        </w:rPr>
        <w:t>הקשורות</w:t>
      </w:r>
      <w:r w:rsidRPr="00AE6016">
        <w:rPr>
          <w:rFonts w:ascii="Calibri" w:hAnsi="Calibri" w:cs="FrankRuehl"/>
          <w:sz w:val="26"/>
          <w:szCs w:val="26"/>
          <w:rtl/>
        </w:rPr>
        <w:t xml:space="preserve"> </w:t>
      </w:r>
      <w:r w:rsidRPr="00AE6016">
        <w:rPr>
          <w:rFonts w:ascii="Calibri" w:hAnsi="Calibri" w:cs="FrankRuehl" w:hint="eastAsia"/>
          <w:sz w:val="26"/>
          <w:szCs w:val="26"/>
          <w:rtl/>
        </w:rPr>
        <w:t>בעבירה</w:t>
      </w:r>
      <w:r w:rsidRPr="00AE6016">
        <w:rPr>
          <w:rFonts w:ascii="Calibri" w:hAnsi="Calibri" w:cs="FrankRuehl"/>
          <w:sz w:val="26"/>
          <w:szCs w:val="26"/>
          <w:rtl/>
        </w:rPr>
        <w:t xml:space="preserve">, </w:t>
      </w:r>
      <w:r w:rsidRPr="00AE6016">
        <w:rPr>
          <w:rFonts w:ascii="Calibri" w:hAnsi="Calibri" w:cs="FrankRuehl" w:hint="eastAsia"/>
          <w:sz w:val="26"/>
          <w:szCs w:val="26"/>
          <w:rtl/>
        </w:rPr>
        <w:t>אני</w:t>
      </w:r>
      <w:r w:rsidRPr="00AE6016">
        <w:rPr>
          <w:rFonts w:ascii="Calibri" w:hAnsi="Calibri" w:cs="FrankRuehl"/>
          <w:sz w:val="26"/>
          <w:szCs w:val="26"/>
          <w:rtl/>
        </w:rPr>
        <w:t xml:space="preserve"> </w:t>
      </w:r>
      <w:r w:rsidRPr="00AE6016">
        <w:rPr>
          <w:rFonts w:ascii="Calibri" w:hAnsi="Calibri" w:cs="FrankRuehl" w:hint="eastAsia"/>
          <w:sz w:val="26"/>
          <w:szCs w:val="26"/>
          <w:rtl/>
        </w:rPr>
        <w:t>מעמיד</w:t>
      </w:r>
      <w:r w:rsidRPr="00AE6016">
        <w:rPr>
          <w:rFonts w:ascii="Calibri" w:hAnsi="Calibri" w:cs="FrankRuehl"/>
          <w:sz w:val="26"/>
          <w:szCs w:val="26"/>
          <w:rtl/>
        </w:rPr>
        <w:t xml:space="preserve"> </w:t>
      </w:r>
      <w:r w:rsidRPr="00AE6016">
        <w:rPr>
          <w:rFonts w:ascii="Calibri" w:hAnsi="Calibri" w:cs="FrankRuehl" w:hint="eastAsia"/>
          <w:sz w:val="26"/>
          <w:szCs w:val="26"/>
          <w:rtl/>
        </w:rPr>
        <w:t>את</w:t>
      </w:r>
      <w:r w:rsidRPr="00AE6016">
        <w:rPr>
          <w:rFonts w:ascii="Calibri" w:hAnsi="Calibri" w:cs="FrankRuehl"/>
          <w:sz w:val="26"/>
          <w:szCs w:val="26"/>
          <w:rtl/>
        </w:rPr>
        <w:t xml:space="preserve"> </w:t>
      </w:r>
      <w:r w:rsidRPr="00AE6016">
        <w:rPr>
          <w:rFonts w:ascii="Calibri" w:hAnsi="Calibri" w:cs="FrankRuehl" w:hint="eastAsia"/>
          <w:sz w:val="26"/>
          <w:szCs w:val="26"/>
          <w:rtl/>
        </w:rPr>
        <w:t>מתחם</w:t>
      </w:r>
      <w:r w:rsidRPr="00AE6016">
        <w:rPr>
          <w:rFonts w:ascii="Calibri" w:hAnsi="Calibri" w:cs="FrankRuehl"/>
          <w:sz w:val="26"/>
          <w:szCs w:val="26"/>
          <w:rtl/>
        </w:rPr>
        <w:t xml:space="preserve"> </w:t>
      </w:r>
      <w:r w:rsidRPr="00AE6016">
        <w:rPr>
          <w:rFonts w:ascii="Calibri" w:hAnsi="Calibri" w:cs="FrankRuehl" w:hint="eastAsia"/>
          <w:sz w:val="26"/>
          <w:szCs w:val="26"/>
          <w:rtl/>
        </w:rPr>
        <w:t>העונש</w:t>
      </w:r>
      <w:r w:rsidRPr="00AE6016">
        <w:rPr>
          <w:rFonts w:ascii="Calibri" w:hAnsi="Calibri" w:cs="FrankRuehl"/>
          <w:sz w:val="26"/>
          <w:szCs w:val="26"/>
          <w:rtl/>
        </w:rPr>
        <w:t xml:space="preserve"> </w:t>
      </w:r>
      <w:r w:rsidRPr="00AE6016">
        <w:rPr>
          <w:rFonts w:ascii="Calibri" w:hAnsi="Calibri" w:cs="FrankRuehl" w:hint="eastAsia"/>
          <w:sz w:val="26"/>
          <w:szCs w:val="26"/>
          <w:rtl/>
        </w:rPr>
        <w:t>ההולם</w:t>
      </w:r>
      <w:r w:rsidRPr="00AE6016">
        <w:rPr>
          <w:rFonts w:ascii="Calibri" w:hAnsi="Calibri" w:cs="FrankRuehl"/>
          <w:sz w:val="26"/>
          <w:szCs w:val="26"/>
          <w:rtl/>
        </w:rPr>
        <w:t xml:space="preserve"> </w:t>
      </w:r>
      <w:r w:rsidRPr="00AE6016">
        <w:rPr>
          <w:rFonts w:ascii="Calibri" w:hAnsi="Calibri" w:cs="FrankRuehl" w:hint="eastAsia"/>
          <w:sz w:val="26"/>
          <w:szCs w:val="26"/>
          <w:rtl/>
        </w:rPr>
        <w:t>בין</w:t>
      </w:r>
      <w:r w:rsidRPr="00AE6016">
        <w:rPr>
          <w:rFonts w:ascii="Calibri" w:hAnsi="Calibri" w:cs="FrankRuehl"/>
          <w:sz w:val="26"/>
          <w:szCs w:val="26"/>
          <w:rtl/>
        </w:rPr>
        <w:t xml:space="preserve"> 10 </w:t>
      </w:r>
      <w:r w:rsidRPr="00AE6016">
        <w:rPr>
          <w:rFonts w:ascii="Calibri" w:hAnsi="Calibri" w:cs="FrankRuehl" w:hint="eastAsia"/>
          <w:sz w:val="26"/>
          <w:szCs w:val="26"/>
          <w:rtl/>
        </w:rPr>
        <w:t>ל</w:t>
      </w:r>
      <w:r w:rsidRPr="00AE6016">
        <w:rPr>
          <w:rFonts w:ascii="Calibri" w:hAnsi="Calibri" w:cs="FrankRuehl"/>
          <w:sz w:val="26"/>
          <w:szCs w:val="26"/>
          <w:rtl/>
        </w:rPr>
        <w:t xml:space="preserve">-24 </w:t>
      </w:r>
      <w:r w:rsidRPr="00AE6016">
        <w:rPr>
          <w:rFonts w:ascii="Calibri" w:hAnsi="Calibri" w:cs="FrankRuehl" w:hint="eastAsia"/>
          <w:sz w:val="26"/>
          <w:szCs w:val="26"/>
          <w:rtl/>
        </w:rPr>
        <w:t>חודשי</w:t>
      </w:r>
      <w:r w:rsidRPr="00AE6016">
        <w:rPr>
          <w:rFonts w:ascii="Calibri" w:hAnsi="Calibri" w:cs="FrankRuehl"/>
          <w:sz w:val="26"/>
          <w:szCs w:val="26"/>
          <w:rtl/>
        </w:rPr>
        <w:t xml:space="preserve"> </w:t>
      </w:r>
      <w:r w:rsidRPr="00AE6016">
        <w:rPr>
          <w:rFonts w:ascii="Calibri" w:hAnsi="Calibri" w:cs="FrankRuehl" w:hint="eastAsia"/>
          <w:sz w:val="26"/>
          <w:szCs w:val="26"/>
          <w:rtl/>
        </w:rPr>
        <w:t>מאסר</w:t>
      </w:r>
      <w:r w:rsidRPr="00AE6016">
        <w:rPr>
          <w:rFonts w:ascii="Calibri" w:hAnsi="Calibri" w:cs="FrankRuehl"/>
          <w:sz w:val="26"/>
          <w:szCs w:val="26"/>
          <w:rtl/>
        </w:rPr>
        <w:t xml:space="preserve"> </w:t>
      </w:r>
      <w:r w:rsidRPr="00AE6016">
        <w:rPr>
          <w:rFonts w:ascii="Calibri" w:hAnsi="Calibri" w:cs="FrankRuehl" w:hint="eastAsia"/>
          <w:sz w:val="26"/>
          <w:szCs w:val="26"/>
          <w:rtl/>
        </w:rPr>
        <w:t>בפועל</w:t>
      </w:r>
      <w:r w:rsidRPr="00AE6016">
        <w:rPr>
          <w:rFonts w:cs="FrankRuehl"/>
          <w:sz w:val="26"/>
          <w:szCs w:val="26"/>
          <w:rtl/>
        </w:rPr>
        <w:t>.</w:t>
      </w:r>
    </w:p>
    <w:p w14:paraId="1C70BE53" w14:textId="77777777" w:rsidR="00F83313" w:rsidRPr="00DF2A93" w:rsidRDefault="00F83313" w:rsidP="00F83313">
      <w:pPr>
        <w:spacing w:after="160" w:line="360" w:lineRule="auto"/>
        <w:ind w:left="420"/>
        <w:jc w:val="both"/>
        <w:rPr>
          <w:rFonts w:ascii="David" w:hAnsi="David" w:cs="FrankRuehl"/>
          <w:b/>
          <w:bCs/>
          <w:sz w:val="10"/>
          <w:szCs w:val="10"/>
          <w:rtl/>
        </w:rPr>
      </w:pPr>
    </w:p>
    <w:p w14:paraId="2C42310C" w14:textId="77777777" w:rsidR="00F83313" w:rsidRPr="00C27D8D" w:rsidRDefault="00F83313" w:rsidP="00F83313">
      <w:pPr>
        <w:spacing w:after="160" w:line="360" w:lineRule="auto"/>
        <w:ind w:left="420"/>
        <w:jc w:val="both"/>
        <w:rPr>
          <w:rFonts w:ascii="David" w:hAnsi="David" w:cs="FrankRuehl"/>
          <w:b/>
          <w:bCs/>
          <w:sz w:val="26"/>
          <w:szCs w:val="26"/>
          <w:u w:val="single"/>
        </w:rPr>
      </w:pPr>
      <w:r w:rsidRPr="00C27D8D">
        <w:rPr>
          <w:rFonts w:ascii="David" w:hAnsi="David" w:cs="FrankRuehl"/>
          <w:b/>
          <w:bCs/>
          <w:sz w:val="26"/>
          <w:szCs w:val="26"/>
          <w:u w:val="single"/>
          <w:rtl/>
        </w:rPr>
        <w:t>העונש המתאים:</w:t>
      </w:r>
    </w:p>
    <w:p w14:paraId="02606A5C"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ascii="David" w:hAnsi="David" w:cs="FrankRuehl"/>
          <w:sz w:val="26"/>
          <w:szCs w:val="26"/>
          <w:rtl/>
        </w:rPr>
        <w:t xml:space="preserve">אשר לנסיבות שאינן קשורות לביצוע העבירה- לחומרה, יש להתחשב בגילו של הנאשם, שאינו קטין או על סף קטינות אלא היה כבן 27 בעת ביצוע המעשה, והיה מצופה כי בגיל זה דפוסי המחשבה שלו באשר לפתרון סכסוכים יהיה אחר. לקולה, יש להתחשב בכך שהנאשם ככלל נורמטיבי, בעל משפחה, אב לתינוק בן כשנה לאחר 10 שנות נישואין. בנוסף נלקחת בחשבון תקופת מעצרו של הנאשם ושהותו </w:t>
      </w:r>
      <w:r w:rsidRPr="00AE6016">
        <w:rPr>
          <w:rFonts w:ascii="David" w:hAnsi="David" w:cs="FrankRuehl" w:hint="cs"/>
          <w:sz w:val="26"/>
          <w:szCs w:val="26"/>
          <w:rtl/>
        </w:rPr>
        <w:t>באזוק</w:t>
      </w:r>
      <w:r w:rsidRPr="00AE6016">
        <w:rPr>
          <w:rFonts w:ascii="David" w:hAnsi="David" w:cs="FrankRuehl"/>
          <w:sz w:val="26"/>
          <w:szCs w:val="26"/>
          <w:rtl/>
        </w:rPr>
        <w:t xml:space="preserve"> אלקטרוני ותנאים מגבילים. הנאשם נעדר עבר פלילי וגם עובדה זו נזקפת לזכותו. הנאשם הורשע במהלך ניהול הוכחות, אולם אין לזקוף זאת לחובתו, לאחר שבמסגרת כתב האישום המתוקן הומרה עבירת ההצתה בעבירה של חבלה במזיד לרכב והאישום השני נמחק.</w:t>
      </w:r>
    </w:p>
    <w:p w14:paraId="47DD0C76"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ascii="David" w:hAnsi="David" w:cs="FrankRuehl"/>
          <w:sz w:val="26"/>
          <w:szCs w:val="26"/>
          <w:rtl/>
        </w:rPr>
        <w:t xml:space="preserve">תסקיר שירות המבחן לא הצביע על מסקנה חד משמעית בעניינו של הנאשם זאת לאור התיק החדש שנפתח כנגד הנאשם בשל חשד </w:t>
      </w:r>
      <w:r w:rsidRPr="00AE6016">
        <w:rPr>
          <w:rFonts w:cs="FrankRuehl"/>
          <w:sz w:val="26"/>
          <w:szCs w:val="26"/>
          <w:rtl/>
        </w:rPr>
        <w:t>לביצוע עבירת חבלה בנסיבות מחמירות אותן ביצע לכאורה על אף היותו בתנאים מגבילים ותוך כדי הליך משפטי זה. אמנם בירורו של התיק החדש טרם הסתיים, יחד עם זאת גם בהינתן</w:t>
      </w:r>
      <w:r w:rsidRPr="00AE6016">
        <w:rPr>
          <w:rFonts w:ascii="Arial" w:hAnsi="Arial" w:cs="FrankRuehl"/>
          <w:sz w:val="26"/>
          <w:szCs w:val="26"/>
          <w:rtl/>
        </w:rPr>
        <w:t xml:space="preserve"> שההליך החדש יסתיים בלא כלום ובשלב זה אין צורך בהרתעת היחיד,</w:t>
      </w:r>
      <w:r w:rsidRPr="00AE6016">
        <w:rPr>
          <w:rFonts w:ascii="David" w:hAnsi="David" w:cs="FrankRuehl"/>
          <w:sz w:val="26"/>
          <w:szCs w:val="26"/>
          <w:rtl/>
        </w:rPr>
        <w:t xml:space="preserve"> שקלתי גם את הצורך בהרתעת הרבים, מאחר שתופעת הבריונות כדרך לפתרון סכסוכים הפכו לתופעה נפוצה ומדאיגה, המחייבת תגובה עונשית הולמת. </w:t>
      </w:r>
    </w:p>
    <w:p w14:paraId="0633D7D3" w14:textId="77777777" w:rsidR="00F83313" w:rsidRPr="00AE6016" w:rsidRDefault="00F83313" w:rsidP="00F83313">
      <w:pPr>
        <w:numPr>
          <w:ilvl w:val="0"/>
          <w:numId w:val="1"/>
        </w:numPr>
        <w:spacing w:line="360" w:lineRule="auto"/>
        <w:ind w:left="785"/>
        <w:contextualSpacing/>
        <w:jc w:val="both"/>
        <w:rPr>
          <w:rFonts w:ascii="Arial" w:hAnsi="Arial" w:cs="FrankRuehl"/>
          <w:sz w:val="26"/>
          <w:szCs w:val="26"/>
        </w:rPr>
      </w:pPr>
      <w:r w:rsidRPr="00AE6016">
        <w:rPr>
          <w:rFonts w:ascii="Arial" w:hAnsi="Arial" w:cs="FrankRuehl"/>
          <w:sz w:val="26"/>
          <w:szCs w:val="26"/>
          <w:rtl/>
        </w:rPr>
        <w:t>לאור זאת, ראיתי להשית על הנאשם עונש הנמצא בתחתית  המתחם,  כדלהלן</w:t>
      </w:r>
      <w:r w:rsidRPr="00AE6016">
        <w:rPr>
          <w:rFonts w:ascii="Arial" w:hAnsi="Arial" w:cs="FrankRuehl"/>
          <w:sz w:val="26"/>
          <w:szCs w:val="26"/>
        </w:rPr>
        <w:t>:</w:t>
      </w:r>
    </w:p>
    <w:p w14:paraId="0DEB72AD" w14:textId="77777777" w:rsidR="00F83313" w:rsidRPr="00AE6016" w:rsidRDefault="00F83313" w:rsidP="00F83313">
      <w:pPr>
        <w:numPr>
          <w:ilvl w:val="0"/>
          <w:numId w:val="2"/>
        </w:numPr>
        <w:spacing w:line="360" w:lineRule="auto"/>
        <w:ind w:left="1417"/>
        <w:contextualSpacing/>
        <w:jc w:val="both"/>
        <w:rPr>
          <w:rFonts w:cs="FrankRuehl"/>
          <w:sz w:val="26"/>
          <w:szCs w:val="26"/>
        </w:rPr>
      </w:pPr>
      <w:r w:rsidRPr="00AE6016">
        <w:rPr>
          <w:rFonts w:cs="FrankRuehl"/>
          <w:sz w:val="26"/>
          <w:szCs w:val="26"/>
          <w:rtl/>
        </w:rPr>
        <w:t>12 חוד</w:t>
      </w:r>
      <w:r>
        <w:rPr>
          <w:rFonts w:cs="FrankRuehl"/>
          <w:sz w:val="26"/>
          <w:szCs w:val="26"/>
          <w:rtl/>
        </w:rPr>
        <w:t>שי מאסר בפועל בניכוי ימי  מעצרו</w:t>
      </w:r>
      <w:r>
        <w:rPr>
          <w:rFonts w:cs="FrankRuehl" w:hint="cs"/>
          <w:sz w:val="26"/>
          <w:szCs w:val="26"/>
          <w:rtl/>
        </w:rPr>
        <w:t xml:space="preserve"> (החל מיום 11.5.17 ועד 8.8.17).</w:t>
      </w:r>
    </w:p>
    <w:p w14:paraId="1C9B1318" w14:textId="77777777" w:rsidR="00F83313" w:rsidRPr="00AE6016" w:rsidRDefault="00F83313" w:rsidP="00F83313">
      <w:pPr>
        <w:numPr>
          <w:ilvl w:val="0"/>
          <w:numId w:val="2"/>
        </w:numPr>
        <w:spacing w:line="360" w:lineRule="auto"/>
        <w:ind w:left="1417"/>
        <w:contextualSpacing/>
        <w:jc w:val="both"/>
        <w:rPr>
          <w:rFonts w:cs="FrankRuehl"/>
          <w:sz w:val="26"/>
          <w:szCs w:val="26"/>
        </w:rPr>
      </w:pPr>
      <w:r w:rsidRPr="00AE6016">
        <w:rPr>
          <w:rFonts w:cs="FrankRuehl"/>
          <w:sz w:val="26"/>
          <w:szCs w:val="26"/>
          <w:rtl/>
        </w:rPr>
        <w:t xml:space="preserve">מאסר על תנאי למשך 4 חודשים אותו לא ירצה הנאשם אלא אם יעבור בתוך 3 שנים מיום שחרורו מהמאסר כל עבירת אלימות מהסוג בה הורשע. </w:t>
      </w:r>
    </w:p>
    <w:p w14:paraId="043834B2" w14:textId="77777777" w:rsidR="00F83313" w:rsidRDefault="00F83313" w:rsidP="00F83313">
      <w:pPr>
        <w:numPr>
          <w:ilvl w:val="0"/>
          <w:numId w:val="2"/>
        </w:numPr>
        <w:spacing w:line="360" w:lineRule="auto"/>
        <w:ind w:left="1417"/>
        <w:contextualSpacing/>
        <w:jc w:val="both"/>
        <w:rPr>
          <w:rFonts w:cs="FrankRuehl"/>
          <w:sz w:val="26"/>
          <w:szCs w:val="26"/>
        </w:rPr>
      </w:pPr>
      <w:r w:rsidRPr="00245A06">
        <w:rPr>
          <w:rFonts w:cs="FrankRuehl"/>
          <w:sz w:val="26"/>
          <w:szCs w:val="26"/>
          <w:rtl/>
        </w:rPr>
        <w:t>פיצוי כספי למתלונן בסך 5,000 ₪ אשר ישולם עד ליום 1.</w:t>
      </w:r>
      <w:r w:rsidRPr="00245A06">
        <w:rPr>
          <w:rFonts w:cs="FrankRuehl" w:hint="cs"/>
          <w:sz w:val="26"/>
          <w:szCs w:val="26"/>
          <w:rtl/>
        </w:rPr>
        <w:t>3.20. המאשימה תדאג כי הפיצוי אכן ישולם לחשבונו של המתלונן.</w:t>
      </w:r>
    </w:p>
    <w:p w14:paraId="7B4A543F" w14:textId="77777777" w:rsidR="00F83313" w:rsidRPr="00245A06" w:rsidRDefault="00F83313" w:rsidP="00F83313">
      <w:pPr>
        <w:numPr>
          <w:ilvl w:val="0"/>
          <w:numId w:val="2"/>
        </w:numPr>
        <w:spacing w:line="360" w:lineRule="auto"/>
        <w:ind w:left="1417"/>
        <w:contextualSpacing/>
        <w:jc w:val="both"/>
        <w:rPr>
          <w:rFonts w:cs="FrankRuehl"/>
          <w:sz w:val="26"/>
          <w:szCs w:val="26"/>
        </w:rPr>
      </w:pPr>
      <w:r>
        <w:rPr>
          <w:rFonts w:cs="FrankRuehl" w:hint="cs"/>
          <w:sz w:val="26"/>
          <w:szCs w:val="26"/>
          <w:rtl/>
        </w:rPr>
        <w:t>הנאשם יחל לרצות את עונשו החל מיום 1.5.20 ועליו יהיה להתייצב עד השעה 10:00 באותו יום בבית הכלא "ניצן".</w:t>
      </w:r>
    </w:p>
    <w:p w14:paraId="6D8EEEF1" w14:textId="77777777" w:rsidR="00F83313" w:rsidRPr="00AE6016" w:rsidRDefault="00F83313" w:rsidP="00F83313">
      <w:pPr>
        <w:spacing w:line="360" w:lineRule="auto"/>
        <w:ind w:left="780"/>
        <w:contextualSpacing/>
        <w:jc w:val="both"/>
        <w:rPr>
          <w:rFonts w:cs="FrankRuehl"/>
          <w:sz w:val="26"/>
          <w:szCs w:val="26"/>
          <w:rtl/>
        </w:rPr>
      </w:pPr>
    </w:p>
    <w:p w14:paraId="1F718FB6" w14:textId="77777777" w:rsidR="00F83313" w:rsidRPr="00AE6016" w:rsidRDefault="00F83313" w:rsidP="00F83313">
      <w:pPr>
        <w:spacing w:line="360" w:lineRule="auto"/>
        <w:ind w:left="780"/>
        <w:contextualSpacing/>
        <w:jc w:val="both"/>
        <w:rPr>
          <w:rFonts w:cs="FrankRuehl"/>
          <w:b/>
          <w:bCs/>
          <w:sz w:val="26"/>
          <w:szCs w:val="26"/>
        </w:rPr>
      </w:pPr>
      <w:r w:rsidRPr="00AE6016">
        <w:rPr>
          <w:rFonts w:cs="FrankRuehl"/>
          <w:b/>
          <w:bCs/>
          <w:sz w:val="26"/>
          <w:szCs w:val="26"/>
          <w:rtl/>
        </w:rPr>
        <w:t xml:space="preserve">זכות ערעור לבית המשפט העליון בתוך 45 יום. </w:t>
      </w:r>
    </w:p>
    <w:p w14:paraId="62A2EBD8" w14:textId="77777777" w:rsidR="00F83313" w:rsidRDefault="00F83313" w:rsidP="00F83313">
      <w:pPr>
        <w:rPr>
          <w:rFonts w:cs="FrankRuehl"/>
          <w:sz w:val="26"/>
          <w:szCs w:val="26"/>
          <w:rtl/>
        </w:rPr>
      </w:pPr>
      <w:r>
        <w:rPr>
          <w:rFonts w:cs="FrankRuehl" w:hint="cs"/>
          <w:sz w:val="26"/>
          <w:szCs w:val="26"/>
          <w:rtl/>
        </w:rPr>
        <w:t xml:space="preserve"> </w:t>
      </w:r>
    </w:p>
    <w:p w14:paraId="1F3E9630" w14:textId="77777777" w:rsidR="00F83313" w:rsidRDefault="00F83313" w:rsidP="00F83313">
      <w:pPr>
        <w:rPr>
          <w:rFonts w:cs="FrankRuehl"/>
          <w:b/>
          <w:bCs/>
          <w:sz w:val="26"/>
          <w:szCs w:val="26"/>
          <w:u w:val="single"/>
          <w:rtl/>
        </w:rPr>
      </w:pPr>
      <w:r>
        <w:rPr>
          <w:rFonts w:cs="FrankRuehl" w:hint="cs"/>
          <w:b/>
          <w:bCs/>
          <w:sz w:val="26"/>
          <w:szCs w:val="26"/>
          <w:u w:val="single"/>
          <w:rtl/>
        </w:rPr>
        <w:t xml:space="preserve">המזכירות תשלח העתק ההחלטה לשירות המבחן. </w:t>
      </w:r>
    </w:p>
    <w:p w14:paraId="3F146550" w14:textId="77777777" w:rsidR="00F83313" w:rsidRPr="00AE6016" w:rsidRDefault="00F83313" w:rsidP="00F83313">
      <w:pPr>
        <w:rPr>
          <w:rFonts w:cs="FrankRuehl"/>
          <w:b/>
          <w:bCs/>
          <w:sz w:val="26"/>
          <w:szCs w:val="26"/>
          <w:u w:val="single"/>
          <w:rtl/>
        </w:rPr>
      </w:pPr>
    </w:p>
    <w:p w14:paraId="0C7F788B" w14:textId="77777777" w:rsidR="00F83313" w:rsidRDefault="008130E1" w:rsidP="00F83313">
      <w:pPr>
        <w:rPr>
          <w:rFonts w:cs="FrankRuehl"/>
          <w:b/>
          <w:bCs/>
          <w:sz w:val="26"/>
          <w:szCs w:val="26"/>
          <w:rtl/>
        </w:rPr>
      </w:pPr>
      <w:bookmarkStart w:id="8" w:name="Nitan"/>
      <w:r>
        <w:rPr>
          <w:rFonts w:cs="FrankRuehl"/>
          <w:b/>
          <w:bCs/>
          <w:sz w:val="26"/>
          <w:szCs w:val="26"/>
          <w:rtl/>
        </w:rPr>
        <w:t xml:space="preserve">ניתן היום,   30.1.2020 במעמד הצדדים  </w:t>
      </w:r>
      <w:bookmarkEnd w:id="8"/>
    </w:p>
    <w:p w14:paraId="1140351B" w14:textId="77777777" w:rsidR="00F83313" w:rsidRDefault="00F83313" w:rsidP="00F83313">
      <w:pPr>
        <w:rPr>
          <w:rFonts w:cs="FrankRuehl"/>
          <w:b/>
          <w:bCs/>
          <w:sz w:val="26"/>
          <w:szCs w:val="26"/>
          <w:rtl/>
        </w:rPr>
      </w:pPr>
    </w:p>
    <w:p w14:paraId="674200A8" w14:textId="77777777" w:rsidR="00F83313" w:rsidRDefault="00F83313" w:rsidP="00F83313">
      <w:pPr>
        <w:rPr>
          <w:rtl/>
        </w:rPr>
      </w:pPr>
      <w:r w:rsidRPr="00AE6016">
        <w:rPr>
          <w:rFonts w:cs="FrankRuehl"/>
          <w:sz w:val="26"/>
          <w:szCs w:val="26"/>
          <w:rtl/>
        </w:rPr>
        <w:t xml:space="preserve">   </w:t>
      </w:r>
      <w:r w:rsidRPr="00AE6016">
        <w:rPr>
          <w:rFonts w:cs="FrankRuehl"/>
          <w:sz w:val="26"/>
          <w:szCs w:val="26"/>
          <w:rtl/>
        </w:rPr>
        <w:tab/>
      </w:r>
      <w:r w:rsidRPr="00AE6016">
        <w:rPr>
          <w:rFonts w:cs="FrankRuehl"/>
          <w:sz w:val="26"/>
          <w:szCs w:val="26"/>
          <w:rtl/>
        </w:rPr>
        <w:tab/>
      </w:r>
      <w:r w:rsidRPr="00AE6016">
        <w:rPr>
          <w:rFonts w:cs="FrankRuehl"/>
          <w:sz w:val="26"/>
          <w:szCs w:val="26"/>
          <w:rtl/>
        </w:rPr>
        <w:tab/>
      </w:r>
      <w:r w:rsidRPr="00AE6016">
        <w:rPr>
          <w:rFonts w:cs="FrankRuehl"/>
          <w:sz w:val="26"/>
          <w:szCs w:val="26"/>
          <w:rtl/>
        </w:rPr>
        <w:tab/>
      </w:r>
    </w:p>
    <w:p w14:paraId="6A20218B" w14:textId="77777777" w:rsidR="00F83313" w:rsidRDefault="00F83313" w:rsidP="00F83313">
      <w:pPr>
        <w:ind w:left="6480"/>
        <w:rPr>
          <w:rtl/>
        </w:rPr>
      </w:pPr>
    </w:p>
    <w:tbl>
      <w:tblPr>
        <w:bidiVisual/>
        <w:tblW w:w="3066" w:type="dxa"/>
        <w:tblInd w:w="6480" w:type="dxa"/>
        <w:tblLook w:val="01E0" w:firstRow="1" w:lastRow="1" w:firstColumn="1" w:lastColumn="1" w:noHBand="0" w:noVBand="0"/>
      </w:tblPr>
      <w:tblGrid>
        <w:gridCol w:w="3066"/>
      </w:tblGrid>
      <w:tr w:rsidR="00F83313" w14:paraId="2358D60B" w14:textId="77777777" w:rsidTr="00F83313">
        <w:trPr>
          <w:trHeight w:val="992"/>
        </w:trPr>
        <w:tc>
          <w:tcPr>
            <w:tcW w:w="3066" w:type="dxa"/>
            <w:tcBorders>
              <w:top w:val="nil"/>
              <w:left w:val="nil"/>
              <w:bottom w:val="single" w:sz="4" w:space="0" w:color="auto"/>
              <w:right w:val="nil"/>
            </w:tcBorders>
            <w:shd w:val="clear" w:color="auto" w:fill="auto"/>
            <w:vAlign w:val="center"/>
          </w:tcPr>
          <w:p w14:paraId="6DB3BCA4" w14:textId="77777777" w:rsidR="00F83313" w:rsidRPr="00F83313" w:rsidRDefault="00F83313" w:rsidP="00F83313">
            <w:pPr>
              <w:jc w:val="center"/>
              <w:rPr>
                <w:rFonts w:ascii="Courier New" w:hAnsi="Courier New"/>
                <w:b/>
                <w:bCs/>
              </w:rPr>
            </w:pPr>
          </w:p>
        </w:tc>
      </w:tr>
      <w:tr w:rsidR="00F83313" w14:paraId="124C02FE" w14:textId="77777777" w:rsidTr="00F83313">
        <w:tc>
          <w:tcPr>
            <w:tcW w:w="3066" w:type="dxa"/>
            <w:tcBorders>
              <w:top w:val="single" w:sz="4" w:space="0" w:color="auto"/>
              <w:left w:val="nil"/>
              <w:bottom w:val="nil"/>
              <w:right w:val="nil"/>
            </w:tcBorders>
            <w:shd w:val="clear" w:color="auto" w:fill="auto"/>
            <w:vAlign w:val="bottom"/>
          </w:tcPr>
          <w:p w14:paraId="22181E38" w14:textId="77777777" w:rsidR="00F83313" w:rsidRPr="00F83313" w:rsidRDefault="00F83313" w:rsidP="00F83313">
            <w:pPr>
              <w:spacing w:before="120" w:after="120"/>
              <w:jc w:val="center"/>
              <w:rPr>
                <w:rFonts w:ascii="Courier New" w:hAnsi="Courier New"/>
                <w:b/>
                <w:bCs/>
              </w:rPr>
            </w:pPr>
            <w:r w:rsidRPr="00F83313">
              <w:rPr>
                <w:rFonts w:ascii="Courier New" w:hAnsi="Courier New" w:hint="cs"/>
                <w:b/>
                <w:bCs/>
                <w:rtl/>
              </w:rPr>
              <w:t>דניאל טפרברג, שופט</w:t>
            </w:r>
          </w:p>
        </w:tc>
      </w:tr>
    </w:tbl>
    <w:p w14:paraId="091B8A0B" w14:textId="77777777" w:rsidR="00F83313" w:rsidRDefault="00F83313" w:rsidP="00F83313">
      <w:pPr>
        <w:ind w:left="6480"/>
      </w:pPr>
    </w:p>
    <w:p w14:paraId="008B6B37" w14:textId="77777777" w:rsidR="00F83313" w:rsidRDefault="00F83313" w:rsidP="00F83313">
      <w:pPr>
        <w:ind w:left="6480"/>
        <w:rPr>
          <w:rtl/>
        </w:rPr>
      </w:pPr>
    </w:p>
    <w:p w14:paraId="7F9CDEB0" w14:textId="77777777" w:rsidR="00F83313" w:rsidRDefault="00F83313" w:rsidP="00F83313">
      <w:pPr>
        <w:ind w:left="720"/>
        <w:rPr>
          <w:rtl/>
        </w:rPr>
      </w:pPr>
      <w:r>
        <w:rPr>
          <w:rFonts w:cs="FrankRuehl" w:hint="cs"/>
          <w:sz w:val="26"/>
          <w:szCs w:val="26"/>
          <w:rtl/>
        </w:rPr>
        <w:t xml:space="preserve">                                                                                                 </w:t>
      </w:r>
    </w:p>
    <w:tbl>
      <w:tblPr>
        <w:bidiVisual/>
        <w:tblW w:w="0" w:type="auto"/>
        <w:tblLook w:val="01E0" w:firstRow="1" w:lastRow="1" w:firstColumn="1" w:lastColumn="1" w:noHBand="0" w:noVBand="0"/>
      </w:tblPr>
      <w:tblGrid>
        <w:gridCol w:w="7775"/>
      </w:tblGrid>
      <w:tr w:rsidR="00F83313" w14:paraId="76683C80" w14:textId="77777777" w:rsidTr="00F83313">
        <w:trPr>
          <w:trHeight w:val="80"/>
        </w:trPr>
        <w:tc>
          <w:tcPr>
            <w:tcW w:w="7775" w:type="dxa"/>
            <w:tcBorders>
              <w:top w:val="nil"/>
              <w:left w:val="nil"/>
              <w:bottom w:val="nil"/>
              <w:right w:val="nil"/>
            </w:tcBorders>
            <w:shd w:val="clear" w:color="auto" w:fill="auto"/>
            <w:vAlign w:val="center"/>
          </w:tcPr>
          <w:p w14:paraId="4018119B" w14:textId="77777777" w:rsidR="00F83313" w:rsidRPr="00F83313" w:rsidRDefault="00F83313" w:rsidP="00965C77">
            <w:pPr>
              <w:rPr>
                <w:rFonts w:ascii="Courier New" w:hAnsi="Courier New"/>
                <w:b/>
                <w:bCs/>
              </w:rPr>
            </w:pPr>
          </w:p>
        </w:tc>
      </w:tr>
    </w:tbl>
    <w:p w14:paraId="17E5E87F" w14:textId="77777777" w:rsidR="00F83313" w:rsidRDefault="00F83313" w:rsidP="00F83313"/>
    <w:p w14:paraId="6A151C7D" w14:textId="77777777" w:rsidR="00F83313" w:rsidRPr="008130E1" w:rsidRDefault="008130E1" w:rsidP="00F83313">
      <w:pPr>
        <w:rPr>
          <w:color w:val="FFFFFF"/>
          <w:sz w:val="2"/>
          <w:szCs w:val="2"/>
          <w:rtl/>
        </w:rPr>
      </w:pPr>
      <w:r w:rsidRPr="008130E1">
        <w:rPr>
          <w:color w:val="FFFFFF"/>
          <w:sz w:val="2"/>
          <w:szCs w:val="2"/>
          <w:rtl/>
        </w:rPr>
        <w:t>5129371</w:t>
      </w:r>
    </w:p>
    <w:p w14:paraId="46F2C4C5" w14:textId="77777777" w:rsidR="00F83313" w:rsidRPr="008130E1" w:rsidRDefault="008130E1" w:rsidP="00F83313">
      <w:pPr>
        <w:rPr>
          <w:color w:val="FFFFFF"/>
          <w:sz w:val="2"/>
          <w:szCs w:val="2"/>
        </w:rPr>
      </w:pPr>
      <w:r w:rsidRPr="008130E1">
        <w:rPr>
          <w:color w:val="FFFFFF"/>
          <w:sz w:val="2"/>
          <w:szCs w:val="2"/>
          <w:rtl/>
        </w:rPr>
        <w:t>54678313</w:t>
      </w:r>
    </w:p>
    <w:p w14:paraId="6A739FD7" w14:textId="77777777" w:rsidR="00F83313" w:rsidRPr="00AE6016" w:rsidRDefault="00F83313" w:rsidP="00F83313">
      <w:pPr>
        <w:rPr>
          <w:rFonts w:cs="FrankRuehl"/>
          <w:sz w:val="26"/>
          <w:szCs w:val="26"/>
          <w:rtl/>
        </w:rPr>
      </w:pPr>
    </w:p>
    <w:p w14:paraId="70C7F8FB" w14:textId="77777777" w:rsidR="00F83313" w:rsidRPr="00F83313" w:rsidRDefault="00F83313" w:rsidP="00F83313">
      <w:pPr>
        <w:spacing w:after="160" w:line="259" w:lineRule="auto"/>
        <w:rPr>
          <w:rFonts w:ascii="Calibri" w:hAnsi="Calibri" w:cs="FrankRuehl"/>
          <w:sz w:val="26"/>
          <w:szCs w:val="26"/>
        </w:rPr>
      </w:pPr>
    </w:p>
    <w:p w14:paraId="42A7BB61" w14:textId="77777777" w:rsidR="00F83313" w:rsidRPr="00AE6016" w:rsidRDefault="00F83313" w:rsidP="00F83313">
      <w:pPr>
        <w:rPr>
          <w:rFonts w:cs="FrankRuehl"/>
          <w:sz w:val="26"/>
          <w:szCs w:val="26"/>
          <w:rtl/>
        </w:rPr>
      </w:pPr>
    </w:p>
    <w:p w14:paraId="37CC5E5E" w14:textId="77777777" w:rsidR="00F83313" w:rsidRPr="00AE6016" w:rsidRDefault="00F83313" w:rsidP="00F83313">
      <w:pPr>
        <w:rPr>
          <w:rFonts w:cs="FrankRuehl"/>
          <w:sz w:val="26"/>
          <w:szCs w:val="26"/>
          <w:rtl/>
        </w:rPr>
      </w:pPr>
    </w:p>
    <w:p w14:paraId="364D05BB" w14:textId="77777777" w:rsidR="00E805DF" w:rsidRPr="008130E1" w:rsidRDefault="00E805DF" w:rsidP="008130E1">
      <w:pPr>
        <w:keepNext/>
        <w:rPr>
          <w:rFonts w:ascii="David" w:hAnsi="David"/>
          <w:color w:val="000000"/>
          <w:sz w:val="22"/>
          <w:szCs w:val="22"/>
          <w:rtl/>
        </w:rPr>
      </w:pPr>
    </w:p>
    <w:p w14:paraId="43E198A5" w14:textId="77777777" w:rsidR="008130E1" w:rsidRPr="008130E1" w:rsidRDefault="008130E1" w:rsidP="008130E1">
      <w:pPr>
        <w:keepNext/>
        <w:rPr>
          <w:rFonts w:ascii="David" w:hAnsi="David"/>
          <w:color w:val="000000"/>
          <w:sz w:val="22"/>
          <w:szCs w:val="22"/>
          <w:rtl/>
        </w:rPr>
      </w:pPr>
      <w:r w:rsidRPr="008130E1">
        <w:rPr>
          <w:rFonts w:ascii="David" w:hAnsi="David"/>
          <w:color w:val="000000"/>
          <w:sz w:val="22"/>
          <w:szCs w:val="22"/>
          <w:rtl/>
        </w:rPr>
        <w:t>בית המשפט המחוזי בירושלים 54678313</w:t>
      </w:r>
    </w:p>
    <w:p w14:paraId="40A9D73F" w14:textId="77777777" w:rsidR="008130E1" w:rsidRDefault="008130E1" w:rsidP="008130E1">
      <w:r w:rsidRPr="008130E1">
        <w:rPr>
          <w:color w:val="000000"/>
          <w:rtl/>
        </w:rPr>
        <w:t>נוסח מסמך זה כפוף לשינויי ניסוח ועריכה</w:t>
      </w:r>
    </w:p>
    <w:p w14:paraId="4EB3558A" w14:textId="77777777" w:rsidR="008130E1" w:rsidRDefault="008130E1" w:rsidP="008130E1">
      <w:pPr>
        <w:rPr>
          <w:rtl/>
        </w:rPr>
      </w:pPr>
    </w:p>
    <w:p w14:paraId="50E57E2D" w14:textId="77777777" w:rsidR="008130E1" w:rsidRDefault="008130E1" w:rsidP="008130E1">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0F266588" w14:textId="77777777" w:rsidR="008130E1" w:rsidRPr="008130E1" w:rsidRDefault="008130E1" w:rsidP="008130E1">
      <w:pPr>
        <w:jc w:val="center"/>
        <w:rPr>
          <w:color w:val="0000FF"/>
          <w:u w:val="single"/>
        </w:rPr>
      </w:pPr>
    </w:p>
    <w:sectPr w:rsidR="008130E1" w:rsidRPr="008130E1" w:rsidSect="008130E1">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79DD9" w14:textId="77777777" w:rsidR="008D1B8A" w:rsidRDefault="008D1B8A" w:rsidP="00FE3C7E">
      <w:r>
        <w:separator/>
      </w:r>
    </w:p>
  </w:endnote>
  <w:endnote w:type="continuationSeparator" w:id="0">
    <w:p w14:paraId="4429077C" w14:textId="77777777" w:rsidR="008D1B8A" w:rsidRDefault="008D1B8A" w:rsidP="00FE3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6D821" w14:textId="77777777" w:rsidR="008130E1" w:rsidRDefault="008130E1" w:rsidP="008130E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B7E1B38" w14:textId="77777777" w:rsidR="00965C77" w:rsidRPr="008130E1" w:rsidRDefault="008130E1" w:rsidP="008130E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32196" w14:textId="77777777" w:rsidR="008130E1" w:rsidRDefault="008130E1" w:rsidP="008130E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43741">
      <w:rPr>
        <w:rFonts w:ascii="FrankRuehl" w:hAnsi="FrankRuehl" w:cs="FrankRuehl"/>
        <w:noProof/>
        <w:rtl/>
      </w:rPr>
      <w:t>1</w:t>
    </w:r>
    <w:r>
      <w:rPr>
        <w:rFonts w:ascii="FrankRuehl" w:hAnsi="FrankRuehl" w:cs="FrankRuehl"/>
        <w:rtl/>
      </w:rPr>
      <w:fldChar w:fldCharType="end"/>
    </w:r>
  </w:p>
  <w:p w14:paraId="60CC60D7" w14:textId="77777777" w:rsidR="00965C77" w:rsidRPr="008130E1" w:rsidRDefault="008130E1" w:rsidP="008130E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97914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279D8" w14:textId="77777777" w:rsidR="008D1B8A" w:rsidRDefault="008D1B8A" w:rsidP="00FE3C7E">
      <w:r>
        <w:separator/>
      </w:r>
    </w:p>
  </w:footnote>
  <w:footnote w:type="continuationSeparator" w:id="0">
    <w:p w14:paraId="561EF632" w14:textId="77777777" w:rsidR="008D1B8A" w:rsidRDefault="008D1B8A" w:rsidP="00FE3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EA967" w14:textId="77777777" w:rsidR="008130E1" w:rsidRPr="008130E1" w:rsidRDefault="008130E1" w:rsidP="008130E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57628-05-17</w:t>
    </w:r>
    <w:r>
      <w:rPr>
        <w:rFonts w:ascii="David" w:hAnsi="David"/>
        <w:color w:val="000000"/>
        <w:sz w:val="22"/>
        <w:szCs w:val="22"/>
        <w:rtl/>
      </w:rPr>
      <w:tab/>
      <w:t xml:space="preserve"> מדינת ישראל נ' אדם אחמד עבדאללה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32595" w14:textId="77777777" w:rsidR="008130E1" w:rsidRPr="008130E1" w:rsidRDefault="008130E1" w:rsidP="008130E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57628-05-17</w:t>
    </w:r>
    <w:r>
      <w:rPr>
        <w:rFonts w:ascii="David" w:hAnsi="David"/>
        <w:color w:val="000000"/>
        <w:sz w:val="22"/>
        <w:szCs w:val="22"/>
        <w:rtl/>
      </w:rPr>
      <w:tab/>
      <w:t xml:space="preserve"> מדינת ישראל נ' אדם אחמד עבדאללה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98582C"/>
    <w:multiLevelType w:val="hybridMultilevel"/>
    <w:tmpl w:val="7FF8E958"/>
    <w:lvl w:ilvl="0" w:tplc="8A70929E">
      <w:start w:val="1"/>
      <w:numFmt w:val="decimal"/>
      <w:lvlText w:val="%1."/>
      <w:lvlJc w:val="left"/>
      <w:pPr>
        <w:ind w:left="360" w:hanging="360"/>
      </w:pPr>
      <w:rPr>
        <w:b w:val="0"/>
        <w:bCs w:val="0"/>
        <w:color w:val="auto"/>
      </w:rPr>
    </w:lvl>
    <w:lvl w:ilvl="1" w:tplc="04090019" w:tentative="1">
      <w:start w:val="1"/>
      <w:numFmt w:val="lowerLetter"/>
      <w:lvlText w:val="%2."/>
      <w:lvlJc w:val="left"/>
      <w:pPr>
        <w:ind w:left="1074" w:hanging="360"/>
      </w:pPr>
    </w:lvl>
    <w:lvl w:ilvl="2" w:tplc="0409001B" w:tentative="1">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1" w15:restartNumberingAfterBreak="0">
    <w:nsid w:val="4FDA1CFB"/>
    <w:multiLevelType w:val="hybridMultilevel"/>
    <w:tmpl w:val="ADDA2B6E"/>
    <w:lvl w:ilvl="0" w:tplc="39001BCC">
      <w:start w:val="1"/>
      <w:numFmt w:val="hebrew1"/>
      <w:lvlText w:val="%1."/>
      <w:lvlJc w:val="left"/>
      <w:pPr>
        <w:ind w:left="780" w:hanging="36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num w:numId="1" w16cid:durableId="1923373868">
    <w:abstractNumId w:val="0"/>
  </w:num>
  <w:num w:numId="2" w16cid:durableId="1728331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3313"/>
    <w:rsid w:val="00345B5F"/>
    <w:rsid w:val="00597600"/>
    <w:rsid w:val="00643741"/>
    <w:rsid w:val="008130E1"/>
    <w:rsid w:val="00890304"/>
    <w:rsid w:val="008D1B8A"/>
    <w:rsid w:val="00965C77"/>
    <w:rsid w:val="00CB63BD"/>
    <w:rsid w:val="00E805DF"/>
    <w:rsid w:val="00F83313"/>
    <w:rsid w:val="00FE3C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B3C654"/>
  <w15:chartTrackingRefBased/>
  <w15:docId w15:val="{6E081F0D-3975-4388-AEA7-E3CEB42F6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331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83313"/>
    <w:pPr>
      <w:tabs>
        <w:tab w:val="center" w:pos="4153"/>
        <w:tab w:val="right" w:pos="8306"/>
      </w:tabs>
    </w:pPr>
  </w:style>
  <w:style w:type="character" w:customStyle="1" w:styleId="a4">
    <w:name w:val="כותרת עליונה תו"/>
    <w:link w:val="a3"/>
    <w:rsid w:val="00F83313"/>
    <w:rPr>
      <w:rFonts w:ascii="Times New Roman" w:eastAsia="Times New Roman" w:hAnsi="Times New Roman" w:cs="David"/>
      <w:sz w:val="24"/>
      <w:szCs w:val="24"/>
    </w:rPr>
  </w:style>
  <w:style w:type="paragraph" w:styleId="a5">
    <w:name w:val="footer"/>
    <w:basedOn w:val="a"/>
    <w:link w:val="a6"/>
    <w:rsid w:val="00F83313"/>
    <w:pPr>
      <w:tabs>
        <w:tab w:val="center" w:pos="4153"/>
        <w:tab w:val="right" w:pos="8306"/>
      </w:tabs>
    </w:pPr>
  </w:style>
  <w:style w:type="character" w:customStyle="1" w:styleId="a6">
    <w:name w:val="כותרת תחתונה תו"/>
    <w:link w:val="a5"/>
    <w:rsid w:val="00F83313"/>
    <w:rPr>
      <w:rFonts w:ascii="Times New Roman" w:eastAsia="Times New Roman" w:hAnsi="Times New Roman" w:cs="David"/>
      <w:sz w:val="24"/>
      <w:szCs w:val="24"/>
    </w:rPr>
  </w:style>
  <w:style w:type="table" w:styleId="a7">
    <w:name w:val="Table Grid"/>
    <w:basedOn w:val="a1"/>
    <w:rsid w:val="00F8331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83313"/>
  </w:style>
  <w:style w:type="character" w:styleId="Hyperlink">
    <w:name w:val="Hyperlink"/>
    <w:rsid w:val="008130E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70301/448" TargetMode="External"/><Relationship Id="rId26" Type="http://schemas.openxmlformats.org/officeDocument/2006/relationships/hyperlink" Target="http://www.nevo.co.il/law/70301/448" TargetMode="External"/><Relationship Id="rId39" Type="http://schemas.openxmlformats.org/officeDocument/2006/relationships/hyperlink" Target="http://www.nevo.co.il/law/70301/413e" TargetMode="External"/><Relationship Id="rId21" Type="http://schemas.openxmlformats.org/officeDocument/2006/relationships/hyperlink" Target="http://www.nevo.co.il/law/70301/498" TargetMode="External"/><Relationship Id="rId34" Type="http://schemas.openxmlformats.org/officeDocument/2006/relationships/hyperlink" Target="http://www.nevo.co.il/case/6857358" TargetMode="External"/><Relationship Id="rId42" Type="http://schemas.openxmlformats.org/officeDocument/2006/relationships/hyperlink" Target="http://www.nevo.co.il/law/70301/29" TargetMode="External"/><Relationship Id="rId47" Type="http://schemas.openxmlformats.org/officeDocument/2006/relationships/hyperlink" Target="http://www.nevo.co.il/case/20761469" TargetMode="External"/><Relationship Id="rId50" Type="http://schemas.openxmlformats.org/officeDocument/2006/relationships/hyperlink" Target="http://www.nevo.co.il/case/5325564" TargetMode="External"/><Relationship Id="rId55" Type="http://schemas.openxmlformats.org/officeDocument/2006/relationships/hyperlink" Target="http://www.nevo.co.il/case/637380" TargetMode="External"/><Relationship Id="rId63"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13" TargetMode="External"/><Relationship Id="rId29" Type="http://schemas.openxmlformats.org/officeDocument/2006/relationships/hyperlink" Target="http://www.nevo.co.il/law/70301/448.a" TargetMode="External"/><Relationship Id="rId11" Type="http://schemas.openxmlformats.org/officeDocument/2006/relationships/hyperlink" Target="http://www.nevo.co.il/law/70301/192" TargetMode="External"/><Relationship Id="rId24" Type="http://schemas.openxmlformats.org/officeDocument/2006/relationships/hyperlink" Target="http://www.nevo.co.il/law/70301/498" TargetMode="External"/><Relationship Id="rId32" Type="http://schemas.openxmlformats.org/officeDocument/2006/relationships/hyperlink" Target="http://www.nevo.co.il/law/70301/448.a" TargetMode="External"/><Relationship Id="rId37" Type="http://schemas.openxmlformats.org/officeDocument/2006/relationships/hyperlink" Target="http://www.nevo.co.il/law/70301/413e" TargetMode="External"/><Relationship Id="rId40" Type="http://schemas.openxmlformats.org/officeDocument/2006/relationships/hyperlink" Target="http://www.nevo.co.il/law/70301/29" TargetMode="External"/><Relationship Id="rId45" Type="http://schemas.openxmlformats.org/officeDocument/2006/relationships/hyperlink" Target="http://www.nevo.co.il/law/70301/413e" TargetMode="External"/><Relationship Id="rId53" Type="http://schemas.openxmlformats.org/officeDocument/2006/relationships/hyperlink" Target="http://www.nevo.co.il/law/70301"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70301/448.a" TargetMode="External"/><Relationship Id="rId14" Type="http://schemas.openxmlformats.org/officeDocument/2006/relationships/hyperlink" Target="http://www.nevo.co.il/law/70301/287.a" TargetMode="External"/><Relationship Id="rId22" Type="http://schemas.openxmlformats.org/officeDocument/2006/relationships/hyperlink" Target="http://www.nevo.co.il/law/70301/413e"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case/6731208" TargetMode="External"/><Relationship Id="rId35" Type="http://schemas.openxmlformats.org/officeDocument/2006/relationships/hyperlink" Target="http://www.nevo.co.il/law/70301/274" TargetMode="External"/><Relationship Id="rId43" Type="http://schemas.openxmlformats.org/officeDocument/2006/relationships/hyperlink" Target="http://www.nevo.co.il/case/18731000" TargetMode="External"/><Relationship Id="rId48" Type="http://schemas.openxmlformats.org/officeDocument/2006/relationships/hyperlink" Target="http://www.nevo.co.il/law/70301/192" TargetMode="External"/><Relationship Id="rId56" Type="http://schemas.openxmlformats.org/officeDocument/2006/relationships/hyperlink" Target="http://www.nevo.co.il/case/6142512" TargetMode="External"/><Relationship Id="rId64" Type="http://schemas.openxmlformats.org/officeDocument/2006/relationships/theme" Target="theme/theme1.xml"/><Relationship Id="rId8" Type="http://schemas.openxmlformats.org/officeDocument/2006/relationships/hyperlink" Target="http://www.nevo.co.il/law/70301/29" TargetMode="External"/><Relationship Id="rId51" Type="http://schemas.openxmlformats.org/officeDocument/2006/relationships/hyperlink" Target="http://www.nevo.co.il/law/70301/413e" TargetMode="External"/><Relationship Id="rId3" Type="http://schemas.openxmlformats.org/officeDocument/2006/relationships/settings" Target="settings.xml"/><Relationship Id="rId12" Type="http://schemas.openxmlformats.org/officeDocument/2006/relationships/hyperlink" Target="http://www.nevo.co.il/law/70301/274" TargetMode="External"/><Relationship Id="rId17" Type="http://schemas.openxmlformats.org/officeDocument/2006/relationships/hyperlink" Target="http://www.nevo.co.il/law/70301/413e" TargetMode="External"/><Relationship Id="rId25" Type="http://schemas.openxmlformats.org/officeDocument/2006/relationships/hyperlink" Target="http://www.nevo.co.il/case/23793846" TargetMode="External"/><Relationship Id="rId33" Type="http://schemas.openxmlformats.org/officeDocument/2006/relationships/hyperlink" Target="http://www.nevo.co.il/law/70301/449.a.1" TargetMode="External"/><Relationship Id="rId38" Type="http://schemas.openxmlformats.org/officeDocument/2006/relationships/hyperlink" Target="http://www.nevo.co.il/case/18028025" TargetMode="External"/><Relationship Id="rId46" Type="http://schemas.openxmlformats.org/officeDocument/2006/relationships/hyperlink" Target="http://www.nevo.co.il/law/70301/287.a" TargetMode="External"/><Relationship Id="rId59" Type="http://schemas.openxmlformats.org/officeDocument/2006/relationships/header" Target="header1.xml"/><Relationship Id="rId20" Type="http://schemas.openxmlformats.org/officeDocument/2006/relationships/hyperlink" Target="http://www.nevo.co.il/law/70301/449.a.1" TargetMode="External"/><Relationship Id="rId41" Type="http://schemas.openxmlformats.org/officeDocument/2006/relationships/hyperlink" Target="http://www.nevo.co.il/law/70301/338.a.3" TargetMode="External"/><Relationship Id="rId54" Type="http://schemas.openxmlformats.org/officeDocument/2006/relationships/hyperlink" Target="http://www.nevo.co.il/case/18736271"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38.a.3"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604013" TargetMode="External"/><Relationship Id="rId36" Type="http://schemas.openxmlformats.org/officeDocument/2006/relationships/hyperlink" Target="http://www.nevo.co.il/law/70301/275" TargetMode="External"/><Relationship Id="rId49" Type="http://schemas.openxmlformats.org/officeDocument/2006/relationships/hyperlink" Target="http://www.nevo.co.il/law/70301/413" TargetMode="External"/><Relationship Id="rId57" Type="http://schemas.openxmlformats.org/officeDocument/2006/relationships/hyperlink" Target="http://www.nevo.co.il/case/8474959"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case/11309013" TargetMode="External"/><Relationship Id="rId44" Type="http://schemas.openxmlformats.org/officeDocument/2006/relationships/hyperlink" Target="http://www.nevo.co.il/law/70301/192" TargetMode="External"/><Relationship Id="rId52" Type="http://schemas.openxmlformats.org/officeDocument/2006/relationships/hyperlink" Target="http://www.nevo.co.il/law/70301/40b"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3494</Words>
  <Characters>17470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20923</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4128881</vt:i4>
      </vt:variant>
      <vt:variant>
        <vt:i4>150</vt:i4>
      </vt:variant>
      <vt:variant>
        <vt:i4>0</vt:i4>
      </vt:variant>
      <vt:variant>
        <vt:i4>5</vt:i4>
      </vt:variant>
      <vt:variant>
        <vt:lpwstr>http://www.nevo.co.il/case/8474959</vt:lpwstr>
      </vt:variant>
      <vt:variant>
        <vt:lpwstr/>
      </vt:variant>
      <vt:variant>
        <vt:i4>3473526</vt:i4>
      </vt:variant>
      <vt:variant>
        <vt:i4>147</vt:i4>
      </vt:variant>
      <vt:variant>
        <vt:i4>0</vt:i4>
      </vt:variant>
      <vt:variant>
        <vt:i4>5</vt:i4>
      </vt:variant>
      <vt:variant>
        <vt:lpwstr>http://www.nevo.co.il/case/6142512</vt:lpwstr>
      </vt:variant>
      <vt:variant>
        <vt:lpwstr/>
      </vt:variant>
      <vt:variant>
        <vt:i4>589892</vt:i4>
      </vt:variant>
      <vt:variant>
        <vt:i4>144</vt:i4>
      </vt:variant>
      <vt:variant>
        <vt:i4>0</vt:i4>
      </vt:variant>
      <vt:variant>
        <vt:i4>5</vt:i4>
      </vt:variant>
      <vt:variant>
        <vt:lpwstr>http://www.nevo.co.il/case/637380</vt:lpwstr>
      </vt:variant>
      <vt:variant>
        <vt:lpwstr/>
      </vt:variant>
      <vt:variant>
        <vt:i4>3604605</vt:i4>
      </vt:variant>
      <vt:variant>
        <vt:i4>141</vt:i4>
      </vt:variant>
      <vt:variant>
        <vt:i4>0</vt:i4>
      </vt:variant>
      <vt:variant>
        <vt:i4>5</vt:i4>
      </vt:variant>
      <vt:variant>
        <vt:lpwstr>http://www.nevo.co.il/case/18736271</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http://www.nevo.co.il/law/70301/40b</vt:lpwstr>
      </vt:variant>
      <vt:variant>
        <vt:lpwstr/>
      </vt:variant>
      <vt:variant>
        <vt:i4>65618</vt:i4>
      </vt:variant>
      <vt:variant>
        <vt:i4>132</vt:i4>
      </vt:variant>
      <vt:variant>
        <vt:i4>0</vt:i4>
      </vt:variant>
      <vt:variant>
        <vt:i4>5</vt:i4>
      </vt:variant>
      <vt:variant>
        <vt:lpwstr>http://www.nevo.co.il/law/70301/413e</vt:lpwstr>
      </vt:variant>
      <vt:variant>
        <vt:lpwstr/>
      </vt:variant>
      <vt:variant>
        <vt:i4>3539060</vt:i4>
      </vt:variant>
      <vt:variant>
        <vt:i4>129</vt:i4>
      </vt:variant>
      <vt:variant>
        <vt:i4>0</vt:i4>
      </vt:variant>
      <vt:variant>
        <vt:i4>5</vt:i4>
      </vt:variant>
      <vt:variant>
        <vt:lpwstr>http://www.nevo.co.il/case/5325564</vt:lpwstr>
      </vt:variant>
      <vt:variant>
        <vt:lpwstr/>
      </vt:variant>
      <vt:variant>
        <vt:i4>6553697</vt:i4>
      </vt:variant>
      <vt:variant>
        <vt:i4>126</vt:i4>
      </vt:variant>
      <vt:variant>
        <vt:i4>0</vt:i4>
      </vt:variant>
      <vt:variant>
        <vt:i4>5</vt:i4>
      </vt:variant>
      <vt:variant>
        <vt:lpwstr>http://www.nevo.co.il/law/70301/413</vt:lpwstr>
      </vt:variant>
      <vt:variant>
        <vt:lpwstr/>
      </vt:variant>
      <vt:variant>
        <vt:i4>7077988</vt:i4>
      </vt:variant>
      <vt:variant>
        <vt:i4>123</vt:i4>
      </vt:variant>
      <vt:variant>
        <vt:i4>0</vt:i4>
      </vt:variant>
      <vt:variant>
        <vt:i4>5</vt:i4>
      </vt:variant>
      <vt:variant>
        <vt:lpwstr>http://www.nevo.co.il/law/70301/192</vt:lpwstr>
      </vt:variant>
      <vt:variant>
        <vt:lpwstr/>
      </vt:variant>
      <vt:variant>
        <vt:i4>3276918</vt:i4>
      </vt:variant>
      <vt:variant>
        <vt:i4>120</vt:i4>
      </vt:variant>
      <vt:variant>
        <vt:i4>0</vt:i4>
      </vt:variant>
      <vt:variant>
        <vt:i4>5</vt:i4>
      </vt:variant>
      <vt:variant>
        <vt:lpwstr>http://www.nevo.co.il/case/20761469</vt:lpwstr>
      </vt:variant>
      <vt:variant>
        <vt:lpwstr/>
      </vt:variant>
      <vt:variant>
        <vt:i4>4390992</vt:i4>
      </vt:variant>
      <vt:variant>
        <vt:i4>117</vt:i4>
      </vt:variant>
      <vt:variant>
        <vt:i4>0</vt:i4>
      </vt:variant>
      <vt:variant>
        <vt:i4>5</vt:i4>
      </vt:variant>
      <vt:variant>
        <vt:lpwstr>http://www.nevo.co.il/law/70301/287.a</vt:lpwstr>
      </vt:variant>
      <vt:variant>
        <vt:lpwstr/>
      </vt:variant>
      <vt:variant>
        <vt:i4>65618</vt:i4>
      </vt:variant>
      <vt:variant>
        <vt:i4>114</vt:i4>
      </vt:variant>
      <vt:variant>
        <vt:i4>0</vt:i4>
      </vt:variant>
      <vt:variant>
        <vt:i4>5</vt:i4>
      </vt:variant>
      <vt:variant>
        <vt:lpwstr>http://www.nevo.co.il/law/70301/413e</vt:lpwstr>
      </vt:variant>
      <vt:variant>
        <vt:lpwstr/>
      </vt:variant>
      <vt:variant>
        <vt:i4>7077988</vt:i4>
      </vt:variant>
      <vt:variant>
        <vt:i4>111</vt:i4>
      </vt:variant>
      <vt:variant>
        <vt:i4>0</vt:i4>
      </vt:variant>
      <vt:variant>
        <vt:i4>5</vt:i4>
      </vt:variant>
      <vt:variant>
        <vt:lpwstr>http://www.nevo.co.il/law/70301/192</vt:lpwstr>
      </vt:variant>
      <vt:variant>
        <vt:lpwstr/>
      </vt:variant>
      <vt:variant>
        <vt:i4>3604607</vt:i4>
      </vt:variant>
      <vt:variant>
        <vt:i4>108</vt:i4>
      </vt:variant>
      <vt:variant>
        <vt:i4>0</vt:i4>
      </vt:variant>
      <vt:variant>
        <vt:i4>5</vt:i4>
      </vt:variant>
      <vt:variant>
        <vt:lpwstr>http://www.nevo.co.il/case/18731000</vt:lpwstr>
      </vt:variant>
      <vt:variant>
        <vt:lpwstr/>
      </vt:variant>
      <vt:variant>
        <vt:i4>7077991</vt:i4>
      </vt:variant>
      <vt:variant>
        <vt:i4>105</vt:i4>
      </vt:variant>
      <vt:variant>
        <vt:i4>0</vt:i4>
      </vt:variant>
      <vt:variant>
        <vt:i4>5</vt:i4>
      </vt:variant>
      <vt:variant>
        <vt:lpwstr>http://www.nevo.co.il/law/70301/29</vt:lpwstr>
      </vt:variant>
      <vt:variant>
        <vt:lpwstr/>
      </vt:variant>
      <vt:variant>
        <vt:i4>6684735</vt:i4>
      </vt:variant>
      <vt:variant>
        <vt:i4>102</vt:i4>
      </vt:variant>
      <vt:variant>
        <vt:i4>0</vt:i4>
      </vt:variant>
      <vt:variant>
        <vt:i4>5</vt:i4>
      </vt:variant>
      <vt:variant>
        <vt:lpwstr>http://www.nevo.co.il/law/70301/338.a.3</vt:lpwstr>
      </vt:variant>
      <vt:variant>
        <vt:lpwstr/>
      </vt:variant>
      <vt:variant>
        <vt:i4>7077991</vt:i4>
      </vt:variant>
      <vt:variant>
        <vt:i4>99</vt:i4>
      </vt:variant>
      <vt:variant>
        <vt:i4>0</vt:i4>
      </vt:variant>
      <vt:variant>
        <vt:i4>5</vt:i4>
      </vt:variant>
      <vt:variant>
        <vt:lpwstr>http://www.nevo.co.il/law/70301/29</vt:lpwstr>
      </vt:variant>
      <vt:variant>
        <vt:lpwstr/>
      </vt:variant>
      <vt:variant>
        <vt:i4>65618</vt:i4>
      </vt:variant>
      <vt:variant>
        <vt:i4>96</vt:i4>
      </vt:variant>
      <vt:variant>
        <vt:i4>0</vt:i4>
      </vt:variant>
      <vt:variant>
        <vt:i4>5</vt:i4>
      </vt:variant>
      <vt:variant>
        <vt:lpwstr>http://www.nevo.co.il/law/70301/413e</vt:lpwstr>
      </vt:variant>
      <vt:variant>
        <vt:lpwstr/>
      </vt:variant>
      <vt:variant>
        <vt:i4>3866750</vt:i4>
      </vt:variant>
      <vt:variant>
        <vt:i4>93</vt:i4>
      </vt:variant>
      <vt:variant>
        <vt:i4>0</vt:i4>
      </vt:variant>
      <vt:variant>
        <vt:i4>5</vt:i4>
      </vt:variant>
      <vt:variant>
        <vt:lpwstr>http://www.nevo.co.il/case/18028025</vt:lpwstr>
      </vt:variant>
      <vt:variant>
        <vt:lpwstr/>
      </vt:variant>
      <vt:variant>
        <vt:i4>65618</vt:i4>
      </vt:variant>
      <vt:variant>
        <vt:i4>90</vt:i4>
      </vt:variant>
      <vt:variant>
        <vt:i4>0</vt:i4>
      </vt:variant>
      <vt:variant>
        <vt:i4>5</vt:i4>
      </vt:variant>
      <vt:variant>
        <vt:lpwstr>http://www.nevo.co.il/law/70301/413e</vt:lpwstr>
      </vt:variant>
      <vt:variant>
        <vt:lpwstr/>
      </vt:variant>
      <vt:variant>
        <vt:i4>6422631</vt:i4>
      </vt:variant>
      <vt:variant>
        <vt:i4>87</vt:i4>
      </vt:variant>
      <vt:variant>
        <vt:i4>0</vt:i4>
      </vt:variant>
      <vt:variant>
        <vt:i4>5</vt:i4>
      </vt:variant>
      <vt:variant>
        <vt:lpwstr>http://www.nevo.co.il/law/70301/275</vt:lpwstr>
      </vt:variant>
      <vt:variant>
        <vt:lpwstr/>
      </vt:variant>
      <vt:variant>
        <vt:i4>6422631</vt:i4>
      </vt:variant>
      <vt:variant>
        <vt:i4>84</vt:i4>
      </vt:variant>
      <vt:variant>
        <vt:i4>0</vt:i4>
      </vt:variant>
      <vt:variant>
        <vt:i4>5</vt:i4>
      </vt:variant>
      <vt:variant>
        <vt:lpwstr>http://www.nevo.co.il/law/70301/274</vt:lpwstr>
      </vt:variant>
      <vt:variant>
        <vt:lpwstr/>
      </vt:variant>
      <vt:variant>
        <vt:i4>3670142</vt:i4>
      </vt:variant>
      <vt:variant>
        <vt:i4>81</vt:i4>
      </vt:variant>
      <vt:variant>
        <vt:i4>0</vt:i4>
      </vt:variant>
      <vt:variant>
        <vt:i4>5</vt:i4>
      </vt:variant>
      <vt:variant>
        <vt:lpwstr>http://www.nevo.co.il/case/6857358</vt:lpwstr>
      </vt:variant>
      <vt:variant>
        <vt:lpwstr/>
      </vt:variant>
      <vt:variant>
        <vt:i4>6357049</vt:i4>
      </vt:variant>
      <vt:variant>
        <vt:i4>78</vt:i4>
      </vt:variant>
      <vt:variant>
        <vt:i4>0</vt:i4>
      </vt:variant>
      <vt:variant>
        <vt:i4>5</vt:i4>
      </vt:variant>
      <vt:variant>
        <vt:lpwstr>http://www.nevo.co.il/law/70301/449.a.1</vt:lpwstr>
      </vt:variant>
      <vt:variant>
        <vt:lpwstr/>
      </vt:variant>
      <vt:variant>
        <vt:i4>5177433</vt:i4>
      </vt:variant>
      <vt:variant>
        <vt:i4>75</vt:i4>
      </vt:variant>
      <vt:variant>
        <vt:i4>0</vt:i4>
      </vt:variant>
      <vt:variant>
        <vt:i4>5</vt:i4>
      </vt:variant>
      <vt:variant>
        <vt:lpwstr>http://www.nevo.co.il/law/70301/448.a</vt:lpwstr>
      </vt:variant>
      <vt:variant>
        <vt:lpwstr/>
      </vt:variant>
      <vt:variant>
        <vt:i4>3801205</vt:i4>
      </vt:variant>
      <vt:variant>
        <vt:i4>72</vt:i4>
      </vt:variant>
      <vt:variant>
        <vt:i4>0</vt:i4>
      </vt:variant>
      <vt:variant>
        <vt:i4>5</vt:i4>
      </vt:variant>
      <vt:variant>
        <vt:lpwstr>http://www.nevo.co.il/case/11309013</vt:lpwstr>
      </vt:variant>
      <vt:variant>
        <vt:lpwstr/>
      </vt:variant>
      <vt:variant>
        <vt:i4>4128882</vt:i4>
      </vt:variant>
      <vt:variant>
        <vt:i4>69</vt:i4>
      </vt:variant>
      <vt:variant>
        <vt:i4>0</vt:i4>
      </vt:variant>
      <vt:variant>
        <vt:i4>5</vt:i4>
      </vt:variant>
      <vt:variant>
        <vt:lpwstr>http://www.nevo.co.il/case/6731208</vt:lpwstr>
      </vt:variant>
      <vt:variant>
        <vt:lpwstr/>
      </vt:variant>
      <vt:variant>
        <vt:i4>5177433</vt:i4>
      </vt:variant>
      <vt:variant>
        <vt:i4>66</vt:i4>
      </vt:variant>
      <vt:variant>
        <vt:i4>0</vt:i4>
      </vt:variant>
      <vt:variant>
        <vt:i4>5</vt:i4>
      </vt:variant>
      <vt:variant>
        <vt:lpwstr>http://www.nevo.co.il/law/70301/448.a</vt:lpwstr>
      </vt:variant>
      <vt:variant>
        <vt:lpwstr/>
      </vt:variant>
      <vt:variant>
        <vt:i4>3539063</vt:i4>
      </vt:variant>
      <vt:variant>
        <vt:i4>63</vt:i4>
      </vt:variant>
      <vt:variant>
        <vt:i4>0</vt:i4>
      </vt:variant>
      <vt:variant>
        <vt:i4>5</vt:i4>
      </vt:variant>
      <vt:variant>
        <vt:lpwstr>http://www.nevo.co.il/case/5604013</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6357089</vt:i4>
      </vt:variant>
      <vt:variant>
        <vt:i4>57</vt:i4>
      </vt:variant>
      <vt:variant>
        <vt:i4>0</vt:i4>
      </vt:variant>
      <vt:variant>
        <vt:i4>5</vt:i4>
      </vt:variant>
      <vt:variant>
        <vt:lpwstr>http://www.nevo.co.il/law/70301/448</vt:lpwstr>
      </vt:variant>
      <vt:variant>
        <vt:lpwstr/>
      </vt:variant>
      <vt:variant>
        <vt:i4>3276918</vt:i4>
      </vt:variant>
      <vt:variant>
        <vt:i4>54</vt:i4>
      </vt:variant>
      <vt:variant>
        <vt:i4>0</vt:i4>
      </vt:variant>
      <vt:variant>
        <vt:i4>5</vt:i4>
      </vt:variant>
      <vt:variant>
        <vt:lpwstr>http://www.nevo.co.il/case/23793846</vt:lpwstr>
      </vt:variant>
      <vt:variant>
        <vt:lpwstr/>
      </vt:variant>
      <vt:variant>
        <vt:i4>7077985</vt:i4>
      </vt:variant>
      <vt:variant>
        <vt:i4>51</vt:i4>
      </vt:variant>
      <vt:variant>
        <vt:i4>0</vt:i4>
      </vt:variant>
      <vt:variant>
        <vt:i4>5</vt:i4>
      </vt:variant>
      <vt:variant>
        <vt:lpwstr>http://www.nevo.co.il/law/70301/498</vt:lpwstr>
      </vt:variant>
      <vt:variant>
        <vt:lpwstr/>
      </vt:variant>
      <vt:variant>
        <vt:i4>7995492</vt:i4>
      </vt:variant>
      <vt:variant>
        <vt:i4>48</vt:i4>
      </vt:variant>
      <vt:variant>
        <vt:i4>0</vt:i4>
      </vt:variant>
      <vt:variant>
        <vt:i4>5</vt:i4>
      </vt:variant>
      <vt:variant>
        <vt:lpwstr>http://www.nevo.co.il/law/70301</vt:lpwstr>
      </vt:variant>
      <vt:variant>
        <vt:lpwstr/>
      </vt:variant>
      <vt:variant>
        <vt:i4>65618</vt:i4>
      </vt:variant>
      <vt:variant>
        <vt:i4>45</vt:i4>
      </vt:variant>
      <vt:variant>
        <vt:i4>0</vt:i4>
      </vt:variant>
      <vt:variant>
        <vt:i4>5</vt:i4>
      </vt:variant>
      <vt:variant>
        <vt:lpwstr>http://www.nevo.co.il/law/70301/413e</vt:lpwstr>
      </vt:variant>
      <vt:variant>
        <vt:lpwstr/>
      </vt:variant>
      <vt:variant>
        <vt:i4>7077985</vt:i4>
      </vt:variant>
      <vt:variant>
        <vt:i4>42</vt:i4>
      </vt:variant>
      <vt:variant>
        <vt:i4>0</vt:i4>
      </vt:variant>
      <vt:variant>
        <vt:i4>5</vt:i4>
      </vt:variant>
      <vt:variant>
        <vt:lpwstr>http://www.nevo.co.il/law/70301/498</vt:lpwstr>
      </vt:variant>
      <vt:variant>
        <vt:lpwstr/>
      </vt:variant>
      <vt:variant>
        <vt:i4>6357049</vt:i4>
      </vt:variant>
      <vt:variant>
        <vt:i4>39</vt:i4>
      </vt:variant>
      <vt:variant>
        <vt:i4>0</vt:i4>
      </vt:variant>
      <vt:variant>
        <vt:i4>5</vt:i4>
      </vt:variant>
      <vt:variant>
        <vt:lpwstr>http://www.nevo.co.il/law/70301/449.a.1</vt:lpwstr>
      </vt:variant>
      <vt:variant>
        <vt:lpwstr/>
      </vt:variant>
      <vt:variant>
        <vt:i4>5177433</vt:i4>
      </vt:variant>
      <vt:variant>
        <vt:i4>36</vt:i4>
      </vt:variant>
      <vt:variant>
        <vt:i4>0</vt:i4>
      </vt:variant>
      <vt:variant>
        <vt:i4>5</vt:i4>
      </vt:variant>
      <vt:variant>
        <vt:lpwstr>http://www.nevo.co.il/law/70301/448.a</vt:lpwstr>
      </vt:variant>
      <vt:variant>
        <vt:lpwstr/>
      </vt:variant>
      <vt:variant>
        <vt:i4>6357089</vt:i4>
      </vt:variant>
      <vt:variant>
        <vt:i4>33</vt:i4>
      </vt:variant>
      <vt:variant>
        <vt:i4>0</vt:i4>
      </vt:variant>
      <vt:variant>
        <vt:i4>5</vt:i4>
      </vt:variant>
      <vt:variant>
        <vt:lpwstr>http://www.nevo.co.il/law/70301/448</vt:lpwstr>
      </vt:variant>
      <vt:variant>
        <vt:lpwstr/>
      </vt:variant>
      <vt:variant>
        <vt:i4>65618</vt:i4>
      </vt:variant>
      <vt:variant>
        <vt:i4>30</vt:i4>
      </vt:variant>
      <vt:variant>
        <vt:i4>0</vt:i4>
      </vt:variant>
      <vt:variant>
        <vt:i4>5</vt:i4>
      </vt:variant>
      <vt:variant>
        <vt:lpwstr>http://www.nevo.co.il/law/70301/413e</vt:lpwstr>
      </vt:variant>
      <vt:variant>
        <vt:lpwstr/>
      </vt:variant>
      <vt:variant>
        <vt:i4>6553697</vt:i4>
      </vt:variant>
      <vt:variant>
        <vt:i4>27</vt:i4>
      </vt:variant>
      <vt:variant>
        <vt:i4>0</vt:i4>
      </vt:variant>
      <vt:variant>
        <vt:i4>5</vt:i4>
      </vt:variant>
      <vt:variant>
        <vt:lpwstr>http://www.nevo.co.il/law/70301/413</vt:lpwstr>
      </vt:variant>
      <vt:variant>
        <vt:lpwstr/>
      </vt:variant>
      <vt:variant>
        <vt:i4>6684735</vt:i4>
      </vt:variant>
      <vt:variant>
        <vt:i4>24</vt:i4>
      </vt:variant>
      <vt:variant>
        <vt:i4>0</vt:i4>
      </vt:variant>
      <vt:variant>
        <vt:i4>5</vt:i4>
      </vt:variant>
      <vt:variant>
        <vt:lpwstr>http://www.nevo.co.il/law/70301/338.a.3</vt:lpwstr>
      </vt:variant>
      <vt:variant>
        <vt:lpwstr/>
      </vt:variant>
      <vt:variant>
        <vt:i4>4390992</vt:i4>
      </vt:variant>
      <vt:variant>
        <vt:i4>21</vt:i4>
      </vt:variant>
      <vt:variant>
        <vt:i4>0</vt:i4>
      </vt:variant>
      <vt:variant>
        <vt:i4>5</vt:i4>
      </vt:variant>
      <vt:variant>
        <vt:lpwstr>http://www.nevo.co.il/law/70301/287.a</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6422631</vt:i4>
      </vt:variant>
      <vt:variant>
        <vt:i4>15</vt:i4>
      </vt:variant>
      <vt:variant>
        <vt:i4>0</vt:i4>
      </vt:variant>
      <vt:variant>
        <vt:i4>5</vt:i4>
      </vt:variant>
      <vt:variant>
        <vt:lpwstr>http://www.nevo.co.il/law/70301/274</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2025-01-19T16:16:00Z</dcterms:created>
  <dcterms:modified xsi:type="dcterms:W3CDTF">2025-01-19T16:16:00Z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57628</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אדם אחמד עבדאללה</vt:lpwstr>
  </property>
  <property fmtid="{D5CDD505-2E9C-101B-9397-08002B2CF9AE}" pid="10" name="LAWYER">
    <vt:lpwstr>סאמי חוראני;אורי בן נתן</vt:lpwstr>
  </property>
  <property fmtid="{D5CDD505-2E9C-101B-9397-08002B2CF9AE}" pid="11" name="JUDGE">
    <vt:lpwstr>דניאל טפרברג</vt:lpwstr>
  </property>
  <property fmtid="{D5CDD505-2E9C-101B-9397-08002B2CF9AE}" pid="12" name="CITY">
    <vt:lpwstr>י-ם</vt:lpwstr>
  </property>
  <property fmtid="{D5CDD505-2E9C-101B-9397-08002B2CF9AE}" pid="13" name="DATE">
    <vt:lpwstr>20200130</vt:lpwstr>
  </property>
  <property fmtid="{D5CDD505-2E9C-101B-9397-08002B2CF9AE}" pid="14" name="TYPE_N_DATE">
    <vt:lpwstr>39020200130</vt:lpwstr>
  </property>
  <property fmtid="{D5CDD505-2E9C-101B-9397-08002B2CF9AE}" pid="15" name="CASESLISTTMP1">
    <vt:lpwstr>23793846;5604013;6731208;11309013;6857358;18028025;18731000;20761469;5325564;18736271;637380;6142512;8474959</vt:lpwstr>
  </property>
  <property fmtid="{D5CDD505-2E9C-101B-9397-08002B2CF9AE}" pid="16" name="WORDNUMPAGES">
    <vt:lpwstr>10</vt:lpwstr>
  </property>
  <property fmtid="{D5CDD505-2E9C-101B-9397-08002B2CF9AE}" pid="17" name="TYPE_ABS_DATE">
    <vt:lpwstr>390020200130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70301/413e:5;498;448;144.b;448.a:2;449.a.1;274;275;029:2;338.a.3;192:2;287.a;413;040b</vt:lpwstr>
  </property>
</Properties>
</file>