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F6E4F" w:rsidRPr="00C13AD3" w14:paraId="737D8C4F" w14:textId="77777777" w:rsidTr="00612D4E">
        <w:trPr>
          <w:trHeight w:hRule="exact" w:val="418"/>
          <w:jc w:val="center"/>
        </w:trPr>
        <w:tc>
          <w:tcPr>
            <w:tcW w:w="8721" w:type="dxa"/>
            <w:gridSpan w:val="2"/>
          </w:tcPr>
          <w:p w14:paraId="1EC4805F" w14:textId="77777777" w:rsidR="004F6E4F" w:rsidRPr="00C13AD3" w:rsidRDefault="004F6E4F" w:rsidP="005B0786">
            <w:pPr>
              <w:pStyle w:val="a3"/>
              <w:jc w:val="center"/>
              <w:rPr>
                <w:rFonts w:ascii="Tahoma" w:hAnsi="Tahoma" w:cs="Tahoma"/>
                <w:color w:val="000080"/>
                <w:rtl/>
              </w:rPr>
            </w:pPr>
            <w:r w:rsidRPr="00C13AD3">
              <w:rPr>
                <w:rFonts w:ascii="Tahoma" w:hAnsi="Tahoma" w:cs="Tahoma"/>
                <w:b/>
                <w:bCs/>
                <w:color w:val="000080"/>
                <w:rtl/>
              </w:rPr>
              <w:t>בית המשפט המחוזי בבאר שבע</w:t>
            </w:r>
          </w:p>
        </w:tc>
      </w:tr>
      <w:tr w:rsidR="004F6E4F" w:rsidRPr="00C13AD3" w14:paraId="616988E1" w14:textId="77777777" w:rsidTr="00612D4E">
        <w:trPr>
          <w:trHeight w:val="337"/>
          <w:jc w:val="center"/>
        </w:trPr>
        <w:tc>
          <w:tcPr>
            <w:tcW w:w="5057" w:type="dxa"/>
          </w:tcPr>
          <w:p w14:paraId="327C9DB3" w14:textId="77777777" w:rsidR="004F6E4F" w:rsidRPr="00C13AD3" w:rsidRDefault="004F6E4F" w:rsidP="005B0786">
            <w:pPr>
              <w:rPr>
                <w:rFonts w:cs="FrankRuehl"/>
                <w:sz w:val="28"/>
                <w:szCs w:val="28"/>
                <w:rtl/>
              </w:rPr>
            </w:pPr>
            <w:r w:rsidRPr="00C13AD3">
              <w:rPr>
                <w:rFonts w:cs="FrankRuehl"/>
                <w:sz w:val="28"/>
                <w:szCs w:val="28"/>
                <w:rtl/>
              </w:rPr>
              <w:t>ת"פ</w:t>
            </w:r>
            <w:r w:rsidRPr="00C13AD3">
              <w:rPr>
                <w:rFonts w:cs="FrankRuehl" w:hint="cs"/>
                <w:sz w:val="28"/>
                <w:szCs w:val="28"/>
                <w:rtl/>
              </w:rPr>
              <w:t xml:space="preserve"> </w:t>
            </w:r>
            <w:r w:rsidRPr="00C13AD3">
              <w:rPr>
                <w:rFonts w:cs="FrankRuehl"/>
                <w:sz w:val="28"/>
                <w:szCs w:val="28"/>
                <w:rtl/>
              </w:rPr>
              <w:t>20613-06-17</w:t>
            </w:r>
            <w:r w:rsidRPr="00C13AD3">
              <w:rPr>
                <w:rFonts w:cs="FrankRuehl" w:hint="cs"/>
                <w:sz w:val="28"/>
                <w:szCs w:val="28"/>
                <w:rtl/>
              </w:rPr>
              <w:t xml:space="preserve"> </w:t>
            </w:r>
            <w:r w:rsidRPr="00C13AD3">
              <w:rPr>
                <w:rFonts w:cs="FrankRuehl"/>
                <w:sz w:val="28"/>
                <w:szCs w:val="28"/>
                <w:rtl/>
              </w:rPr>
              <w:t>מדינת ישראל נ' עגלה(עציר)</w:t>
            </w:r>
          </w:p>
          <w:p w14:paraId="71BA9E30" w14:textId="77777777" w:rsidR="004F6E4F" w:rsidRPr="00C13AD3" w:rsidRDefault="004F6E4F" w:rsidP="005B0786">
            <w:pPr>
              <w:pStyle w:val="a3"/>
              <w:rPr>
                <w:rFonts w:cs="FrankRuehl"/>
                <w:sz w:val="28"/>
                <w:szCs w:val="28"/>
                <w:rtl/>
              </w:rPr>
            </w:pPr>
          </w:p>
        </w:tc>
        <w:tc>
          <w:tcPr>
            <w:tcW w:w="3664" w:type="dxa"/>
          </w:tcPr>
          <w:p w14:paraId="1F538031" w14:textId="77777777" w:rsidR="004F6E4F" w:rsidRPr="00C13AD3" w:rsidRDefault="004F6E4F" w:rsidP="005B0786">
            <w:pPr>
              <w:pStyle w:val="a3"/>
              <w:jc w:val="right"/>
              <w:rPr>
                <w:rFonts w:cs="FrankRuehl"/>
                <w:sz w:val="28"/>
                <w:szCs w:val="28"/>
                <w:rtl/>
              </w:rPr>
            </w:pPr>
          </w:p>
        </w:tc>
      </w:tr>
    </w:tbl>
    <w:p w14:paraId="28B4F89B" w14:textId="77777777" w:rsidR="004F6E4F" w:rsidRPr="00C13AD3" w:rsidRDefault="004F6E4F" w:rsidP="004F6E4F">
      <w:pPr>
        <w:pStyle w:val="a3"/>
        <w:rPr>
          <w:rtl/>
        </w:rPr>
      </w:pPr>
      <w:r w:rsidRPr="00C13AD3">
        <w:rPr>
          <w:rFonts w:hint="cs"/>
          <w:rtl/>
        </w:rPr>
        <w:t xml:space="preserve"> </w:t>
      </w:r>
    </w:p>
    <w:p w14:paraId="41B2161E" w14:textId="77777777" w:rsidR="004F6E4F" w:rsidRPr="00C13AD3" w:rsidRDefault="004F6E4F" w:rsidP="004F6E4F">
      <w:pPr>
        <w:spacing w:line="360" w:lineRule="auto"/>
        <w:jc w:val="both"/>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9"/>
        <w:gridCol w:w="2743"/>
        <w:gridCol w:w="882"/>
      </w:tblGrid>
      <w:tr w:rsidR="005B0786" w:rsidRPr="00C13AD3" w14:paraId="7ECDA8DA" w14:textId="77777777" w:rsidTr="004F6E4F">
        <w:trPr>
          <w:gridAfter w:val="1"/>
          <w:wAfter w:w="882" w:type="dxa"/>
          <w:trHeight w:val="295"/>
          <w:jc w:val="center"/>
        </w:trPr>
        <w:tc>
          <w:tcPr>
            <w:tcW w:w="7938" w:type="dxa"/>
            <w:gridSpan w:val="3"/>
            <w:tcBorders>
              <w:top w:val="nil"/>
              <w:left w:val="nil"/>
              <w:bottom w:val="nil"/>
              <w:right w:val="nil"/>
            </w:tcBorders>
            <w:shd w:val="clear" w:color="auto" w:fill="auto"/>
          </w:tcPr>
          <w:p w14:paraId="6807657F" w14:textId="77777777" w:rsidR="004F6E4F" w:rsidRPr="00C13AD3" w:rsidRDefault="004F6E4F" w:rsidP="004F6E4F">
            <w:pPr>
              <w:spacing w:line="360" w:lineRule="auto"/>
              <w:jc w:val="both"/>
              <w:rPr>
                <w:rFonts w:ascii="Arial" w:hAnsi="Arial"/>
                <w:b/>
                <w:bCs/>
              </w:rPr>
            </w:pPr>
            <w:r w:rsidRPr="00C13AD3">
              <w:rPr>
                <w:rFonts w:ascii="Arial" w:hAnsi="Arial" w:hint="cs"/>
                <w:b/>
                <w:bCs/>
                <w:rtl/>
              </w:rPr>
              <w:t>בפני כב' סגן הנשיאה, השופט אליהו ביתן</w:t>
            </w:r>
          </w:p>
        </w:tc>
      </w:tr>
      <w:tr w:rsidR="005B0786" w:rsidRPr="00C13AD3" w14:paraId="148E5E7B" w14:textId="77777777" w:rsidTr="004F6E4F">
        <w:trPr>
          <w:trHeight w:val="355"/>
          <w:jc w:val="center"/>
        </w:trPr>
        <w:tc>
          <w:tcPr>
            <w:tcW w:w="1246" w:type="dxa"/>
            <w:tcBorders>
              <w:top w:val="nil"/>
              <w:left w:val="nil"/>
              <w:bottom w:val="nil"/>
              <w:right w:val="nil"/>
            </w:tcBorders>
            <w:shd w:val="clear" w:color="auto" w:fill="auto"/>
          </w:tcPr>
          <w:p w14:paraId="32D3ACBB" w14:textId="77777777" w:rsidR="004F6E4F" w:rsidRPr="00C13AD3" w:rsidRDefault="004F6E4F" w:rsidP="004F6E4F">
            <w:pPr>
              <w:spacing w:line="360" w:lineRule="auto"/>
              <w:jc w:val="both"/>
              <w:rPr>
                <w:rFonts w:ascii="Arial" w:hAnsi="Arial"/>
                <w:b/>
                <w:bCs/>
              </w:rPr>
            </w:pPr>
            <w:bookmarkStart w:id="0" w:name="LastJudge"/>
            <w:bookmarkEnd w:id="0"/>
            <w:r w:rsidRPr="00C13AD3">
              <w:rPr>
                <w:rFonts w:ascii="Arial" w:hAnsi="Arial" w:hint="cs"/>
                <w:b/>
                <w:bCs/>
                <w:rtl/>
              </w:rPr>
              <w:t>בעניין:</w:t>
            </w:r>
          </w:p>
        </w:tc>
        <w:tc>
          <w:tcPr>
            <w:tcW w:w="3949" w:type="dxa"/>
            <w:tcBorders>
              <w:top w:val="nil"/>
              <w:left w:val="nil"/>
              <w:bottom w:val="nil"/>
              <w:right w:val="nil"/>
            </w:tcBorders>
            <w:shd w:val="clear" w:color="auto" w:fill="auto"/>
          </w:tcPr>
          <w:p w14:paraId="7D964D62" w14:textId="77777777" w:rsidR="004F6E4F" w:rsidRPr="00C13AD3" w:rsidRDefault="004F6E4F" w:rsidP="004F6E4F">
            <w:pPr>
              <w:spacing w:line="360" w:lineRule="auto"/>
              <w:jc w:val="both"/>
              <w:rPr>
                <w:rFonts w:ascii="Arial" w:hAnsi="Arial"/>
                <w:b/>
                <w:bCs/>
              </w:rPr>
            </w:pPr>
          </w:p>
        </w:tc>
        <w:tc>
          <w:tcPr>
            <w:tcW w:w="3625" w:type="dxa"/>
            <w:gridSpan w:val="2"/>
            <w:tcBorders>
              <w:top w:val="nil"/>
              <w:left w:val="nil"/>
              <w:bottom w:val="nil"/>
              <w:right w:val="nil"/>
            </w:tcBorders>
            <w:shd w:val="clear" w:color="auto" w:fill="auto"/>
          </w:tcPr>
          <w:p w14:paraId="0A23A570" w14:textId="77777777" w:rsidR="004F6E4F" w:rsidRPr="00C13AD3" w:rsidRDefault="004F6E4F" w:rsidP="004F6E4F">
            <w:pPr>
              <w:spacing w:line="360" w:lineRule="auto"/>
              <w:jc w:val="both"/>
              <w:rPr>
                <w:rFonts w:ascii="Arial" w:hAnsi="Arial"/>
                <w:b/>
                <w:bCs/>
              </w:rPr>
            </w:pPr>
          </w:p>
        </w:tc>
      </w:tr>
      <w:tr w:rsidR="005B0786" w:rsidRPr="00C13AD3" w14:paraId="4DA26FAA" w14:textId="77777777" w:rsidTr="004F6E4F">
        <w:trPr>
          <w:trHeight w:val="355"/>
          <w:jc w:val="center"/>
        </w:trPr>
        <w:tc>
          <w:tcPr>
            <w:tcW w:w="1246" w:type="dxa"/>
            <w:tcBorders>
              <w:top w:val="nil"/>
              <w:left w:val="nil"/>
              <w:bottom w:val="nil"/>
              <w:right w:val="nil"/>
            </w:tcBorders>
            <w:shd w:val="clear" w:color="auto" w:fill="auto"/>
          </w:tcPr>
          <w:p w14:paraId="34CB4F47" w14:textId="77777777" w:rsidR="004F6E4F" w:rsidRPr="00C13AD3" w:rsidRDefault="004F6E4F" w:rsidP="004F6E4F">
            <w:pPr>
              <w:spacing w:line="360" w:lineRule="auto"/>
              <w:jc w:val="both"/>
              <w:rPr>
                <w:rFonts w:ascii="Arial" w:hAnsi="Arial"/>
                <w:b/>
                <w:bCs/>
                <w:rtl/>
              </w:rPr>
            </w:pPr>
            <w:bookmarkStart w:id="1" w:name="FirstAppellant"/>
            <w:r w:rsidRPr="00C13AD3">
              <w:rPr>
                <w:rFonts w:ascii="Arial" w:hAnsi="Arial" w:hint="cs"/>
                <w:b/>
                <w:bCs/>
                <w:rtl/>
              </w:rPr>
              <w:t>המאשימה:</w:t>
            </w:r>
          </w:p>
        </w:tc>
        <w:tc>
          <w:tcPr>
            <w:tcW w:w="3949" w:type="dxa"/>
            <w:tcBorders>
              <w:top w:val="nil"/>
              <w:left w:val="nil"/>
              <w:bottom w:val="nil"/>
              <w:right w:val="nil"/>
            </w:tcBorders>
            <w:shd w:val="clear" w:color="auto" w:fill="auto"/>
          </w:tcPr>
          <w:p w14:paraId="76AD3247" w14:textId="77777777" w:rsidR="004F6E4F" w:rsidRPr="00C13AD3" w:rsidRDefault="004F6E4F" w:rsidP="004F6E4F">
            <w:pPr>
              <w:spacing w:line="360" w:lineRule="auto"/>
              <w:jc w:val="both"/>
              <w:rPr>
                <w:rFonts w:ascii="Arial" w:hAnsi="Arial"/>
                <w:b/>
                <w:bCs/>
                <w:rtl/>
              </w:rPr>
            </w:pPr>
            <w:r w:rsidRPr="00C13AD3">
              <w:rPr>
                <w:rFonts w:ascii="Arial" w:hAnsi="Arial" w:hint="cs"/>
                <w:b/>
                <w:bCs/>
                <w:rtl/>
              </w:rPr>
              <w:t xml:space="preserve">מדינת ישראל </w:t>
            </w:r>
          </w:p>
        </w:tc>
        <w:tc>
          <w:tcPr>
            <w:tcW w:w="3625" w:type="dxa"/>
            <w:gridSpan w:val="2"/>
            <w:tcBorders>
              <w:top w:val="nil"/>
              <w:left w:val="nil"/>
              <w:bottom w:val="nil"/>
              <w:right w:val="nil"/>
            </w:tcBorders>
            <w:shd w:val="clear" w:color="auto" w:fill="auto"/>
          </w:tcPr>
          <w:p w14:paraId="6D6EC5AD" w14:textId="77777777" w:rsidR="004F6E4F" w:rsidRPr="00C13AD3" w:rsidRDefault="004F6E4F" w:rsidP="004F6E4F">
            <w:pPr>
              <w:spacing w:line="360" w:lineRule="auto"/>
              <w:jc w:val="both"/>
              <w:rPr>
                <w:rFonts w:ascii="Arial" w:hAnsi="Arial"/>
                <w:b/>
                <w:bCs/>
                <w:rtl/>
              </w:rPr>
            </w:pPr>
          </w:p>
        </w:tc>
      </w:tr>
      <w:bookmarkEnd w:id="1"/>
      <w:tr w:rsidR="005B0786" w:rsidRPr="00C13AD3" w14:paraId="42951CF7" w14:textId="77777777" w:rsidTr="004F6E4F">
        <w:trPr>
          <w:trHeight w:val="355"/>
          <w:jc w:val="center"/>
        </w:trPr>
        <w:tc>
          <w:tcPr>
            <w:tcW w:w="1246" w:type="dxa"/>
            <w:tcBorders>
              <w:top w:val="nil"/>
              <w:left w:val="nil"/>
              <w:bottom w:val="nil"/>
              <w:right w:val="nil"/>
            </w:tcBorders>
            <w:shd w:val="clear" w:color="auto" w:fill="auto"/>
          </w:tcPr>
          <w:p w14:paraId="6BA2A34C" w14:textId="77777777" w:rsidR="004F6E4F" w:rsidRPr="00C13AD3" w:rsidRDefault="004F6E4F" w:rsidP="004F6E4F">
            <w:pPr>
              <w:spacing w:line="360" w:lineRule="auto"/>
              <w:jc w:val="both"/>
              <w:rPr>
                <w:rFonts w:ascii="Arial" w:hAnsi="Arial"/>
                <w:b/>
                <w:bCs/>
                <w:rtl/>
              </w:rPr>
            </w:pPr>
          </w:p>
        </w:tc>
        <w:tc>
          <w:tcPr>
            <w:tcW w:w="7574" w:type="dxa"/>
            <w:gridSpan w:val="3"/>
            <w:tcBorders>
              <w:top w:val="nil"/>
              <w:left w:val="nil"/>
              <w:bottom w:val="nil"/>
              <w:right w:val="nil"/>
            </w:tcBorders>
            <w:shd w:val="clear" w:color="auto" w:fill="auto"/>
          </w:tcPr>
          <w:p w14:paraId="595F92F1" w14:textId="77777777" w:rsidR="004F6E4F" w:rsidRPr="00C13AD3" w:rsidRDefault="004F6E4F" w:rsidP="004F6E4F">
            <w:pPr>
              <w:spacing w:line="360" w:lineRule="auto"/>
              <w:jc w:val="center"/>
              <w:rPr>
                <w:rFonts w:ascii="Arial" w:hAnsi="Arial"/>
                <w:b/>
                <w:bCs/>
              </w:rPr>
            </w:pPr>
            <w:r w:rsidRPr="00C13AD3">
              <w:rPr>
                <w:rFonts w:ascii="Arial" w:hAnsi="Arial"/>
                <w:b/>
                <w:bCs/>
                <w:sz w:val="28"/>
                <w:szCs w:val="28"/>
                <w:rtl/>
              </w:rPr>
              <w:t>נגד</w:t>
            </w:r>
          </w:p>
        </w:tc>
      </w:tr>
      <w:tr w:rsidR="005B0786" w:rsidRPr="00C13AD3" w14:paraId="35422500" w14:textId="77777777" w:rsidTr="004F6E4F">
        <w:trPr>
          <w:trHeight w:val="355"/>
          <w:jc w:val="center"/>
        </w:trPr>
        <w:tc>
          <w:tcPr>
            <w:tcW w:w="1246" w:type="dxa"/>
            <w:tcBorders>
              <w:top w:val="nil"/>
              <w:left w:val="nil"/>
              <w:bottom w:val="nil"/>
              <w:right w:val="nil"/>
            </w:tcBorders>
            <w:shd w:val="clear" w:color="auto" w:fill="auto"/>
          </w:tcPr>
          <w:p w14:paraId="6D84FB68" w14:textId="77777777" w:rsidR="004F6E4F" w:rsidRPr="00C13AD3" w:rsidRDefault="004F6E4F" w:rsidP="004F6E4F">
            <w:pPr>
              <w:spacing w:line="360" w:lineRule="auto"/>
              <w:jc w:val="both"/>
              <w:rPr>
                <w:rFonts w:ascii="Arial" w:hAnsi="Arial"/>
                <w:b/>
                <w:bCs/>
                <w:rtl/>
              </w:rPr>
            </w:pPr>
            <w:r w:rsidRPr="00C13AD3">
              <w:rPr>
                <w:rFonts w:ascii="Arial" w:hAnsi="Arial" w:hint="cs"/>
                <w:b/>
                <w:bCs/>
                <w:rtl/>
              </w:rPr>
              <w:t>הנאשם:</w:t>
            </w:r>
          </w:p>
        </w:tc>
        <w:tc>
          <w:tcPr>
            <w:tcW w:w="3949" w:type="dxa"/>
            <w:tcBorders>
              <w:top w:val="nil"/>
              <w:left w:val="nil"/>
              <w:bottom w:val="nil"/>
              <w:right w:val="nil"/>
            </w:tcBorders>
            <w:shd w:val="clear" w:color="auto" w:fill="auto"/>
          </w:tcPr>
          <w:p w14:paraId="21ADB028" w14:textId="77777777" w:rsidR="004F6E4F" w:rsidRPr="00C13AD3" w:rsidRDefault="004F6E4F" w:rsidP="004F6E4F">
            <w:pPr>
              <w:spacing w:line="360" w:lineRule="auto"/>
              <w:jc w:val="both"/>
              <w:rPr>
                <w:rFonts w:ascii="Arial" w:hAnsi="Arial"/>
                <w:b/>
                <w:bCs/>
                <w:rtl/>
              </w:rPr>
            </w:pPr>
            <w:r w:rsidRPr="00C13AD3">
              <w:rPr>
                <w:rFonts w:ascii="Arial" w:hAnsi="Arial"/>
                <w:b/>
                <w:bCs/>
                <w:rtl/>
              </w:rPr>
              <w:t>עבד אלכרים עגלה (עציר)</w:t>
            </w:r>
          </w:p>
        </w:tc>
        <w:tc>
          <w:tcPr>
            <w:tcW w:w="3625" w:type="dxa"/>
            <w:gridSpan w:val="2"/>
            <w:tcBorders>
              <w:top w:val="nil"/>
              <w:left w:val="nil"/>
              <w:bottom w:val="nil"/>
              <w:right w:val="nil"/>
            </w:tcBorders>
            <w:shd w:val="clear" w:color="auto" w:fill="auto"/>
          </w:tcPr>
          <w:p w14:paraId="1F4BAD40" w14:textId="77777777" w:rsidR="004F6E4F" w:rsidRPr="00C13AD3" w:rsidRDefault="004F6E4F" w:rsidP="004F6E4F">
            <w:pPr>
              <w:spacing w:line="360" w:lineRule="auto"/>
              <w:jc w:val="both"/>
              <w:rPr>
                <w:rFonts w:ascii="Arial" w:hAnsi="Arial"/>
                <w:b/>
                <w:bCs/>
              </w:rPr>
            </w:pPr>
          </w:p>
        </w:tc>
      </w:tr>
    </w:tbl>
    <w:p w14:paraId="4592460B" w14:textId="77777777" w:rsidR="00612D4E" w:rsidRPr="00612D4E" w:rsidRDefault="00612D4E" w:rsidP="00612D4E">
      <w:pPr>
        <w:spacing w:after="120" w:line="240" w:lineRule="exact"/>
        <w:ind w:left="283" w:hanging="283"/>
        <w:jc w:val="both"/>
        <w:rPr>
          <w:rFonts w:ascii="FrankRuehl" w:hAnsi="FrankRuehl" w:cs="FrankRuehl"/>
          <w:rtl/>
        </w:rPr>
      </w:pPr>
      <w:bookmarkStart w:id="2" w:name="LawTable"/>
      <w:bookmarkEnd w:id="2"/>
      <w:r w:rsidRPr="00612D4E">
        <w:rPr>
          <w:rFonts w:ascii="FrankRuehl" w:hAnsi="FrankRuehl" w:cs="FrankRuehl"/>
          <w:rtl/>
        </w:rPr>
        <w:t xml:space="preserve">חקיקה שאוזכרה: </w:t>
      </w:r>
    </w:p>
    <w:p w14:paraId="1795F40F" w14:textId="77777777" w:rsidR="00612D4E" w:rsidRPr="00612D4E" w:rsidRDefault="00612D4E" w:rsidP="00612D4E">
      <w:pPr>
        <w:spacing w:after="120" w:line="240" w:lineRule="exact"/>
        <w:ind w:left="283" w:hanging="283"/>
        <w:jc w:val="both"/>
        <w:rPr>
          <w:rFonts w:ascii="FrankRuehl" w:hAnsi="FrankRuehl" w:cs="FrankRuehl"/>
          <w:rtl/>
        </w:rPr>
      </w:pPr>
      <w:hyperlink r:id="rId6" w:history="1">
        <w:r w:rsidRPr="00612D4E">
          <w:rPr>
            <w:rFonts w:ascii="FrankRuehl" w:hAnsi="FrankRuehl" w:cs="FrankRuehl"/>
            <w:color w:val="0000FF"/>
            <w:u w:val="single"/>
            <w:rtl/>
          </w:rPr>
          <w:t>תקנות ההגנה (שעת-חירום), 1945</w:t>
        </w:r>
      </w:hyperlink>
      <w:r w:rsidRPr="00612D4E">
        <w:rPr>
          <w:rFonts w:ascii="FrankRuehl" w:hAnsi="FrankRuehl" w:cs="FrankRuehl"/>
          <w:rtl/>
        </w:rPr>
        <w:t xml:space="preserve">: סע'  </w:t>
      </w:r>
      <w:hyperlink r:id="rId7" w:history="1">
        <w:r w:rsidRPr="00612D4E">
          <w:rPr>
            <w:rFonts w:ascii="FrankRuehl" w:hAnsi="FrankRuehl" w:cs="FrankRuehl"/>
            <w:color w:val="0000FF"/>
            <w:u w:val="single"/>
            <w:rtl/>
          </w:rPr>
          <w:t>85(1)(א)</w:t>
        </w:r>
      </w:hyperlink>
      <w:r w:rsidRPr="00612D4E">
        <w:rPr>
          <w:rFonts w:ascii="FrankRuehl" w:hAnsi="FrankRuehl" w:cs="FrankRuehl"/>
          <w:rtl/>
        </w:rPr>
        <w:t xml:space="preserve">, </w:t>
      </w:r>
      <w:hyperlink r:id="rId8" w:history="1">
        <w:r w:rsidRPr="00612D4E">
          <w:rPr>
            <w:rFonts w:ascii="FrankRuehl" w:hAnsi="FrankRuehl" w:cs="FrankRuehl"/>
            <w:color w:val="0000FF"/>
            <w:u w:val="single"/>
            <w:rtl/>
          </w:rPr>
          <w:t>85(1)(ג)</w:t>
        </w:r>
      </w:hyperlink>
    </w:p>
    <w:p w14:paraId="6EC091AD" w14:textId="77777777" w:rsidR="00612D4E" w:rsidRPr="00612D4E" w:rsidRDefault="00612D4E" w:rsidP="00612D4E">
      <w:pPr>
        <w:spacing w:after="120" w:line="240" w:lineRule="exact"/>
        <w:ind w:left="283" w:hanging="283"/>
        <w:jc w:val="both"/>
        <w:rPr>
          <w:rFonts w:ascii="FrankRuehl" w:hAnsi="FrankRuehl" w:cs="FrankRuehl"/>
          <w:rtl/>
        </w:rPr>
      </w:pPr>
      <w:hyperlink r:id="rId9" w:history="1">
        <w:r w:rsidRPr="00612D4E">
          <w:rPr>
            <w:rFonts w:ascii="FrankRuehl" w:hAnsi="FrankRuehl" w:cs="FrankRuehl"/>
            <w:color w:val="0000FF"/>
            <w:u w:val="single"/>
            <w:rtl/>
          </w:rPr>
          <w:t>חוק המאבק בטרור, תשע"ו-2016</w:t>
        </w:r>
      </w:hyperlink>
      <w:r w:rsidRPr="00612D4E">
        <w:rPr>
          <w:rFonts w:ascii="FrankRuehl" w:hAnsi="FrankRuehl" w:cs="FrankRuehl"/>
          <w:rtl/>
        </w:rPr>
        <w:t xml:space="preserve">: סע'  </w:t>
      </w:r>
      <w:hyperlink r:id="rId10" w:history="1">
        <w:r w:rsidRPr="00612D4E">
          <w:rPr>
            <w:rFonts w:ascii="FrankRuehl" w:hAnsi="FrankRuehl" w:cs="FrankRuehl"/>
            <w:color w:val="0000FF"/>
            <w:u w:val="single"/>
            <w:rtl/>
          </w:rPr>
          <w:t>22(ב)</w:t>
        </w:r>
      </w:hyperlink>
      <w:r w:rsidRPr="00612D4E">
        <w:rPr>
          <w:rFonts w:ascii="FrankRuehl" w:hAnsi="FrankRuehl" w:cs="FrankRuehl"/>
          <w:rtl/>
        </w:rPr>
        <w:t xml:space="preserve">, </w:t>
      </w:r>
      <w:hyperlink r:id="rId11" w:history="1">
        <w:r w:rsidRPr="00612D4E">
          <w:rPr>
            <w:rFonts w:ascii="FrankRuehl" w:hAnsi="FrankRuehl" w:cs="FrankRuehl"/>
            <w:color w:val="0000FF"/>
            <w:u w:val="single"/>
            <w:rtl/>
          </w:rPr>
          <w:t>23</w:t>
        </w:r>
      </w:hyperlink>
    </w:p>
    <w:p w14:paraId="6CA19CD2" w14:textId="77777777" w:rsidR="00612D4E" w:rsidRPr="00612D4E" w:rsidRDefault="00612D4E" w:rsidP="00612D4E">
      <w:pPr>
        <w:spacing w:after="120" w:line="240" w:lineRule="exact"/>
        <w:ind w:left="283" w:hanging="283"/>
        <w:jc w:val="both"/>
        <w:rPr>
          <w:rFonts w:ascii="FrankRuehl" w:hAnsi="FrankRuehl" w:cs="FrankRuehl"/>
          <w:rtl/>
        </w:rPr>
      </w:pPr>
      <w:hyperlink r:id="rId12" w:history="1">
        <w:r w:rsidRPr="00612D4E">
          <w:rPr>
            <w:rFonts w:ascii="FrankRuehl" w:hAnsi="FrankRuehl" w:cs="FrankRuehl"/>
            <w:color w:val="0000FF"/>
            <w:u w:val="single"/>
            <w:rtl/>
          </w:rPr>
          <w:t>חוק העונשין, תשל"ז-1977</w:t>
        </w:r>
      </w:hyperlink>
      <w:r w:rsidRPr="00612D4E">
        <w:rPr>
          <w:rFonts w:ascii="FrankRuehl" w:hAnsi="FrankRuehl" w:cs="FrankRuehl"/>
          <w:rtl/>
        </w:rPr>
        <w:t xml:space="preserve">: סע'  </w:t>
      </w:r>
      <w:hyperlink r:id="rId13" w:history="1">
        <w:r w:rsidRPr="00612D4E">
          <w:rPr>
            <w:rFonts w:ascii="FrankRuehl" w:hAnsi="FrankRuehl" w:cs="FrankRuehl"/>
            <w:color w:val="0000FF"/>
            <w:u w:val="single"/>
            <w:rtl/>
          </w:rPr>
          <w:t>143(ב)</w:t>
        </w:r>
      </w:hyperlink>
      <w:r w:rsidRPr="00612D4E">
        <w:rPr>
          <w:rFonts w:ascii="FrankRuehl" w:hAnsi="FrankRuehl" w:cs="FrankRuehl"/>
          <w:rtl/>
        </w:rPr>
        <w:t xml:space="preserve">, </w:t>
      </w:r>
      <w:hyperlink r:id="rId14" w:history="1">
        <w:r w:rsidRPr="00612D4E">
          <w:rPr>
            <w:rFonts w:ascii="FrankRuehl" w:hAnsi="FrankRuehl" w:cs="FrankRuehl"/>
            <w:color w:val="0000FF"/>
            <w:u w:val="single"/>
            <w:rtl/>
          </w:rPr>
          <w:t>144.א.</w:t>
        </w:r>
      </w:hyperlink>
      <w:r w:rsidRPr="00612D4E">
        <w:rPr>
          <w:rFonts w:ascii="FrankRuehl" w:hAnsi="FrankRuehl" w:cs="FrankRuehl"/>
          <w:rtl/>
        </w:rPr>
        <w:t xml:space="preserve">, </w:t>
      </w:r>
      <w:hyperlink r:id="rId15" w:history="1">
        <w:r w:rsidRPr="00612D4E">
          <w:rPr>
            <w:rFonts w:ascii="FrankRuehl" w:hAnsi="FrankRuehl" w:cs="FrankRuehl"/>
            <w:color w:val="0000FF"/>
            <w:u w:val="single"/>
            <w:rtl/>
          </w:rPr>
          <w:t>144.ב</w:t>
        </w:r>
      </w:hyperlink>
    </w:p>
    <w:p w14:paraId="0F0A119D" w14:textId="77777777" w:rsidR="00612D4E" w:rsidRPr="00612D4E" w:rsidRDefault="00612D4E" w:rsidP="00612D4E">
      <w:pPr>
        <w:spacing w:after="120" w:line="240" w:lineRule="exact"/>
        <w:ind w:left="283" w:hanging="283"/>
        <w:jc w:val="both"/>
        <w:rPr>
          <w:rFonts w:ascii="FrankRuehl" w:hAnsi="FrankRuehl" w:cs="FrankRuehl"/>
          <w:rtl/>
        </w:rPr>
      </w:pPr>
      <w:hyperlink r:id="rId16" w:history="1">
        <w:r w:rsidRPr="00612D4E">
          <w:rPr>
            <w:rFonts w:ascii="FrankRuehl" w:hAnsi="FrankRuehl" w:cs="FrankRuehl"/>
            <w:color w:val="0000FF"/>
            <w:u w:val="single"/>
            <w:rtl/>
          </w:rPr>
          <w:t>חוק למניעת הסתננות (עבירות ושיפוט), תשי"ד-1954</w:t>
        </w:r>
      </w:hyperlink>
      <w:r w:rsidRPr="00612D4E">
        <w:rPr>
          <w:rFonts w:ascii="FrankRuehl" w:hAnsi="FrankRuehl" w:cs="FrankRuehl"/>
          <w:rtl/>
        </w:rPr>
        <w:t xml:space="preserve">: סע'  </w:t>
      </w:r>
      <w:hyperlink r:id="rId17" w:history="1">
        <w:r w:rsidRPr="00612D4E">
          <w:rPr>
            <w:rFonts w:ascii="FrankRuehl" w:hAnsi="FrankRuehl" w:cs="FrankRuehl"/>
            <w:color w:val="0000FF"/>
            <w:u w:val="single"/>
            <w:rtl/>
          </w:rPr>
          <w:t>2</w:t>
        </w:r>
      </w:hyperlink>
    </w:p>
    <w:p w14:paraId="1052681D" w14:textId="77777777" w:rsidR="00612D4E" w:rsidRPr="00612D4E" w:rsidRDefault="00612D4E" w:rsidP="00612D4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0786" w:rsidRPr="00CB5E03" w14:paraId="18031AC9" w14:textId="77777777" w:rsidTr="004F6E4F">
        <w:trPr>
          <w:trHeight w:val="355"/>
          <w:jc w:val="center"/>
        </w:trPr>
        <w:tc>
          <w:tcPr>
            <w:tcW w:w="8820" w:type="dxa"/>
            <w:tcBorders>
              <w:top w:val="nil"/>
              <w:left w:val="nil"/>
              <w:bottom w:val="nil"/>
              <w:right w:val="nil"/>
            </w:tcBorders>
            <w:shd w:val="clear" w:color="auto" w:fill="auto"/>
          </w:tcPr>
          <w:p w14:paraId="4470DD3A" w14:textId="77777777" w:rsidR="00C13AD3" w:rsidRPr="00C13AD3" w:rsidRDefault="00C13AD3" w:rsidP="00C13AD3">
            <w:pPr>
              <w:spacing w:line="360" w:lineRule="auto"/>
              <w:jc w:val="center"/>
              <w:rPr>
                <w:rFonts w:ascii="Arial" w:hAnsi="Arial"/>
                <w:b/>
                <w:bCs/>
                <w:sz w:val="28"/>
                <w:szCs w:val="28"/>
                <w:u w:val="single"/>
                <w:rtl/>
              </w:rPr>
            </w:pPr>
            <w:bookmarkStart w:id="3" w:name="LawTable_End"/>
            <w:bookmarkStart w:id="4" w:name="PsakDin" w:colFirst="0" w:colLast="0"/>
            <w:bookmarkEnd w:id="3"/>
            <w:r w:rsidRPr="00C13AD3">
              <w:rPr>
                <w:rFonts w:ascii="Arial" w:hAnsi="Arial"/>
                <w:b/>
                <w:bCs/>
                <w:sz w:val="28"/>
                <w:szCs w:val="28"/>
                <w:u w:val="single"/>
                <w:rtl/>
              </w:rPr>
              <w:t>גזר דין</w:t>
            </w:r>
          </w:p>
          <w:p w14:paraId="38E3D8DB" w14:textId="77777777" w:rsidR="004F6E4F" w:rsidRPr="00C13AD3" w:rsidRDefault="004F6E4F" w:rsidP="00C13AD3">
            <w:pPr>
              <w:spacing w:line="360" w:lineRule="auto"/>
              <w:jc w:val="center"/>
              <w:rPr>
                <w:rFonts w:ascii="Arial" w:hAnsi="Arial"/>
                <w:b/>
                <w:bCs/>
                <w:sz w:val="28"/>
                <w:szCs w:val="28"/>
                <w:u w:val="single"/>
                <w:rtl/>
              </w:rPr>
            </w:pPr>
          </w:p>
        </w:tc>
      </w:tr>
      <w:bookmarkEnd w:id="4"/>
    </w:tbl>
    <w:p w14:paraId="4A274099" w14:textId="77777777" w:rsidR="004F6E4F" w:rsidRPr="00CB5E03" w:rsidRDefault="004F6E4F" w:rsidP="004F6E4F">
      <w:pPr>
        <w:spacing w:line="360" w:lineRule="auto"/>
        <w:jc w:val="both"/>
        <w:rPr>
          <w:rFonts w:ascii="Arial" w:hAnsi="Arial"/>
          <w:rtl/>
        </w:rPr>
      </w:pPr>
    </w:p>
    <w:p w14:paraId="5EE61488" w14:textId="77777777" w:rsidR="004F6E4F" w:rsidRPr="00CB5E03" w:rsidRDefault="004F6E4F" w:rsidP="004F6E4F">
      <w:pPr>
        <w:spacing w:line="360" w:lineRule="auto"/>
        <w:ind w:left="720" w:hanging="720"/>
        <w:jc w:val="both"/>
      </w:pPr>
      <w:r w:rsidRPr="00CB5E03">
        <w:rPr>
          <w:rFonts w:hint="cs"/>
          <w:rtl/>
        </w:rPr>
        <w:t>1.</w:t>
      </w:r>
      <w:r w:rsidRPr="00CB5E03">
        <w:rPr>
          <w:rFonts w:hint="cs"/>
          <w:rtl/>
        </w:rPr>
        <w:tab/>
        <w:t>בטרם שמיעת הראיות, הגיעו הצדדים להסדר טיעון במסגרתו הודה הנאשם בעובדות כתב האישום המתוקן שהוגש נגדו, שאלה עיקריהן-</w:t>
      </w:r>
    </w:p>
    <w:p w14:paraId="3BAE9546" w14:textId="77777777" w:rsidR="004F6E4F" w:rsidRPr="00CB5E03" w:rsidRDefault="004F6E4F" w:rsidP="004F6E4F">
      <w:pPr>
        <w:spacing w:line="360" w:lineRule="auto"/>
        <w:ind w:left="720" w:hanging="720"/>
        <w:jc w:val="both"/>
        <w:rPr>
          <w:rtl/>
        </w:rPr>
      </w:pPr>
    </w:p>
    <w:p w14:paraId="33A17F8A" w14:textId="77777777" w:rsidR="004F6E4F" w:rsidRPr="00CB5E03" w:rsidRDefault="004F6E4F" w:rsidP="004F6E4F">
      <w:pPr>
        <w:spacing w:line="360" w:lineRule="auto"/>
        <w:ind w:left="720" w:hanging="720"/>
        <w:jc w:val="both"/>
        <w:rPr>
          <w:rtl/>
        </w:rPr>
      </w:pPr>
      <w:r w:rsidRPr="00CB5E03">
        <w:rPr>
          <w:rFonts w:hint="cs"/>
          <w:rtl/>
        </w:rPr>
        <w:tab/>
        <w:t xml:space="preserve">ארגון הג'יהאד האיסלאמי הפלסטיני (להלן: "הגא"פ") הוכרז כארגון טרור וכהתאחדות בלתי מותרת. סראיא אלקודס (גדודי ירושלים) הם פלג בגא"פ ומהווים זרוע צבאית (להלן: "סראיא אלקודס"). בשנת 2002, ברצועת עזה, פנה אל הנאשם עמאר שאהין (להלן: "שאהין") והציע לו להצטרף לגא"פ. הנאשם נענה להצעה ופעל במסגרת הגא"פ עד לשנת 2010. </w:t>
      </w:r>
    </w:p>
    <w:p w14:paraId="55A69431" w14:textId="77777777" w:rsidR="004F6E4F" w:rsidRPr="00CB5E03" w:rsidRDefault="004F6E4F" w:rsidP="004F6E4F">
      <w:pPr>
        <w:spacing w:line="360" w:lineRule="auto"/>
        <w:ind w:left="720" w:hanging="720"/>
        <w:jc w:val="both"/>
        <w:rPr>
          <w:rtl/>
        </w:rPr>
      </w:pPr>
    </w:p>
    <w:p w14:paraId="72900B71" w14:textId="77777777" w:rsidR="004F6E4F" w:rsidRPr="00CB5E03" w:rsidRDefault="004F6E4F" w:rsidP="004F6E4F">
      <w:pPr>
        <w:spacing w:line="360" w:lineRule="auto"/>
        <w:ind w:left="720" w:hanging="720"/>
        <w:jc w:val="both"/>
        <w:rPr>
          <w:b/>
          <w:bCs/>
          <w:u w:val="single"/>
          <w:rtl/>
        </w:rPr>
      </w:pPr>
      <w:r w:rsidRPr="00CB5E03">
        <w:tab/>
      </w:r>
      <w:r w:rsidRPr="00CB5E03">
        <w:rPr>
          <w:rFonts w:hint="cs"/>
          <w:b/>
          <w:bCs/>
          <w:u w:val="single"/>
          <w:rtl/>
        </w:rPr>
        <w:t>אישום ראשון</w:t>
      </w:r>
    </w:p>
    <w:p w14:paraId="1B13E09E" w14:textId="77777777" w:rsidR="004F6E4F" w:rsidRPr="00CB5E03" w:rsidRDefault="004F6E4F" w:rsidP="004F6E4F">
      <w:pPr>
        <w:spacing w:line="360" w:lineRule="auto"/>
        <w:ind w:left="720" w:hanging="720"/>
        <w:jc w:val="both"/>
        <w:rPr>
          <w:rtl/>
        </w:rPr>
      </w:pPr>
      <w:r w:rsidRPr="00CB5E03">
        <w:rPr>
          <w:rFonts w:hint="cs"/>
          <w:rtl/>
        </w:rPr>
        <w:tab/>
        <w:t xml:space="preserve">בתקופה שבין חודש אוגוסט 2007 ועד לחודש מאי 2010, היה הנאשם חבר בגא"פ ופעל במסגרתו. בשנת 2009, נענה הנאשם להצעת גסאן אבו עיאדה (להלן: "אבו עיאדה") - אחראי בזרוע הצבאית, להצטרף לזרוע הצבאית. במהלך שנת 2009, הנאשם השתתף, במשך יומיים, בקורס, יחד עם 15-20 פעילים נוספים, במהלכו התאמן על פירוק והרכבה של כלי נשק מסוג </w:t>
      </w:r>
      <w:r w:rsidRPr="00CB5E03">
        <w:t>RPG</w:t>
      </w:r>
      <w:r w:rsidRPr="00CB5E03">
        <w:rPr>
          <w:rFonts w:hint="cs"/>
          <w:rtl/>
        </w:rPr>
        <w:t xml:space="preserve"> וקלצ'ניקוב, ואף ירה 3 כדורים בנשק הקלצ'ניקוב. במהלך האימון לבשו הפעילים מדים צבאיים והיו רעולי פנים.  </w:t>
      </w:r>
    </w:p>
    <w:p w14:paraId="649CDCE5" w14:textId="77777777" w:rsidR="004F6E4F" w:rsidRPr="00CB5E03" w:rsidRDefault="004F6E4F" w:rsidP="004F6E4F">
      <w:pPr>
        <w:spacing w:line="360" w:lineRule="auto"/>
        <w:ind w:left="720" w:hanging="720"/>
        <w:jc w:val="both"/>
        <w:rPr>
          <w:rtl/>
        </w:rPr>
      </w:pPr>
    </w:p>
    <w:p w14:paraId="70D332AD" w14:textId="77777777" w:rsidR="004F6E4F" w:rsidRPr="00CB5E03" w:rsidRDefault="004F6E4F" w:rsidP="004F6E4F">
      <w:pPr>
        <w:spacing w:line="360" w:lineRule="auto"/>
        <w:ind w:left="720" w:hanging="720"/>
        <w:jc w:val="both"/>
        <w:rPr>
          <w:rtl/>
        </w:rPr>
      </w:pPr>
      <w:r w:rsidRPr="00CB5E03">
        <w:rPr>
          <w:rFonts w:hint="cs"/>
          <w:rtl/>
        </w:rPr>
        <w:tab/>
        <w:t xml:space="preserve">במחצית הראשונה של שנת 2010, נפגשו הנאשם ואבו עיאדה עם אחר, ואבו עיאדה והאחר דיברו ביניהם על ביצוע פיגוע בגבול שבין רצועת עזה לישראל, שיכלול ירי וירי טילים לאזור הגבול וכן חטיפת ישראלי. בהמשך לתכנון זה, אבו עיאדה ביקש מהנאשם להיכנס לתוך תעלת ביוב הנמצאת על הגבול, על מנת לבדוק אם אפשר לעבור דרכה, לצורך ביצוע הפיגוע. בנוסף, עדכן אותו אודות תצפית שבוצעה באזור לצורך אותו עניין. בהמשך, הנאשם ביצע תצפית והודיע על כך לאבו עיאדה. בסופו של דבר תכנון הפיגוע לא מומש. </w:t>
      </w:r>
    </w:p>
    <w:p w14:paraId="714C0FDB" w14:textId="77777777" w:rsidR="004F6E4F" w:rsidRPr="00CB5E03" w:rsidRDefault="004F6E4F" w:rsidP="004F6E4F">
      <w:pPr>
        <w:spacing w:line="360" w:lineRule="auto"/>
        <w:ind w:left="720" w:hanging="720"/>
        <w:jc w:val="both"/>
        <w:rPr>
          <w:rtl/>
        </w:rPr>
      </w:pPr>
    </w:p>
    <w:p w14:paraId="0E092BE3" w14:textId="77777777" w:rsidR="004F6E4F" w:rsidRPr="00CB5E03" w:rsidRDefault="004F6E4F" w:rsidP="004F6E4F">
      <w:pPr>
        <w:spacing w:line="360" w:lineRule="auto"/>
        <w:ind w:left="720" w:hanging="720"/>
        <w:jc w:val="both"/>
        <w:rPr>
          <w:rtl/>
        </w:rPr>
      </w:pPr>
      <w:r w:rsidRPr="00CB5E03">
        <w:rPr>
          <w:rFonts w:hint="cs"/>
          <w:rtl/>
        </w:rPr>
        <w:tab/>
        <w:t>ביום 15.05.10, היום השנתי לציון יום הנכבה, הנאשם הגיע יחד עם פעילי ארגונים נוספים מרצועת עזה לאזור גדר הגבול בסמוך למחסום ארז ויידה מספר אבנים לעבר כוחות צה"ל, ממרחק של כ-  20-40 מטרים. במהלך אותו היום הנאשם נפצע ובשל כך  החליט להפסיק את פעילותו בגא"פ.</w:t>
      </w:r>
      <w:r w:rsidRPr="00CB5E03">
        <w:t xml:space="preserve"> </w:t>
      </w:r>
      <w:r w:rsidRPr="00CB5E03">
        <w:rPr>
          <w:rFonts w:hint="cs"/>
          <w:rtl/>
        </w:rPr>
        <w:t xml:space="preserve"> </w:t>
      </w:r>
    </w:p>
    <w:p w14:paraId="10E56987" w14:textId="77777777" w:rsidR="004F6E4F" w:rsidRPr="00CB5E03" w:rsidRDefault="004F6E4F" w:rsidP="004F6E4F">
      <w:pPr>
        <w:spacing w:line="360" w:lineRule="auto"/>
        <w:ind w:left="720" w:hanging="720"/>
        <w:jc w:val="both"/>
        <w:rPr>
          <w:rtl/>
        </w:rPr>
      </w:pPr>
    </w:p>
    <w:p w14:paraId="4C0E0D26" w14:textId="77777777" w:rsidR="004F6E4F" w:rsidRPr="00CB5E03" w:rsidRDefault="004F6E4F" w:rsidP="004F6E4F">
      <w:pPr>
        <w:spacing w:line="360" w:lineRule="auto"/>
        <w:ind w:left="720" w:hanging="720"/>
        <w:jc w:val="both"/>
        <w:rPr>
          <w:rtl/>
        </w:rPr>
      </w:pPr>
      <w:r w:rsidRPr="00CB5E03">
        <w:rPr>
          <w:rFonts w:hint="cs"/>
          <w:rtl/>
        </w:rPr>
        <w:tab/>
        <w:t xml:space="preserve">בסמוך לחודש מאי 2014, הנאשם נענה בחיוב לפניית פעיל גא"פ שביקש ממנו לחלק מנות מזון ליתומים, בשם הגא"פ, ועשה כן. </w:t>
      </w:r>
    </w:p>
    <w:p w14:paraId="521B51FB" w14:textId="77777777" w:rsidR="004F6E4F" w:rsidRPr="00CB5E03" w:rsidRDefault="004F6E4F" w:rsidP="004F6E4F">
      <w:pPr>
        <w:spacing w:line="360" w:lineRule="auto"/>
        <w:ind w:left="720" w:hanging="720"/>
        <w:jc w:val="both"/>
        <w:rPr>
          <w:rtl/>
        </w:rPr>
      </w:pPr>
    </w:p>
    <w:p w14:paraId="7D24E897" w14:textId="77777777" w:rsidR="004F6E4F" w:rsidRPr="00CB5E03" w:rsidRDefault="004F6E4F" w:rsidP="004F6E4F">
      <w:pPr>
        <w:spacing w:line="360" w:lineRule="auto"/>
        <w:ind w:left="720"/>
        <w:jc w:val="both"/>
        <w:rPr>
          <w:b/>
          <w:bCs/>
          <w:u w:val="single"/>
          <w:rtl/>
        </w:rPr>
      </w:pPr>
      <w:r w:rsidRPr="00CB5E03">
        <w:rPr>
          <w:rFonts w:hint="cs"/>
          <w:b/>
          <w:bCs/>
          <w:u w:val="single"/>
          <w:rtl/>
        </w:rPr>
        <w:t>אישום שני</w:t>
      </w:r>
    </w:p>
    <w:p w14:paraId="0BFBE3F7" w14:textId="77777777" w:rsidR="004F6E4F" w:rsidRPr="00CB5E03" w:rsidRDefault="004F6E4F" w:rsidP="004F6E4F">
      <w:pPr>
        <w:spacing w:line="360" w:lineRule="auto"/>
        <w:ind w:left="720"/>
        <w:jc w:val="both"/>
        <w:rPr>
          <w:rtl/>
        </w:rPr>
      </w:pPr>
      <w:r w:rsidRPr="00CB5E03">
        <w:rPr>
          <w:rFonts w:hint="cs"/>
          <w:rtl/>
        </w:rPr>
        <w:t xml:space="preserve">הנאשם הינו תושב רצועת עזה, ובמועד הרלוונטי לכתב האישום לא החזיק ברשותו אישורי כניסה לישראל. ביום 15.05.17, היום השנתי לציון הנכבה, בשעות הערב, הנאשם הגיע אל גדר הגבול שבין רצועת עזה לישראל, ונכנס לתוך שטח מדינת-ישראל, שלא כדין ולא דרך מעבר גבול, כדי, לדבריו, לראות את אדמתו. כוח צה"ל שהוזעק למקום איתר את הנאשם בשטח ישראל. </w:t>
      </w:r>
    </w:p>
    <w:p w14:paraId="59653EFD" w14:textId="77777777" w:rsidR="004F6E4F" w:rsidRPr="00CB5E03" w:rsidRDefault="004F6E4F" w:rsidP="004F6E4F">
      <w:pPr>
        <w:spacing w:line="360" w:lineRule="auto"/>
        <w:ind w:left="720" w:hanging="720"/>
        <w:jc w:val="both"/>
        <w:rPr>
          <w:rtl/>
        </w:rPr>
      </w:pPr>
    </w:p>
    <w:p w14:paraId="1C2E5BF6" w14:textId="77777777" w:rsidR="004F6E4F" w:rsidRPr="00CB5E03" w:rsidRDefault="004F6E4F" w:rsidP="004F6E4F">
      <w:pPr>
        <w:spacing w:line="360" w:lineRule="auto"/>
        <w:ind w:left="720" w:hanging="720"/>
        <w:jc w:val="both"/>
        <w:rPr>
          <w:rtl/>
        </w:rPr>
      </w:pPr>
      <w:r w:rsidRPr="00CB5E03">
        <w:rPr>
          <w:rFonts w:hint="cs"/>
          <w:rtl/>
        </w:rPr>
        <w:t xml:space="preserve">2. </w:t>
      </w:r>
      <w:r w:rsidRPr="00CB5E03">
        <w:rPr>
          <w:rFonts w:hint="cs"/>
          <w:rtl/>
        </w:rPr>
        <w:tab/>
      </w:r>
      <w:bookmarkStart w:id="5" w:name="ABSTRACT_START"/>
      <w:bookmarkEnd w:id="5"/>
      <w:r w:rsidRPr="00CB5E03">
        <w:rPr>
          <w:rFonts w:hint="cs"/>
          <w:rtl/>
        </w:rPr>
        <w:t xml:space="preserve">על יסוד הודאת הנאשם בעובדות כתב האישום המתוקן, כאמור, הוא הורשע בעבירות של פעילות בהתאחדות בלתי מותרת, לפי </w:t>
      </w:r>
      <w:hyperlink r:id="rId18" w:history="1">
        <w:r w:rsidR="00612D4E" w:rsidRPr="00612D4E">
          <w:rPr>
            <w:color w:val="0000FF"/>
            <w:u w:val="single"/>
            <w:rtl/>
          </w:rPr>
          <w:t>סעיף 85(1)(א)</w:t>
        </w:r>
      </w:hyperlink>
      <w:r w:rsidRPr="00CB5E03">
        <w:rPr>
          <w:rFonts w:hint="cs"/>
          <w:rtl/>
        </w:rPr>
        <w:t xml:space="preserve"> ל</w:t>
      </w:r>
      <w:hyperlink r:id="rId19" w:history="1">
        <w:r w:rsidR="00C13AD3" w:rsidRPr="00C13AD3">
          <w:rPr>
            <w:color w:val="0000FF"/>
            <w:u w:val="single"/>
            <w:rtl/>
          </w:rPr>
          <w:t>תקנות ההגנה (שעת חירום)</w:t>
        </w:r>
      </w:hyperlink>
      <w:r w:rsidRPr="00CB5E03">
        <w:rPr>
          <w:rFonts w:hint="cs"/>
          <w:rtl/>
        </w:rPr>
        <w:t xml:space="preserve">, 1945 (להלן: "תקנות ההגנה")- היום העבירה היא חברות בארגון טרור, לפי </w:t>
      </w:r>
      <w:hyperlink r:id="rId20" w:history="1">
        <w:r w:rsidR="00612D4E" w:rsidRPr="00612D4E">
          <w:rPr>
            <w:color w:val="0000FF"/>
            <w:u w:val="single"/>
            <w:rtl/>
          </w:rPr>
          <w:t>סעיף 22(ב)</w:t>
        </w:r>
      </w:hyperlink>
      <w:r w:rsidRPr="00CB5E03">
        <w:rPr>
          <w:rFonts w:hint="cs"/>
          <w:rtl/>
        </w:rPr>
        <w:t xml:space="preserve"> ל</w:t>
      </w:r>
      <w:hyperlink r:id="rId21" w:history="1">
        <w:r w:rsidR="00C13AD3" w:rsidRPr="00C13AD3">
          <w:rPr>
            <w:color w:val="0000FF"/>
            <w:u w:val="single"/>
            <w:rtl/>
          </w:rPr>
          <w:t>חוק מאבק בטרור התשע"ו-2016</w:t>
        </w:r>
      </w:hyperlink>
      <w:r w:rsidRPr="00CB5E03">
        <w:rPr>
          <w:rFonts w:hint="cs"/>
          <w:rtl/>
        </w:rPr>
        <w:t xml:space="preserve"> (להלן: "חוק המאבק בטרור"); מתן שירות להתאחדות בלתי מותרת, לפי </w:t>
      </w:r>
      <w:hyperlink r:id="rId22" w:history="1">
        <w:r w:rsidR="00612D4E" w:rsidRPr="00612D4E">
          <w:rPr>
            <w:color w:val="0000FF"/>
            <w:u w:val="single"/>
            <w:rtl/>
          </w:rPr>
          <w:t>סעיף 85(1)(ג)</w:t>
        </w:r>
      </w:hyperlink>
      <w:r w:rsidRPr="00CB5E03">
        <w:rPr>
          <w:rFonts w:hint="cs"/>
          <w:rtl/>
        </w:rPr>
        <w:t xml:space="preserve"> לתקנות ההגנה- היום העבירה היא מתן שירות או העמדת אמצעים לארגון טרור, לפי </w:t>
      </w:r>
      <w:hyperlink r:id="rId23" w:history="1">
        <w:r w:rsidR="00612D4E" w:rsidRPr="00612D4E">
          <w:rPr>
            <w:color w:val="0000FF"/>
            <w:u w:val="single"/>
            <w:rtl/>
          </w:rPr>
          <w:t>סעיף 23</w:t>
        </w:r>
      </w:hyperlink>
      <w:r w:rsidRPr="00CB5E03">
        <w:rPr>
          <w:rFonts w:hint="cs"/>
          <w:rtl/>
        </w:rPr>
        <w:t xml:space="preserve"> לחוק המאבק בטרור; אימונים צבאיים אסורים, לפי </w:t>
      </w:r>
      <w:hyperlink r:id="rId24" w:history="1">
        <w:r w:rsidR="00612D4E" w:rsidRPr="00612D4E">
          <w:rPr>
            <w:color w:val="0000FF"/>
            <w:u w:val="single"/>
            <w:rtl/>
          </w:rPr>
          <w:t>סעיף 143(ב)</w:t>
        </w:r>
      </w:hyperlink>
      <w:r w:rsidRPr="00CB5E03">
        <w:rPr>
          <w:rFonts w:hint="cs"/>
          <w:rtl/>
        </w:rPr>
        <w:t xml:space="preserve"> ל</w:t>
      </w:r>
      <w:hyperlink r:id="rId25" w:history="1">
        <w:r w:rsidR="00C13AD3" w:rsidRPr="00C13AD3">
          <w:rPr>
            <w:color w:val="0000FF"/>
            <w:u w:val="single"/>
            <w:rtl/>
          </w:rPr>
          <w:t>חוק העונשין</w:t>
        </w:r>
      </w:hyperlink>
      <w:r w:rsidRPr="00CB5E03">
        <w:rPr>
          <w:rFonts w:hint="cs"/>
          <w:rtl/>
        </w:rPr>
        <w:t xml:space="preserve"> תשל"ז-1977 (להלן: "חוק העונשין"); החזקה ונשיאת נשק, לפי סעיף </w:t>
      </w:r>
      <w:hyperlink r:id="rId26" w:history="1">
        <w:r w:rsidR="00612D4E" w:rsidRPr="00612D4E">
          <w:rPr>
            <w:color w:val="0000FF"/>
            <w:u w:val="single"/>
            <w:rtl/>
          </w:rPr>
          <w:t>144(א) ו- (ב)</w:t>
        </w:r>
      </w:hyperlink>
      <w:r w:rsidRPr="00CB5E03">
        <w:rPr>
          <w:rFonts w:hint="cs"/>
          <w:rtl/>
        </w:rPr>
        <w:t xml:space="preserve"> רישא לחוק העונשין; והסתננות, לפי </w:t>
      </w:r>
      <w:hyperlink r:id="rId27" w:history="1">
        <w:r w:rsidR="00612D4E" w:rsidRPr="00612D4E">
          <w:rPr>
            <w:color w:val="0000FF"/>
            <w:u w:val="single"/>
            <w:rtl/>
          </w:rPr>
          <w:t>סעיף 2</w:t>
        </w:r>
      </w:hyperlink>
      <w:r w:rsidRPr="00CB5E03">
        <w:rPr>
          <w:rFonts w:hint="cs"/>
          <w:rtl/>
        </w:rPr>
        <w:t xml:space="preserve"> ל</w:t>
      </w:r>
      <w:hyperlink r:id="rId28" w:history="1">
        <w:r w:rsidR="00C13AD3" w:rsidRPr="00C13AD3">
          <w:rPr>
            <w:color w:val="0000FF"/>
            <w:u w:val="single"/>
            <w:rtl/>
          </w:rPr>
          <w:t>חוק למניעת הסתננות (עבירות ושיפוט)</w:t>
        </w:r>
      </w:hyperlink>
      <w:r w:rsidRPr="00CB5E03">
        <w:rPr>
          <w:rFonts w:hint="cs"/>
          <w:rtl/>
        </w:rPr>
        <w:t xml:space="preserve"> תשי"ד-1954.</w:t>
      </w:r>
    </w:p>
    <w:p w14:paraId="398A9CFF" w14:textId="77777777" w:rsidR="004F6E4F" w:rsidRPr="00CB5E03" w:rsidRDefault="004F6E4F" w:rsidP="004F6E4F">
      <w:pPr>
        <w:spacing w:line="360" w:lineRule="auto"/>
        <w:ind w:left="720" w:hanging="720"/>
        <w:jc w:val="both"/>
        <w:rPr>
          <w:rtl/>
        </w:rPr>
      </w:pPr>
      <w:bookmarkStart w:id="6" w:name="ABSTRACT_END"/>
      <w:bookmarkEnd w:id="6"/>
    </w:p>
    <w:p w14:paraId="15B5B80F" w14:textId="77777777" w:rsidR="004F6E4F" w:rsidRPr="00CB5E03" w:rsidRDefault="004F6E4F" w:rsidP="004F6E4F">
      <w:pPr>
        <w:spacing w:line="360" w:lineRule="auto"/>
        <w:ind w:left="720" w:hanging="720"/>
        <w:jc w:val="both"/>
        <w:rPr>
          <w:rtl/>
        </w:rPr>
      </w:pPr>
      <w:r w:rsidRPr="00CB5E03">
        <w:rPr>
          <w:rFonts w:hint="cs"/>
          <w:rtl/>
        </w:rPr>
        <w:lastRenderedPageBreak/>
        <w:t>3.</w:t>
      </w:r>
      <w:r w:rsidRPr="00CB5E03">
        <w:rPr>
          <w:rFonts w:hint="cs"/>
          <w:rtl/>
        </w:rPr>
        <w:tab/>
        <w:t>תחילה, הסדר הטיעון לא כלל הסכמה עונשית. בישיבת הטיעונים לעונש הודיעו הצדדים כי הגיעו להסכמה להמליץ במשותף לבית-המשפט להטיל על הנאשם 24 חודשי מאסר בפועל ומאסר על תנאי.</w:t>
      </w:r>
    </w:p>
    <w:p w14:paraId="7762CD9F" w14:textId="77777777" w:rsidR="004F6E4F" w:rsidRPr="00CB5E03" w:rsidRDefault="004F6E4F" w:rsidP="004F6E4F">
      <w:pPr>
        <w:spacing w:line="360" w:lineRule="auto"/>
        <w:ind w:left="720" w:hanging="720"/>
        <w:jc w:val="both"/>
        <w:rPr>
          <w:rtl/>
        </w:rPr>
      </w:pPr>
    </w:p>
    <w:p w14:paraId="2477331E" w14:textId="77777777" w:rsidR="004F6E4F" w:rsidRPr="00CB5E03" w:rsidRDefault="004F6E4F" w:rsidP="004F6E4F">
      <w:pPr>
        <w:spacing w:line="360" w:lineRule="auto"/>
        <w:ind w:left="720" w:hanging="720"/>
        <w:jc w:val="both"/>
        <w:rPr>
          <w:rtl/>
        </w:rPr>
      </w:pPr>
      <w:r w:rsidRPr="00CB5E03">
        <w:rPr>
          <w:rFonts w:hint="cs"/>
          <w:rtl/>
        </w:rPr>
        <w:t>4.</w:t>
      </w:r>
      <w:r w:rsidRPr="00CB5E03">
        <w:rPr>
          <w:rFonts w:hint="cs"/>
          <w:rtl/>
        </w:rPr>
        <w:tab/>
        <w:t xml:space="preserve">התביעה ציינה, כי הנאשם נעדר עבר פלילי; הודה במיוחס לו וחסך זמן שיפוטי ואת הצורך להעיד אנשי שב"כ; טענה כי העונש המוצע הוא העונש המקובל לעבירות שביצע הנאשם. ועתרה לקבל את הסדר הטיעון.  </w:t>
      </w:r>
    </w:p>
    <w:p w14:paraId="0BF0BE2C" w14:textId="77777777" w:rsidR="004F6E4F" w:rsidRPr="00CB5E03" w:rsidRDefault="004F6E4F" w:rsidP="004F6E4F">
      <w:pPr>
        <w:spacing w:line="360" w:lineRule="auto"/>
        <w:ind w:left="720"/>
        <w:jc w:val="both"/>
        <w:rPr>
          <w:rtl/>
        </w:rPr>
      </w:pPr>
    </w:p>
    <w:p w14:paraId="2DBC6145" w14:textId="77777777" w:rsidR="004F6E4F" w:rsidRPr="00CB5E03" w:rsidRDefault="004F6E4F" w:rsidP="004F6E4F">
      <w:pPr>
        <w:spacing w:line="360" w:lineRule="auto"/>
        <w:ind w:left="720"/>
        <w:jc w:val="both"/>
        <w:rPr>
          <w:rtl/>
        </w:rPr>
      </w:pPr>
      <w:r w:rsidRPr="00CB5E03">
        <w:rPr>
          <w:rFonts w:hint="cs"/>
          <w:rtl/>
        </w:rPr>
        <w:t xml:space="preserve">ב"כ הנאשם הצטרף לדברי ב"כ התביעה. טען, כי העבירות בהן הורשע הנאשם ישנות יחסית והן לא התאפיינו בסיכון חיי אדם, וציין כי ההסדר התגבש לאחר גישור. </w:t>
      </w:r>
    </w:p>
    <w:p w14:paraId="2EEC7241" w14:textId="77777777" w:rsidR="004F6E4F" w:rsidRPr="00CB5E03" w:rsidRDefault="004F6E4F" w:rsidP="004F6E4F">
      <w:pPr>
        <w:spacing w:line="360" w:lineRule="auto"/>
        <w:ind w:left="720" w:hanging="720"/>
        <w:jc w:val="both"/>
        <w:rPr>
          <w:rtl/>
        </w:rPr>
      </w:pPr>
    </w:p>
    <w:p w14:paraId="3FE7E774" w14:textId="77777777" w:rsidR="004F6E4F" w:rsidRPr="00CB5E03" w:rsidRDefault="004F6E4F" w:rsidP="004F6E4F">
      <w:pPr>
        <w:spacing w:line="360" w:lineRule="auto"/>
        <w:ind w:left="720" w:hanging="720"/>
        <w:jc w:val="both"/>
        <w:rPr>
          <w:rFonts w:ascii="FrankRuehl" w:hAnsi="FrankRuehl"/>
          <w:color w:val="000000"/>
          <w:rtl/>
          <w:lang w:eastAsia="he-IL"/>
        </w:rPr>
      </w:pPr>
      <w:r w:rsidRPr="00CB5E03">
        <w:rPr>
          <w:rFonts w:hint="cs"/>
          <w:rtl/>
        </w:rPr>
        <w:t>5.</w:t>
      </w:r>
      <w:r w:rsidRPr="00CB5E03">
        <w:rPr>
          <w:rFonts w:hint="cs"/>
          <w:rtl/>
        </w:rPr>
        <w:tab/>
      </w:r>
      <w:r w:rsidRPr="00CB5E03">
        <w:rPr>
          <w:rFonts w:ascii="FrankRuehl" w:hAnsi="FrankRuehl" w:hint="cs"/>
          <w:color w:val="000000"/>
          <w:rtl/>
          <w:lang w:eastAsia="he-IL"/>
        </w:rPr>
        <w:t>בהתחשב במעשי הנאשם, בעבירות בהן הורשע, במועד ביצוע העבירות, במקום ביצוע העבירות, בעובדה שהוא תושב רצועת עזה ולא תושב ישראל החב לה נאמנות, בהודאת הנאשם, בענישה הנוהגת, בעובדה כי אין לחובת הנאשם הרשעות קודמות, ובקושי המיוחד של תושב זר לשאת מאסר בישראל, הרי שהעונש המוצע על ידי הצדדים סביר.</w:t>
      </w:r>
    </w:p>
    <w:p w14:paraId="3EA71DB0" w14:textId="77777777" w:rsidR="004F6E4F" w:rsidRPr="00CB5E03" w:rsidRDefault="004F6E4F" w:rsidP="004F6E4F">
      <w:pPr>
        <w:spacing w:line="360" w:lineRule="auto"/>
        <w:ind w:left="720" w:hanging="720"/>
        <w:jc w:val="both"/>
        <w:rPr>
          <w:rFonts w:ascii="FrankRuehl" w:hAnsi="FrankRuehl"/>
          <w:color w:val="000000"/>
          <w:rtl/>
          <w:lang w:eastAsia="he-IL"/>
        </w:rPr>
      </w:pPr>
    </w:p>
    <w:p w14:paraId="2C2ACCE5" w14:textId="77777777" w:rsidR="004F6E4F" w:rsidRPr="00CB5E03" w:rsidRDefault="004F6E4F" w:rsidP="004F6E4F">
      <w:pPr>
        <w:spacing w:line="360" w:lineRule="auto"/>
        <w:ind w:left="720" w:hanging="720"/>
        <w:jc w:val="both"/>
        <w:rPr>
          <w:rFonts w:ascii="FrankRuehl" w:hAnsi="FrankRuehl"/>
          <w:color w:val="000000"/>
          <w:rtl/>
          <w:lang w:eastAsia="he-IL"/>
        </w:rPr>
      </w:pPr>
      <w:r w:rsidRPr="00CB5E03">
        <w:rPr>
          <w:rFonts w:ascii="FrankRuehl" w:hAnsi="FrankRuehl" w:hint="cs"/>
          <w:color w:val="000000"/>
          <w:rtl/>
          <w:lang w:eastAsia="he-IL"/>
        </w:rPr>
        <w:t>6.</w:t>
      </w:r>
      <w:r w:rsidRPr="00CB5E03">
        <w:rPr>
          <w:rFonts w:ascii="FrankRuehl" w:hAnsi="FrankRuehl" w:hint="cs"/>
          <w:color w:val="000000"/>
          <w:rtl/>
          <w:lang w:eastAsia="he-IL"/>
        </w:rPr>
        <w:tab/>
        <w:t xml:space="preserve">נוכח האמור, אני מקבל את המלצת הצדדים וגוזר על הנאשם את העונשים הבאים- </w:t>
      </w:r>
    </w:p>
    <w:p w14:paraId="01032C83" w14:textId="77777777" w:rsidR="004F6E4F" w:rsidRPr="00CB5E03" w:rsidRDefault="004F6E4F" w:rsidP="004F6E4F">
      <w:pPr>
        <w:spacing w:line="360" w:lineRule="auto"/>
        <w:ind w:left="720"/>
        <w:jc w:val="both"/>
        <w:rPr>
          <w:rFonts w:ascii="FrankRuehl" w:hAnsi="FrankRuehl"/>
          <w:color w:val="000000"/>
          <w:rtl/>
          <w:lang w:eastAsia="he-IL"/>
        </w:rPr>
      </w:pPr>
      <w:r w:rsidRPr="00CB5E03">
        <w:rPr>
          <w:rFonts w:ascii="FrankRuehl" w:hAnsi="FrankRuehl" w:hint="cs"/>
          <w:color w:val="000000"/>
          <w:rtl/>
          <w:lang w:eastAsia="he-IL"/>
        </w:rPr>
        <w:t>א.</w:t>
      </w:r>
      <w:r w:rsidRPr="00CB5E03">
        <w:rPr>
          <w:rFonts w:ascii="FrankRuehl" w:hAnsi="FrankRuehl" w:hint="cs"/>
          <w:color w:val="000000"/>
          <w:rtl/>
          <w:lang w:eastAsia="he-IL"/>
        </w:rPr>
        <w:tab/>
        <w:t>24 חודשי מאסר בפועל, מיום מעצרו.</w:t>
      </w:r>
    </w:p>
    <w:p w14:paraId="71CF3D5B" w14:textId="77777777" w:rsidR="004F6E4F" w:rsidRPr="00CB5E03" w:rsidRDefault="004F6E4F" w:rsidP="004F6E4F">
      <w:pPr>
        <w:spacing w:line="360" w:lineRule="auto"/>
        <w:ind w:left="1440" w:hanging="720"/>
        <w:jc w:val="both"/>
        <w:rPr>
          <w:rFonts w:ascii="FrankRuehl" w:hAnsi="FrankRuehl"/>
          <w:color w:val="000000"/>
          <w:rtl/>
          <w:lang w:eastAsia="he-IL"/>
        </w:rPr>
      </w:pPr>
      <w:r w:rsidRPr="00CB5E03">
        <w:rPr>
          <w:rFonts w:ascii="FrankRuehl" w:hAnsi="FrankRuehl" w:hint="cs"/>
          <w:color w:val="000000"/>
          <w:rtl/>
          <w:lang w:eastAsia="he-IL"/>
        </w:rPr>
        <w:t>ב.</w:t>
      </w:r>
      <w:r w:rsidRPr="00CB5E03">
        <w:rPr>
          <w:rFonts w:ascii="FrankRuehl" w:hAnsi="FrankRuehl" w:hint="cs"/>
          <w:color w:val="000000"/>
          <w:rtl/>
          <w:lang w:eastAsia="he-IL"/>
        </w:rPr>
        <w:tab/>
        <w:t xml:space="preserve">12 חודשי מאסר על תנאי למשך שלוש שנים מיום שחרורו מהמאסר, שלא יעבור עבירת נשק או עבירת פשע נגד בטחון המדינה. </w:t>
      </w:r>
    </w:p>
    <w:p w14:paraId="3671CCDD" w14:textId="77777777" w:rsidR="004F6E4F" w:rsidRPr="00CB5E03" w:rsidRDefault="004F6E4F" w:rsidP="004F6E4F">
      <w:pPr>
        <w:spacing w:line="360" w:lineRule="auto"/>
        <w:ind w:left="720" w:hanging="720"/>
        <w:jc w:val="both"/>
        <w:rPr>
          <w:rFonts w:ascii="FrankRuehl" w:hAnsi="FrankRuehl"/>
          <w:color w:val="000000"/>
          <w:rtl/>
          <w:lang w:eastAsia="he-IL"/>
        </w:rPr>
      </w:pPr>
    </w:p>
    <w:p w14:paraId="46CD0297" w14:textId="77777777" w:rsidR="004F6E4F" w:rsidRPr="00CB5E03" w:rsidRDefault="004F6E4F" w:rsidP="004F6E4F">
      <w:pPr>
        <w:spacing w:line="360" w:lineRule="auto"/>
        <w:ind w:left="720" w:hanging="720"/>
        <w:jc w:val="both"/>
        <w:rPr>
          <w:rFonts w:ascii="FrankRuehl" w:hAnsi="FrankRuehl"/>
          <w:color w:val="000000"/>
          <w:rtl/>
          <w:lang w:eastAsia="he-IL"/>
        </w:rPr>
      </w:pPr>
      <w:r w:rsidRPr="00CB5E03">
        <w:rPr>
          <w:rFonts w:ascii="FrankRuehl" w:hAnsi="FrankRuehl" w:hint="cs"/>
          <w:color w:val="000000"/>
          <w:rtl/>
          <w:lang w:eastAsia="he-IL"/>
        </w:rPr>
        <w:t>זכות ערעור בתוך 45 יום.</w:t>
      </w:r>
    </w:p>
    <w:p w14:paraId="41E93F8F" w14:textId="77777777" w:rsidR="004F6E4F" w:rsidRPr="00CB5E03" w:rsidRDefault="004F6E4F" w:rsidP="004F6E4F">
      <w:pPr>
        <w:spacing w:line="360" w:lineRule="auto"/>
        <w:jc w:val="both"/>
        <w:rPr>
          <w:rtl/>
        </w:rPr>
      </w:pPr>
    </w:p>
    <w:p w14:paraId="2C382F96" w14:textId="77777777" w:rsidR="004F6E4F" w:rsidRPr="00CB5E03" w:rsidRDefault="004F6E4F" w:rsidP="004F6E4F">
      <w:pPr>
        <w:spacing w:line="360" w:lineRule="auto"/>
        <w:jc w:val="both"/>
        <w:rPr>
          <w:rtl/>
        </w:rPr>
      </w:pPr>
    </w:p>
    <w:p w14:paraId="028650C8" w14:textId="77777777" w:rsidR="004F6E4F" w:rsidRPr="00C13AD3" w:rsidRDefault="00C13AD3" w:rsidP="004F6E4F">
      <w:pPr>
        <w:spacing w:line="360" w:lineRule="auto"/>
        <w:jc w:val="both"/>
        <w:rPr>
          <w:color w:val="FFFFFF"/>
          <w:sz w:val="2"/>
          <w:szCs w:val="2"/>
          <w:rtl/>
        </w:rPr>
      </w:pPr>
      <w:r w:rsidRPr="00C13AD3">
        <w:rPr>
          <w:color w:val="FFFFFF"/>
          <w:sz w:val="2"/>
          <w:szCs w:val="2"/>
          <w:rtl/>
        </w:rPr>
        <w:t>5129371</w:t>
      </w:r>
    </w:p>
    <w:p w14:paraId="75D5C07A" w14:textId="77777777" w:rsidR="004F6E4F" w:rsidRPr="00C13AD3" w:rsidRDefault="00C13AD3" w:rsidP="004F6E4F">
      <w:pPr>
        <w:spacing w:line="360" w:lineRule="auto"/>
        <w:jc w:val="both"/>
        <w:rPr>
          <w:color w:val="FFFFFF"/>
          <w:sz w:val="2"/>
          <w:szCs w:val="2"/>
          <w:rtl/>
        </w:rPr>
      </w:pPr>
      <w:r w:rsidRPr="00C13AD3">
        <w:rPr>
          <w:color w:val="FFFFFF"/>
          <w:sz w:val="2"/>
          <w:szCs w:val="2"/>
          <w:rtl/>
        </w:rPr>
        <w:t>54678313</w:t>
      </w:r>
    </w:p>
    <w:p w14:paraId="2445EE87" w14:textId="77777777" w:rsidR="004F6E4F" w:rsidRPr="00CB5E03" w:rsidRDefault="004F6E4F" w:rsidP="004F6E4F">
      <w:pPr>
        <w:spacing w:line="360" w:lineRule="auto"/>
        <w:jc w:val="both"/>
        <w:rPr>
          <w:rtl/>
        </w:rPr>
      </w:pPr>
    </w:p>
    <w:p w14:paraId="29DC724F" w14:textId="77777777" w:rsidR="004F6E4F" w:rsidRPr="00CB5E03" w:rsidRDefault="00C13AD3" w:rsidP="004F6E4F">
      <w:pPr>
        <w:spacing w:line="360" w:lineRule="auto"/>
        <w:jc w:val="both"/>
        <w:rPr>
          <w:rtl/>
        </w:rPr>
      </w:pPr>
      <w:r>
        <w:rPr>
          <w:rFonts w:ascii="Arial" w:hAnsi="Arial"/>
          <w:rtl/>
        </w:rPr>
        <w:t xml:space="preserve">ניתן היום,  י"ט תמוז תשע"ח, 02 יולי 2018, במעמד הצדדים. </w:t>
      </w:r>
    </w:p>
    <w:p w14:paraId="0919FC32" w14:textId="77777777" w:rsidR="004F6E4F" w:rsidRPr="00CB5E03" w:rsidRDefault="004F6E4F" w:rsidP="004F6E4F">
      <w:pPr>
        <w:spacing w:line="360" w:lineRule="auto"/>
        <w:jc w:val="both"/>
      </w:pPr>
      <w:r w:rsidRPr="00CB5E03">
        <w:rPr>
          <w:rFonts w:hint="cs"/>
          <w:rtl/>
        </w:rPr>
        <w:t xml:space="preserve">   </w:t>
      </w:r>
      <w:r w:rsidRPr="00CB5E03">
        <w:rPr>
          <w:rFonts w:hint="cs"/>
          <w:rtl/>
        </w:rPr>
        <w:tab/>
      </w:r>
      <w:r w:rsidRPr="00CB5E03">
        <w:rPr>
          <w:rFonts w:hint="cs"/>
          <w:rtl/>
        </w:rPr>
        <w:tab/>
      </w:r>
      <w:r w:rsidRPr="00CB5E03">
        <w:rPr>
          <w:rFonts w:hint="cs"/>
          <w:rtl/>
        </w:rPr>
        <w:tab/>
      </w:r>
      <w:r w:rsidRPr="00CB5E03">
        <w:rPr>
          <w:rFonts w:hint="cs"/>
          <w:rtl/>
        </w:rPr>
        <w:tab/>
      </w:r>
      <w:r w:rsidRPr="00CB5E03">
        <w:rPr>
          <w:rFonts w:hint="cs"/>
          <w:rtl/>
        </w:rPr>
        <w:tab/>
      </w:r>
      <w:r>
        <w:rPr>
          <w:rtl/>
        </w:rPr>
        <w:t xml:space="preserve">     </w:t>
      </w:r>
    </w:p>
    <w:p w14:paraId="44ECC62F" w14:textId="77777777" w:rsidR="004F6E4F" w:rsidRPr="00CB5E03" w:rsidRDefault="004F6E4F" w:rsidP="004F6E4F">
      <w:pPr>
        <w:spacing w:line="360" w:lineRule="auto"/>
        <w:jc w:val="both"/>
        <w:rPr>
          <w:rFonts w:ascii="Arial" w:hAnsi="Arial"/>
          <w:rtl/>
        </w:rPr>
      </w:pPr>
    </w:p>
    <w:p w14:paraId="4A7BBF82" w14:textId="77777777" w:rsidR="006F4D31" w:rsidRPr="00C13AD3" w:rsidRDefault="006F4D31" w:rsidP="00C13AD3">
      <w:pPr>
        <w:keepNext/>
        <w:rPr>
          <w:rFonts w:ascii="David" w:hAnsi="David"/>
          <w:color w:val="000000"/>
          <w:sz w:val="22"/>
          <w:szCs w:val="22"/>
          <w:rtl/>
        </w:rPr>
      </w:pPr>
    </w:p>
    <w:p w14:paraId="086EAE2E" w14:textId="77777777" w:rsidR="00C13AD3" w:rsidRPr="00C13AD3" w:rsidRDefault="00C13AD3" w:rsidP="00C13AD3">
      <w:pPr>
        <w:keepNext/>
        <w:rPr>
          <w:rFonts w:ascii="David" w:hAnsi="David"/>
          <w:color w:val="000000"/>
          <w:sz w:val="22"/>
          <w:szCs w:val="22"/>
          <w:rtl/>
        </w:rPr>
      </w:pPr>
      <w:r w:rsidRPr="00C13AD3">
        <w:rPr>
          <w:rFonts w:ascii="David" w:hAnsi="David"/>
          <w:color w:val="000000"/>
          <w:sz w:val="22"/>
          <w:szCs w:val="22"/>
          <w:rtl/>
        </w:rPr>
        <w:t>אליהו ביתן 54678313</w:t>
      </w:r>
    </w:p>
    <w:p w14:paraId="191CC6EC" w14:textId="77777777" w:rsidR="00C13AD3" w:rsidRDefault="00C13AD3" w:rsidP="00C13AD3">
      <w:r w:rsidRPr="00C13AD3">
        <w:rPr>
          <w:color w:val="000000"/>
          <w:rtl/>
        </w:rPr>
        <w:t>נוסח מסמך זה כפוף לשינויי ניסוח ועריכה</w:t>
      </w:r>
    </w:p>
    <w:p w14:paraId="000805A8" w14:textId="77777777" w:rsidR="00C13AD3" w:rsidRDefault="00C13AD3" w:rsidP="00C13AD3">
      <w:pPr>
        <w:rPr>
          <w:rtl/>
        </w:rPr>
      </w:pPr>
    </w:p>
    <w:p w14:paraId="4ECDC12B" w14:textId="77777777" w:rsidR="00C13AD3" w:rsidRDefault="00C13AD3" w:rsidP="00C13AD3">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6785EDF" w14:textId="77777777" w:rsidR="00C13AD3" w:rsidRPr="00C13AD3" w:rsidRDefault="00C13AD3" w:rsidP="00C13AD3">
      <w:pPr>
        <w:jc w:val="center"/>
        <w:rPr>
          <w:color w:val="0000FF"/>
          <w:u w:val="single"/>
        </w:rPr>
      </w:pPr>
    </w:p>
    <w:sectPr w:rsidR="00C13AD3" w:rsidRPr="00C13AD3" w:rsidSect="00C13AD3">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698F9" w14:textId="77777777" w:rsidR="009A1DEB" w:rsidRDefault="009A1DEB" w:rsidP="003B39D5">
      <w:r>
        <w:separator/>
      </w:r>
    </w:p>
  </w:endnote>
  <w:endnote w:type="continuationSeparator" w:id="0">
    <w:p w14:paraId="21A01C06" w14:textId="77777777" w:rsidR="009A1DEB" w:rsidRDefault="009A1DEB" w:rsidP="003B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54559" w14:textId="77777777" w:rsidR="00C13AD3" w:rsidRDefault="00C13AD3" w:rsidP="00C13A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78C2346E" w14:textId="77777777" w:rsidR="005B0786" w:rsidRPr="00C13AD3" w:rsidRDefault="00C13AD3" w:rsidP="00C13A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8E302" w14:textId="77777777" w:rsidR="00C13AD3" w:rsidRDefault="00C13AD3" w:rsidP="00C13A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0DF5">
      <w:rPr>
        <w:rFonts w:ascii="FrankRuehl" w:hAnsi="FrankRuehl" w:cs="FrankRuehl"/>
        <w:noProof/>
        <w:rtl/>
      </w:rPr>
      <w:t>1</w:t>
    </w:r>
    <w:r>
      <w:rPr>
        <w:rFonts w:ascii="FrankRuehl" w:hAnsi="FrankRuehl" w:cs="FrankRuehl"/>
        <w:rtl/>
      </w:rPr>
      <w:fldChar w:fldCharType="end"/>
    </w:r>
  </w:p>
  <w:p w14:paraId="0B799EFE" w14:textId="77777777" w:rsidR="005B0786" w:rsidRPr="00C13AD3" w:rsidRDefault="00C13AD3" w:rsidP="00C13A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D38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DE5FB" w14:textId="77777777" w:rsidR="009A1DEB" w:rsidRDefault="009A1DEB" w:rsidP="003B39D5">
      <w:r>
        <w:separator/>
      </w:r>
    </w:p>
  </w:footnote>
  <w:footnote w:type="continuationSeparator" w:id="0">
    <w:p w14:paraId="7C3E66B4" w14:textId="77777777" w:rsidR="009A1DEB" w:rsidRDefault="009A1DEB" w:rsidP="003B3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EF11F" w14:textId="77777777" w:rsidR="00C13AD3" w:rsidRPr="00C13AD3" w:rsidRDefault="00C13AD3" w:rsidP="00C13A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20613-06-17</w:t>
    </w:r>
    <w:r>
      <w:rPr>
        <w:rFonts w:ascii="David" w:hAnsi="David"/>
        <w:color w:val="000000"/>
        <w:sz w:val="22"/>
        <w:szCs w:val="22"/>
        <w:rtl/>
      </w:rPr>
      <w:tab/>
      <w:t xml:space="preserve"> מדינת ישראל נ' עבד אלכרים עגלה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7E5CD" w14:textId="77777777" w:rsidR="00C13AD3" w:rsidRPr="00C13AD3" w:rsidRDefault="00C13AD3" w:rsidP="00C13A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20613-06-17</w:t>
    </w:r>
    <w:r>
      <w:rPr>
        <w:rFonts w:ascii="David" w:hAnsi="David"/>
        <w:color w:val="000000"/>
        <w:sz w:val="22"/>
        <w:szCs w:val="22"/>
        <w:rtl/>
      </w:rPr>
      <w:tab/>
      <w:t xml:space="preserve"> מדינת ישראל נ' עבד אלכרים עגלה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6E4F"/>
    <w:rsid w:val="001A0990"/>
    <w:rsid w:val="003B39D5"/>
    <w:rsid w:val="004F6E4F"/>
    <w:rsid w:val="005B0786"/>
    <w:rsid w:val="00612D4E"/>
    <w:rsid w:val="006F4D31"/>
    <w:rsid w:val="009A1DEB"/>
    <w:rsid w:val="009D0DF5"/>
    <w:rsid w:val="00C13AD3"/>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CE479E"/>
  <w15:chartTrackingRefBased/>
  <w15:docId w15:val="{F6A3E64C-4CDE-4FAF-8F93-25DD8BF7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6E4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6E4F"/>
    <w:pPr>
      <w:tabs>
        <w:tab w:val="center" w:pos="4153"/>
        <w:tab w:val="right" w:pos="8306"/>
      </w:tabs>
    </w:pPr>
  </w:style>
  <w:style w:type="character" w:customStyle="1" w:styleId="a4">
    <w:name w:val="כותרת עליונה תו"/>
    <w:link w:val="a3"/>
    <w:rsid w:val="004F6E4F"/>
    <w:rPr>
      <w:rFonts w:ascii="Times New Roman" w:eastAsia="Times New Roman" w:hAnsi="Times New Roman" w:cs="David"/>
      <w:sz w:val="24"/>
      <w:szCs w:val="24"/>
    </w:rPr>
  </w:style>
  <w:style w:type="paragraph" w:styleId="a5">
    <w:name w:val="footer"/>
    <w:basedOn w:val="a"/>
    <w:link w:val="a6"/>
    <w:rsid w:val="004F6E4F"/>
    <w:pPr>
      <w:tabs>
        <w:tab w:val="center" w:pos="4153"/>
        <w:tab w:val="right" w:pos="8306"/>
      </w:tabs>
    </w:pPr>
  </w:style>
  <w:style w:type="character" w:customStyle="1" w:styleId="a6">
    <w:name w:val="כותרת תחתונה תו"/>
    <w:link w:val="a5"/>
    <w:rsid w:val="004F6E4F"/>
    <w:rPr>
      <w:rFonts w:ascii="Times New Roman" w:eastAsia="Times New Roman" w:hAnsi="Times New Roman" w:cs="David"/>
      <w:sz w:val="24"/>
      <w:szCs w:val="24"/>
    </w:rPr>
  </w:style>
  <w:style w:type="table" w:styleId="a7">
    <w:name w:val="Table Grid"/>
    <w:basedOn w:val="a1"/>
    <w:rsid w:val="004F6E4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F6E4F"/>
  </w:style>
  <w:style w:type="character" w:styleId="Hyperlink">
    <w:name w:val="Hyperlink"/>
    <w:rsid w:val="00C13A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3.b" TargetMode="External"/><Relationship Id="rId18" Type="http://schemas.openxmlformats.org/officeDocument/2006/relationships/hyperlink" Target="http://www.nevo.co.il/law/73729/85.1.a" TargetMode="External"/><Relationship Id="rId26" Type="http://schemas.openxmlformats.org/officeDocument/2006/relationships/hyperlink" Target="http://www.nevo.co.il/law/70301/144.a.;144.b" TargetMode="External"/><Relationship Id="rId3" Type="http://schemas.openxmlformats.org/officeDocument/2006/relationships/webSettings" Target="webSettings.xml"/><Relationship Id="rId21" Type="http://schemas.openxmlformats.org/officeDocument/2006/relationships/hyperlink" Target="http://www.nevo.co.il/law/141771" TargetMode="External"/><Relationship Id="rId34" Type="http://schemas.openxmlformats.org/officeDocument/2006/relationships/fontTable" Target="fontTable.xml"/><Relationship Id="rId7" Type="http://schemas.openxmlformats.org/officeDocument/2006/relationships/hyperlink" Target="http://www.nevo.co.il/law/73729/85.1.a"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2510/2"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2510" TargetMode="External"/><Relationship Id="rId20" Type="http://schemas.openxmlformats.org/officeDocument/2006/relationships/hyperlink" Target="http://www.nevo.co.il/law/141771/22.b"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3729" TargetMode="External"/><Relationship Id="rId11" Type="http://schemas.openxmlformats.org/officeDocument/2006/relationships/hyperlink" Target="http://www.nevo.co.il/law/141771/23" TargetMode="External"/><Relationship Id="rId24" Type="http://schemas.openxmlformats.org/officeDocument/2006/relationships/hyperlink" Target="http://www.nevo.co.il/law/70301/143.b"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141771/23" TargetMode="External"/><Relationship Id="rId28" Type="http://schemas.openxmlformats.org/officeDocument/2006/relationships/hyperlink" Target="http://www.nevo.co.il/law/72510" TargetMode="External"/><Relationship Id="rId10" Type="http://schemas.openxmlformats.org/officeDocument/2006/relationships/hyperlink" Target="http://www.nevo.co.il/law/141771/22.b" TargetMode="External"/><Relationship Id="rId19" Type="http://schemas.openxmlformats.org/officeDocument/2006/relationships/hyperlink" Target="http://www.nevo.co.il/law/73729"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14177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3729/85.1.c" TargetMode="External"/><Relationship Id="rId27" Type="http://schemas.openxmlformats.org/officeDocument/2006/relationships/hyperlink" Target="http://www.nevo.co.il/law/72510/2"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3729/85.1.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941</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5639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7929954</vt:i4>
      </vt:variant>
      <vt:variant>
        <vt:i4>66</vt:i4>
      </vt:variant>
      <vt:variant>
        <vt:i4>0</vt:i4>
      </vt:variant>
      <vt:variant>
        <vt:i4>5</vt:i4>
      </vt:variant>
      <vt:variant>
        <vt:lpwstr>http://www.nevo.co.il/law/72510</vt:lpwstr>
      </vt:variant>
      <vt:variant>
        <vt:lpwstr/>
      </vt:variant>
      <vt:variant>
        <vt:i4>5636178</vt:i4>
      </vt:variant>
      <vt:variant>
        <vt:i4>63</vt:i4>
      </vt:variant>
      <vt:variant>
        <vt:i4>0</vt:i4>
      </vt:variant>
      <vt:variant>
        <vt:i4>5</vt:i4>
      </vt:variant>
      <vt:variant>
        <vt:lpwstr>http://www.nevo.co.il/law/72510/2</vt:lpwstr>
      </vt:variant>
      <vt:variant>
        <vt:lpwstr/>
      </vt:variant>
      <vt:variant>
        <vt:i4>393232</vt:i4>
      </vt:variant>
      <vt:variant>
        <vt:i4>60</vt:i4>
      </vt:variant>
      <vt:variant>
        <vt:i4>0</vt:i4>
      </vt:variant>
      <vt:variant>
        <vt:i4>5</vt:i4>
      </vt:variant>
      <vt:variant>
        <vt:lpwstr>http://www.nevo.co.il/law/70301/144.a.;144.b</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5177431</vt:i4>
      </vt:variant>
      <vt:variant>
        <vt:i4>54</vt:i4>
      </vt:variant>
      <vt:variant>
        <vt:i4>0</vt:i4>
      </vt:variant>
      <vt:variant>
        <vt:i4>5</vt:i4>
      </vt:variant>
      <vt:variant>
        <vt:lpwstr>http://www.nevo.co.il/law/70301/143.b</vt:lpwstr>
      </vt:variant>
      <vt:variant>
        <vt:lpwstr/>
      </vt:variant>
      <vt:variant>
        <vt:i4>7995512</vt:i4>
      </vt:variant>
      <vt:variant>
        <vt:i4>51</vt:i4>
      </vt:variant>
      <vt:variant>
        <vt:i4>0</vt:i4>
      </vt:variant>
      <vt:variant>
        <vt:i4>5</vt:i4>
      </vt:variant>
      <vt:variant>
        <vt:lpwstr>http://www.nevo.co.il/law/141771/23</vt:lpwstr>
      </vt:variant>
      <vt:variant>
        <vt:lpwstr/>
      </vt:variant>
      <vt:variant>
        <vt:i4>3342433</vt:i4>
      </vt:variant>
      <vt:variant>
        <vt:i4>48</vt:i4>
      </vt:variant>
      <vt:variant>
        <vt:i4>0</vt:i4>
      </vt:variant>
      <vt:variant>
        <vt:i4>5</vt:i4>
      </vt:variant>
      <vt:variant>
        <vt:lpwstr>http://www.nevo.co.il/law/73729/85.1.c</vt:lpwstr>
      </vt:variant>
      <vt:variant>
        <vt:lpwstr/>
      </vt:variant>
      <vt:variant>
        <vt:i4>4718679</vt:i4>
      </vt:variant>
      <vt:variant>
        <vt:i4>45</vt:i4>
      </vt:variant>
      <vt:variant>
        <vt:i4>0</vt:i4>
      </vt:variant>
      <vt:variant>
        <vt:i4>5</vt:i4>
      </vt:variant>
      <vt:variant>
        <vt:lpwstr>http://www.nevo.co.il/law/141771</vt:lpwstr>
      </vt:variant>
      <vt:variant>
        <vt:lpwstr/>
      </vt:variant>
      <vt:variant>
        <vt:i4>5505098</vt:i4>
      </vt:variant>
      <vt:variant>
        <vt:i4>42</vt:i4>
      </vt:variant>
      <vt:variant>
        <vt:i4>0</vt:i4>
      </vt:variant>
      <vt:variant>
        <vt:i4>5</vt:i4>
      </vt:variant>
      <vt:variant>
        <vt:lpwstr>http://www.nevo.co.il/law/141771/22.b</vt:lpwstr>
      </vt:variant>
      <vt:variant>
        <vt:lpwstr/>
      </vt:variant>
      <vt:variant>
        <vt:i4>8061024</vt:i4>
      </vt:variant>
      <vt:variant>
        <vt:i4>39</vt:i4>
      </vt:variant>
      <vt:variant>
        <vt:i4>0</vt:i4>
      </vt:variant>
      <vt:variant>
        <vt:i4>5</vt:i4>
      </vt:variant>
      <vt:variant>
        <vt:lpwstr>http://www.nevo.co.il/law/73729</vt:lpwstr>
      </vt:variant>
      <vt:variant>
        <vt:lpwstr/>
      </vt:variant>
      <vt:variant>
        <vt:i4>3211361</vt:i4>
      </vt:variant>
      <vt:variant>
        <vt:i4>36</vt:i4>
      </vt:variant>
      <vt:variant>
        <vt:i4>0</vt:i4>
      </vt:variant>
      <vt:variant>
        <vt:i4>5</vt:i4>
      </vt:variant>
      <vt:variant>
        <vt:lpwstr>http://www.nevo.co.il/law/73729/85.1.a</vt:lpwstr>
      </vt:variant>
      <vt:variant>
        <vt:lpwstr/>
      </vt:variant>
      <vt:variant>
        <vt:i4>5636178</vt:i4>
      </vt:variant>
      <vt:variant>
        <vt:i4>33</vt:i4>
      </vt:variant>
      <vt:variant>
        <vt:i4>0</vt:i4>
      </vt:variant>
      <vt:variant>
        <vt:i4>5</vt:i4>
      </vt:variant>
      <vt:variant>
        <vt:lpwstr>http://www.nevo.co.il/law/72510/2</vt:lpwstr>
      </vt:variant>
      <vt:variant>
        <vt:lpwstr/>
      </vt:variant>
      <vt:variant>
        <vt:i4>7929954</vt:i4>
      </vt:variant>
      <vt:variant>
        <vt:i4>30</vt:i4>
      </vt:variant>
      <vt:variant>
        <vt:i4>0</vt:i4>
      </vt:variant>
      <vt:variant>
        <vt:i4>5</vt:i4>
      </vt:variant>
      <vt:variant>
        <vt:lpwstr>http://www.nevo.co.il/law/72510</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6357041</vt:i4>
      </vt:variant>
      <vt:variant>
        <vt:i4>24</vt:i4>
      </vt:variant>
      <vt:variant>
        <vt:i4>0</vt:i4>
      </vt:variant>
      <vt:variant>
        <vt:i4>5</vt:i4>
      </vt:variant>
      <vt:variant>
        <vt:lpwstr>http://www.nevo.co.il/law/70301/144.a.</vt:lpwstr>
      </vt:variant>
      <vt:variant>
        <vt:lpwstr/>
      </vt:variant>
      <vt:variant>
        <vt:i4>5177431</vt:i4>
      </vt:variant>
      <vt:variant>
        <vt:i4>21</vt:i4>
      </vt:variant>
      <vt:variant>
        <vt:i4>0</vt:i4>
      </vt:variant>
      <vt:variant>
        <vt:i4>5</vt:i4>
      </vt:variant>
      <vt:variant>
        <vt:lpwstr>http://www.nevo.co.il/law/70301/143.b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7995512</vt:i4>
      </vt:variant>
      <vt:variant>
        <vt:i4>15</vt:i4>
      </vt:variant>
      <vt:variant>
        <vt:i4>0</vt:i4>
      </vt:variant>
      <vt:variant>
        <vt:i4>5</vt:i4>
      </vt:variant>
      <vt:variant>
        <vt:lpwstr>http://www.nevo.co.il/law/141771/23</vt:lpwstr>
      </vt:variant>
      <vt:variant>
        <vt:lpwstr/>
      </vt:variant>
      <vt:variant>
        <vt:i4>5505098</vt:i4>
      </vt:variant>
      <vt:variant>
        <vt:i4>12</vt:i4>
      </vt:variant>
      <vt:variant>
        <vt:i4>0</vt:i4>
      </vt:variant>
      <vt:variant>
        <vt:i4>5</vt:i4>
      </vt:variant>
      <vt:variant>
        <vt:lpwstr>http://www.nevo.co.il/law/141771/22.b</vt:lpwstr>
      </vt:variant>
      <vt:variant>
        <vt:lpwstr/>
      </vt:variant>
      <vt:variant>
        <vt:i4>4718679</vt:i4>
      </vt:variant>
      <vt:variant>
        <vt:i4>9</vt:i4>
      </vt:variant>
      <vt:variant>
        <vt:i4>0</vt:i4>
      </vt:variant>
      <vt:variant>
        <vt:i4>5</vt:i4>
      </vt:variant>
      <vt:variant>
        <vt:lpwstr>http://www.nevo.co.il/law/141771</vt:lpwstr>
      </vt:variant>
      <vt:variant>
        <vt:lpwstr/>
      </vt:variant>
      <vt:variant>
        <vt:i4>3342433</vt:i4>
      </vt:variant>
      <vt:variant>
        <vt:i4>6</vt:i4>
      </vt:variant>
      <vt:variant>
        <vt:i4>0</vt:i4>
      </vt:variant>
      <vt:variant>
        <vt:i4>5</vt:i4>
      </vt:variant>
      <vt:variant>
        <vt:lpwstr>http://www.nevo.co.il/law/73729/85.1.c</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2025-01-19T16:16:00Z</dcterms:created>
  <dcterms:modified xsi:type="dcterms:W3CDTF">2025-01-19T16:16:00Z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20613</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עבד אלכרים עגלה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20180702</vt:lpwstr>
  </property>
  <property fmtid="{D5CDD505-2E9C-101B-9397-08002B2CF9AE}" pid="13" name="TYPE_N_DATE">
    <vt:lpwstr>39020180702</vt:lpwstr>
  </property>
  <property fmtid="{D5CDD505-2E9C-101B-9397-08002B2CF9AE}" pid="14" name="WORDNUMPAGES">
    <vt:lpwstr>3</vt:lpwstr>
  </property>
  <property fmtid="{D5CDD505-2E9C-101B-9397-08002B2CF9AE}" pid="15" name="TYPE_ABS_DATE">
    <vt:lpwstr>390020180702</vt:lpwstr>
  </property>
  <property fmtid="{D5CDD505-2E9C-101B-9397-08002B2CF9AE}" pid="16" name="ISABSTRACT">
    <vt:lpwstr>Y</vt:lpwstr>
  </property>
  <property fmtid="{D5CDD505-2E9C-101B-9397-08002B2CF9AE}" pid="17" name="LAWLISTTMP1">
    <vt:lpwstr>73729/085.1.a;085.1.c</vt:lpwstr>
  </property>
  <property fmtid="{D5CDD505-2E9C-101B-9397-08002B2CF9AE}" pid="18" name="LAWLISTTMP2">
    <vt:lpwstr>141771/022.b;023</vt:lpwstr>
  </property>
  <property fmtid="{D5CDD505-2E9C-101B-9397-08002B2CF9AE}" pid="19" name="LAWLISTTMP3">
    <vt:lpwstr>70301/143.b;144.a;144.b</vt:lpwstr>
  </property>
  <property fmtid="{D5CDD505-2E9C-101B-9397-08002B2CF9AE}" pid="20" name="LAWLISTTMP4">
    <vt:lpwstr>72510/002</vt:lpwstr>
  </property>
</Properties>
</file>