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023CA" w14:textId="77777777" w:rsidR="00DF6722" w:rsidRPr="009B3218" w:rsidRDefault="00DF6722" w:rsidP="00F25B78">
      <w:pPr>
        <w:pStyle w:val="a3"/>
        <w:rPr>
          <w:rFonts w:cs="FrankRuehl" w:hint="cs"/>
          <w:sz w:val="28"/>
          <w:szCs w:val="28"/>
          <w:rtl/>
        </w:rPr>
      </w:pPr>
      <w:bookmarkStart w:id="0" w:name="LastJudge"/>
    </w:p>
    <w:tbl>
      <w:tblPr>
        <w:bidiVisual/>
        <w:tblW w:w="0" w:type="auto"/>
        <w:jc w:val="center"/>
        <w:tblLook w:val="0000" w:firstRow="0" w:lastRow="0" w:firstColumn="0" w:lastColumn="0" w:noHBand="0" w:noVBand="0"/>
      </w:tblPr>
      <w:tblGrid>
        <w:gridCol w:w="5057"/>
        <w:gridCol w:w="3664"/>
      </w:tblGrid>
      <w:tr w:rsidR="00DF6722" w:rsidRPr="009B3218" w14:paraId="7843A206" w14:textId="77777777" w:rsidTr="00960C6E">
        <w:trPr>
          <w:trHeight w:hRule="exact" w:val="418"/>
          <w:jc w:val="center"/>
        </w:trPr>
        <w:tc>
          <w:tcPr>
            <w:tcW w:w="8861" w:type="dxa"/>
            <w:gridSpan w:val="2"/>
          </w:tcPr>
          <w:p w14:paraId="5159ACB6" w14:textId="77777777" w:rsidR="00DF6722" w:rsidRPr="009B3218" w:rsidRDefault="00DF6722" w:rsidP="00960C6E">
            <w:pPr>
              <w:pStyle w:val="a3"/>
              <w:jc w:val="center"/>
              <w:rPr>
                <w:rFonts w:ascii="Tahoma" w:hAnsi="Tahoma" w:cs="Tahoma"/>
                <w:color w:val="000080"/>
                <w:rtl/>
              </w:rPr>
            </w:pPr>
            <w:r w:rsidRPr="009B3218">
              <w:rPr>
                <w:rFonts w:ascii="Tahoma" w:hAnsi="Tahoma" w:cs="Tahoma"/>
                <w:b/>
                <w:bCs/>
                <w:color w:val="000080"/>
                <w:rtl/>
              </w:rPr>
              <w:t>בית המשפט המחוזי בחיפה</w:t>
            </w:r>
          </w:p>
        </w:tc>
      </w:tr>
      <w:tr w:rsidR="00DF6722" w:rsidRPr="009B3218" w14:paraId="7B90C37E" w14:textId="77777777" w:rsidTr="00960C6E">
        <w:trPr>
          <w:trHeight w:val="337"/>
          <w:jc w:val="center"/>
        </w:trPr>
        <w:tc>
          <w:tcPr>
            <w:tcW w:w="5131" w:type="dxa"/>
          </w:tcPr>
          <w:p w14:paraId="55ABAD33" w14:textId="77777777" w:rsidR="00DF6722" w:rsidRPr="009B3218" w:rsidRDefault="00DF6722" w:rsidP="00960C6E">
            <w:pPr>
              <w:rPr>
                <w:rFonts w:cs="FrankRuehl"/>
                <w:sz w:val="28"/>
                <w:szCs w:val="28"/>
                <w:rtl/>
              </w:rPr>
            </w:pPr>
            <w:r w:rsidRPr="009B3218">
              <w:rPr>
                <w:rFonts w:cs="FrankRuehl"/>
                <w:sz w:val="28"/>
                <w:szCs w:val="28"/>
                <w:rtl/>
              </w:rPr>
              <w:t>ת"פ</w:t>
            </w:r>
            <w:r w:rsidRPr="009B3218">
              <w:rPr>
                <w:rFonts w:cs="FrankRuehl" w:hint="cs"/>
                <w:sz w:val="28"/>
                <w:szCs w:val="28"/>
                <w:rtl/>
              </w:rPr>
              <w:t xml:space="preserve"> </w:t>
            </w:r>
            <w:r w:rsidRPr="009B3218">
              <w:rPr>
                <w:rFonts w:cs="FrankRuehl"/>
                <w:sz w:val="28"/>
                <w:szCs w:val="28"/>
                <w:rtl/>
              </w:rPr>
              <w:t>31034-06-17</w:t>
            </w:r>
            <w:r w:rsidRPr="009B3218">
              <w:rPr>
                <w:rFonts w:cs="FrankRuehl" w:hint="cs"/>
                <w:sz w:val="28"/>
                <w:szCs w:val="28"/>
                <w:rtl/>
              </w:rPr>
              <w:t xml:space="preserve"> </w:t>
            </w:r>
            <w:r w:rsidRPr="009B3218">
              <w:rPr>
                <w:rFonts w:cs="FrankRuehl"/>
                <w:sz w:val="28"/>
                <w:szCs w:val="28"/>
                <w:rtl/>
              </w:rPr>
              <w:t>מדינת ישראל נ' מסרי(עצור בפיקוח)</w:t>
            </w:r>
          </w:p>
          <w:p w14:paraId="36206275" w14:textId="77777777" w:rsidR="00DF6722" w:rsidRPr="009B3218" w:rsidRDefault="00DF6722" w:rsidP="00960C6E">
            <w:pPr>
              <w:pStyle w:val="a3"/>
              <w:rPr>
                <w:rFonts w:cs="FrankRuehl"/>
                <w:sz w:val="28"/>
                <w:szCs w:val="28"/>
                <w:rtl/>
              </w:rPr>
            </w:pPr>
          </w:p>
        </w:tc>
        <w:tc>
          <w:tcPr>
            <w:tcW w:w="3730" w:type="dxa"/>
          </w:tcPr>
          <w:p w14:paraId="136DEFAF" w14:textId="77777777" w:rsidR="00DF6722" w:rsidRPr="009B3218" w:rsidRDefault="00DF6722" w:rsidP="00960C6E">
            <w:pPr>
              <w:pStyle w:val="a3"/>
              <w:jc w:val="right"/>
              <w:rPr>
                <w:rFonts w:cs="FrankRuehl"/>
                <w:sz w:val="28"/>
                <w:szCs w:val="28"/>
                <w:rtl/>
              </w:rPr>
            </w:pPr>
          </w:p>
        </w:tc>
      </w:tr>
    </w:tbl>
    <w:p w14:paraId="7BA8BE71" w14:textId="77777777" w:rsidR="00DF6722" w:rsidRPr="009B3218" w:rsidRDefault="00DF6722" w:rsidP="00DF6722">
      <w:pPr>
        <w:pStyle w:val="a3"/>
        <w:rPr>
          <w:rtl/>
        </w:rPr>
      </w:pPr>
      <w:r w:rsidRPr="009B3218">
        <w:rPr>
          <w:rFonts w:hint="cs"/>
          <w:rtl/>
        </w:rPr>
        <w:t xml:space="preserve"> </w:t>
      </w:r>
    </w:p>
    <w:p w14:paraId="139EF70E" w14:textId="77777777" w:rsidR="00DF6722" w:rsidRPr="009B3218" w:rsidRDefault="00DF6722" w:rsidP="00DF6722">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9"/>
        <w:gridCol w:w="7511"/>
      </w:tblGrid>
      <w:tr w:rsidR="00DF6722" w:rsidRPr="009B3218" w14:paraId="55E3BCA0" w14:textId="77777777" w:rsidTr="00DF6722">
        <w:trPr>
          <w:trHeight w:val="295"/>
          <w:jc w:val="center"/>
        </w:trPr>
        <w:tc>
          <w:tcPr>
            <w:tcW w:w="1309" w:type="dxa"/>
            <w:tcBorders>
              <w:top w:val="nil"/>
              <w:left w:val="nil"/>
              <w:bottom w:val="nil"/>
              <w:right w:val="nil"/>
            </w:tcBorders>
            <w:shd w:val="clear" w:color="auto" w:fill="auto"/>
          </w:tcPr>
          <w:p w14:paraId="54788D41" w14:textId="77777777" w:rsidR="00DF6722" w:rsidRPr="009B3218" w:rsidRDefault="00DF6722" w:rsidP="00DF6722">
            <w:pPr>
              <w:jc w:val="both"/>
              <w:rPr>
                <w:rFonts w:ascii="Arial" w:hAnsi="Arial"/>
                <w:b/>
                <w:bCs/>
                <w:sz w:val="28"/>
                <w:szCs w:val="28"/>
              </w:rPr>
            </w:pPr>
            <w:r w:rsidRPr="009B3218">
              <w:rPr>
                <w:rFonts w:ascii="Arial" w:hAnsi="Arial" w:hint="cs"/>
                <w:b/>
                <w:bCs/>
                <w:sz w:val="26"/>
                <w:szCs w:val="26"/>
                <w:rtl/>
              </w:rPr>
              <w:t>ב</w:t>
            </w:r>
            <w:r w:rsidRPr="009B3218">
              <w:rPr>
                <w:rFonts w:ascii="Arial" w:hAnsi="Arial"/>
                <w:b/>
                <w:bCs/>
                <w:sz w:val="26"/>
                <w:szCs w:val="26"/>
                <w:rtl/>
              </w:rPr>
              <w:t xml:space="preserve">פני </w:t>
            </w:r>
          </w:p>
        </w:tc>
        <w:tc>
          <w:tcPr>
            <w:tcW w:w="7511" w:type="dxa"/>
            <w:tcBorders>
              <w:top w:val="nil"/>
              <w:left w:val="nil"/>
              <w:bottom w:val="nil"/>
              <w:right w:val="nil"/>
            </w:tcBorders>
            <w:shd w:val="clear" w:color="auto" w:fill="auto"/>
          </w:tcPr>
          <w:p w14:paraId="2FCFE728" w14:textId="77777777" w:rsidR="00DF6722" w:rsidRPr="009B3218" w:rsidRDefault="00DF6722" w:rsidP="00DF6722">
            <w:pPr>
              <w:spacing w:line="360" w:lineRule="auto"/>
              <w:rPr>
                <w:rFonts w:ascii="Arial" w:hAnsi="Arial"/>
                <w:b/>
                <w:bCs/>
                <w:sz w:val="28"/>
                <w:szCs w:val="28"/>
              </w:rPr>
            </w:pPr>
            <w:r w:rsidRPr="009B3218">
              <w:rPr>
                <w:rFonts w:ascii="Arial" w:hAnsi="Arial" w:hint="cs"/>
                <w:b/>
                <w:bCs/>
                <w:sz w:val="26"/>
                <w:szCs w:val="26"/>
                <w:rtl/>
              </w:rPr>
              <w:t>כבוד ה</w:t>
            </w:r>
            <w:r w:rsidRPr="009B3218">
              <w:rPr>
                <w:rFonts w:ascii="Arial" w:hAnsi="Arial"/>
                <w:b/>
                <w:bCs/>
                <w:sz w:val="26"/>
                <w:szCs w:val="26"/>
                <w:rtl/>
              </w:rPr>
              <w:t>שופט</w:t>
            </w:r>
            <w:r w:rsidRPr="009B3218">
              <w:rPr>
                <w:rFonts w:ascii="Arial" w:hAnsi="Arial" w:hint="cs"/>
                <w:b/>
                <w:bCs/>
                <w:sz w:val="26"/>
                <w:szCs w:val="26"/>
                <w:rtl/>
              </w:rPr>
              <w:t xml:space="preserve">  </w:t>
            </w:r>
            <w:r w:rsidRPr="009B3218">
              <w:rPr>
                <w:rFonts w:ascii="Arial" w:hAnsi="Arial"/>
                <w:b/>
                <w:bCs/>
                <w:sz w:val="26"/>
                <w:szCs w:val="26"/>
                <w:rtl/>
              </w:rPr>
              <w:t>אבי לוי</w:t>
            </w:r>
            <w:r w:rsidRPr="009B3218">
              <w:rPr>
                <w:rFonts w:hint="cs"/>
                <w:b/>
                <w:bCs/>
                <w:sz w:val="26"/>
                <w:szCs w:val="26"/>
                <w:rtl/>
              </w:rPr>
              <w:t xml:space="preserve"> </w:t>
            </w:r>
          </w:p>
        </w:tc>
      </w:tr>
      <w:tr w:rsidR="00DF6722" w:rsidRPr="009B3218" w14:paraId="46BB1235" w14:textId="77777777" w:rsidTr="00DF6722">
        <w:trPr>
          <w:trHeight w:val="355"/>
          <w:jc w:val="center"/>
        </w:trPr>
        <w:tc>
          <w:tcPr>
            <w:tcW w:w="1309" w:type="dxa"/>
            <w:tcBorders>
              <w:top w:val="nil"/>
              <w:left w:val="nil"/>
              <w:bottom w:val="nil"/>
              <w:right w:val="nil"/>
            </w:tcBorders>
            <w:shd w:val="clear" w:color="auto" w:fill="auto"/>
          </w:tcPr>
          <w:p w14:paraId="1CC830D3" w14:textId="77777777" w:rsidR="00DF6722" w:rsidRPr="009B3218" w:rsidRDefault="00DF6722" w:rsidP="00960C6E">
            <w:pPr>
              <w:rPr>
                <w:rFonts w:ascii="Arial" w:hAnsi="Arial"/>
                <w:b/>
                <w:bCs/>
                <w:sz w:val="28"/>
                <w:szCs w:val="28"/>
                <w:rtl/>
              </w:rPr>
            </w:pPr>
            <w:bookmarkStart w:id="1" w:name="FirstAppellant"/>
            <w:r w:rsidRPr="009B3218">
              <w:rPr>
                <w:rFonts w:ascii="Arial" w:hAnsi="Arial" w:hint="cs"/>
                <w:b/>
                <w:bCs/>
                <w:sz w:val="28"/>
                <w:szCs w:val="28"/>
                <w:rtl/>
              </w:rPr>
              <w:t>המאשימה</w:t>
            </w:r>
          </w:p>
        </w:tc>
        <w:tc>
          <w:tcPr>
            <w:tcW w:w="7511" w:type="dxa"/>
            <w:tcBorders>
              <w:top w:val="nil"/>
              <w:left w:val="nil"/>
              <w:bottom w:val="nil"/>
              <w:right w:val="nil"/>
            </w:tcBorders>
            <w:shd w:val="clear" w:color="auto" w:fill="auto"/>
          </w:tcPr>
          <w:p w14:paraId="4705DB4E" w14:textId="77777777" w:rsidR="00DF6722" w:rsidRPr="009B3218" w:rsidRDefault="00DF6722" w:rsidP="00DF6722">
            <w:pPr>
              <w:spacing w:line="360" w:lineRule="auto"/>
              <w:jc w:val="center"/>
              <w:rPr>
                <w:rFonts w:ascii="Arial" w:hAnsi="Arial"/>
                <w:b/>
                <w:bCs/>
                <w:sz w:val="28"/>
                <w:szCs w:val="28"/>
                <w:rtl/>
              </w:rPr>
            </w:pPr>
            <w:r w:rsidRPr="009B3218">
              <w:rPr>
                <w:rFonts w:hint="cs"/>
                <w:b/>
                <w:bCs/>
                <w:sz w:val="26"/>
                <w:szCs w:val="26"/>
                <w:rtl/>
              </w:rPr>
              <w:t>מדינת ישראל</w:t>
            </w:r>
            <w:r w:rsidRPr="009B3218">
              <w:rPr>
                <w:b/>
                <w:bCs/>
                <w:sz w:val="26"/>
                <w:szCs w:val="26"/>
                <w:rtl/>
              </w:rPr>
              <w:t xml:space="preserve">     </w:t>
            </w:r>
          </w:p>
        </w:tc>
      </w:tr>
      <w:bookmarkEnd w:id="1"/>
      <w:tr w:rsidR="00DF6722" w:rsidRPr="009B3218" w14:paraId="7B7F015D" w14:textId="77777777" w:rsidTr="00DF6722">
        <w:trPr>
          <w:trHeight w:val="355"/>
          <w:jc w:val="center"/>
        </w:trPr>
        <w:tc>
          <w:tcPr>
            <w:tcW w:w="1309" w:type="dxa"/>
            <w:tcBorders>
              <w:top w:val="nil"/>
              <w:left w:val="nil"/>
              <w:bottom w:val="nil"/>
              <w:right w:val="nil"/>
            </w:tcBorders>
            <w:shd w:val="clear" w:color="auto" w:fill="auto"/>
          </w:tcPr>
          <w:p w14:paraId="11B6510D" w14:textId="77777777" w:rsidR="00DF6722" w:rsidRPr="009B3218" w:rsidRDefault="00DF6722" w:rsidP="00960C6E">
            <w:pPr>
              <w:rPr>
                <w:rFonts w:ascii="Arial" w:hAnsi="Arial"/>
                <w:b/>
                <w:bCs/>
                <w:sz w:val="28"/>
                <w:szCs w:val="28"/>
                <w:rtl/>
              </w:rPr>
            </w:pPr>
          </w:p>
        </w:tc>
        <w:tc>
          <w:tcPr>
            <w:tcW w:w="7511" w:type="dxa"/>
            <w:tcBorders>
              <w:top w:val="nil"/>
              <w:left w:val="nil"/>
              <w:bottom w:val="nil"/>
              <w:right w:val="nil"/>
            </w:tcBorders>
            <w:shd w:val="clear" w:color="auto" w:fill="auto"/>
          </w:tcPr>
          <w:p w14:paraId="1A501260" w14:textId="77777777" w:rsidR="00DF6722" w:rsidRPr="009B3218" w:rsidRDefault="00DF6722" w:rsidP="00960C6E">
            <w:pPr>
              <w:rPr>
                <w:rFonts w:ascii="Arial" w:hAnsi="Arial"/>
                <w:b/>
                <w:bCs/>
                <w:sz w:val="28"/>
                <w:szCs w:val="28"/>
                <w:rtl/>
              </w:rPr>
            </w:pPr>
          </w:p>
          <w:p w14:paraId="0CDDBEA0" w14:textId="77777777" w:rsidR="00DF6722" w:rsidRPr="009B3218" w:rsidRDefault="00DF6722" w:rsidP="00DF6722">
            <w:pPr>
              <w:jc w:val="center"/>
              <w:rPr>
                <w:rFonts w:ascii="Arial" w:hAnsi="Arial"/>
                <w:b/>
                <w:bCs/>
                <w:sz w:val="28"/>
                <w:szCs w:val="28"/>
                <w:rtl/>
              </w:rPr>
            </w:pPr>
            <w:r w:rsidRPr="009B3218">
              <w:rPr>
                <w:rFonts w:ascii="Arial" w:hAnsi="Arial"/>
                <w:b/>
                <w:bCs/>
                <w:sz w:val="28"/>
                <w:szCs w:val="28"/>
                <w:rtl/>
              </w:rPr>
              <w:t>נגד</w:t>
            </w:r>
          </w:p>
          <w:p w14:paraId="31E6BA1F" w14:textId="77777777" w:rsidR="00DF6722" w:rsidRPr="009B3218" w:rsidRDefault="00DF6722" w:rsidP="00960C6E">
            <w:pPr>
              <w:rPr>
                <w:rFonts w:ascii="Arial" w:hAnsi="Arial"/>
                <w:b/>
                <w:bCs/>
                <w:sz w:val="28"/>
                <w:szCs w:val="28"/>
              </w:rPr>
            </w:pPr>
          </w:p>
        </w:tc>
      </w:tr>
      <w:tr w:rsidR="00DF6722" w:rsidRPr="009B3218" w14:paraId="20D91687" w14:textId="77777777" w:rsidTr="00DF6722">
        <w:trPr>
          <w:trHeight w:val="355"/>
          <w:jc w:val="center"/>
        </w:trPr>
        <w:tc>
          <w:tcPr>
            <w:tcW w:w="1309" w:type="dxa"/>
            <w:tcBorders>
              <w:top w:val="nil"/>
              <w:left w:val="nil"/>
              <w:bottom w:val="nil"/>
              <w:right w:val="nil"/>
            </w:tcBorders>
            <w:shd w:val="clear" w:color="auto" w:fill="auto"/>
          </w:tcPr>
          <w:p w14:paraId="52643F46" w14:textId="77777777" w:rsidR="00DF6722" w:rsidRPr="009B3218" w:rsidRDefault="00DF6722" w:rsidP="00960C6E">
            <w:pPr>
              <w:rPr>
                <w:rFonts w:ascii="Arial" w:hAnsi="Arial"/>
                <w:b/>
                <w:bCs/>
                <w:sz w:val="28"/>
                <w:szCs w:val="28"/>
                <w:rtl/>
              </w:rPr>
            </w:pPr>
            <w:r w:rsidRPr="009B3218">
              <w:rPr>
                <w:rFonts w:ascii="Arial" w:hAnsi="Arial" w:hint="cs"/>
                <w:b/>
                <w:bCs/>
                <w:sz w:val="28"/>
                <w:szCs w:val="28"/>
                <w:rtl/>
              </w:rPr>
              <w:t>הנאשם</w:t>
            </w:r>
          </w:p>
        </w:tc>
        <w:tc>
          <w:tcPr>
            <w:tcW w:w="7511" w:type="dxa"/>
            <w:tcBorders>
              <w:top w:val="nil"/>
              <w:left w:val="nil"/>
              <w:bottom w:val="nil"/>
              <w:right w:val="nil"/>
            </w:tcBorders>
            <w:shd w:val="clear" w:color="auto" w:fill="auto"/>
          </w:tcPr>
          <w:p w14:paraId="6ADC4F3F" w14:textId="77777777" w:rsidR="00DF6722" w:rsidRPr="009B3218" w:rsidRDefault="00DF6722" w:rsidP="00DF6722">
            <w:pPr>
              <w:spacing w:line="360" w:lineRule="auto"/>
              <w:jc w:val="center"/>
              <w:rPr>
                <w:rFonts w:ascii="Arial" w:hAnsi="Arial"/>
                <w:b/>
                <w:bCs/>
                <w:sz w:val="28"/>
                <w:szCs w:val="28"/>
              </w:rPr>
            </w:pPr>
            <w:r w:rsidRPr="009B3218">
              <w:rPr>
                <w:rFonts w:ascii="Arial" w:hAnsi="Arial"/>
                <w:b/>
                <w:bCs/>
                <w:sz w:val="26"/>
                <w:szCs w:val="26"/>
                <w:rtl/>
              </w:rPr>
              <w:t>סעיד מסרי (עצור בפיקוח)</w:t>
            </w:r>
          </w:p>
        </w:tc>
      </w:tr>
    </w:tbl>
    <w:p w14:paraId="43420F96" w14:textId="77777777" w:rsidR="00F25B78" w:rsidRDefault="00F25B78" w:rsidP="00DF6722">
      <w:pPr>
        <w:rPr>
          <w:rtl/>
        </w:rPr>
      </w:pPr>
      <w:bookmarkStart w:id="2" w:name="LawTable"/>
      <w:bookmarkEnd w:id="2"/>
    </w:p>
    <w:p w14:paraId="585CBF76" w14:textId="77777777" w:rsidR="00F25B78" w:rsidRPr="00F25B78" w:rsidRDefault="00F25B78" w:rsidP="00F25B78">
      <w:pPr>
        <w:spacing w:after="120" w:line="240" w:lineRule="exact"/>
        <w:ind w:left="283" w:hanging="283"/>
        <w:jc w:val="both"/>
        <w:rPr>
          <w:rFonts w:ascii="FrankRuehl" w:hAnsi="FrankRuehl" w:cs="FrankRuehl"/>
          <w:rtl/>
        </w:rPr>
      </w:pPr>
    </w:p>
    <w:p w14:paraId="792A0720" w14:textId="77777777" w:rsidR="00F25B78" w:rsidRPr="00F25B78" w:rsidRDefault="00F25B78" w:rsidP="00F25B78">
      <w:pPr>
        <w:spacing w:after="120" w:line="240" w:lineRule="exact"/>
        <w:ind w:left="283" w:hanging="283"/>
        <w:jc w:val="both"/>
        <w:rPr>
          <w:rFonts w:ascii="FrankRuehl" w:hAnsi="FrankRuehl" w:cs="FrankRuehl"/>
          <w:rtl/>
        </w:rPr>
      </w:pPr>
      <w:r w:rsidRPr="00F25B78">
        <w:rPr>
          <w:rFonts w:ascii="FrankRuehl" w:hAnsi="FrankRuehl" w:cs="FrankRuehl"/>
          <w:rtl/>
        </w:rPr>
        <w:t xml:space="preserve">חקיקה שאוזכרה: </w:t>
      </w:r>
    </w:p>
    <w:p w14:paraId="5C606117" w14:textId="77777777" w:rsidR="00F25B78" w:rsidRPr="00F25B78" w:rsidRDefault="00F25B78" w:rsidP="00F25B78">
      <w:pPr>
        <w:spacing w:after="120" w:line="240" w:lineRule="exact"/>
        <w:ind w:left="283" w:hanging="283"/>
        <w:jc w:val="both"/>
        <w:rPr>
          <w:rFonts w:ascii="FrankRuehl" w:hAnsi="FrankRuehl" w:cs="FrankRuehl"/>
          <w:rtl/>
        </w:rPr>
      </w:pPr>
      <w:hyperlink r:id="rId6" w:history="1">
        <w:r w:rsidRPr="00F25B78">
          <w:rPr>
            <w:rFonts w:ascii="FrankRuehl" w:hAnsi="FrankRuehl" w:cs="FrankRuehl"/>
            <w:color w:val="0000FF"/>
            <w:u w:val="single"/>
            <w:rtl/>
          </w:rPr>
          <w:t>חוק העונשין, תשל"ז-1977</w:t>
        </w:r>
      </w:hyperlink>
      <w:r w:rsidRPr="00F25B78">
        <w:rPr>
          <w:rFonts w:ascii="FrankRuehl" w:hAnsi="FrankRuehl" w:cs="FrankRuehl"/>
          <w:rtl/>
        </w:rPr>
        <w:t xml:space="preserve">: סע'  </w:t>
      </w:r>
      <w:hyperlink r:id="rId7" w:history="1">
        <w:r w:rsidRPr="00F25B78">
          <w:rPr>
            <w:rFonts w:ascii="FrankRuehl" w:hAnsi="FrankRuehl" w:cs="FrankRuehl"/>
            <w:color w:val="0000FF"/>
            <w:u w:val="single"/>
            <w:rtl/>
          </w:rPr>
          <w:t>40ב</w:t>
        </w:r>
      </w:hyperlink>
      <w:r w:rsidRPr="00F25B78">
        <w:rPr>
          <w:rFonts w:ascii="FrankRuehl" w:hAnsi="FrankRuehl" w:cs="FrankRuehl"/>
          <w:rtl/>
        </w:rPr>
        <w:t xml:space="preserve">, </w:t>
      </w:r>
      <w:hyperlink r:id="rId8" w:history="1">
        <w:r w:rsidRPr="00F25B78">
          <w:rPr>
            <w:rFonts w:ascii="FrankRuehl" w:hAnsi="FrankRuehl" w:cs="FrankRuehl"/>
            <w:color w:val="0000FF"/>
            <w:u w:val="single"/>
            <w:rtl/>
          </w:rPr>
          <w:t>40ט'</w:t>
        </w:r>
      </w:hyperlink>
      <w:r w:rsidRPr="00F25B78">
        <w:rPr>
          <w:rFonts w:ascii="FrankRuehl" w:hAnsi="FrankRuehl" w:cs="FrankRuehl"/>
          <w:rtl/>
        </w:rPr>
        <w:t xml:space="preserve">, </w:t>
      </w:r>
      <w:hyperlink r:id="rId9" w:history="1">
        <w:r w:rsidRPr="00F25B78">
          <w:rPr>
            <w:rFonts w:ascii="FrankRuehl" w:hAnsi="FrankRuehl" w:cs="FrankRuehl"/>
            <w:color w:val="0000FF"/>
            <w:u w:val="single"/>
            <w:rtl/>
          </w:rPr>
          <w:t>40ט(1)</w:t>
        </w:r>
      </w:hyperlink>
      <w:r w:rsidRPr="00F25B78">
        <w:rPr>
          <w:rFonts w:ascii="FrankRuehl" w:hAnsi="FrankRuehl" w:cs="FrankRuehl"/>
          <w:rtl/>
        </w:rPr>
        <w:t xml:space="preserve">, </w:t>
      </w:r>
      <w:hyperlink r:id="rId10" w:history="1">
        <w:r w:rsidRPr="00F25B78">
          <w:rPr>
            <w:rFonts w:ascii="FrankRuehl" w:hAnsi="FrankRuehl" w:cs="FrankRuehl"/>
            <w:color w:val="0000FF"/>
            <w:u w:val="single"/>
            <w:rtl/>
          </w:rPr>
          <w:t>40ט(2)</w:t>
        </w:r>
      </w:hyperlink>
      <w:r w:rsidRPr="00F25B78">
        <w:rPr>
          <w:rFonts w:ascii="FrankRuehl" w:hAnsi="FrankRuehl" w:cs="FrankRuehl"/>
          <w:rtl/>
        </w:rPr>
        <w:t xml:space="preserve">, </w:t>
      </w:r>
      <w:hyperlink r:id="rId11" w:history="1">
        <w:r w:rsidRPr="00F25B78">
          <w:rPr>
            <w:rFonts w:ascii="FrankRuehl" w:hAnsi="FrankRuehl" w:cs="FrankRuehl"/>
            <w:color w:val="0000FF"/>
            <w:u w:val="single"/>
            <w:rtl/>
          </w:rPr>
          <w:t>40ט(3)</w:t>
        </w:r>
      </w:hyperlink>
      <w:r w:rsidRPr="00F25B78">
        <w:rPr>
          <w:rFonts w:ascii="FrankRuehl" w:hAnsi="FrankRuehl" w:cs="FrankRuehl"/>
          <w:rtl/>
        </w:rPr>
        <w:t xml:space="preserve">, </w:t>
      </w:r>
      <w:hyperlink r:id="rId12" w:history="1">
        <w:r w:rsidRPr="00F25B78">
          <w:rPr>
            <w:rFonts w:ascii="FrankRuehl" w:hAnsi="FrankRuehl" w:cs="FrankRuehl"/>
            <w:color w:val="0000FF"/>
            <w:u w:val="single"/>
            <w:rtl/>
          </w:rPr>
          <w:t>40ט(4)</w:t>
        </w:r>
      </w:hyperlink>
      <w:r w:rsidRPr="00F25B78">
        <w:rPr>
          <w:rFonts w:ascii="FrankRuehl" w:hAnsi="FrankRuehl" w:cs="FrankRuehl"/>
          <w:rtl/>
        </w:rPr>
        <w:t xml:space="preserve">, </w:t>
      </w:r>
      <w:hyperlink r:id="rId13" w:history="1">
        <w:r w:rsidRPr="00F25B78">
          <w:rPr>
            <w:rFonts w:ascii="FrankRuehl" w:hAnsi="FrankRuehl" w:cs="FrankRuehl"/>
            <w:color w:val="0000FF"/>
            <w:u w:val="single"/>
            <w:rtl/>
          </w:rPr>
          <w:t>40ט(5)</w:t>
        </w:r>
      </w:hyperlink>
      <w:r w:rsidRPr="00F25B78">
        <w:rPr>
          <w:rFonts w:ascii="FrankRuehl" w:hAnsi="FrankRuehl" w:cs="FrankRuehl"/>
          <w:rtl/>
        </w:rPr>
        <w:t xml:space="preserve">, </w:t>
      </w:r>
      <w:hyperlink r:id="rId14" w:history="1">
        <w:r w:rsidRPr="00F25B78">
          <w:rPr>
            <w:rFonts w:ascii="FrankRuehl" w:hAnsi="FrankRuehl" w:cs="FrankRuehl"/>
            <w:color w:val="0000FF"/>
            <w:u w:val="single"/>
            <w:rtl/>
          </w:rPr>
          <w:t>40ט.6.</w:t>
        </w:r>
      </w:hyperlink>
      <w:r w:rsidRPr="00F25B78">
        <w:rPr>
          <w:rFonts w:ascii="FrankRuehl" w:hAnsi="FrankRuehl" w:cs="FrankRuehl"/>
          <w:rtl/>
        </w:rPr>
        <w:t xml:space="preserve">, </w:t>
      </w:r>
      <w:hyperlink r:id="rId15" w:history="1">
        <w:r w:rsidRPr="00F25B78">
          <w:rPr>
            <w:rFonts w:ascii="FrankRuehl" w:hAnsi="FrankRuehl" w:cs="FrankRuehl"/>
            <w:color w:val="0000FF"/>
            <w:u w:val="single"/>
            <w:rtl/>
          </w:rPr>
          <w:t>40ט.7</w:t>
        </w:r>
      </w:hyperlink>
      <w:r w:rsidRPr="00F25B78">
        <w:rPr>
          <w:rFonts w:ascii="FrankRuehl" w:hAnsi="FrankRuehl" w:cs="FrankRuehl"/>
          <w:rtl/>
        </w:rPr>
        <w:t xml:space="preserve">, </w:t>
      </w:r>
      <w:hyperlink r:id="rId16" w:history="1">
        <w:r w:rsidRPr="00F25B78">
          <w:rPr>
            <w:rFonts w:ascii="FrankRuehl" w:hAnsi="FrankRuehl" w:cs="FrankRuehl"/>
            <w:color w:val="0000FF"/>
            <w:u w:val="single"/>
            <w:rtl/>
          </w:rPr>
          <w:t>40י(א)</w:t>
        </w:r>
      </w:hyperlink>
      <w:r w:rsidRPr="00F25B78">
        <w:rPr>
          <w:rFonts w:ascii="FrankRuehl" w:hAnsi="FrankRuehl" w:cs="FrankRuehl"/>
          <w:rtl/>
        </w:rPr>
        <w:t xml:space="preserve">, </w:t>
      </w:r>
      <w:hyperlink r:id="rId17" w:history="1">
        <w:r w:rsidRPr="00F25B78">
          <w:rPr>
            <w:rFonts w:ascii="FrankRuehl" w:hAnsi="FrankRuehl" w:cs="FrankRuehl"/>
            <w:color w:val="0000FF"/>
            <w:u w:val="single"/>
            <w:rtl/>
          </w:rPr>
          <w:t>40י(ב)(1)</w:t>
        </w:r>
      </w:hyperlink>
      <w:r w:rsidRPr="00F25B78">
        <w:rPr>
          <w:rFonts w:ascii="FrankRuehl" w:hAnsi="FrankRuehl" w:cs="FrankRuehl"/>
          <w:rtl/>
        </w:rPr>
        <w:t xml:space="preserve">, </w:t>
      </w:r>
      <w:hyperlink r:id="rId18" w:history="1">
        <w:r w:rsidRPr="00F25B78">
          <w:rPr>
            <w:rFonts w:ascii="FrankRuehl" w:hAnsi="FrankRuehl" w:cs="FrankRuehl"/>
            <w:color w:val="0000FF"/>
            <w:u w:val="single"/>
            <w:rtl/>
          </w:rPr>
          <w:t>40י(ב)(2)</w:t>
        </w:r>
      </w:hyperlink>
      <w:r w:rsidRPr="00F25B78">
        <w:rPr>
          <w:rFonts w:ascii="FrankRuehl" w:hAnsi="FrankRuehl" w:cs="FrankRuehl"/>
          <w:rtl/>
        </w:rPr>
        <w:t xml:space="preserve">, </w:t>
      </w:r>
      <w:hyperlink r:id="rId19" w:history="1">
        <w:r w:rsidRPr="00F25B78">
          <w:rPr>
            <w:rFonts w:ascii="FrankRuehl" w:hAnsi="FrankRuehl" w:cs="FrankRuehl"/>
            <w:color w:val="0000FF"/>
            <w:u w:val="single"/>
            <w:rtl/>
          </w:rPr>
          <w:t>40י(ג)</w:t>
        </w:r>
      </w:hyperlink>
      <w:r w:rsidRPr="00F25B78">
        <w:rPr>
          <w:rFonts w:ascii="FrankRuehl" w:hAnsi="FrankRuehl" w:cs="FrankRuehl"/>
          <w:rtl/>
        </w:rPr>
        <w:t xml:space="preserve">, </w:t>
      </w:r>
      <w:hyperlink r:id="rId20" w:history="1">
        <w:r w:rsidRPr="00F25B78">
          <w:rPr>
            <w:rFonts w:ascii="FrankRuehl" w:hAnsi="FrankRuehl" w:cs="FrankRuehl"/>
            <w:color w:val="0000FF"/>
            <w:u w:val="single"/>
            <w:rtl/>
          </w:rPr>
          <w:t>144</w:t>
        </w:r>
      </w:hyperlink>
      <w:r w:rsidRPr="00F25B78">
        <w:rPr>
          <w:rFonts w:ascii="FrankRuehl" w:hAnsi="FrankRuehl" w:cs="FrankRuehl"/>
          <w:rtl/>
        </w:rPr>
        <w:t xml:space="preserve">, </w:t>
      </w:r>
      <w:hyperlink r:id="rId21" w:history="1">
        <w:r w:rsidRPr="00F25B78">
          <w:rPr>
            <w:rFonts w:ascii="FrankRuehl" w:hAnsi="FrankRuehl" w:cs="FrankRuehl"/>
            <w:color w:val="0000FF"/>
            <w:u w:val="single"/>
            <w:rtl/>
          </w:rPr>
          <w:t>144(א)</w:t>
        </w:r>
      </w:hyperlink>
      <w:r w:rsidRPr="00F25B78">
        <w:rPr>
          <w:rFonts w:ascii="FrankRuehl" w:hAnsi="FrankRuehl" w:cs="FrankRuehl"/>
          <w:rtl/>
        </w:rPr>
        <w:t xml:space="preserve">, </w:t>
      </w:r>
      <w:hyperlink r:id="rId22" w:history="1">
        <w:r w:rsidRPr="00F25B78">
          <w:rPr>
            <w:rFonts w:ascii="FrankRuehl" w:hAnsi="FrankRuehl" w:cs="FrankRuehl"/>
            <w:color w:val="0000FF"/>
            <w:u w:val="single"/>
            <w:rtl/>
          </w:rPr>
          <w:t>144(ב)</w:t>
        </w:r>
      </w:hyperlink>
      <w:r w:rsidRPr="00F25B78">
        <w:rPr>
          <w:rFonts w:ascii="FrankRuehl" w:hAnsi="FrankRuehl" w:cs="FrankRuehl"/>
          <w:rtl/>
        </w:rPr>
        <w:t xml:space="preserve">, </w:t>
      </w:r>
      <w:hyperlink r:id="rId23" w:history="1">
        <w:r w:rsidRPr="00F25B78">
          <w:rPr>
            <w:rFonts w:ascii="FrankRuehl" w:hAnsi="FrankRuehl" w:cs="FrankRuehl"/>
            <w:color w:val="0000FF"/>
            <w:u w:val="single"/>
            <w:rtl/>
          </w:rPr>
          <w:t>40יא</w:t>
        </w:r>
      </w:hyperlink>
      <w:r w:rsidRPr="00F25B78">
        <w:rPr>
          <w:rFonts w:ascii="FrankRuehl" w:hAnsi="FrankRuehl" w:cs="FrankRuehl"/>
          <w:rtl/>
        </w:rPr>
        <w:t xml:space="preserve">, </w:t>
      </w:r>
      <w:hyperlink r:id="rId24" w:history="1">
        <w:r w:rsidRPr="00F25B78">
          <w:rPr>
            <w:rFonts w:ascii="FrankRuehl" w:hAnsi="FrankRuehl" w:cs="FrankRuehl"/>
            <w:color w:val="0000FF"/>
            <w:u w:val="single"/>
            <w:rtl/>
          </w:rPr>
          <w:t>בפרק ו'</w:t>
        </w:r>
      </w:hyperlink>
      <w:r w:rsidRPr="00F25B78">
        <w:rPr>
          <w:rFonts w:ascii="FrankRuehl" w:hAnsi="FrankRuehl" w:cs="FrankRuehl"/>
          <w:rtl/>
        </w:rPr>
        <w:t xml:space="preserve">, </w:t>
      </w:r>
      <w:hyperlink r:id="rId25" w:history="1">
        <w:r w:rsidRPr="00F25B78">
          <w:rPr>
            <w:rFonts w:ascii="FrankRuehl" w:hAnsi="FrankRuehl" w:cs="FrankRuehl"/>
            <w:color w:val="0000FF"/>
            <w:u w:val="single"/>
            <w:rtl/>
          </w:rPr>
          <w:t>א'1</w:t>
        </w:r>
      </w:hyperlink>
    </w:p>
    <w:p w14:paraId="7879A2F7" w14:textId="77777777" w:rsidR="00F25B78" w:rsidRPr="00F25B78" w:rsidRDefault="00F25B78" w:rsidP="00F25B78">
      <w:pPr>
        <w:spacing w:after="120" w:line="240" w:lineRule="exact"/>
        <w:ind w:left="283" w:hanging="283"/>
        <w:jc w:val="both"/>
        <w:rPr>
          <w:rFonts w:ascii="FrankRuehl" w:hAnsi="FrankRuehl" w:cs="FrankRuehl"/>
          <w:rtl/>
        </w:rPr>
      </w:pPr>
      <w:hyperlink r:id="rId26" w:history="1">
        <w:r w:rsidRPr="00F25B78">
          <w:rPr>
            <w:rFonts w:ascii="FrankRuehl" w:hAnsi="FrankRuehl" w:cs="FrankRuehl"/>
            <w:color w:val="0000FF"/>
            <w:u w:val="single"/>
            <w:rtl/>
          </w:rPr>
          <w:t>פקודת התעבורה [נוסח חדש]</w:t>
        </w:r>
      </w:hyperlink>
      <w:r w:rsidRPr="00F25B78">
        <w:rPr>
          <w:rFonts w:ascii="FrankRuehl" w:hAnsi="FrankRuehl" w:cs="FrankRuehl"/>
          <w:rtl/>
        </w:rPr>
        <w:t xml:space="preserve">: סע'  </w:t>
      </w:r>
      <w:hyperlink r:id="rId27" w:history="1">
        <w:r w:rsidRPr="00F25B78">
          <w:rPr>
            <w:rFonts w:ascii="FrankRuehl" w:hAnsi="FrankRuehl" w:cs="FrankRuehl"/>
            <w:color w:val="0000FF"/>
            <w:u w:val="single"/>
            <w:rtl/>
          </w:rPr>
          <w:t>43</w:t>
        </w:r>
      </w:hyperlink>
    </w:p>
    <w:p w14:paraId="6D6DE858" w14:textId="77777777" w:rsidR="009B3218" w:rsidRPr="009B3218" w:rsidRDefault="009B3218" w:rsidP="00DF6722">
      <w:pPr>
        <w:rPr>
          <w:rFonts w:ascii="Arial" w:hAnsi="Arial" w:hint="cs"/>
          <w:rtl/>
        </w:rPr>
      </w:pPr>
      <w:bookmarkStart w:id="3" w:name="LawTable_End"/>
      <w:bookmarkEnd w:id="3"/>
    </w:p>
    <w:p w14:paraId="2C7779AC" w14:textId="77777777" w:rsidR="00DF6722" w:rsidRPr="009B3218" w:rsidRDefault="00DF6722" w:rsidP="00DF6722">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F6722" w:rsidRPr="00F62E91" w14:paraId="56E5A28E" w14:textId="77777777" w:rsidTr="00DF6722">
        <w:trPr>
          <w:trHeight w:val="355"/>
          <w:jc w:val="center"/>
        </w:trPr>
        <w:tc>
          <w:tcPr>
            <w:tcW w:w="8820" w:type="dxa"/>
            <w:tcBorders>
              <w:top w:val="nil"/>
              <w:left w:val="nil"/>
              <w:bottom w:val="nil"/>
              <w:right w:val="nil"/>
            </w:tcBorders>
            <w:shd w:val="clear" w:color="auto" w:fill="auto"/>
          </w:tcPr>
          <w:p w14:paraId="7E837F24" w14:textId="77777777" w:rsidR="009B3218" w:rsidRPr="009B3218" w:rsidRDefault="009B3218" w:rsidP="009B3218">
            <w:pPr>
              <w:jc w:val="center"/>
              <w:rPr>
                <w:rFonts w:ascii="Arial" w:hAnsi="Arial"/>
                <w:b/>
                <w:bCs/>
                <w:sz w:val="32"/>
                <w:szCs w:val="32"/>
                <w:u w:val="single"/>
                <w:rtl/>
              </w:rPr>
            </w:pPr>
            <w:bookmarkStart w:id="4" w:name="PsakDin" w:colFirst="0" w:colLast="0"/>
            <w:bookmarkEnd w:id="0"/>
            <w:r w:rsidRPr="009B3218">
              <w:rPr>
                <w:rFonts w:ascii="Arial" w:hAnsi="Arial"/>
                <w:b/>
                <w:bCs/>
                <w:sz w:val="32"/>
                <w:szCs w:val="32"/>
                <w:u w:val="single"/>
                <w:rtl/>
              </w:rPr>
              <w:t>גזר דין</w:t>
            </w:r>
          </w:p>
          <w:p w14:paraId="15B1891C" w14:textId="77777777" w:rsidR="00DF6722" w:rsidRPr="009B3218" w:rsidRDefault="00DF6722" w:rsidP="009B3218">
            <w:pPr>
              <w:jc w:val="center"/>
              <w:rPr>
                <w:rFonts w:ascii="Arial" w:hAnsi="Arial"/>
                <w:b/>
                <w:bCs/>
                <w:sz w:val="32"/>
                <w:szCs w:val="32"/>
                <w:u w:val="single"/>
                <w:rtl/>
              </w:rPr>
            </w:pPr>
          </w:p>
        </w:tc>
      </w:tr>
      <w:bookmarkEnd w:id="4"/>
    </w:tbl>
    <w:p w14:paraId="429A01F2" w14:textId="77777777" w:rsidR="00DF6722" w:rsidRPr="00B05847" w:rsidRDefault="00DF6722" w:rsidP="00DF6722">
      <w:pPr>
        <w:rPr>
          <w:rFonts w:ascii="Arial" w:hAnsi="Arial"/>
          <w:rtl/>
        </w:rPr>
      </w:pPr>
    </w:p>
    <w:p w14:paraId="29496B05" w14:textId="77777777" w:rsidR="00DF6722" w:rsidRPr="00B05847" w:rsidRDefault="00DF6722" w:rsidP="00DF6722">
      <w:pPr>
        <w:rPr>
          <w:rFonts w:ascii="Arial" w:hAnsi="Arial"/>
          <w:rtl/>
        </w:rPr>
      </w:pPr>
    </w:p>
    <w:p w14:paraId="009B6AF3" w14:textId="77777777" w:rsidR="00DF6722" w:rsidRDefault="00DF6722" w:rsidP="00DF6722">
      <w:pPr>
        <w:rPr>
          <w:rtl/>
        </w:rPr>
      </w:pPr>
      <w:r>
        <w:rPr>
          <w:rFonts w:hint="cs"/>
          <w:b/>
          <w:bCs/>
          <w:u w:val="single"/>
          <w:rtl/>
        </w:rPr>
        <w:t>כללי</w:t>
      </w:r>
    </w:p>
    <w:p w14:paraId="65628E5E" w14:textId="77777777" w:rsidR="00DF6722" w:rsidRDefault="00DF6722" w:rsidP="00DF6722">
      <w:pPr>
        <w:spacing w:line="360" w:lineRule="auto"/>
        <w:jc w:val="both"/>
        <w:rPr>
          <w:rtl/>
        </w:rPr>
      </w:pPr>
      <w:bookmarkStart w:id="5" w:name="ABSTRACT_START"/>
      <w:bookmarkEnd w:id="5"/>
      <w:r>
        <w:rPr>
          <w:rFonts w:hint="cs"/>
          <w:rtl/>
        </w:rPr>
        <w:t xml:space="preserve">הנאשם, מר סעיד מסרי נותן את הדין על כך, שבתאריך  29.5.17, בשעות הערב, </w:t>
      </w:r>
      <w:r w:rsidRPr="00C6788B">
        <w:rPr>
          <w:rFonts w:hint="cs"/>
          <w:b/>
          <w:bCs/>
          <w:rtl/>
        </w:rPr>
        <w:t>נשא בלא רשות על פי דין, תת מקלע מאולתר ומחסנית ובתוכה כדור לנשק</w:t>
      </w:r>
      <w:r w:rsidRPr="00F85C40">
        <w:rPr>
          <w:rFonts w:hint="cs"/>
          <w:rtl/>
        </w:rPr>
        <w:t>.</w:t>
      </w:r>
      <w:r>
        <w:rPr>
          <w:rFonts w:hint="cs"/>
          <w:rtl/>
        </w:rPr>
        <w:t xml:space="preserve"> הנאשם החזיק את כלי הנשק, המחסנית והכדור בתוך תיק שנשא על גבו, בעודו צועד, באותו היום, בשעה 20:10  באזור מגורים בבענה. </w:t>
      </w:r>
    </w:p>
    <w:p w14:paraId="10FC9ECB" w14:textId="77777777" w:rsidR="00DF6722" w:rsidRDefault="00DF6722" w:rsidP="00DF6722">
      <w:pPr>
        <w:spacing w:line="360" w:lineRule="auto"/>
        <w:jc w:val="both"/>
        <w:rPr>
          <w:rtl/>
        </w:rPr>
      </w:pPr>
      <w:r>
        <w:rPr>
          <w:rFonts w:hint="cs"/>
          <w:rtl/>
        </w:rPr>
        <w:t xml:space="preserve">בגין מעשיו הללו, הוא הורשע, על יסוד הודאתו, בעבירה של </w:t>
      </w:r>
      <w:r w:rsidRPr="00C6788B">
        <w:rPr>
          <w:rFonts w:hint="cs"/>
          <w:b/>
          <w:bCs/>
          <w:rtl/>
        </w:rPr>
        <w:t>נשיאת נשק שלא כדין</w:t>
      </w:r>
      <w:r>
        <w:rPr>
          <w:rFonts w:hint="cs"/>
          <w:rtl/>
        </w:rPr>
        <w:t xml:space="preserve">, לפי סעיף </w:t>
      </w:r>
      <w:hyperlink r:id="rId28" w:history="1">
        <w:r w:rsidR="00F25B78" w:rsidRPr="00F25B78">
          <w:rPr>
            <w:color w:val="0000FF"/>
            <w:u w:val="single"/>
            <w:rtl/>
          </w:rPr>
          <w:t>144(ב)</w:t>
        </w:r>
      </w:hyperlink>
      <w:r w:rsidR="00F25B78">
        <w:rPr>
          <w:rFonts w:hint="cs"/>
          <w:rtl/>
        </w:rPr>
        <w:t xml:space="preserve"> </w:t>
      </w:r>
      <w:r>
        <w:rPr>
          <w:rFonts w:hint="cs"/>
          <w:rtl/>
        </w:rPr>
        <w:t>(רישא וסיפא) ל</w:t>
      </w:r>
      <w:hyperlink r:id="rId29" w:history="1">
        <w:r w:rsidR="009B3218" w:rsidRPr="009B3218">
          <w:rPr>
            <w:color w:val="0000FF"/>
            <w:u w:val="single"/>
            <w:rtl/>
          </w:rPr>
          <w:t>חוק העונשין</w:t>
        </w:r>
      </w:hyperlink>
      <w:r>
        <w:rPr>
          <w:rFonts w:hint="cs"/>
          <w:rtl/>
        </w:rPr>
        <w:t>, התשל"ז-1977 (להלן: "</w:t>
      </w:r>
      <w:r w:rsidRPr="00D66312">
        <w:rPr>
          <w:rFonts w:hint="cs"/>
          <w:b/>
          <w:bCs/>
          <w:rtl/>
        </w:rPr>
        <w:t>חוק העונשין</w:t>
      </w:r>
      <w:r>
        <w:rPr>
          <w:rFonts w:hint="cs"/>
          <w:rtl/>
        </w:rPr>
        <w:t xml:space="preserve">"). </w:t>
      </w:r>
    </w:p>
    <w:p w14:paraId="46648D3D" w14:textId="77777777" w:rsidR="00DF6722" w:rsidRDefault="00DF6722" w:rsidP="00DF6722">
      <w:pPr>
        <w:spacing w:line="360" w:lineRule="auto"/>
        <w:jc w:val="both"/>
        <w:rPr>
          <w:rtl/>
        </w:rPr>
      </w:pPr>
    </w:p>
    <w:p w14:paraId="1A8B3F8B" w14:textId="77777777" w:rsidR="00DF6722" w:rsidRPr="00812402" w:rsidRDefault="00DF6722" w:rsidP="00DF6722">
      <w:pPr>
        <w:spacing w:line="360" w:lineRule="auto"/>
        <w:jc w:val="both"/>
        <w:rPr>
          <w:b/>
          <w:bCs/>
          <w:u w:val="single"/>
          <w:rtl/>
        </w:rPr>
      </w:pPr>
      <w:bookmarkStart w:id="6" w:name="ABSTRACT_END"/>
      <w:bookmarkEnd w:id="6"/>
      <w:r w:rsidRPr="00812402">
        <w:rPr>
          <w:rFonts w:hint="cs"/>
          <w:b/>
          <w:bCs/>
          <w:u w:val="single"/>
          <w:rtl/>
        </w:rPr>
        <w:t xml:space="preserve">ראיות </w:t>
      </w:r>
      <w:r>
        <w:rPr>
          <w:rFonts w:hint="cs"/>
          <w:b/>
          <w:bCs/>
          <w:u w:val="single"/>
          <w:rtl/>
        </w:rPr>
        <w:t xml:space="preserve">לעניין </w:t>
      </w:r>
      <w:r w:rsidRPr="00812402">
        <w:rPr>
          <w:rFonts w:hint="cs"/>
          <w:b/>
          <w:bCs/>
          <w:u w:val="single"/>
          <w:rtl/>
        </w:rPr>
        <w:t>העונש</w:t>
      </w:r>
      <w:r>
        <w:rPr>
          <w:rFonts w:hint="cs"/>
          <w:b/>
          <w:bCs/>
          <w:u w:val="single"/>
          <w:rtl/>
        </w:rPr>
        <w:t xml:space="preserve">  - הוכחת "נסיבות הקשורות בביצוע העבירה"</w:t>
      </w:r>
    </w:p>
    <w:p w14:paraId="6B117DED" w14:textId="77777777" w:rsidR="00DF6722" w:rsidRPr="00DE37D3" w:rsidRDefault="00DF6722" w:rsidP="00DF6722">
      <w:pPr>
        <w:spacing w:line="360" w:lineRule="auto"/>
        <w:jc w:val="both"/>
        <w:rPr>
          <w:rtl/>
        </w:rPr>
      </w:pPr>
      <w:r>
        <w:rPr>
          <w:rFonts w:hint="cs"/>
          <w:rtl/>
        </w:rPr>
        <w:t>בשלב</w:t>
      </w:r>
      <w:r w:rsidRPr="008B43A7">
        <w:rPr>
          <w:rFonts w:hint="cs"/>
          <w:rtl/>
        </w:rPr>
        <w:t xml:space="preserve"> </w:t>
      </w:r>
      <w:r w:rsidRPr="008B43A7">
        <w:rPr>
          <w:rFonts w:hint="cs"/>
          <w:u w:val="single"/>
          <w:rtl/>
        </w:rPr>
        <w:t>הטיעונים לעניין העונש</w:t>
      </w:r>
      <w:r w:rsidRPr="008B43A7">
        <w:rPr>
          <w:rFonts w:hint="cs"/>
          <w:rtl/>
        </w:rPr>
        <w:t xml:space="preserve"> </w:t>
      </w:r>
      <w:r>
        <w:rPr>
          <w:rFonts w:hint="cs"/>
          <w:rtl/>
        </w:rPr>
        <w:t>העלה</w:t>
      </w:r>
      <w:r w:rsidRPr="008B43A7">
        <w:rPr>
          <w:rFonts w:hint="cs"/>
          <w:rtl/>
        </w:rPr>
        <w:t xml:space="preserve"> הנאשם </w:t>
      </w:r>
      <w:r>
        <w:rPr>
          <w:rFonts w:hint="cs"/>
          <w:rtl/>
        </w:rPr>
        <w:t>את</w:t>
      </w:r>
      <w:r w:rsidRPr="008B43A7">
        <w:rPr>
          <w:rFonts w:hint="cs"/>
          <w:rtl/>
        </w:rPr>
        <w:t xml:space="preserve"> גרסתו </w:t>
      </w:r>
      <w:r>
        <w:rPr>
          <w:rFonts w:hint="cs"/>
          <w:rtl/>
        </w:rPr>
        <w:t>בהתייחס ל</w:t>
      </w:r>
      <w:r w:rsidRPr="008B43A7">
        <w:rPr>
          <w:rFonts w:hint="cs"/>
          <w:rtl/>
        </w:rPr>
        <w:t>נסיבות</w:t>
      </w:r>
      <w:r>
        <w:rPr>
          <w:rFonts w:hint="cs"/>
          <w:rtl/>
        </w:rPr>
        <w:t>,</w:t>
      </w:r>
      <w:r w:rsidRPr="008B43A7">
        <w:rPr>
          <w:rFonts w:hint="cs"/>
          <w:rtl/>
        </w:rPr>
        <w:t xml:space="preserve"> הקשורות בביצוע העבירה. בדיון שהתקיים ביום 24.9.17  טען הנאשם, באמצעות סנגורו כי, </w:t>
      </w:r>
      <w:r>
        <w:rPr>
          <w:rFonts w:hint="cs"/>
          <w:rtl/>
        </w:rPr>
        <w:t>בד בבד עם</w:t>
      </w:r>
      <w:r w:rsidRPr="008B43A7">
        <w:rPr>
          <w:rFonts w:hint="cs"/>
          <w:rtl/>
        </w:rPr>
        <w:t xml:space="preserve"> הודאתו, הוא חוזר וטוען כי מאן דהוא "</w:t>
      </w:r>
      <w:r w:rsidRPr="000F02C4">
        <w:rPr>
          <w:rFonts w:hint="cs"/>
          <w:b/>
          <w:bCs/>
          <w:rtl/>
        </w:rPr>
        <w:t>זרק עליו תיק הוא פתח את התיק, ידע מה יש, לטענתו הוא הסתובב כמה דקות, נלחץ ולא ידע כל כך מה לעשות עם זה. זו טענת הנאשם</w:t>
      </w:r>
      <w:r w:rsidRPr="008B43A7">
        <w:rPr>
          <w:rFonts w:hint="cs"/>
          <w:rtl/>
        </w:rPr>
        <w:t xml:space="preserve">".  </w:t>
      </w:r>
    </w:p>
    <w:p w14:paraId="1918E36A" w14:textId="77777777" w:rsidR="00DF6722" w:rsidRDefault="00DF6722" w:rsidP="00DF6722">
      <w:pPr>
        <w:jc w:val="both"/>
        <w:rPr>
          <w:rtl/>
        </w:rPr>
      </w:pPr>
    </w:p>
    <w:p w14:paraId="6AD905CA" w14:textId="77777777" w:rsidR="00DF6722" w:rsidRDefault="00DF6722" w:rsidP="00DF6722">
      <w:pPr>
        <w:spacing w:line="360" w:lineRule="auto"/>
        <w:jc w:val="both"/>
        <w:rPr>
          <w:rtl/>
        </w:rPr>
      </w:pPr>
      <w:r w:rsidRPr="00021204">
        <w:rPr>
          <w:rFonts w:hint="cs"/>
          <w:rtl/>
        </w:rPr>
        <w:lastRenderedPageBreak/>
        <w:t xml:space="preserve">כשאלו הם פני הדברים, </w:t>
      </w:r>
      <w:r>
        <w:rPr>
          <w:rFonts w:hint="cs"/>
          <w:rtl/>
        </w:rPr>
        <w:t xml:space="preserve">ביקשה המאשימה לסתור את הטענה בדבר התקיימותה של נסיבה "מקילה" זו (ולהוכיח שהנאשם הגיע עם הנשק מלכתחילה למקום) באמצעות עדי תביעה וסרטון וידאו שבמסגרתו צולם הנאשם במקום ביצוע העבירה, ביום האירוע.   </w:t>
      </w:r>
    </w:p>
    <w:p w14:paraId="22BFFDA3" w14:textId="77777777" w:rsidR="00DF6722" w:rsidRDefault="00DF6722" w:rsidP="00DF6722">
      <w:pPr>
        <w:spacing w:line="360" w:lineRule="auto"/>
        <w:jc w:val="both"/>
        <w:rPr>
          <w:rtl/>
        </w:rPr>
      </w:pPr>
    </w:p>
    <w:p w14:paraId="3A721561" w14:textId="77777777" w:rsidR="00DF6722" w:rsidRDefault="00DF6722" w:rsidP="00DF6722">
      <w:pPr>
        <w:spacing w:line="360" w:lineRule="auto"/>
        <w:jc w:val="both"/>
        <w:rPr>
          <w:rtl/>
        </w:rPr>
      </w:pPr>
      <w:r w:rsidRPr="000F02C4">
        <w:rPr>
          <w:rFonts w:hint="cs"/>
          <w:rtl/>
        </w:rPr>
        <w:t xml:space="preserve">ככלל, בהתאם </w:t>
      </w:r>
      <w:hyperlink r:id="rId30" w:history="1">
        <w:r w:rsidR="00F25B78" w:rsidRPr="00F25B78">
          <w:rPr>
            <w:color w:val="0000FF"/>
            <w:u w:val="single"/>
            <w:rtl/>
          </w:rPr>
          <w:t>לסעיף 40י(א)</w:t>
        </w:r>
      </w:hyperlink>
      <w:r w:rsidRPr="000F02C4">
        <w:rPr>
          <w:rFonts w:hint="cs"/>
          <w:rtl/>
        </w:rPr>
        <w:t xml:space="preserve"> ל</w:t>
      </w:r>
      <w:hyperlink r:id="rId31" w:history="1">
        <w:r w:rsidR="009B3218" w:rsidRPr="009B3218">
          <w:rPr>
            <w:color w:val="0000FF"/>
            <w:u w:val="single"/>
            <w:rtl/>
          </w:rPr>
          <w:t>חוק העונשין</w:t>
        </w:r>
      </w:hyperlink>
      <w:r w:rsidRPr="000F02C4">
        <w:rPr>
          <w:rFonts w:hint="cs"/>
          <w:rtl/>
        </w:rPr>
        <w:t xml:space="preserve"> יקבע בית המשפט כי התקיימו נסיבות הקשורות בביצוע העבירה על בסיס ראיות שהובאו בשלב בירור האשמה, ולא בשלב גזירת הדין. תכלית הסעיף היא לאפשר לצדדים לדעת מראש את הנסיבות שאיתן ייאלצו להתמודד בשלב הטיעונים לעונש. </w:t>
      </w:r>
    </w:p>
    <w:p w14:paraId="45AB08CC" w14:textId="77777777" w:rsidR="00DF6722" w:rsidRPr="000F02C4" w:rsidRDefault="00DF6722" w:rsidP="00DF6722">
      <w:pPr>
        <w:jc w:val="both"/>
        <w:rPr>
          <w:rtl/>
        </w:rPr>
      </w:pPr>
    </w:p>
    <w:p w14:paraId="4D7D5CCA" w14:textId="77777777" w:rsidR="00DF6722" w:rsidRDefault="00DF6722" w:rsidP="00DF6722">
      <w:pPr>
        <w:spacing w:line="360" w:lineRule="auto"/>
        <w:jc w:val="both"/>
        <w:rPr>
          <w:b/>
          <w:bCs/>
          <w:rtl/>
        </w:rPr>
      </w:pPr>
      <w:r w:rsidRPr="000F02C4">
        <w:rPr>
          <w:rFonts w:hint="cs"/>
          <w:rtl/>
        </w:rPr>
        <w:t xml:space="preserve">עם זאת, רשאי הנאשם בשלב הטיעונים לעונש להביא ראיות מטעמו ובלבד שאינן סותרות את הנטען על ידיו בשלב בירור האשמה (ראו: </w:t>
      </w:r>
      <w:hyperlink r:id="rId32" w:history="1">
        <w:r w:rsidR="00F25B78" w:rsidRPr="00F25B78">
          <w:rPr>
            <w:color w:val="0000FF"/>
            <w:u w:val="single"/>
            <w:rtl/>
          </w:rPr>
          <w:t>סעיף 40י(ב)(1)</w:t>
        </w:r>
      </w:hyperlink>
      <w:r w:rsidR="00F25B78">
        <w:rPr>
          <w:rFonts w:hint="cs"/>
          <w:rtl/>
        </w:rPr>
        <w:t xml:space="preserve"> </w:t>
      </w:r>
      <w:r w:rsidRPr="000F02C4">
        <w:rPr>
          <w:rFonts w:hint="cs"/>
          <w:rtl/>
        </w:rPr>
        <w:t>ל</w:t>
      </w:r>
      <w:hyperlink r:id="rId33" w:history="1">
        <w:r w:rsidR="009B3218" w:rsidRPr="009B3218">
          <w:rPr>
            <w:color w:val="0000FF"/>
            <w:u w:val="single"/>
            <w:rtl/>
          </w:rPr>
          <w:t>חוק העונשין</w:t>
        </w:r>
      </w:hyperlink>
      <w:r w:rsidRPr="000F02C4">
        <w:rPr>
          <w:rFonts w:hint="cs"/>
          <w:rtl/>
        </w:rPr>
        <w:t>). כמו כן, רשאי בית המשפט, לבקשת אחד מהצדדים, להתיר להביא ראיות בעניין נסיבות</w:t>
      </w:r>
      <w:r>
        <w:rPr>
          <w:rFonts w:hint="cs"/>
          <w:rtl/>
        </w:rPr>
        <w:t>,</w:t>
      </w:r>
      <w:r w:rsidRPr="000F02C4">
        <w:rPr>
          <w:rFonts w:hint="cs"/>
          <w:rtl/>
        </w:rPr>
        <w:t xml:space="preserve"> הקשורות בביצוע העבירה בשלב הטיעונים לעונש (ראו: </w:t>
      </w:r>
      <w:hyperlink r:id="rId34" w:history="1">
        <w:r w:rsidR="00F25B78" w:rsidRPr="00F25B78">
          <w:rPr>
            <w:color w:val="0000FF"/>
            <w:u w:val="single"/>
            <w:rtl/>
          </w:rPr>
          <w:t>סעיף 40י(ב)(2)</w:t>
        </w:r>
      </w:hyperlink>
      <w:r w:rsidR="00F25B78">
        <w:rPr>
          <w:rFonts w:hint="cs"/>
          <w:rtl/>
        </w:rPr>
        <w:t xml:space="preserve"> </w:t>
      </w:r>
      <w:r w:rsidRPr="000F02C4">
        <w:rPr>
          <w:rFonts w:hint="cs"/>
          <w:rtl/>
        </w:rPr>
        <w:t>ל</w:t>
      </w:r>
      <w:hyperlink r:id="rId35" w:history="1">
        <w:r w:rsidR="009B3218" w:rsidRPr="009B3218">
          <w:rPr>
            <w:color w:val="0000FF"/>
            <w:u w:val="single"/>
            <w:rtl/>
          </w:rPr>
          <w:t>חוק העונשין</w:t>
        </w:r>
      </w:hyperlink>
      <w:r w:rsidRPr="000F02C4">
        <w:rPr>
          <w:rFonts w:hint="cs"/>
          <w:rtl/>
        </w:rPr>
        <w:t xml:space="preserve">) </w:t>
      </w:r>
      <w:r w:rsidRPr="000F02C4">
        <w:rPr>
          <w:rFonts w:hint="cs"/>
          <w:b/>
          <w:bCs/>
          <w:rtl/>
        </w:rPr>
        <w:t>אם שוכנע כי לא הייתה אפשרות לטעון לגביהן בשלב בירור האשמה</w:t>
      </w:r>
      <w:r w:rsidRPr="000F02C4">
        <w:rPr>
          <w:rFonts w:hint="cs"/>
          <w:rtl/>
        </w:rPr>
        <w:t xml:space="preserve"> או </w:t>
      </w:r>
      <w:r w:rsidRPr="000F02C4">
        <w:rPr>
          <w:rFonts w:hint="cs"/>
          <w:b/>
          <w:bCs/>
          <w:rtl/>
        </w:rPr>
        <w:t xml:space="preserve">אם הדבר דרוש כדי למנוע עיוות דין.   </w:t>
      </w:r>
    </w:p>
    <w:p w14:paraId="5D5D93B0" w14:textId="77777777" w:rsidR="00DF6722" w:rsidRPr="000F02C4" w:rsidRDefault="00DF6722" w:rsidP="00DF6722">
      <w:pPr>
        <w:jc w:val="both"/>
        <w:rPr>
          <w:b/>
          <w:bCs/>
          <w:rtl/>
        </w:rPr>
      </w:pPr>
    </w:p>
    <w:p w14:paraId="69F7ACC3" w14:textId="77777777" w:rsidR="00DF6722" w:rsidRPr="000F02C4" w:rsidRDefault="00DF6722" w:rsidP="00DF6722">
      <w:pPr>
        <w:spacing w:line="360" w:lineRule="auto"/>
        <w:jc w:val="both"/>
        <w:rPr>
          <w:rtl/>
        </w:rPr>
      </w:pPr>
      <w:r w:rsidRPr="000F02C4">
        <w:rPr>
          <w:rFonts w:hint="cs"/>
          <w:rtl/>
        </w:rPr>
        <w:t xml:space="preserve">מאחר ובמקרה דנן הורשע הנאשם על יסוד הודאתו בעובדות כתב האישום המתוקן בשלבים הראשונים של המשפט, עלה קושי נוכח טענותיו (המפתיעות, לגרסת התביעה) </w:t>
      </w:r>
      <w:r w:rsidRPr="000F02C4">
        <w:rPr>
          <w:rFonts w:hint="cs"/>
          <w:u w:val="single"/>
          <w:rtl/>
        </w:rPr>
        <w:t>שעלו לאחר הודאתו</w:t>
      </w:r>
      <w:r w:rsidRPr="000F02C4">
        <w:rPr>
          <w:rFonts w:hint="cs"/>
          <w:rtl/>
        </w:rPr>
        <w:t xml:space="preserve">,  לקבוע ממצאים (נסיבה מקילה) אך ורק בהתבסס על עובדות כתב האישום כהווייתן. לפיכך, שוכנעתי כי לא הייתה אפשרות לטעון לגבי נסיבות אלו בשלב בירור האשמה. על כן, אפשרתי למאשימה </w:t>
      </w:r>
      <w:r w:rsidRPr="000F02C4">
        <w:rPr>
          <w:rFonts w:hint="cs"/>
          <w:b/>
          <w:bCs/>
          <w:rtl/>
        </w:rPr>
        <w:t>לסתור</w:t>
      </w:r>
      <w:r w:rsidRPr="000F02C4">
        <w:rPr>
          <w:rFonts w:hint="cs"/>
          <w:rtl/>
        </w:rPr>
        <w:t xml:space="preserve">(באמצעות ראיות) </w:t>
      </w:r>
      <w:r w:rsidRPr="000F02C4">
        <w:rPr>
          <w:rFonts w:hint="cs"/>
          <w:b/>
          <w:bCs/>
          <w:rtl/>
        </w:rPr>
        <w:t xml:space="preserve">את טענתו של הנאשם (כנסיבה מקילה בלבד). </w:t>
      </w:r>
    </w:p>
    <w:p w14:paraId="5DABAF45" w14:textId="77777777" w:rsidR="00DF6722" w:rsidRDefault="00DF6722" w:rsidP="00DF6722">
      <w:pPr>
        <w:spacing w:line="360" w:lineRule="auto"/>
        <w:jc w:val="both"/>
        <w:rPr>
          <w:b/>
          <w:bCs/>
          <w:rtl/>
        </w:rPr>
      </w:pPr>
    </w:p>
    <w:p w14:paraId="1E6FE2A1" w14:textId="77777777" w:rsidR="00DF6722" w:rsidRPr="00F85C40" w:rsidRDefault="00DF6722" w:rsidP="00DF6722">
      <w:pPr>
        <w:spacing w:line="360" w:lineRule="auto"/>
        <w:jc w:val="both"/>
        <w:rPr>
          <w:b/>
          <w:bCs/>
          <w:u w:val="single"/>
          <w:rtl/>
        </w:rPr>
      </w:pPr>
      <w:r w:rsidRPr="00F85C40">
        <w:rPr>
          <w:rFonts w:hint="cs"/>
          <w:b/>
          <w:bCs/>
          <w:u w:val="single"/>
          <w:rtl/>
        </w:rPr>
        <w:t>ראיות התביעה בעניין הנסיבות הקשורות בביצוע העבירה</w:t>
      </w:r>
    </w:p>
    <w:p w14:paraId="4555F7EE" w14:textId="77777777" w:rsidR="00DF6722" w:rsidRDefault="00DF6722" w:rsidP="00DF6722">
      <w:pPr>
        <w:spacing w:line="360" w:lineRule="auto"/>
        <w:jc w:val="both"/>
        <w:rPr>
          <w:rtl/>
        </w:rPr>
      </w:pPr>
      <w:r w:rsidRPr="000F02C4">
        <w:rPr>
          <w:rFonts w:hint="cs"/>
          <w:b/>
          <w:bCs/>
          <w:rtl/>
        </w:rPr>
        <w:t>ראשון עלה להעיד מטעם המאשימה</w:t>
      </w:r>
      <w:r w:rsidRPr="000F02C4">
        <w:rPr>
          <w:rFonts w:hint="cs"/>
          <w:rtl/>
        </w:rPr>
        <w:t xml:space="preserve"> (</w:t>
      </w:r>
      <w:r>
        <w:rPr>
          <w:rFonts w:hint="cs"/>
          <w:rtl/>
        </w:rPr>
        <w:t>ב</w:t>
      </w:r>
      <w:r w:rsidRPr="000F02C4">
        <w:rPr>
          <w:rFonts w:hint="cs"/>
          <w:rtl/>
        </w:rPr>
        <w:t xml:space="preserve">דיון </w:t>
      </w:r>
      <w:r>
        <w:rPr>
          <w:rFonts w:hint="cs"/>
          <w:rtl/>
        </w:rPr>
        <w:t>שנערך ב</w:t>
      </w:r>
      <w:r w:rsidRPr="000F02C4">
        <w:rPr>
          <w:rFonts w:hint="cs"/>
          <w:rtl/>
        </w:rPr>
        <w:t>יום</w:t>
      </w:r>
      <w:r>
        <w:rPr>
          <w:rFonts w:hint="cs"/>
          <w:rtl/>
        </w:rPr>
        <w:t xml:space="preserve"> 24.9.17) מר איברהים בדראן. עד זה תיאר את השתלשלות האירועים במקום (ובאותו הערב) בו נתפס הנאשם עם כלי הנשק. עד זה פירט, כי סכסוך שפרץ בין אביו לבין הדוד שלו הוביל למהומה רבתי. לגרסתו, במקום האירוע ".. היה הרבה רעש, נשים צועקות, נשים נכנסו לאובדן הכרה..". העד הסביר שהזמין אמבולנס למקום, שכן חשש שירביצו לאביו (שהוא אדם מבוגר). עוד צוין, כי נשמעו באזור יריות וזיקוקים. ב"כ המלומד של המאשימה שאל את העד אם הוא מכיר את הנאשם  וזה השיב כי לא ראה אותו בעבר ואיננו מכיר אותו. </w:t>
      </w:r>
    </w:p>
    <w:p w14:paraId="0E153D35" w14:textId="77777777" w:rsidR="00DF6722" w:rsidRDefault="00DF6722" w:rsidP="00DF6722">
      <w:pPr>
        <w:spacing w:line="360" w:lineRule="auto"/>
        <w:jc w:val="both"/>
        <w:rPr>
          <w:b/>
          <w:bCs/>
          <w:rtl/>
        </w:rPr>
      </w:pPr>
    </w:p>
    <w:p w14:paraId="5FD9C244" w14:textId="77777777" w:rsidR="00DF6722" w:rsidRDefault="00DF6722" w:rsidP="00DF6722">
      <w:pPr>
        <w:spacing w:line="360" w:lineRule="auto"/>
        <w:jc w:val="both"/>
        <w:rPr>
          <w:rtl/>
        </w:rPr>
      </w:pPr>
      <w:r w:rsidRPr="00B760EF">
        <w:rPr>
          <w:rFonts w:hint="cs"/>
          <w:b/>
          <w:bCs/>
          <w:rtl/>
        </w:rPr>
        <w:t>במסגרת עדותו</w:t>
      </w:r>
      <w:r>
        <w:rPr>
          <w:rFonts w:hint="cs"/>
          <w:b/>
          <w:bCs/>
          <w:rtl/>
        </w:rPr>
        <w:t>,</w:t>
      </w:r>
      <w:r w:rsidRPr="00B760EF">
        <w:rPr>
          <w:rFonts w:hint="cs"/>
          <w:b/>
          <w:bCs/>
          <w:rtl/>
        </w:rPr>
        <w:t xml:space="preserve"> התכחש העד לכך שהוא זה שאמר לאחד השוטרים</w:t>
      </w:r>
      <w:r>
        <w:rPr>
          <w:rFonts w:hint="cs"/>
          <w:rtl/>
        </w:rPr>
        <w:t xml:space="preserve">  </w:t>
      </w:r>
      <w:r w:rsidRPr="00B760EF">
        <w:rPr>
          <w:rFonts w:hint="cs"/>
          <w:b/>
          <w:bCs/>
          <w:rtl/>
        </w:rPr>
        <w:t>-</w:t>
      </w:r>
      <w:r>
        <w:rPr>
          <w:rFonts w:hint="cs"/>
          <w:b/>
          <w:bCs/>
          <w:rtl/>
        </w:rPr>
        <w:t xml:space="preserve"> </w:t>
      </w:r>
      <w:r w:rsidRPr="00B760EF">
        <w:rPr>
          <w:rFonts w:hint="cs"/>
          <w:b/>
          <w:bCs/>
          <w:rtl/>
        </w:rPr>
        <w:t>שהגיע למקום (</w:t>
      </w:r>
      <w:r>
        <w:rPr>
          <w:rFonts w:hint="cs"/>
          <w:b/>
          <w:bCs/>
          <w:rtl/>
        </w:rPr>
        <w:t>השוטר ואא</w:t>
      </w:r>
      <w:r w:rsidRPr="00B760EF">
        <w:rPr>
          <w:rFonts w:hint="cs"/>
          <w:b/>
          <w:bCs/>
          <w:rtl/>
        </w:rPr>
        <w:t xml:space="preserve">ל) -  כי הבחין בנאשם </w:t>
      </w:r>
      <w:r>
        <w:rPr>
          <w:rFonts w:hint="cs"/>
          <w:b/>
          <w:bCs/>
          <w:rtl/>
        </w:rPr>
        <w:t>"</w:t>
      </w:r>
      <w:r w:rsidRPr="00B760EF">
        <w:rPr>
          <w:rFonts w:hint="cs"/>
          <w:b/>
          <w:bCs/>
          <w:rtl/>
        </w:rPr>
        <w:t>כאדם זר</w:t>
      </w:r>
      <w:r>
        <w:rPr>
          <w:rFonts w:hint="cs"/>
          <w:b/>
          <w:bCs/>
          <w:rtl/>
        </w:rPr>
        <w:t>"</w:t>
      </w:r>
      <w:r w:rsidRPr="00B760EF">
        <w:rPr>
          <w:rFonts w:hint="cs"/>
          <w:b/>
          <w:bCs/>
          <w:rtl/>
        </w:rPr>
        <w:t xml:space="preserve"> במקום האירוע  ו</w:t>
      </w:r>
      <w:r>
        <w:rPr>
          <w:rFonts w:hint="cs"/>
          <w:b/>
          <w:bCs/>
          <w:rtl/>
        </w:rPr>
        <w:t xml:space="preserve">כי </w:t>
      </w:r>
      <w:r w:rsidRPr="00B760EF">
        <w:rPr>
          <w:rFonts w:hint="cs"/>
          <w:b/>
          <w:bCs/>
          <w:rtl/>
        </w:rPr>
        <w:t>הוא נראה לו חשוד</w:t>
      </w:r>
      <w:r>
        <w:rPr>
          <w:rFonts w:hint="cs"/>
          <w:rtl/>
        </w:rPr>
        <w:t xml:space="preserve">. ב"כ המאשימה ניסה  לרענן את זכרונו של העד מספר פעמים באמצעות הודעתו במשטרה  (מיום 29.5.17 ש' 16)  אך עד זה המשיך וטען שלא אמר לשוטר  שקיים נשק במקום ושהנאשם חשוד בעיניו. </w:t>
      </w:r>
      <w:r w:rsidRPr="00812402">
        <w:rPr>
          <w:rFonts w:hint="cs"/>
          <w:b/>
          <w:bCs/>
          <w:rtl/>
        </w:rPr>
        <w:t>כך, לאורך כל חקירתו התנער העד מכך שהוא</w:t>
      </w:r>
      <w:r>
        <w:rPr>
          <w:rFonts w:hint="cs"/>
          <w:b/>
          <w:bCs/>
          <w:rtl/>
        </w:rPr>
        <w:t xml:space="preserve"> היה</w:t>
      </w:r>
      <w:r w:rsidRPr="00812402">
        <w:rPr>
          <w:rFonts w:hint="cs"/>
          <w:b/>
          <w:bCs/>
          <w:rtl/>
        </w:rPr>
        <w:t xml:space="preserve"> זה שאמר לשוטר כי יש במקום בן אדם עם נשק בתיק ולמעשה הוא זה שהפנה את השוטר לעברו של  הנאשם</w:t>
      </w:r>
      <w:r>
        <w:rPr>
          <w:rFonts w:hint="cs"/>
          <w:rtl/>
        </w:rPr>
        <w:t xml:space="preserve">. לשאלת הסנגור השיב העד, כי לא הבחין במסגרת האירוע במישהו שזורק תיק ונלחץ. </w:t>
      </w:r>
    </w:p>
    <w:p w14:paraId="3FFE8465" w14:textId="77777777" w:rsidR="00DF6722" w:rsidRDefault="00DF6722" w:rsidP="00DF6722">
      <w:pPr>
        <w:spacing w:line="360" w:lineRule="auto"/>
        <w:jc w:val="both"/>
        <w:rPr>
          <w:rtl/>
        </w:rPr>
      </w:pPr>
    </w:p>
    <w:p w14:paraId="2229DA6E" w14:textId="77777777" w:rsidR="00DF6722" w:rsidRPr="00F85C40" w:rsidRDefault="00DF6722" w:rsidP="00DF6722">
      <w:pPr>
        <w:spacing w:line="360" w:lineRule="auto"/>
        <w:jc w:val="both"/>
        <w:rPr>
          <w:b/>
          <w:bCs/>
          <w:u w:val="single"/>
          <w:rtl/>
        </w:rPr>
      </w:pPr>
      <w:r w:rsidRPr="00F85C40">
        <w:rPr>
          <w:rFonts w:hint="cs"/>
          <w:b/>
          <w:bCs/>
          <w:u w:val="single"/>
          <w:rtl/>
        </w:rPr>
        <w:t>ראיות ההגנה בעניין הנסיבות הקשורות בביצוע העבירה</w:t>
      </w:r>
    </w:p>
    <w:p w14:paraId="3AAD693B" w14:textId="77777777" w:rsidR="00DF6722" w:rsidRDefault="00DF6722" w:rsidP="00DF6722">
      <w:pPr>
        <w:spacing w:line="360" w:lineRule="auto"/>
        <w:jc w:val="both"/>
        <w:rPr>
          <w:rtl/>
        </w:rPr>
      </w:pPr>
      <w:r>
        <w:rPr>
          <w:rFonts w:hint="cs"/>
          <w:rtl/>
        </w:rPr>
        <w:t xml:space="preserve">במסגרת </w:t>
      </w:r>
      <w:r w:rsidRPr="000379FB">
        <w:rPr>
          <w:rFonts w:hint="cs"/>
          <w:rtl/>
        </w:rPr>
        <w:t>המשך הבאת הראיות</w:t>
      </w:r>
      <w:r>
        <w:rPr>
          <w:rFonts w:hint="cs"/>
          <w:rtl/>
        </w:rPr>
        <w:t xml:space="preserve"> לעניין העונש (ביום 13.2.18) </w:t>
      </w:r>
      <w:r w:rsidRPr="0085199F">
        <w:rPr>
          <w:rFonts w:hint="cs"/>
          <w:b/>
          <w:bCs/>
          <w:rtl/>
        </w:rPr>
        <w:t>בחר הנאשם להעיד להגנתו</w:t>
      </w:r>
      <w:r>
        <w:rPr>
          <w:rFonts w:hint="cs"/>
          <w:rtl/>
        </w:rPr>
        <w:t xml:space="preserve">. הנאשם טען, כי בערב ביצוע העבירה עלה על טרמפ בדיר אל אסד ברכב מסוג יונדאי. הנאשם ציין שהיה בדרכו בשעות הערב "לאיזה בחור לעבוד אצלו במערכות.." ששמו מוחמד חמוד. הנאשם פירט שלא תיאם את בואו עם  אותו הבחור. לדבריו, כשהגיע למקום החל לצעוד לכיוון ביתו של  הבחור אך בדרך לשם ראה קטטה ושמע צעקות. הוא הוסיף וסיפר, כי הוא החל לצעוד לכיוון מקום הקטטה, מכיוון שרצה לבדוק על מה המהומה. כאשר הוא ראה לצדו אנשים נוספים, שעולים לכיוון מקום הקטטה, הגיח לעברו אדם זר שאמר לו "תיכנס, קח את התיק הזה ולך שם". הנאשם ציין שהאדם אשר מסר לו את התיק היה מוכר לו מהעבר. הנאשם המשיך ופירט, כי אותו אדם לא ביקש ממנו למסור את התיק למאן דהוא, כל שביקש ממנו  הוא להניח את התיק למעלה עד שיגיעו לקחת אותו. לטענתו, אותו אדם זר הבחין במשטרה  ולכן מסר לו את התיק. הנאשם ציין שעמד ליד הקיר עד שאותו אדם יחזור, אך פתאום, הגיעו אנשי משטרה ותפסו אותו.  </w:t>
      </w:r>
    </w:p>
    <w:p w14:paraId="29AAC9E9" w14:textId="77777777" w:rsidR="00DF6722" w:rsidRDefault="00DF6722" w:rsidP="00DF6722">
      <w:pPr>
        <w:spacing w:line="360" w:lineRule="auto"/>
        <w:jc w:val="both"/>
        <w:rPr>
          <w:rtl/>
        </w:rPr>
      </w:pPr>
    </w:p>
    <w:p w14:paraId="1810C271" w14:textId="77777777" w:rsidR="00DF6722" w:rsidRDefault="00DF6722" w:rsidP="00DF6722">
      <w:pPr>
        <w:spacing w:line="360" w:lineRule="auto"/>
        <w:jc w:val="both"/>
        <w:rPr>
          <w:rtl/>
        </w:rPr>
      </w:pPr>
      <w:r>
        <w:rPr>
          <w:rFonts w:hint="cs"/>
          <w:rtl/>
        </w:rPr>
        <w:t xml:space="preserve">בחקירתו הנגדית הוצג לנאשם סרטון וידאו בו הוא מצולם צועד עם תיק על גבו (במתחם המצולם) </w:t>
      </w:r>
      <w:r w:rsidRPr="001F010D">
        <w:rPr>
          <w:rFonts w:hint="cs"/>
          <w:b/>
          <w:bCs/>
          <w:rtl/>
        </w:rPr>
        <w:t>לכיוון מקום הצעקות.</w:t>
      </w:r>
      <w:r>
        <w:rPr>
          <w:rFonts w:hint="cs"/>
          <w:rtl/>
        </w:rPr>
        <w:t xml:space="preserve"> </w:t>
      </w:r>
      <w:r w:rsidRPr="008B43A7">
        <w:rPr>
          <w:rFonts w:hint="cs"/>
          <w:u w:val="single"/>
          <w:rtl/>
        </w:rPr>
        <w:t>הנאשם זיהה את עצמו בסרטון</w:t>
      </w:r>
      <w:r>
        <w:rPr>
          <w:rFonts w:hint="cs"/>
          <w:rtl/>
        </w:rPr>
        <w:t xml:space="preserve">. </w:t>
      </w:r>
      <w:r w:rsidRPr="001F010D">
        <w:rPr>
          <w:rFonts w:hint="cs"/>
          <w:b/>
          <w:bCs/>
          <w:rtl/>
        </w:rPr>
        <w:t>הוא טען שקיבל את התיק ברחוב החיצוני לפני הכניסה למתחם שבו הייתה קטטה.</w:t>
      </w:r>
      <w:r w:rsidRPr="001F010D">
        <w:rPr>
          <w:rFonts w:hint="cs"/>
          <w:rtl/>
        </w:rPr>
        <w:t xml:space="preserve"> </w:t>
      </w:r>
      <w:r>
        <w:rPr>
          <w:rFonts w:hint="cs"/>
          <w:rtl/>
        </w:rPr>
        <w:t xml:space="preserve">לשאלה מדוע לגרסתו הבחור נתן לו התיק אם המשטרה והקטטה מתרחשים בכלל בצד השני (שלא מצוי בטווח צילום הסרטון - א.ל.) השיב "אין לי איך לדעת את זה".  הנאשם עומת עם כך, שבחקירה במשטרה הוא טען שהוא אינו מזהה את עצמו או את מקום האירוע בסרטון. הנאשם הסביר, כי במהלך החקירה במשטרה, הסרטון הוצג לו על גבי מסך קטן שאינו ברור דיו. הנאשם טען שכאשר הגיעו אליו שני השוטרים (ואאל ובוחבוט)  הם שאלו אותו מה יש בתיק והוא ענה, שיקחו ויראו. ב"כ המאשימה עימת את הנאשם עם גרסתו זו והפנה אותו לאמור בדו"ח הפעולה של השוטר, במסגרתו צוין, כי הוא לא שיתף פעולה עם השוטרים. הנאשם שב וציין שלא התווכח עם השוטרים ולא ניסה לברוח. הנאשם עומת גם עם אמרתו של השוטר (ואאל) לפיה הוא התנגד למסור את התיק וכי היה צורך להוריד ממנו אותו  בכוח.  </w:t>
      </w:r>
      <w:r w:rsidRPr="00BB0FEE">
        <w:rPr>
          <w:rFonts w:hint="cs"/>
          <w:b/>
          <w:bCs/>
          <w:rtl/>
        </w:rPr>
        <w:t>בתגובה הוא טען כי השוטר משקר.</w:t>
      </w:r>
      <w:r>
        <w:rPr>
          <w:rFonts w:hint="cs"/>
          <w:rtl/>
        </w:rPr>
        <w:t xml:space="preserve">  </w:t>
      </w:r>
    </w:p>
    <w:p w14:paraId="560037E0" w14:textId="77777777" w:rsidR="00DF6722" w:rsidRDefault="00DF6722" w:rsidP="00DF6722">
      <w:pPr>
        <w:jc w:val="both"/>
        <w:rPr>
          <w:rtl/>
        </w:rPr>
      </w:pPr>
    </w:p>
    <w:p w14:paraId="616C6982" w14:textId="77777777" w:rsidR="00DF6722" w:rsidRDefault="00DF6722" w:rsidP="00DF6722">
      <w:pPr>
        <w:spacing w:line="360" w:lineRule="auto"/>
        <w:jc w:val="both"/>
        <w:rPr>
          <w:rtl/>
        </w:rPr>
      </w:pPr>
      <w:r>
        <w:rPr>
          <w:rFonts w:hint="cs"/>
          <w:rtl/>
        </w:rPr>
        <w:t xml:space="preserve">כשאלו הם פני הדברים ביקש ב"כ המאשימה לזמן את </w:t>
      </w:r>
      <w:r w:rsidRPr="000F02C4">
        <w:rPr>
          <w:rFonts w:hint="cs"/>
          <w:rtl/>
        </w:rPr>
        <w:t>השוטרים לעדות (</w:t>
      </w:r>
      <w:r>
        <w:rPr>
          <w:rFonts w:hint="cs"/>
          <w:rtl/>
        </w:rPr>
        <w:t>כדי להזים את טענותיו הללו של הנאשם.</w:t>
      </w:r>
    </w:p>
    <w:p w14:paraId="171897F7" w14:textId="77777777" w:rsidR="00DF6722" w:rsidRDefault="00DF6722" w:rsidP="00DF6722">
      <w:pPr>
        <w:spacing w:line="360" w:lineRule="auto"/>
        <w:jc w:val="both"/>
        <w:rPr>
          <w:rtl/>
        </w:rPr>
      </w:pPr>
    </w:p>
    <w:p w14:paraId="258A9C40" w14:textId="77777777" w:rsidR="00DF6722" w:rsidRPr="008C467F" w:rsidRDefault="00DF6722" w:rsidP="00DF6722">
      <w:pPr>
        <w:spacing w:line="360" w:lineRule="auto"/>
        <w:jc w:val="both"/>
        <w:rPr>
          <w:b/>
          <w:bCs/>
          <w:u w:val="single"/>
          <w:rtl/>
        </w:rPr>
      </w:pPr>
      <w:r w:rsidRPr="008C467F">
        <w:rPr>
          <w:rFonts w:hint="cs"/>
          <w:b/>
          <w:bCs/>
          <w:u w:val="single"/>
          <w:rtl/>
        </w:rPr>
        <w:t>ראיות הזמה מטעם התביעה</w:t>
      </w:r>
    </w:p>
    <w:p w14:paraId="5198FB98" w14:textId="77777777" w:rsidR="00DF6722" w:rsidRDefault="00DF6722" w:rsidP="00DF6722">
      <w:pPr>
        <w:spacing w:line="360" w:lineRule="auto"/>
        <w:jc w:val="both"/>
        <w:rPr>
          <w:rtl/>
        </w:rPr>
      </w:pPr>
      <w:r>
        <w:rPr>
          <w:rFonts w:hint="cs"/>
          <w:rtl/>
        </w:rPr>
        <w:t xml:space="preserve">ביום 13.3.18 </w:t>
      </w:r>
      <w:r w:rsidRPr="0085199F">
        <w:rPr>
          <w:rFonts w:hint="cs"/>
          <w:b/>
          <w:bCs/>
          <w:rtl/>
        </w:rPr>
        <w:t>העיד מטעם התביעה רס"ב וא</w:t>
      </w:r>
      <w:r>
        <w:rPr>
          <w:rFonts w:hint="cs"/>
          <w:b/>
          <w:bCs/>
          <w:rtl/>
        </w:rPr>
        <w:t>א</w:t>
      </w:r>
      <w:r w:rsidRPr="0085199F">
        <w:rPr>
          <w:rFonts w:hint="cs"/>
          <w:b/>
          <w:bCs/>
          <w:rtl/>
        </w:rPr>
        <w:t xml:space="preserve">ל </w:t>
      </w:r>
      <w:r>
        <w:rPr>
          <w:rFonts w:hint="cs"/>
          <w:b/>
          <w:bCs/>
          <w:rtl/>
        </w:rPr>
        <w:t xml:space="preserve"> </w:t>
      </w:r>
      <w:r w:rsidRPr="0085199F">
        <w:rPr>
          <w:rFonts w:hint="cs"/>
          <w:b/>
          <w:bCs/>
          <w:rtl/>
        </w:rPr>
        <w:t>זיאן, מפקד מש"ק בענה</w:t>
      </w:r>
      <w:r>
        <w:rPr>
          <w:rFonts w:hint="cs"/>
          <w:rtl/>
        </w:rPr>
        <w:t xml:space="preserve">. באמצעות עד זה הוגשו </w:t>
      </w:r>
      <w:r>
        <w:rPr>
          <w:rtl/>
        </w:rPr>
        <w:t>–</w:t>
      </w:r>
      <w:r>
        <w:rPr>
          <w:rFonts w:hint="cs"/>
          <w:rtl/>
        </w:rPr>
        <w:t xml:space="preserve"> דו"ח הפעולה, זכ"ד והודעותיו. </w:t>
      </w:r>
    </w:p>
    <w:p w14:paraId="74F8E6D5" w14:textId="77777777" w:rsidR="00DF6722" w:rsidRDefault="00DF6722" w:rsidP="00DF6722">
      <w:pPr>
        <w:spacing w:line="360" w:lineRule="auto"/>
        <w:jc w:val="both"/>
        <w:rPr>
          <w:rtl/>
        </w:rPr>
      </w:pPr>
    </w:p>
    <w:p w14:paraId="0BBC79CF" w14:textId="77777777" w:rsidR="00DF6722" w:rsidRDefault="00DF6722" w:rsidP="00DF6722">
      <w:pPr>
        <w:spacing w:line="360" w:lineRule="auto"/>
        <w:jc w:val="both"/>
        <w:rPr>
          <w:rtl/>
        </w:rPr>
      </w:pPr>
      <w:r>
        <w:rPr>
          <w:rFonts w:hint="cs"/>
          <w:rtl/>
        </w:rPr>
        <w:t xml:space="preserve">רס"ב זיאן פירט, במסגרת חקירתו הנגדית, שבתחילה, סירב הנאשם לפתוח את התיק ולא שיתף פעולה. הוא ציין, שהיה צורך לסובב את הנאשם והוא זה שפתח לו את התיק כשהוא תלוי על כתפיו. העד מסר, שהנאשם אמר מיד:  "זה לא שלי. מישהו נתן לי". השוטר הדגיש, כי הנאשם לא נתן לו את התיק והיה צורך להשתמש בכוח על מנת להסירו מעליו. השוטר ציין, כי הגיע לכיוונו של הנאשם ברגע שהמודיע מסר לו על אדם חשוד ("איש עם תיק על הגב ויש שם נשק"). השוטר הבהיר, כי כאשר הגיע לאירוע עצמו צעק לו המודיע "למה הגעתם באיחור, יש כאן אדם שהיה עם תיק על הגב והציע למודיע כלי נשק".  השוטר הסביר כי ברגע שנאמרו לו דברים אלו הוא נזכר שברגע כניסתו למתחם -  פלוני אלמוני הילך במקום עם תיק על הגב.  השוטר קיבל את תיאורו של החשוד כאדם עם מכנסיים קצרים ותיק על הגב. הנאשם נתפס לאחר מכן על הכביש הראשי. </w:t>
      </w:r>
    </w:p>
    <w:p w14:paraId="5899BA90" w14:textId="77777777" w:rsidR="00DF6722" w:rsidRDefault="00DF6722" w:rsidP="00DF6722">
      <w:pPr>
        <w:spacing w:line="360" w:lineRule="auto"/>
        <w:jc w:val="both"/>
        <w:rPr>
          <w:rtl/>
        </w:rPr>
      </w:pPr>
    </w:p>
    <w:p w14:paraId="1C970147" w14:textId="77777777" w:rsidR="00DF6722" w:rsidRDefault="00DF6722" w:rsidP="00DF6722">
      <w:pPr>
        <w:spacing w:line="360" w:lineRule="auto"/>
        <w:jc w:val="both"/>
        <w:rPr>
          <w:rtl/>
        </w:rPr>
      </w:pPr>
      <w:r>
        <w:rPr>
          <w:rFonts w:hint="cs"/>
          <w:rtl/>
        </w:rPr>
        <w:t>עד נוסף שהעיד באותו הדיון ( 13.3.18) היה רס"ל חן בוחבוט. עד זה ציין, במסגרת חקירתו הנגדית, שהוא עמד ליד השוטר (ואאל) כשפגשו בנאשם. הוא ציין שהנאשם לא מסר להם התיק אלא ש"הייתה שם התנגדות". הוא תיאר שהנאשם לא התנגד בכוח אלא הסתובב  אחורה  כל פעם שניסו לבדוק מה יש בתוך התיק, לכן נאלץ העד לאחוז בידיו.  צוין, כי השוטר ואאל היה צריך ל"סובב אותו". העד הוסיף שברגע שהשוטר ואאל פתח את התיק וגילה שיש בו נשק  הם הודיעו לנאשם שהוא עצור והוא נסע לתחנת המשטרה  עם העצור.</w:t>
      </w:r>
    </w:p>
    <w:p w14:paraId="6818C7E6" w14:textId="77777777" w:rsidR="00DF6722" w:rsidRDefault="00DF6722" w:rsidP="00DF6722">
      <w:pPr>
        <w:jc w:val="both"/>
        <w:rPr>
          <w:b/>
          <w:bCs/>
          <w:rtl/>
        </w:rPr>
      </w:pPr>
    </w:p>
    <w:p w14:paraId="19B9AADC" w14:textId="77777777" w:rsidR="00DF6722" w:rsidRPr="00F6625F" w:rsidRDefault="00DF6722" w:rsidP="00DF6722">
      <w:pPr>
        <w:spacing w:line="360" w:lineRule="auto"/>
        <w:jc w:val="both"/>
        <w:rPr>
          <w:b/>
          <w:bCs/>
          <w:u w:val="single"/>
          <w:rtl/>
        </w:rPr>
      </w:pPr>
      <w:r w:rsidRPr="00F6625F">
        <w:rPr>
          <w:rFonts w:hint="cs"/>
          <w:b/>
          <w:bCs/>
          <w:u w:val="single"/>
          <w:rtl/>
        </w:rPr>
        <w:t>טיעוני המדינה בעניין הנסיבות הקשורות בביצוע העבירה</w:t>
      </w:r>
    </w:p>
    <w:p w14:paraId="02DC6768" w14:textId="77777777" w:rsidR="00DF6722" w:rsidRDefault="00DF6722" w:rsidP="00DF6722">
      <w:pPr>
        <w:spacing w:line="360" w:lineRule="auto"/>
        <w:jc w:val="both"/>
        <w:rPr>
          <w:rtl/>
        </w:rPr>
      </w:pPr>
      <w:r>
        <w:rPr>
          <w:rFonts w:hint="cs"/>
          <w:rtl/>
        </w:rPr>
        <w:t xml:space="preserve">ב"כ המלומד של המאשימה, עו"ד פסקל,  עמד בתחילת טיעוניו על כך שיש לדחות מכל וכל את גרסת הנאשם לפיה "מישהו זרק עליו תיק". צוין, כי על פי הסרטון רואים בירור שהנאשם נכנס לאזור הקטטה, כשתיק כבר מונח על כתפיו. פורט, כי בחקירותיו במשטרה ציין הנאשם שקיבל את התיק בתוך המתחם שבו התרחשה הקטטה, אך במסגרת עדותו בבית המשפט ( בעת הצפייה בסרטון)  הוא שינה את גרסתו וטען שהוא קיבל את התיק עוד לפני שהוא נכנס לאזור הקטטה. הפרקליט המלומד ביקש לאמץ במלואן את גרסאות השוטרים בנוגע לאופן בו נתפס הנאשם.  </w:t>
      </w:r>
    </w:p>
    <w:p w14:paraId="5C77BE12" w14:textId="77777777" w:rsidR="00DF6722" w:rsidRDefault="00DF6722" w:rsidP="00DF6722">
      <w:pPr>
        <w:spacing w:line="360" w:lineRule="auto"/>
        <w:jc w:val="both"/>
        <w:rPr>
          <w:b/>
          <w:bCs/>
          <w:rtl/>
        </w:rPr>
      </w:pPr>
    </w:p>
    <w:p w14:paraId="78C3A8B5" w14:textId="77777777" w:rsidR="00DF6722" w:rsidRPr="00F6625F" w:rsidRDefault="00DF6722" w:rsidP="00DF6722">
      <w:pPr>
        <w:spacing w:line="360" w:lineRule="auto"/>
        <w:jc w:val="both"/>
        <w:rPr>
          <w:b/>
          <w:bCs/>
          <w:u w:val="single"/>
          <w:rtl/>
        </w:rPr>
      </w:pPr>
      <w:r w:rsidRPr="00F6625F">
        <w:rPr>
          <w:rFonts w:hint="cs"/>
          <w:b/>
          <w:bCs/>
          <w:u w:val="single"/>
          <w:rtl/>
        </w:rPr>
        <w:t>טיעוני הסנגור בעניין הנסיבות הקשורות בביצוע העבירה</w:t>
      </w:r>
    </w:p>
    <w:p w14:paraId="052C1561" w14:textId="77777777" w:rsidR="00DF6722" w:rsidRDefault="00DF6722" w:rsidP="00DF6722">
      <w:pPr>
        <w:spacing w:line="360" w:lineRule="auto"/>
        <w:jc w:val="both"/>
        <w:rPr>
          <w:rtl/>
        </w:rPr>
      </w:pPr>
      <w:r>
        <w:rPr>
          <w:rFonts w:hint="cs"/>
          <w:rtl/>
        </w:rPr>
        <w:t xml:space="preserve">הסנגור עמד על כך שהנאשם מסר את גרסתו, לפיה הנשק הועבר לחזקתו שלא בידיעתו,  עוד בשלבים הראשונים של חקירתו במשטרה. לפיכך, ראוי לקבלה כאמינה. אליבא דסנגור, עסקינן, אפוא,  בנשיאת נשק לזמן מאוד קצר. </w:t>
      </w:r>
    </w:p>
    <w:p w14:paraId="073CD3D4" w14:textId="77777777" w:rsidR="00DF6722" w:rsidRDefault="00DF6722" w:rsidP="00DF6722">
      <w:pPr>
        <w:spacing w:line="360" w:lineRule="auto"/>
        <w:jc w:val="both"/>
        <w:rPr>
          <w:rtl/>
        </w:rPr>
      </w:pPr>
    </w:p>
    <w:p w14:paraId="43971839" w14:textId="77777777" w:rsidR="00DF6722" w:rsidRDefault="00DF6722" w:rsidP="00DF6722">
      <w:pPr>
        <w:spacing w:line="360" w:lineRule="auto"/>
        <w:jc w:val="both"/>
        <w:rPr>
          <w:b/>
          <w:bCs/>
          <w:u w:val="single"/>
          <w:rtl/>
        </w:rPr>
      </w:pPr>
      <w:r>
        <w:rPr>
          <w:rFonts w:hint="cs"/>
          <w:b/>
          <w:bCs/>
          <w:u w:val="single"/>
          <w:rtl/>
        </w:rPr>
        <w:t>הכרעה עובדתית במחלוקת הנוגעת לנסיבות הקשורות בביצוע העבירה</w:t>
      </w:r>
    </w:p>
    <w:p w14:paraId="168922FE" w14:textId="77777777" w:rsidR="00DF6722" w:rsidRDefault="00DF6722" w:rsidP="00DF6722">
      <w:pPr>
        <w:spacing w:line="360" w:lineRule="auto"/>
        <w:jc w:val="both"/>
        <w:rPr>
          <w:b/>
          <w:bCs/>
          <w:rtl/>
        </w:rPr>
      </w:pPr>
      <w:r w:rsidRPr="006D6659">
        <w:rPr>
          <w:rFonts w:hint="cs"/>
          <w:rtl/>
        </w:rPr>
        <w:t>כפי שפורט בהרחבה לעיל</w:t>
      </w:r>
      <w:r>
        <w:rPr>
          <w:rFonts w:hint="cs"/>
          <w:rtl/>
        </w:rPr>
        <w:t xml:space="preserve">, </w:t>
      </w:r>
      <w:r w:rsidRPr="005D514F">
        <w:rPr>
          <w:rFonts w:hint="cs"/>
          <w:u w:val="single"/>
          <w:rtl/>
        </w:rPr>
        <w:t>בשלב הטיעונים לעונש</w:t>
      </w:r>
      <w:r>
        <w:rPr>
          <w:rFonts w:hint="cs"/>
          <w:rtl/>
        </w:rPr>
        <w:t xml:space="preserve"> התגלעה בין הצדדים מחלוקת סביב הנסיבות הקשורות בביצוע העבירה</w:t>
      </w:r>
      <w:r w:rsidRPr="005D514F">
        <w:rPr>
          <w:rFonts w:hint="cs"/>
          <w:b/>
          <w:bCs/>
          <w:rtl/>
        </w:rPr>
        <w:t xml:space="preserve">.  כזכור, הנאשם טען כי מאן דהוא "זרק עליו תיק",  בעוד המאשימה ביקשה להפריך טענה זו וביקשה להראות כי הנאשם לא החזיק את הנשק לזמן קצר, אלא הגיע עמו מבעוד מועד לאזור המגורים בו נתפס. </w:t>
      </w:r>
    </w:p>
    <w:p w14:paraId="26102D69" w14:textId="77777777" w:rsidR="00DF6722" w:rsidRPr="005D514F" w:rsidRDefault="00DF6722" w:rsidP="00DF6722">
      <w:pPr>
        <w:spacing w:line="360" w:lineRule="auto"/>
        <w:jc w:val="both"/>
        <w:rPr>
          <w:b/>
          <w:bCs/>
          <w:rtl/>
        </w:rPr>
      </w:pPr>
    </w:p>
    <w:p w14:paraId="55AAE564" w14:textId="77777777" w:rsidR="00DF6722" w:rsidRDefault="00DF6722" w:rsidP="00DF6722">
      <w:pPr>
        <w:spacing w:line="360" w:lineRule="auto"/>
        <w:jc w:val="both"/>
        <w:rPr>
          <w:rtl/>
        </w:rPr>
      </w:pPr>
      <w:r>
        <w:rPr>
          <w:rFonts w:hint="cs"/>
          <w:rtl/>
        </w:rPr>
        <w:t xml:space="preserve">כעת בא אני להכריע במחלוקת זו. </w:t>
      </w:r>
    </w:p>
    <w:p w14:paraId="182F1BC6" w14:textId="77777777" w:rsidR="00DF6722" w:rsidRDefault="00DF6722" w:rsidP="00DF6722">
      <w:pPr>
        <w:spacing w:line="360" w:lineRule="auto"/>
        <w:jc w:val="both"/>
        <w:rPr>
          <w:rtl/>
        </w:rPr>
      </w:pPr>
      <w:r>
        <w:rPr>
          <w:rFonts w:hint="cs"/>
          <w:rtl/>
        </w:rPr>
        <w:t xml:space="preserve">ודוק, בהתאם </w:t>
      </w:r>
      <w:hyperlink r:id="rId36" w:history="1">
        <w:r w:rsidR="00F25B78" w:rsidRPr="00F25B78">
          <w:rPr>
            <w:color w:val="0000FF"/>
            <w:u w:val="single"/>
            <w:rtl/>
          </w:rPr>
          <w:t>לסעיף 40י(ג)</w:t>
        </w:r>
      </w:hyperlink>
      <w:r>
        <w:rPr>
          <w:rFonts w:hint="cs"/>
          <w:rtl/>
        </w:rPr>
        <w:t xml:space="preserve"> ל</w:t>
      </w:r>
      <w:hyperlink r:id="rId37" w:history="1">
        <w:r w:rsidR="009B3218" w:rsidRPr="009B3218">
          <w:rPr>
            <w:color w:val="0000FF"/>
            <w:u w:val="single"/>
            <w:rtl/>
          </w:rPr>
          <w:t>חוק העונשין</w:t>
        </w:r>
      </w:hyperlink>
      <w:r>
        <w:rPr>
          <w:rFonts w:hint="cs"/>
          <w:rtl/>
        </w:rPr>
        <w:t xml:space="preserve"> בית המשפט יקבע כי התקיימה </w:t>
      </w:r>
      <w:r w:rsidRPr="0099078B">
        <w:rPr>
          <w:rFonts w:hint="cs"/>
          <w:b/>
          <w:bCs/>
          <w:u w:val="single"/>
          <w:rtl/>
        </w:rPr>
        <w:t>נסיבה מקילה</w:t>
      </w:r>
      <w:r w:rsidRPr="0099078B">
        <w:rPr>
          <w:rFonts w:hint="cs"/>
          <w:b/>
          <w:bCs/>
          <w:rtl/>
        </w:rPr>
        <w:t xml:space="preserve"> אם היא הוכחה ברמת ההוכחה הנדרשת המשפט האזרחי</w:t>
      </w:r>
      <w:r>
        <w:rPr>
          <w:rFonts w:hint="cs"/>
          <w:rtl/>
        </w:rPr>
        <w:t xml:space="preserve"> (מאזן ההסתברויות).   </w:t>
      </w:r>
    </w:p>
    <w:p w14:paraId="62494ABA" w14:textId="77777777" w:rsidR="00DF6722" w:rsidRDefault="00DF6722" w:rsidP="00DF6722">
      <w:pPr>
        <w:spacing w:line="360" w:lineRule="auto"/>
        <w:jc w:val="both"/>
        <w:rPr>
          <w:rtl/>
        </w:rPr>
      </w:pPr>
      <w:r>
        <w:rPr>
          <w:rFonts w:hint="cs"/>
          <w:rtl/>
        </w:rPr>
        <w:t xml:space="preserve">הקשבתי בקשב רב לנאשם ולשלושת עדי התביעה שהופיעו לפניי. כמו כן, עיינתי עיין היטב בראיות שהוגשו באמצעות עדים אלו (הכוללות סרטון וידאו). </w:t>
      </w:r>
    </w:p>
    <w:p w14:paraId="30C4AC92" w14:textId="77777777" w:rsidR="00DF6722" w:rsidRDefault="00DF6722" w:rsidP="00DF6722">
      <w:pPr>
        <w:spacing w:line="360" w:lineRule="auto"/>
        <w:jc w:val="both"/>
        <w:rPr>
          <w:rtl/>
        </w:rPr>
      </w:pPr>
    </w:p>
    <w:p w14:paraId="041D1F34" w14:textId="77777777" w:rsidR="00DF6722" w:rsidRDefault="00DF6722" w:rsidP="00DF6722">
      <w:pPr>
        <w:spacing w:line="360" w:lineRule="auto"/>
        <w:jc w:val="both"/>
        <w:rPr>
          <w:rFonts w:ascii="DaunPenh" w:hAnsi="DaunPenh"/>
          <w:rtl/>
        </w:rPr>
      </w:pPr>
      <w:r>
        <w:rPr>
          <w:rFonts w:hint="cs"/>
          <w:rtl/>
        </w:rPr>
        <w:t xml:space="preserve">אומר מיד, </w:t>
      </w:r>
      <w:r w:rsidRPr="000F02C4">
        <w:rPr>
          <w:rFonts w:hint="cs"/>
          <w:b/>
          <w:bCs/>
          <w:rtl/>
        </w:rPr>
        <w:t>גרסתם של שני השוטרים אמינה עליי ביותר</w:t>
      </w:r>
      <w:r>
        <w:rPr>
          <w:rFonts w:hint="cs"/>
          <w:rtl/>
        </w:rPr>
        <w:t>. שני השוטרים תיארו את השתלשלות האירועים באופן התואם את האמור ברישומים ובהודעות שמסרו בחקירה (</w:t>
      </w:r>
      <w:r w:rsidRPr="004F6CD0">
        <w:rPr>
          <w:rFonts w:hint="cs"/>
          <w:b/>
          <w:bCs/>
          <w:rtl/>
        </w:rPr>
        <w:t>טעת</w:t>
      </w:r>
      <w:r>
        <w:rPr>
          <w:rFonts w:hint="cs"/>
          <w:rtl/>
        </w:rPr>
        <w:t xml:space="preserve">/3-8). </w:t>
      </w:r>
      <w:r w:rsidRPr="000F02C4">
        <w:rPr>
          <w:rFonts w:ascii="DaunPenh" w:hAnsi="DaunPenh" w:hint="cs"/>
          <w:b/>
          <w:bCs/>
          <w:rtl/>
        </w:rPr>
        <w:t>אורח מסירת העדו</w:t>
      </w:r>
      <w:r>
        <w:rPr>
          <w:rFonts w:ascii="DaunPenh" w:hAnsi="DaunPenh" w:hint="cs"/>
          <w:b/>
          <w:bCs/>
          <w:rtl/>
        </w:rPr>
        <w:t>יו</w:t>
      </w:r>
      <w:r w:rsidRPr="000F02C4">
        <w:rPr>
          <w:rFonts w:ascii="DaunPenh" w:hAnsi="DaunPenh" w:hint="cs"/>
          <w:b/>
          <w:bCs/>
          <w:rtl/>
        </w:rPr>
        <w:t xml:space="preserve">ת, והתנהגותם </w:t>
      </w:r>
      <w:r>
        <w:rPr>
          <w:rFonts w:ascii="DaunPenh" w:hAnsi="DaunPenh" w:hint="cs"/>
          <w:b/>
          <w:bCs/>
          <w:rtl/>
        </w:rPr>
        <w:t xml:space="preserve">של השניים </w:t>
      </w:r>
      <w:r w:rsidRPr="000F02C4">
        <w:rPr>
          <w:rFonts w:ascii="DaunPenh" w:hAnsi="DaunPenh" w:hint="cs"/>
          <w:b/>
          <w:bCs/>
          <w:rtl/>
        </w:rPr>
        <w:t>על גבי דוכן העדים, כמו גם אופן מתן המענה לשאלות אשר הופנו אליהם, העידו על הגיונם הפנימי.</w:t>
      </w:r>
      <w:r>
        <w:rPr>
          <w:rFonts w:ascii="DaunPenh" w:hAnsi="DaunPenh" w:hint="cs"/>
          <w:rtl/>
        </w:rPr>
        <w:t xml:space="preserve"> הם השיבו תשובות ישירות גלויות ובוטחות לכל השאלות אשר הופנו אליהם, הן בחקירה הראשית הן בחקירה הנגדית. עיקרי עדויותיהם נרשמו בזמן אמת על גבי זכ"דים והודעות. </w:t>
      </w:r>
      <w:r w:rsidRPr="000F02C4">
        <w:rPr>
          <w:rFonts w:ascii="DaunPenh" w:hAnsi="DaunPenh" w:hint="cs"/>
          <w:b/>
          <w:bCs/>
          <w:rtl/>
        </w:rPr>
        <w:t>מהשתלבות גרסתם בכלל הראיות שהוצגו עולה בבירור כי הם מוסרים  את האמת לאמיתה באשר לאופן קרות האירוע.</w:t>
      </w:r>
      <w:r>
        <w:rPr>
          <w:rFonts w:ascii="DaunPenh" w:hAnsi="DaunPenh" w:hint="cs"/>
          <w:rtl/>
        </w:rPr>
        <w:t xml:space="preserve"> לפי דבריהם, המודיע, העד </w:t>
      </w:r>
      <w:r w:rsidRPr="000F02C4">
        <w:rPr>
          <w:rFonts w:ascii="DaunPenh" w:hAnsi="DaunPenh" w:hint="cs"/>
          <w:rtl/>
        </w:rPr>
        <w:t>איברהים</w:t>
      </w:r>
      <w:r>
        <w:rPr>
          <w:rFonts w:ascii="DaunPenh" w:hAnsi="DaunPenh" w:hint="cs"/>
          <w:rtl/>
        </w:rPr>
        <w:t xml:space="preserve"> שהיה במקום הקטטה תיאר באוזני השוטר ואאל דמות, החשודה בנשיאת נשק במקום הקטטה. מיד לאחר מכן, הזעיק השוטר ואאל את השוטר בוחבוט והשניים החלו לדלוק אחר הנאשם (רגע הריצה נצפה היטב בסרטון). לאחר שזיהו את הנאשם ועיכבוהו, הוא סירב לשתף פעולה באופן מלא והקשה על השוטרים לברר מה מכיל התיק שעל גבו. רק לאחר שאחז בו השוטר בוחבוט הצליח השוטר ואאל להסיר את התיק מגבו. מיד לאחר השוטר ואאל הסיר את התיק מגבו של הנאשם, טען הלה שמישהו מסר לו את התיק (ראו גם : טעת/ 5, שורה 14).</w:t>
      </w:r>
    </w:p>
    <w:p w14:paraId="6C42D046" w14:textId="77777777" w:rsidR="00DF6722" w:rsidRDefault="00DF6722" w:rsidP="00DF6722">
      <w:pPr>
        <w:spacing w:line="360" w:lineRule="auto"/>
        <w:jc w:val="both"/>
        <w:rPr>
          <w:rFonts w:ascii="DaunPenh" w:hAnsi="DaunPenh"/>
          <w:rtl/>
        </w:rPr>
      </w:pPr>
    </w:p>
    <w:p w14:paraId="5A3D0B15" w14:textId="77777777" w:rsidR="00DF6722" w:rsidRDefault="00DF6722" w:rsidP="00DF6722">
      <w:pPr>
        <w:spacing w:line="360" w:lineRule="auto"/>
        <w:jc w:val="both"/>
        <w:rPr>
          <w:rtl/>
        </w:rPr>
      </w:pPr>
      <w:r>
        <w:rPr>
          <w:rFonts w:ascii="DaunPenh" w:hAnsi="DaunPenh" w:hint="cs"/>
          <w:rtl/>
        </w:rPr>
        <w:t xml:space="preserve">לצד עדויותיהם של שני השוטרים, העיד לפניי מטעמה של המאשימה, גם עד התביעה, מר </w:t>
      </w:r>
      <w:r>
        <w:rPr>
          <w:rFonts w:hint="cs"/>
          <w:rtl/>
        </w:rPr>
        <w:t xml:space="preserve">איברהים בדראן. עד זה עשה עליי </w:t>
      </w:r>
      <w:r w:rsidRPr="000F02C4">
        <w:rPr>
          <w:rFonts w:hint="cs"/>
          <w:b/>
          <w:bCs/>
          <w:rtl/>
        </w:rPr>
        <w:t>רושם שלילי ביותר</w:t>
      </w:r>
      <w:r>
        <w:rPr>
          <w:rFonts w:hint="cs"/>
          <w:rtl/>
        </w:rPr>
        <w:t>. הוא הרחיק עצמו בצורה קיצונית מאופן קרות האירועים כפי שתוארו על ידי השוטרים בהודעותיהם. הוא סירב בתוקף לאשר לאורך כל חקירתו</w:t>
      </w:r>
      <w:r w:rsidRPr="008003A8">
        <w:rPr>
          <w:rFonts w:hint="cs"/>
          <w:rtl/>
        </w:rPr>
        <w:t>,</w:t>
      </w:r>
      <w:r>
        <w:rPr>
          <w:rFonts w:hint="cs"/>
          <w:rtl/>
        </w:rPr>
        <w:t xml:space="preserve"> כפי שפורטה בהרחבה,  </w:t>
      </w:r>
      <w:r w:rsidRPr="008003A8">
        <w:rPr>
          <w:rFonts w:hint="cs"/>
          <w:rtl/>
        </w:rPr>
        <w:t>כי הוא הפנה  את השוטר וא</w:t>
      </w:r>
      <w:r>
        <w:rPr>
          <w:rFonts w:hint="cs"/>
          <w:rtl/>
        </w:rPr>
        <w:t>א</w:t>
      </w:r>
      <w:r w:rsidRPr="008003A8">
        <w:rPr>
          <w:rFonts w:hint="cs"/>
          <w:rtl/>
        </w:rPr>
        <w:t xml:space="preserve">ל </w:t>
      </w:r>
      <w:r>
        <w:rPr>
          <w:rFonts w:hint="cs"/>
          <w:rtl/>
        </w:rPr>
        <w:t xml:space="preserve"> אל הנאשם (</w:t>
      </w:r>
      <w:r w:rsidRPr="008003A8">
        <w:rPr>
          <w:rFonts w:hint="cs"/>
          <w:rtl/>
        </w:rPr>
        <w:t>שעלה החשד כי הוא נושא נשק בתיקו</w:t>
      </w:r>
      <w:r>
        <w:rPr>
          <w:rFonts w:hint="cs"/>
          <w:rtl/>
        </w:rPr>
        <w:t>) וסירב למסור פרטים נוספים לדבריו במהלך האירוע</w:t>
      </w:r>
      <w:r w:rsidRPr="008003A8">
        <w:rPr>
          <w:rFonts w:hint="cs"/>
          <w:rtl/>
        </w:rPr>
        <w:t>.</w:t>
      </w:r>
      <w:r>
        <w:rPr>
          <w:rFonts w:hint="cs"/>
          <w:rtl/>
        </w:rPr>
        <w:t xml:space="preserve"> </w:t>
      </w:r>
      <w:r w:rsidRPr="008003A8">
        <w:rPr>
          <w:rFonts w:hint="cs"/>
          <w:rtl/>
        </w:rPr>
        <w:t xml:space="preserve"> </w:t>
      </w:r>
      <w:r w:rsidRPr="000379FB">
        <w:rPr>
          <w:rFonts w:hint="cs"/>
          <w:b/>
          <w:bCs/>
          <w:rtl/>
        </w:rPr>
        <w:t>אני דוחה אפוא עדות זו מכל וכל</w:t>
      </w:r>
      <w:r>
        <w:rPr>
          <w:rFonts w:hint="cs"/>
          <w:rtl/>
        </w:rPr>
        <w:t xml:space="preserve">.   </w:t>
      </w:r>
    </w:p>
    <w:p w14:paraId="72DF15FE" w14:textId="77777777" w:rsidR="00DF6722" w:rsidRPr="008003A8" w:rsidRDefault="00DF6722" w:rsidP="00DF6722">
      <w:pPr>
        <w:spacing w:line="360" w:lineRule="auto"/>
        <w:jc w:val="both"/>
        <w:rPr>
          <w:rtl/>
        </w:rPr>
      </w:pPr>
    </w:p>
    <w:p w14:paraId="735BAAA8" w14:textId="77777777" w:rsidR="00DF6722" w:rsidRDefault="00DF6722" w:rsidP="00DF6722">
      <w:pPr>
        <w:spacing w:line="360" w:lineRule="auto"/>
        <w:jc w:val="both"/>
        <w:rPr>
          <w:rFonts w:ascii="DaunPenh" w:hAnsi="DaunPenh"/>
          <w:rtl/>
        </w:rPr>
      </w:pPr>
      <w:r w:rsidRPr="008003A8">
        <w:rPr>
          <w:rFonts w:ascii="DaunPenh" w:hAnsi="DaunPenh" w:hint="cs"/>
          <w:rtl/>
        </w:rPr>
        <w:t xml:space="preserve">ייאמר מיד, </w:t>
      </w:r>
      <w:r w:rsidRPr="00832C7B">
        <w:rPr>
          <w:rFonts w:ascii="DaunPenh" w:hAnsi="DaunPenh" w:hint="cs"/>
          <w:b/>
          <w:bCs/>
          <w:rtl/>
        </w:rPr>
        <w:t>גרסתו של הנאשם בבית המשפט נשמעת על-פניה חסרת-היגיון ונעדרת-סבירות</w:t>
      </w:r>
      <w:r w:rsidRPr="008003A8">
        <w:rPr>
          <w:rFonts w:ascii="DaunPenh" w:hAnsi="DaunPenh" w:hint="cs"/>
          <w:rtl/>
        </w:rPr>
        <w:t xml:space="preserve">. לאחר צפייה בסרטון </w:t>
      </w:r>
      <w:r>
        <w:rPr>
          <w:rFonts w:ascii="DaunPenh" w:hAnsi="DaunPenh" w:hint="cs"/>
          <w:rtl/>
        </w:rPr>
        <w:t>אישר הנאשם (</w:t>
      </w:r>
      <w:r w:rsidRPr="002C67D9">
        <w:rPr>
          <w:rFonts w:ascii="DaunPenh" w:hAnsi="DaunPenh" w:hint="cs"/>
          <w:rtl/>
        </w:rPr>
        <w:t>בניגוד ל</w:t>
      </w:r>
      <w:r>
        <w:rPr>
          <w:rFonts w:ascii="DaunPenh" w:hAnsi="DaunPenh" w:hint="cs"/>
          <w:rtl/>
        </w:rPr>
        <w:t>דבריו ב</w:t>
      </w:r>
      <w:r w:rsidRPr="002C67D9">
        <w:rPr>
          <w:rFonts w:ascii="DaunPenh" w:hAnsi="DaunPenh" w:hint="cs"/>
          <w:rtl/>
        </w:rPr>
        <w:t>חקירתו במשטרה</w:t>
      </w:r>
      <w:r>
        <w:rPr>
          <w:rFonts w:ascii="DaunPenh" w:hAnsi="DaunPenh" w:hint="cs"/>
          <w:rtl/>
        </w:rPr>
        <w:t xml:space="preserve">) כי הוא זה שנצפה צועד עם </w:t>
      </w:r>
      <w:r w:rsidRPr="008003A8">
        <w:rPr>
          <w:rFonts w:ascii="DaunPenh" w:hAnsi="DaunPenh" w:hint="cs"/>
          <w:rtl/>
        </w:rPr>
        <w:t>התיק</w:t>
      </w:r>
      <w:r>
        <w:rPr>
          <w:rFonts w:ascii="DaunPenh" w:hAnsi="DaunPenh" w:hint="cs"/>
          <w:rtl/>
        </w:rPr>
        <w:t xml:space="preserve"> על גבו, </w:t>
      </w:r>
      <w:r w:rsidRPr="008003A8">
        <w:rPr>
          <w:rFonts w:ascii="DaunPenh" w:hAnsi="DaunPenh" w:hint="cs"/>
          <w:rtl/>
        </w:rPr>
        <w:t>עוד בטרם</w:t>
      </w:r>
      <w:r>
        <w:rPr>
          <w:rFonts w:ascii="DaunPenh" w:hAnsi="DaunPenh" w:hint="cs"/>
          <w:rtl/>
        </w:rPr>
        <w:t xml:space="preserve"> היכנסו לאזור הקטטה. </w:t>
      </w:r>
      <w:r w:rsidRPr="002C67D9">
        <w:rPr>
          <w:rFonts w:ascii="DaunPenh" w:hAnsi="DaunPenh" w:hint="cs"/>
          <w:rtl/>
        </w:rPr>
        <w:t xml:space="preserve">לנאשם לא היה הסבר מניח את הדעת </w:t>
      </w:r>
      <w:r>
        <w:rPr>
          <w:rFonts w:ascii="DaunPenh" w:hAnsi="DaunPenh" w:hint="cs"/>
          <w:rtl/>
        </w:rPr>
        <w:t>לשאלה מדוע אדם זר(שלא נצפה בסרטון) מ</w:t>
      </w:r>
      <w:r w:rsidRPr="002C67D9">
        <w:rPr>
          <w:rFonts w:ascii="DaunPenh" w:hAnsi="DaunPenh" w:hint="cs"/>
          <w:rtl/>
        </w:rPr>
        <w:t xml:space="preserve">סר לו תיק זר  </w:t>
      </w:r>
      <w:r w:rsidRPr="002C67D9">
        <w:rPr>
          <w:rFonts w:ascii="DaunPenh" w:hAnsi="DaunPenh" w:hint="cs"/>
          <w:b/>
          <w:bCs/>
          <w:rtl/>
        </w:rPr>
        <w:t>עוד בטרם הגיעו  לאזור הקטטה</w:t>
      </w:r>
      <w:r w:rsidRPr="002C67D9">
        <w:rPr>
          <w:rFonts w:ascii="DaunPenh" w:hAnsi="DaunPenh" w:hint="cs"/>
          <w:rtl/>
        </w:rPr>
        <w:t>.</w:t>
      </w:r>
      <w:r w:rsidRPr="007F34E5">
        <w:rPr>
          <w:rFonts w:ascii="DaunPenh" w:hAnsi="DaunPenh" w:hint="cs"/>
          <w:rtl/>
        </w:rPr>
        <w:t xml:space="preserve"> </w:t>
      </w:r>
      <w:r w:rsidRPr="005D514F">
        <w:rPr>
          <w:rFonts w:ascii="DaunPenh" w:hAnsi="DaunPenh" w:hint="cs"/>
          <w:rtl/>
        </w:rPr>
        <w:t>לשיטתו, אותו אדם זר ביקש ממנו להמתין בכניסה לאזור הקטטה (</w:t>
      </w:r>
      <w:r>
        <w:rPr>
          <w:rFonts w:ascii="DaunPenh" w:hAnsi="DaunPenh" w:hint="cs"/>
          <w:rtl/>
        </w:rPr>
        <w:t>השטח ב</w:t>
      </w:r>
      <w:r w:rsidRPr="005D514F">
        <w:rPr>
          <w:rFonts w:ascii="DaunPenh" w:hAnsi="DaunPenh" w:hint="cs"/>
          <w:rtl/>
        </w:rPr>
        <w:t>צד</w:t>
      </w:r>
      <w:r>
        <w:rPr>
          <w:rFonts w:ascii="DaunPenh" w:hAnsi="DaunPenh" w:hint="cs"/>
          <w:rtl/>
        </w:rPr>
        <w:t>ו</w:t>
      </w:r>
      <w:r w:rsidRPr="005D514F">
        <w:rPr>
          <w:rFonts w:ascii="DaunPenh" w:hAnsi="DaunPenh" w:hint="cs"/>
          <w:rtl/>
        </w:rPr>
        <w:t xml:space="preserve"> </w:t>
      </w:r>
      <w:r>
        <w:rPr>
          <w:rFonts w:ascii="DaunPenh" w:hAnsi="DaunPenh" w:hint="cs"/>
          <w:rtl/>
        </w:rPr>
        <w:t xml:space="preserve">הימני  של הסרטון). </w:t>
      </w:r>
    </w:p>
    <w:p w14:paraId="1EAED2C3" w14:textId="77777777" w:rsidR="00DF6722" w:rsidRDefault="00DF6722" w:rsidP="00DF6722">
      <w:pPr>
        <w:spacing w:line="360" w:lineRule="auto"/>
        <w:jc w:val="both"/>
        <w:rPr>
          <w:rFonts w:ascii="DaunPenh" w:hAnsi="DaunPenh"/>
          <w:rtl/>
        </w:rPr>
      </w:pPr>
    </w:p>
    <w:p w14:paraId="33D853B0" w14:textId="77777777" w:rsidR="00DF6722" w:rsidRDefault="00DF6722" w:rsidP="00DF6722">
      <w:pPr>
        <w:spacing w:line="360" w:lineRule="auto"/>
        <w:jc w:val="both"/>
        <w:rPr>
          <w:rFonts w:ascii="DaunPenh" w:hAnsi="DaunPenh"/>
          <w:rtl/>
        </w:rPr>
      </w:pPr>
      <w:r>
        <w:rPr>
          <w:rFonts w:ascii="DaunPenh" w:hAnsi="DaunPenh" w:hint="cs"/>
          <w:rtl/>
        </w:rPr>
        <w:t xml:space="preserve">דא עקא, בסרטון, רואים את הנאשם (לאחר שהוא צועד לכיוון הקטטה) </w:t>
      </w:r>
      <w:r w:rsidRPr="000F02C4">
        <w:rPr>
          <w:rFonts w:ascii="DaunPenh" w:hAnsi="DaunPenh" w:hint="cs"/>
          <w:b/>
          <w:bCs/>
          <w:rtl/>
        </w:rPr>
        <w:t>חוזר עם התיק על גבו וצועד לכיוון המנוגד</w:t>
      </w:r>
      <w:r>
        <w:rPr>
          <w:rFonts w:ascii="DaunPenh" w:hAnsi="DaunPenh" w:hint="cs"/>
          <w:rtl/>
        </w:rPr>
        <w:t xml:space="preserve"> (צד שמאל). </w:t>
      </w:r>
      <w:r w:rsidRPr="002C67D9">
        <w:rPr>
          <w:rFonts w:ascii="DaunPenh" w:hAnsi="DaunPenh" w:hint="cs"/>
          <w:rtl/>
        </w:rPr>
        <w:t xml:space="preserve">לגרסתו, ראה שוטרים (פר' מיום 13.2.18 שורה 26) וחזר להשיב לאותו אדם זר </w:t>
      </w:r>
      <w:r>
        <w:rPr>
          <w:rFonts w:ascii="DaunPenh" w:hAnsi="DaunPenh" w:hint="cs"/>
          <w:rtl/>
        </w:rPr>
        <w:t xml:space="preserve">את </w:t>
      </w:r>
      <w:r w:rsidRPr="002C67D9">
        <w:rPr>
          <w:rFonts w:ascii="DaunPenh" w:hAnsi="DaunPenh" w:hint="cs"/>
          <w:rtl/>
        </w:rPr>
        <w:t xml:space="preserve">התיק ועל כן לא המתין "בכניסה" כדרישתו. לא זו אף זו, </w:t>
      </w:r>
      <w:r>
        <w:rPr>
          <w:rFonts w:ascii="DaunPenh" w:hAnsi="DaunPenh" w:hint="cs"/>
          <w:rtl/>
        </w:rPr>
        <w:t>טענתו של הנאשם ביחס ל</w:t>
      </w:r>
      <w:r w:rsidRPr="002C67D9">
        <w:rPr>
          <w:rFonts w:ascii="DaunPenh" w:hAnsi="DaunPenh" w:hint="cs"/>
          <w:rtl/>
        </w:rPr>
        <w:t>התנהגותו בעת שנתפס נסתרה על ידי השוטרים. משמע, הנאשם לא שיתף פעולה עמם וסירב לאפשר להם בדיקה של תיקו, ללא התנגדות.</w:t>
      </w:r>
      <w:r>
        <w:rPr>
          <w:rFonts w:ascii="DaunPenh" w:hAnsi="DaunPenh" w:hint="cs"/>
          <w:rtl/>
        </w:rPr>
        <w:t xml:space="preserve"> לגרסתו של הנאשם בחקירתו במשטרה (הודעה מיום 29.5.17 שורה 22) הוא ראה את הנשק לראשונה בתחנת המשטרה. הנאשם טען, כי  במקום האירוע הוא רק הניח את ידו בתוך התיק על מנת לבדוק מה התיק מכיל;  או אז חש "במקל ברזל".  </w:t>
      </w:r>
      <w:r w:rsidRPr="002C67D9">
        <w:rPr>
          <w:rFonts w:ascii="DaunPenh" w:hAnsi="DaunPenh" w:hint="cs"/>
          <w:rtl/>
        </w:rPr>
        <w:t xml:space="preserve">נשאלת השאלה </w:t>
      </w:r>
      <w:r>
        <w:rPr>
          <w:rFonts w:ascii="DaunPenh" w:hAnsi="DaunPenh" w:hint="cs"/>
          <w:rtl/>
        </w:rPr>
        <w:t xml:space="preserve">מדוע, </w:t>
      </w:r>
      <w:r w:rsidRPr="002C67D9">
        <w:rPr>
          <w:rFonts w:ascii="DaunPenh" w:hAnsi="DaunPenh" w:hint="cs"/>
          <w:rtl/>
        </w:rPr>
        <w:t xml:space="preserve">אם </w:t>
      </w:r>
      <w:r>
        <w:rPr>
          <w:rFonts w:ascii="DaunPenh" w:hAnsi="DaunPenh" w:hint="cs"/>
          <w:rtl/>
        </w:rPr>
        <w:t xml:space="preserve">אכן ראה </w:t>
      </w:r>
      <w:r w:rsidRPr="002C67D9">
        <w:rPr>
          <w:rFonts w:ascii="DaunPenh" w:hAnsi="DaunPenh" w:hint="cs"/>
          <w:rtl/>
        </w:rPr>
        <w:t xml:space="preserve">הנאשם את </w:t>
      </w:r>
      <w:r>
        <w:rPr>
          <w:rFonts w:ascii="DaunPenh" w:hAnsi="DaunPenh" w:hint="cs"/>
          <w:rtl/>
        </w:rPr>
        <w:t xml:space="preserve">כלי </w:t>
      </w:r>
      <w:r w:rsidRPr="002C67D9">
        <w:rPr>
          <w:rFonts w:ascii="DaunPenh" w:hAnsi="DaunPenh" w:hint="cs"/>
          <w:rtl/>
        </w:rPr>
        <w:t xml:space="preserve">הנשק בפעם הראשונה, כגרסתו, בתחנת המשטרה, חשש מהשוטרים וצעד לכיוון המנוגד לאזור הקטטה. ואם חשש מהשוטרים מדוע מלכתחילה לקח תיק חשוד מאדם זר שעה שזה אמר לו, לגרסתו, "קח את התיק וצא החוצה וחכה לי אני בא יש משטרה" ((הודעה מיום 29.5.17 שורה 8). </w:t>
      </w:r>
    </w:p>
    <w:p w14:paraId="0D0F6068" w14:textId="77777777" w:rsidR="00DF6722" w:rsidRPr="002C67D9" w:rsidRDefault="00DF6722" w:rsidP="00DF6722">
      <w:pPr>
        <w:spacing w:line="360" w:lineRule="auto"/>
        <w:jc w:val="both"/>
        <w:rPr>
          <w:rFonts w:ascii="DaunPenh" w:hAnsi="DaunPenh"/>
          <w:rtl/>
        </w:rPr>
      </w:pPr>
    </w:p>
    <w:p w14:paraId="21F2249D" w14:textId="77777777" w:rsidR="00DF6722" w:rsidRDefault="00DF6722" w:rsidP="00DF6722">
      <w:pPr>
        <w:spacing w:line="360" w:lineRule="auto"/>
        <w:jc w:val="both"/>
        <w:rPr>
          <w:rFonts w:ascii="DaunPenh" w:hAnsi="DaunPenh"/>
          <w:rtl/>
        </w:rPr>
      </w:pPr>
      <w:r>
        <w:rPr>
          <w:rFonts w:ascii="DaunPenh" w:hAnsi="DaunPenh" w:hint="cs"/>
          <w:rtl/>
        </w:rPr>
        <w:t xml:space="preserve">כידוע, הטיית מאזן ההסתברויות משמעה - שכנועו של בית המשפט, כי </w:t>
      </w:r>
      <w:r w:rsidRPr="00A2500B">
        <w:rPr>
          <w:rFonts w:ascii="DaunPenh" w:hAnsi="DaunPenh" w:hint="cs"/>
          <w:b/>
          <w:bCs/>
          <w:rtl/>
        </w:rPr>
        <w:t>סביר יותר</w:t>
      </w:r>
      <w:r>
        <w:rPr>
          <w:rFonts w:ascii="DaunPenh" w:hAnsi="DaunPenh" w:hint="cs"/>
          <w:rtl/>
        </w:rPr>
        <w:t xml:space="preserve"> שגרסה עובדתית אחת התקיימה, מאשר שהתקיימו הגרסאות העובדתיות הנוגדות. (להרחבה ראו: ספרו של המלומד, </w:t>
      </w:r>
      <w:r w:rsidRPr="00A2500B">
        <w:rPr>
          <w:rFonts w:ascii="DaunPenh" w:hAnsi="DaunPenh" w:hint="cs"/>
          <w:b/>
          <w:bCs/>
          <w:rtl/>
        </w:rPr>
        <w:t>הלוי</w:t>
      </w:r>
      <w:r>
        <w:rPr>
          <w:rFonts w:ascii="DaunPenh" w:hAnsi="DaunPenh" w:hint="cs"/>
          <w:rtl/>
        </w:rPr>
        <w:t xml:space="preserve">, </w:t>
      </w:r>
      <w:r w:rsidRPr="00A2500B">
        <w:rPr>
          <w:rFonts w:ascii="DaunPenh" w:hAnsi="DaunPenh" w:hint="cs"/>
          <w:b/>
          <w:bCs/>
          <w:rtl/>
        </w:rPr>
        <w:t>תורת דיני הראיות</w:t>
      </w:r>
      <w:r>
        <w:rPr>
          <w:rFonts w:ascii="DaunPenh" w:hAnsi="DaunPenh" w:hint="cs"/>
          <w:rtl/>
        </w:rPr>
        <w:t xml:space="preserve">, כרך ד'(2013), עמ' 542). </w:t>
      </w:r>
    </w:p>
    <w:p w14:paraId="617362AA" w14:textId="77777777" w:rsidR="00DF6722" w:rsidRDefault="00DF6722" w:rsidP="00DF6722">
      <w:pPr>
        <w:spacing w:line="360" w:lineRule="auto"/>
        <w:jc w:val="both"/>
        <w:rPr>
          <w:rFonts w:ascii="DaunPenh" w:hAnsi="DaunPenh"/>
          <w:rtl/>
        </w:rPr>
      </w:pPr>
    </w:p>
    <w:p w14:paraId="229D067A" w14:textId="77777777" w:rsidR="00DF6722" w:rsidRDefault="00DF6722" w:rsidP="00DF6722">
      <w:pPr>
        <w:spacing w:line="360" w:lineRule="auto"/>
        <w:jc w:val="both"/>
        <w:rPr>
          <w:rFonts w:ascii="DaunPenh" w:hAnsi="DaunPenh"/>
          <w:rtl/>
        </w:rPr>
      </w:pPr>
      <w:r>
        <w:rPr>
          <w:rFonts w:ascii="DaunPenh" w:hAnsi="DaunPenh" w:hint="cs"/>
          <w:rtl/>
        </w:rPr>
        <w:t xml:space="preserve">מניתוח הראיות, כפי שתמצותן הובא לעיל הגעתי לכלל דעה כי גרסתו של הנאשם היא עמומה ואינה נתמכת ׁ(מלבד בגרסתו המתפתלת)ׂ בחומר הראיות. </w:t>
      </w:r>
      <w:r w:rsidRPr="00CF322B">
        <w:rPr>
          <w:rFonts w:ascii="DaunPenh" w:hAnsi="DaunPenh" w:hint="cs"/>
          <w:b/>
          <w:bCs/>
          <w:rtl/>
        </w:rPr>
        <w:t>יתרה מכך, התנהגותו המצולמת, כ</w:t>
      </w:r>
      <w:r>
        <w:rPr>
          <w:rFonts w:ascii="DaunPenh" w:hAnsi="DaunPenh" w:hint="cs"/>
          <w:b/>
          <w:bCs/>
          <w:rtl/>
        </w:rPr>
        <w:t>פי</w:t>
      </w:r>
      <w:r w:rsidRPr="00CF322B">
        <w:rPr>
          <w:rFonts w:ascii="DaunPenh" w:hAnsi="DaunPenh" w:hint="cs"/>
          <w:b/>
          <w:bCs/>
          <w:rtl/>
        </w:rPr>
        <w:t xml:space="preserve"> זו שתוארה </w:t>
      </w:r>
      <w:r>
        <w:rPr>
          <w:rFonts w:ascii="DaunPenh" w:hAnsi="DaunPenh" w:hint="cs"/>
          <w:b/>
          <w:bCs/>
          <w:rtl/>
        </w:rPr>
        <w:t xml:space="preserve">גם </w:t>
      </w:r>
      <w:r w:rsidRPr="00CF322B">
        <w:rPr>
          <w:rFonts w:ascii="DaunPenh" w:hAnsi="DaunPenh" w:hint="cs"/>
          <w:b/>
          <w:bCs/>
          <w:rtl/>
        </w:rPr>
        <w:t xml:space="preserve">על ידי שני השוטרים (על רקע הקטטה המתוארת) לא מאפשרת לי </w:t>
      </w:r>
      <w:r>
        <w:rPr>
          <w:rFonts w:ascii="DaunPenh" w:hAnsi="DaunPenh" w:hint="cs"/>
          <w:b/>
          <w:bCs/>
          <w:rtl/>
        </w:rPr>
        <w:t xml:space="preserve">כלל ועיקר </w:t>
      </w:r>
      <w:r w:rsidRPr="00CF322B">
        <w:rPr>
          <w:rFonts w:ascii="DaunPenh" w:hAnsi="DaunPenh" w:hint="cs"/>
          <w:b/>
          <w:bCs/>
          <w:rtl/>
        </w:rPr>
        <w:t>לקבל את גרסתו כסבירה יותר מגרסת התביעה</w:t>
      </w:r>
      <w:r>
        <w:rPr>
          <w:rFonts w:ascii="DaunPenh" w:hAnsi="DaunPenh" w:hint="cs"/>
          <w:b/>
          <w:bCs/>
          <w:rtl/>
        </w:rPr>
        <w:t>,</w:t>
      </w:r>
      <w:r w:rsidRPr="00CF322B">
        <w:rPr>
          <w:rFonts w:ascii="DaunPenh" w:hAnsi="DaunPenh" w:hint="cs"/>
          <w:b/>
          <w:bCs/>
          <w:rtl/>
        </w:rPr>
        <w:t xml:space="preserve"> לפיה הנאשם הגיע ל</w:t>
      </w:r>
      <w:r>
        <w:rPr>
          <w:rFonts w:ascii="DaunPenh" w:hAnsi="DaunPenh" w:hint="cs"/>
          <w:b/>
          <w:bCs/>
          <w:rtl/>
        </w:rPr>
        <w:t>אזור</w:t>
      </w:r>
      <w:r w:rsidRPr="00CF322B">
        <w:rPr>
          <w:rFonts w:ascii="DaunPenh" w:hAnsi="DaunPenh" w:hint="cs"/>
          <w:b/>
          <w:bCs/>
          <w:rtl/>
        </w:rPr>
        <w:t xml:space="preserve"> </w:t>
      </w:r>
      <w:r>
        <w:rPr>
          <w:rFonts w:ascii="DaunPenh" w:hAnsi="DaunPenh" w:hint="cs"/>
          <w:b/>
          <w:bCs/>
          <w:rtl/>
        </w:rPr>
        <w:t>בו נתפס</w:t>
      </w:r>
      <w:r w:rsidRPr="00CF322B">
        <w:rPr>
          <w:rFonts w:ascii="DaunPenh" w:hAnsi="DaunPenh" w:hint="cs"/>
          <w:b/>
          <w:bCs/>
          <w:rtl/>
        </w:rPr>
        <w:t xml:space="preserve"> עם הנשק על גבו</w:t>
      </w:r>
      <w:r>
        <w:rPr>
          <w:rFonts w:ascii="DaunPenh" w:hAnsi="DaunPenh" w:hint="cs"/>
          <w:b/>
          <w:bCs/>
          <w:rtl/>
        </w:rPr>
        <w:t>, מבעוד מועד</w:t>
      </w:r>
      <w:r w:rsidRPr="00CF322B">
        <w:rPr>
          <w:rFonts w:ascii="DaunPenh" w:hAnsi="DaunPenh" w:hint="cs"/>
          <w:b/>
          <w:bCs/>
          <w:rtl/>
        </w:rPr>
        <w:t>.</w:t>
      </w:r>
      <w:r>
        <w:rPr>
          <w:rFonts w:ascii="DaunPenh" w:hAnsi="DaunPenh" w:hint="cs"/>
          <w:rtl/>
        </w:rPr>
        <w:t xml:space="preserve">   </w:t>
      </w:r>
    </w:p>
    <w:p w14:paraId="7D0E2D50" w14:textId="77777777" w:rsidR="00DF6722" w:rsidRDefault="00DF6722" w:rsidP="00DF6722">
      <w:pPr>
        <w:spacing w:line="360" w:lineRule="auto"/>
        <w:jc w:val="both"/>
        <w:rPr>
          <w:rFonts w:ascii="DaunPenh" w:hAnsi="DaunPenh"/>
          <w:rtl/>
        </w:rPr>
      </w:pPr>
      <w:r w:rsidRPr="00CF322B">
        <w:rPr>
          <w:rFonts w:ascii="DaunPenh" w:hAnsi="DaunPenh" w:hint="cs"/>
          <w:b/>
          <w:bCs/>
          <w:rtl/>
        </w:rPr>
        <w:t>לאור המקובץ</w:t>
      </w:r>
      <w:r>
        <w:rPr>
          <w:rFonts w:ascii="DaunPenh" w:hAnsi="DaunPenh" w:hint="cs"/>
          <w:b/>
          <w:bCs/>
          <w:rtl/>
        </w:rPr>
        <w:t>,</w:t>
      </w:r>
      <w:r w:rsidRPr="00CF322B">
        <w:rPr>
          <w:rFonts w:ascii="DaunPenh" w:hAnsi="DaunPenh" w:hint="cs"/>
          <w:b/>
          <w:bCs/>
          <w:rtl/>
        </w:rPr>
        <w:t xml:space="preserve"> דין טענת ההגנה בהקשר זה - להידחות</w:t>
      </w:r>
      <w:r>
        <w:rPr>
          <w:rFonts w:ascii="DaunPenh" w:hAnsi="DaunPenh" w:hint="cs"/>
          <w:rtl/>
        </w:rPr>
        <w:t xml:space="preserve">.  </w:t>
      </w:r>
    </w:p>
    <w:p w14:paraId="23ED62B4" w14:textId="77777777" w:rsidR="00DF6722" w:rsidRDefault="00DF6722" w:rsidP="00DF6722">
      <w:pPr>
        <w:spacing w:line="360" w:lineRule="auto"/>
        <w:jc w:val="both"/>
        <w:rPr>
          <w:rFonts w:ascii="DaunPenh" w:hAnsi="DaunPenh"/>
          <w:rtl/>
        </w:rPr>
      </w:pPr>
    </w:p>
    <w:p w14:paraId="64F06AFB" w14:textId="77777777" w:rsidR="00DF6722" w:rsidRPr="000F02C4" w:rsidRDefault="00DF6722" w:rsidP="00DF6722">
      <w:pPr>
        <w:spacing w:line="360" w:lineRule="auto"/>
        <w:jc w:val="both"/>
        <w:rPr>
          <w:rtl/>
        </w:rPr>
      </w:pPr>
      <w:r w:rsidRPr="000F02C4">
        <w:rPr>
          <w:rFonts w:hint="cs"/>
          <w:rtl/>
        </w:rPr>
        <w:t>משהתמונה העובדתית, המהווה בסיס לגזירת עונשו של הנאשם התבהרה כמפורט לעיל, ראוי לעבור לעיין בראיות ובטיעונים לעניין העונש.</w:t>
      </w:r>
    </w:p>
    <w:p w14:paraId="764505FB" w14:textId="77777777" w:rsidR="00DF6722" w:rsidRDefault="00DF6722" w:rsidP="00DF6722">
      <w:pPr>
        <w:spacing w:line="360" w:lineRule="auto"/>
        <w:jc w:val="both"/>
        <w:rPr>
          <w:b/>
          <w:bCs/>
          <w:u w:val="single"/>
          <w:rtl/>
        </w:rPr>
      </w:pPr>
    </w:p>
    <w:p w14:paraId="5103767A" w14:textId="77777777" w:rsidR="00DF6722" w:rsidRDefault="00DF6722" w:rsidP="00DF6722">
      <w:pPr>
        <w:spacing w:line="360" w:lineRule="auto"/>
        <w:jc w:val="both"/>
        <w:rPr>
          <w:rtl/>
        </w:rPr>
      </w:pPr>
      <w:r>
        <w:rPr>
          <w:rFonts w:hint="cs"/>
          <w:b/>
          <w:bCs/>
          <w:u w:val="single"/>
          <w:rtl/>
        </w:rPr>
        <w:t>תסקיר שירות המבחן</w:t>
      </w:r>
    </w:p>
    <w:p w14:paraId="0CE50FBF" w14:textId="77777777" w:rsidR="00DF6722" w:rsidRDefault="00DF6722" w:rsidP="00DF6722">
      <w:pPr>
        <w:spacing w:line="360" w:lineRule="auto"/>
        <w:jc w:val="both"/>
        <w:rPr>
          <w:rtl/>
        </w:rPr>
      </w:pPr>
      <w:r>
        <w:rPr>
          <w:rFonts w:hint="cs"/>
          <w:rtl/>
        </w:rPr>
        <w:t xml:space="preserve">בעניינו של הנאשם, הוזמן תסקיר מאת שירות המבחן; ממנו עלה, כי הנאשם הוא בן 25, רווק, המתגורר בבית הוריו ועושה מאמץ לשמור על מסגרת תעסוקתית. ילדותו הייתה מורכבת והתאפיינה בבעיות התנהגותיות, דבר שהוביל למציאת מסגרות חינוכיות מתאימות עבורו.  עיון בגיליון רישומו הפלילי העלה כי לא רשום לחובתו עבר פלילי. </w:t>
      </w:r>
      <w:r w:rsidRPr="00C6788B">
        <w:rPr>
          <w:rFonts w:hint="cs"/>
          <w:rtl/>
        </w:rPr>
        <w:t>לצד זאת, במסגרת התסקיר</w:t>
      </w:r>
      <w:r>
        <w:rPr>
          <w:rFonts w:hint="cs"/>
          <w:rtl/>
        </w:rPr>
        <w:t>,</w:t>
      </w:r>
      <w:r w:rsidRPr="00C6788B">
        <w:rPr>
          <w:rFonts w:hint="cs"/>
          <w:rtl/>
        </w:rPr>
        <w:t xml:space="preserve"> צוין שהוגש בעניינו של הנאשם כתב אישום (שמצבו המשפטי אינו ברור ד</w:t>
      </w:r>
      <w:r>
        <w:rPr>
          <w:rFonts w:hint="cs"/>
          <w:rtl/>
        </w:rPr>
        <w:t>יו) בגין עבירות של איומים ותקיפה</w:t>
      </w:r>
      <w:r w:rsidRPr="00C6788B">
        <w:rPr>
          <w:rFonts w:hint="cs"/>
          <w:rtl/>
        </w:rPr>
        <w:t xml:space="preserve"> סתם (בבית משפט השלום בת"א).</w:t>
      </w:r>
      <w:r>
        <w:rPr>
          <w:rFonts w:hint="cs"/>
          <w:rtl/>
        </w:rPr>
        <w:t xml:space="preserve">   </w:t>
      </w:r>
    </w:p>
    <w:p w14:paraId="4A99DBAB" w14:textId="77777777" w:rsidR="00DF6722" w:rsidRDefault="00DF6722" w:rsidP="00DF6722">
      <w:pPr>
        <w:spacing w:line="360" w:lineRule="auto"/>
        <w:jc w:val="both"/>
        <w:rPr>
          <w:rtl/>
        </w:rPr>
      </w:pPr>
    </w:p>
    <w:p w14:paraId="0B8CFB54" w14:textId="77777777" w:rsidR="00DF6722" w:rsidRDefault="00DF6722" w:rsidP="00DF6722">
      <w:pPr>
        <w:spacing w:line="360" w:lineRule="auto"/>
        <w:jc w:val="both"/>
        <w:rPr>
          <w:rtl/>
        </w:rPr>
      </w:pPr>
      <w:r>
        <w:rPr>
          <w:rFonts w:hint="cs"/>
          <w:rtl/>
        </w:rPr>
        <w:t xml:space="preserve">בהתייחסותו לביצוע העבירה הנדונה כאן, צוין, כי הנאשם התקשה  ליטול אחריות וסיגל לעצמו עמדת קורבן. לדבריו, הוא נקלע לסיטואציה הפלילית באופן מקרי לחלוטין. </w:t>
      </w:r>
      <w:r w:rsidRPr="00012FD3">
        <w:rPr>
          <w:rFonts w:hint="cs"/>
          <w:b/>
          <w:bCs/>
          <w:rtl/>
        </w:rPr>
        <w:t>לגרסתו, הוא נכח באזור בו התקהל מספר רב של אנשים, כאשר אחד מהם פנה אליו בבקשה להחזיק את התיק</w:t>
      </w:r>
      <w:r>
        <w:rPr>
          <w:rFonts w:hint="cs"/>
          <w:b/>
          <w:bCs/>
          <w:rtl/>
        </w:rPr>
        <w:t xml:space="preserve"> (בו היה מצוי כלי הנשק). הנאשם טען, שאינו מכיר את האדם שהעביר לו את התיק. </w:t>
      </w:r>
      <w:r>
        <w:rPr>
          <w:rFonts w:hint="cs"/>
          <w:rtl/>
        </w:rPr>
        <w:t xml:space="preserve">קצינת המבחן התרשמה שבולטת בנאשם נטייה לטשטש ולמזער את חומרת מעשיו, תוך שהוא שולל כל קשר עם תת תרבות עבריינית. עוד צוין, כי  בולט בנאשם הקושי לקיים התבוננות פנימית אודות התנהלותו.  </w:t>
      </w:r>
    </w:p>
    <w:p w14:paraId="3A926E94" w14:textId="77777777" w:rsidR="00DF6722" w:rsidRDefault="00DF6722" w:rsidP="00DF6722">
      <w:pPr>
        <w:spacing w:line="360" w:lineRule="auto"/>
        <w:jc w:val="both"/>
        <w:rPr>
          <w:rtl/>
        </w:rPr>
      </w:pPr>
    </w:p>
    <w:p w14:paraId="1EA8EBED" w14:textId="77777777" w:rsidR="00DF6722" w:rsidRDefault="00DF6722" w:rsidP="00DF6722">
      <w:pPr>
        <w:spacing w:line="360" w:lineRule="auto"/>
        <w:jc w:val="both"/>
        <w:rPr>
          <w:rtl/>
        </w:rPr>
      </w:pPr>
      <w:r>
        <w:rPr>
          <w:rFonts w:hint="cs"/>
          <w:rtl/>
        </w:rPr>
        <w:t xml:space="preserve">פורט, כי בעוד הנאשם מדגיש את החלקים החיוביים והמתפקדים אצלו, ניכר בו שהוא נוקט דפוסי הסתרה וטשטוש ביחס למניעים שהובילוהו לנשיאת כלי הנשק. הפער בין הצגתו כמי שמתפקד ומתנהל על פי מערכת ערכים נורמטיבית לבין עמדתו הממזערת את חומרת מעשיו, הובילו את קצינת המבחן </w:t>
      </w:r>
      <w:r w:rsidRPr="0008307F">
        <w:rPr>
          <w:rFonts w:hint="cs"/>
          <w:b/>
          <w:bCs/>
          <w:rtl/>
        </w:rPr>
        <w:t xml:space="preserve">להעריך שקיים אצל הנאשם סיכון להישנות מעשים דומים בעתיד. </w:t>
      </w:r>
      <w:r>
        <w:rPr>
          <w:rFonts w:hint="cs"/>
          <w:rtl/>
        </w:rPr>
        <w:t xml:space="preserve">עוד צוין, כי לאור המקובץ </w:t>
      </w:r>
      <w:r w:rsidRPr="008B43A7">
        <w:rPr>
          <w:rFonts w:hint="cs"/>
          <w:b/>
          <w:bCs/>
          <w:rtl/>
        </w:rPr>
        <w:t xml:space="preserve">אין באפשרותו של שירות המבחן לכלול </w:t>
      </w:r>
      <w:r>
        <w:rPr>
          <w:rFonts w:hint="cs"/>
          <w:b/>
          <w:bCs/>
          <w:rtl/>
        </w:rPr>
        <w:t xml:space="preserve">בחוות דעתו </w:t>
      </w:r>
      <w:r w:rsidRPr="008B43A7">
        <w:rPr>
          <w:rFonts w:hint="cs"/>
          <w:b/>
          <w:bCs/>
          <w:rtl/>
        </w:rPr>
        <w:t xml:space="preserve">המלצה בעלת אופי שיקומי.  </w:t>
      </w:r>
    </w:p>
    <w:p w14:paraId="516F9380" w14:textId="77777777" w:rsidR="00DF6722" w:rsidRDefault="00DF6722" w:rsidP="00DF6722">
      <w:pPr>
        <w:spacing w:line="360" w:lineRule="auto"/>
        <w:jc w:val="both"/>
        <w:rPr>
          <w:b/>
          <w:bCs/>
          <w:u w:val="single"/>
          <w:rtl/>
        </w:rPr>
      </w:pPr>
    </w:p>
    <w:p w14:paraId="407A7C60" w14:textId="77777777" w:rsidR="00DF6722" w:rsidRDefault="00DF6722" w:rsidP="00DF6722">
      <w:pPr>
        <w:spacing w:line="360" w:lineRule="auto"/>
        <w:jc w:val="both"/>
        <w:rPr>
          <w:b/>
          <w:bCs/>
          <w:u w:val="single"/>
          <w:rtl/>
        </w:rPr>
      </w:pPr>
      <w:r w:rsidRPr="000F02C4">
        <w:rPr>
          <w:rFonts w:hint="cs"/>
          <w:b/>
          <w:bCs/>
          <w:u w:val="single"/>
          <w:rtl/>
        </w:rPr>
        <w:t>ראיות התביעה לעניין העונש</w:t>
      </w:r>
    </w:p>
    <w:p w14:paraId="360257C7" w14:textId="77777777" w:rsidR="00DF6722" w:rsidRPr="00812402" w:rsidRDefault="00DF6722" w:rsidP="00DF6722">
      <w:pPr>
        <w:jc w:val="both"/>
        <w:rPr>
          <w:b/>
          <w:bCs/>
          <w:rtl/>
        </w:rPr>
      </w:pPr>
      <w:r w:rsidRPr="00812402">
        <w:rPr>
          <w:rFonts w:hint="cs"/>
          <w:b/>
          <w:bCs/>
          <w:rtl/>
        </w:rPr>
        <w:t>לא הוצג בעניינו של הנאשם רישום בדבר עבר פלילי.</w:t>
      </w:r>
    </w:p>
    <w:p w14:paraId="12EE2C29" w14:textId="77777777" w:rsidR="00DF6722" w:rsidRPr="000F02C4" w:rsidRDefault="00DF6722" w:rsidP="00DF6722">
      <w:pPr>
        <w:spacing w:line="360" w:lineRule="auto"/>
        <w:jc w:val="both"/>
        <w:rPr>
          <w:b/>
          <w:bCs/>
          <w:u w:val="single"/>
          <w:rtl/>
        </w:rPr>
      </w:pPr>
    </w:p>
    <w:p w14:paraId="5620E394" w14:textId="77777777" w:rsidR="00DF6722" w:rsidRDefault="00DF6722" w:rsidP="00DF6722">
      <w:pPr>
        <w:spacing w:line="360" w:lineRule="auto"/>
        <w:jc w:val="both"/>
        <w:rPr>
          <w:b/>
          <w:bCs/>
          <w:u w:val="single"/>
          <w:rtl/>
        </w:rPr>
      </w:pPr>
      <w:r>
        <w:rPr>
          <w:rFonts w:hint="cs"/>
          <w:b/>
          <w:bCs/>
          <w:u w:val="single"/>
          <w:rtl/>
        </w:rPr>
        <w:t xml:space="preserve">טיעונים לעניין העונש </w:t>
      </w:r>
      <w:r>
        <w:rPr>
          <w:b/>
          <w:bCs/>
          <w:u w:val="single"/>
          <w:rtl/>
        </w:rPr>
        <w:t>–</w:t>
      </w:r>
      <w:r>
        <w:rPr>
          <w:rFonts w:hint="cs"/>
          <w:b/>
          <w:bCs/>
          <w:u w:val="single"/>
          <w:rtl/>
        </w:rPr>
        <w:t xml:space="preserve"> התביעה</w:t>
      </w:r>
    </w:p>
    <w:p w14:paraId="46C797EE" w14:textId="77777777" w:rsidR="00DF6722" w:rsidRDefault="00DF6722" w:rsidP="00DF6722">
      <w:pPr>
        <w:spacing w:line="360" w:lineRule="auto"/>
        <w:jc w:val="both"/>
        <w:rPr>
          <w:rtl/>
        </w:rPr>
      </w:pPr>
      <w:r>
        <w:rPr>
          <w:rFonts w:hint="cs"/>
          <w:rtl/>
        </w:rPr>
        <w:t>בטיעוניו הכתובים לעניין העונש עמד ב"כ המאשימה על חומרת המעשה ועל הסיכון המשמעותי הטמון בו;  התובע הצביע על הערכים החברתיים הנפגעים כאן - הבטחת שלום הציבור והגנה על חיי-אדם לנוכח תרומתה של זמינות נשק למעגל האלימות; ב"כ המאשימה ציין, כי לעיתים, נשק בלתי-מורשה מגיע לידיים עברייניות העושות בו שימוש כדי לפגוע באחרים.</w:t>
      </w:r>
      <w:r w:rsidRPr="006E5A8A">
        <w:rPr>
          <w:rFonts w:hint="cs"/>
          <w:rtl/>
        </w:rPr>
        <w:t xml:space="preserve"> </w:t>
      </w:r>
      <w:r>
        <w:rPr>
          <w:rFonts w:hint="cs"/>
          <w:rtl/>
        </w:rPr>
        <w:t xml:space="preserve"> הפרקליט הציג פסיקה נהוגה והצביע על מגמת ההחמרה החלה בענישת עברייני  נשק. הוא ציין, כי ההחמרה המקובלת בכגון דא נובעת מהיות העבירות כאלו טומנות בחובן פוטנציאל למסוכנות רבה ומכך שאין לדעת מתי תתממש ובאיזו עוצמה ומה יהיה מספר החפים מפשע שייפגעו עקב כך. </w:t>
      </w:r>
    </w:p>
    <w:p w14:paraId="721C6644" w14:textId="77777777" w:rsidR="00DF6722" w:rsidRDefault="00DF6722" w:rsidP="00DF6722">
      <w:pPr>
        <w:spacing w:line="360" w:lineRule="auto"/>
        <w:jc w:val="both"/>
        <w:rPr>
          <w:rtl/>
        </w:rPr>
      </w:pPr>
    </w:p>
    <w:p w14:paraId="468C329E" w14:textId="77777777" w:rsidR="00DF6722" w:rsidRDefault="00DF6722" w:rsidP="00DF6722">
      <w:pPr>
        <w:spacing w:line="360" w:lineRule="auto"/>
        <w:jc w:val="both"/>
        <w:rPr>
          <w:rtl/>
        </w:rPr>
      </w:pPr>
      <w:r>
        <w:rPr>
          <w:rFonts w:hint="cs"/>
          <w:rtl/>
        </w:rPr>
        <w:t xml:space="preserve">הפרקליט המלומד הפנה לממצאי תסקיר שירות המבחן, לפיהם נמנע שירות המבחן מלהציג המלצה טיפולית בעניינו של הנאשם על המשמעויות הנודעות לכך. בהקשר זה צוין, שאין מתקיימות במקרה דנן נסיבות אשר מצדיקות חריגה לקולא ממתחם הענישה ההולם את מעשיו של הנאשם. מכאן, אליבא דמאשימה מתחם הענישה ההולם נע בין שתי שנות מאסר ומחצה לבין 5 שנות מאסר. התבקשתי אפוא להטיל על הנאשם  מאסר בגדרי אותו מתחם וכן מאסר על תנאי וקנס. </w:t>
      </w:r>
    </w:p>
    <w:p w14:paraId="0B7EB13E" w14:textId="77777777" w:rsidR="00DF6722" w:rsidRDefault="00DF6722" w:rsidP="00DF6722">
      <w:pPr>
        <w:spacing w:line="360" w:lineRule="auto"/>
        <w:jc w:val="both"/>
        <w:rPr>
          <w:b/>
          <w:bCs/>
          <w:u w:val="single"/>
          <w:rtl/>
        </w:rPr>
      </w:pPr>
    </w:p>
    <w:p w14:paraId="166242D6" w14:textId="77777777" w:rsidR="00DF6722" w:rsidRPr="000F02C4" w:rsidRDefault="00DF6722" w:rsidP="00DF6722">
      <w:pPr>
        <w:spacing w:line="360" w:lineRule="auto"/>
        <w:jc w:val="both"/>
        <w:rPr>
          <w:b/>
          <w:bCs/>
          <w:u w:val="single"/>
          <w:rtl/>
        </w:rPr>
      </w:pPr>
      <w:r w:rsidRPr="000F02C4">
        <w:rPr>
          <w:rFonts w:hint="cs"/>
          <w:b/>
          <w:bCs/>
          <w:u w:val="single"/>
          <w:rtl/>
        </w:rPr>
        <w:t xml:space="preserve">טיעונים לעניין העונש </w:t>
      </w:r>
      <w:r w:rsidRPr="000F02C4">
        <w:rPr>
          <w:b/>
          <w:bCs/>
          <w:u w:val="single"/>
          <w:rtl/>
        </w:rPr>
        <w:t>–</w:t>
      </w:r>
      <w:r w:rsidRPr="000F02C4">
        <w:rPr>
          <w:rFonts w:hint="cs"/>
          <w:b/>
          <w:bCs/>
          <w:u w:val="single"/>
          <w:rtl/>
        </w:rPr>
        <w:t xml:space="preserve"> ההגנה</w:t>
      </w:r>
    </w:p>
    <w:p w14:paraId="52AABEC4" w14:textId="77777777" w:rsidR="00DF6722" w:rsidRDefault="00DF6722" w:rsidP="00DF6722">
      <w:pPr>
        <w:spacing w:line="360" w:lineRule="auto"/>
        <w:jc w:val="both"/>
        <w:rPr>
          <w:rtl/>
        </w:rPr>
      </w:pPr>
      <w:r>
        <w:rPr>
          <w:rFonts w:hint="cs"/>
          <w:rtl/>
        </w:rPr>
        <w:t xml:space="preserve">הסנגור המלומד, עו"ד מוטי לוי , עתר שלא למצות את הדין עם מרשו. הסנגור הוסיף וטען כי המחסנית שנתפסה לא הייתה טעונה בתוך כלי הנשק ובכך יש להצביע על נסיבות חמורות פחות.  הסנגור הפנה לכך שהנאשם היה עצור במסגרת תיק זה כחודשיים וחצי; הוא הודה ונטל אחריות על ליבת האירוע. לשיטתו מתחם הענישה ההולם ראוי שיעמוד (בתחתית המתחם) על 9 חודשים לכל היותר. מכאן, שנוכח הזמן בו שהה הנאשם במעצר, לשיטתו, תיק זה מתאים להטלת עונש בדרך של עבודות שירות.      </w:t>
      </w:r>
    </w:p>
    <w:p w14:paraId="7B6559CA" w14:textId="77777777" w:rsidR="00DF6722" w:rsidRDefault="00DF6722" w:rsidP="00DF6722">
      <w:pPr>
        <w:jc w:val="both"/>
        <w:rPr>
          <w:b/>
          <w:bCs/>
          <w:u w:val="single"/>
          <w:rtl/>
        </w:rPr>
      </w:pPr>
    </w:p>
    <w:p w14:paraId="7A328C7F" w14:textId="77777777" w:rsidR="00DF6722" w:rsidRDefault="00DF6722" w:rsidP="00DF6722">
      <w:pPr>
        <w:spacing w:line="360" w:lineRule="auto"/>
        <w:jc w:val="both"/>
        <w:rPr>
          <w:rtl/>
        </w:rPr>
      </w:pPr>
      <w:r>
        <w:rPr>
          <w:rFonts w:hint="cs"/>
          <w:b/>
          <w:bCs/>
          <w:u w:val="single"/>
          <w:rtl/>
        </w:rPr>
        <w:t>הנאשם בדברו האחרון</w:t>
      </w:r>
    </w:p>
    <w:p w14:paraId="0044D68E" w14:textId="77777777" w:rsidR="00DF6722" w:rsidRPr="00F60258" w:rsidRDefault="00DF6722" w:rsidP="00DF6722">
      <w:pPr>
        <w:spacing w:line="360" w:lineRule="auto"/>
        <w:jc w:val="both"/>
        <w:rPr>
          <w:rtl/>
        </w:rPr>
      </w:pPr>
      <w:r>
        <w:rPr>
          <w:rFonts w:hint="cs"/>
          <w:rtl/>
        </w:rPr>
        <w:t>בדברו האחרון הביע הנאשם צער וחרטה על המעשה. הוא הוסיף את הדברים הבאים: "..</w:t>
      </w:r>
      <w:r w:rsidRPr="00C11FA4">
        <w:rPr>
          <w:rFonts w:hint="cs"/>
          <w:b/>
          <w:bCs/>
          <w:rtl/>
        </w:rPr>
        <w:t>אבל בסוף של דבר, ידעתי הרבה לגבי התיק שלי הזה. בעזרת השם אני אהיה גם בן אדם אחר קדימה. הפסדתי הרבה מהחיים שלי בתיק הזה. אני מתנצל על זה גם.</w:t>
      </w:r>
      <w:r>
        <w:rPr>
          <w:rFonts w:hint="cs"/>
          <w:rtl/>
        </w:rPr>
        <w:t xml:space="preserve"> "</w:t>
      </w:r>
    </w:p>
    <w:p w14:paraId="6BE7C725" w14:textId="77777777" w:rsidR="00DF6722" w:rsidRDefault="00DF6722" w:rsidP="00DF6722">
      <w:pPr>
        <w:jc w:val="both"/>
        <w:rPr>
          <w:b/>
          <w:bCs/>
          <w:u w:val="single"/>
          <w:rtl/>
        </w:rPr>
      </w:pPr>
    </w:p>
    <w:p w14:paraId="35CFD42C" w14:textId="77777777" w:rsidR="00DF6722" w:rsidRDefault="00DF6722" w:rsidP="00DF6722">
      <w:pPr>
        <w:spacing w:line="360" w:lineRule="auto"/>
        <w:jc w:val="both"/>
        <w:rPr>
          <w:rtl/>
        </w:rPr>
      </w:pPr>
      <w:r>
        <w:rPr>
          <w:rFonts w:hint="cs"/>
          <w:b/>
          <w:bCs/>
          <w:u w:val="single"/>
          <w:rtl/>
        </w:rPr>
        <w:t>דיון והכרעה</w:t>
      </w:r>
    </w:p>
    <w:p w14:paraId="010B7C45" w14:textId="77777777" w:rsidR="00DF6722" w:rsidRDefault="00DF6722" w:rsidP="00DF6722">
      <w:pPr>
        <w:spacing w:line="360" w:lineRule="auto"/>
        <w:jc w:val="both"/>
        <w:rPr>
          <w:rtl/>
        </w:rPr>
      </w:pPr>
      <w:r>
        <w:rPr>
          <w:rFonts w:hint="cs"/>
          <w:rtl/>
        </w:rPr>
        <w:t>הנאשם שלפניי נתפס כשהוא נושא ברשותו תת מקלע מאולתר ומחסנית ובתוכה כדור לנשק. הנאשם החזיק את כלי הנשק, המחסנית והכדור בתוך תיק שנשא על גבו, בעודו צועד, ביום 29.5.17, בשעה 20:10  באזור מגורים בבענה.</w:t>
      </w:r>
    </w:p>
    <w:p w14:paraId="30AB2634" w14:textId="77777777" w:rsidR="00DF6722" w:rsidRDefault="00DF6722" w:rsidP="00DF6722">
      <w:pPr>
        <w:spacing w:line="360" w:lineRule="auto"/>
        <w:jc w:val="both"/>
        <w:rPr>
          <w:rtl/>
        </w:rPr>
      </w:pPr>
    </w:p>
    <w:p w14:paraId="30E56924" w14:textId="77777777" w:rsidR="00DF6722" w:rsidRDefault="00DF6722" w:rsidP="00DF6722">
      <w:pPr>
        <w:spacing w:line="360" w:lineRule="auto"/>
        <w:jc w:val="both"/>
        <w:rPr>
          <w:rtl/>
        </w:rPr>
      </w:pPr>
      <w:r>
        <w:rPr>
          <w:rFonts w:hint="cs"/>
          <w:rtl/>
        </w:rPr>
        <w:t xml:space="preserve">הגיעה השעה לגזור את דינו. </w:t>
      </w:r>
    </w:p>
    <w:p w14:paraId="6BFF5DA9" w14:textId="77777777" w:rsidR="00DF6722" w:rsidRDefault="00DF6722" w:rsidP="00DF6722">
      <w:pPr>
        <w:spacing w:line="360" w:lineRule="auto"/>
        <w:jc w:val="both"/>
        <w:rPr>
          <w:rtl/>
        </w:rPr>
      </w:pPr>
    </w:p>
    <w:p w14:paraId="3EB8FAD8" w14:textId="77777777" w:rsidR="00DF6722" w:rsidRDefault="00DF6722" w:rsidP="00DF6722">
      <w:pPr>
        <w:spacing w:line="360" w:lineRule="auto"/>
        <w:jc w:val="both"/>
        <w:rPr>
          <w:rtl/>
        </w:rPr>
      </w:pPr>
      <w:r>
        <w:rPr>
          <w:rFonts w:hint="cs"/>
          <w:rtl/>
        </w:rPr>
        <w:t xml:space="preserve">כמצוות </w:t>
      </w:r>
      <w:hyperlink r:id="rId38" w:history="1">
        <w:r w:rsidR="00F25B78" w:rsidRPr="00F25B78">
          <w:rPr>
            <w:color w:val="0000FF"/>
            <w:u w:val="single"/>
            <w:rtl/>
          </w:rPr>
          <w:t>סימן א'1</w:t>
        </w:r>
      </w:hyperlink>
      <w:r>
        <w:rPr>
          <w:rFonts w:hint="cs"/>
          <w:rtl/>
        </w:rPr>
        <w:t xml:space="preserve"> </w:t>
      </w:r>
      <w:hyperlink r:id="rId39" w:history="1">
        <w:r w:rsidR="00F25B78" w:rsidRPr="00F25B78">
          <w:rPr>
            <w:color w:val="0000FF"/>
            <w:u w:val="single"/>
            <w:rtl/>
          </w:rPr>
          <w:t>בפרק ו'</w:t>
        </w:r>
      </w:hyperlink>
      <w:r>
        <w:rPr>
          <w:rFonts w:hint="cs"/>
          <w:rtl/>
        </w:rPr>
        <w:t xml:space="preserve"> שב</w:t>
      </w:r>
      <w:hyperlink r:id="rId40" w:history="1">
        <w:r w:rsidR="009B3218" w:rsidRPr="009B3218">
          <w:rPr>
            <w:color w:val="0000FF"/>
            <w:u w:val="single"/>
            <w:rtl/>
          </w:rPr>
          <w:t>חוק העונשין</w:t>
        </w:r>
      </w:hyperlink>
      <w:r>
        <w:rPr>
          <w:rFonts w:hint="cs"/>
          <w:rtl/>
        </w:rPr>
        <w:t xml:space="preserve">, שעניינו הבניית שיקול-הדעת השיפוטי בענישה, על בית-המשפט לקבוע את העונש המתאים לנאשם שלפניו בהתאם לעקרונות והשיקולים המנחים בענישה כפי שהללו קבועים באותו סימן ותוך מתן המשקל שיש לתת לשיקולים הללו וליחס ביניהם כקבוע בו. </w:t>
      </w:r>
    </w:p>
    <w:p w14:paraId="597BF5A0" w14:textId="77777777" w:rsidR="00DF6722" w:rsidRDefault="00DF6722" w:rsidP="00DF6722">
      <w:pPr>
        <w:spacing w:line="360" w:lineRule="auto"/>
        <w:jc w:val="both"/>
        <w:rPr>
          <w:rtl/>
        </w:rPr>
      </w:pPr>
    </w:p>
    <w:p w14:paraId="038AEE12" w14:textId="77777777" w:rsidR="00DF6722" w:rsidRDefault="00DF6722" w:rsidP="00DF6722">
      <w:pPr>
        <w:spacing w:line="360" w:lineRule="auto"/>
        <w:jc w:val="both"/>
        <w:rPr>
          <w:rtl/>
        </w:rPr>
      </w:pPr>
      <w:r>
        <w:rPr>
          <w:rFonts w:hint="cs"/>
          <w:rtl/>
        </w:rPr>
        <w:t xml:space="preserve">כידוע, העיקרון המנחה בענישה הוא קיומו של יחס הולם בין חומרת מעשה העבירה, בנסיבותיו ומידת אשמו של הנאשם ובין סוג ומידת העונש המוטל עליו (ראו </w:t>
      </w:r>
      <w:hyperlink r:id="rId41" w:history="1">
        <w:r w:rsidR="00F25B78" w:rsidRPr="00F25B78">
          <w:rPr>
            <w:color w:val="0000FF"/>
            <w:u w:val="single"/>
            <w:rtl/>
          </w:rPr>
          <w:t>סעיף 40ב</w:t>
        </w:r>
      </w:hyperlink>
      <w:r>
        <w:rPr>
          <w:rFonts w:hint="cs"/>
          <w:rtl/>
        </w:rPr>
        <w:t xml:space="preserve"> ל</w:t>
      </w:r>
      <w:hyperlink r:id="rId42" w:history="1">
        <w:r w:rsidR="009B3218" w:rsidRPr="009B3218">
          <w:rPr>
            <w:color w:val="0000FF"/>
            <w:u w:val="single"/>
            <w:rtl/>
          </w:rPr>
          <w:t>חוק העונשין</w:t>
        </w:r>
      </w:hyperlink>
      <w:r>
        <w:rPr>
          <w:rFonts w:hint="cs"/>
          <w:rtl/>
        </w:rPr>
        <w:t xml:space="preserve">). </w:t>
      </w:r>
    </w:p>
    <w:p w14:paraId="03DBCE15" w14:textId="77777777" w:rsidR="00DF6722" w:rsidRDefault="00DF6722" w:rsidP="00DF6722">
      <w:pPr>
        <w:spacing w:line="360" w:lineRule="auto"/>
        <w:jc w:val="both"/>
        <w:rPr>
          <w:rtl/>
        </w:rPr>
      </w:pPr>
    </w:p>
    <w:p w14:paraId="227DAF2F" w14:textId="77777777" w:rsidR="00DF6722" w:rsidRDefault="00DF6722" w:rsidP="00DF6722">
      <w:pPr>
        <w:spacing w:line="360" w:lineRule="auto"/>
        <w:jc w:val="both"/>
        <w:rPr>
          <w:rtl/>
        </w:rPr>
      </w:pPr>
      <w:r>
        <w:rPr>
          <w:rFonts w:hint="cs"/>
          <w:rtl/>
        </w:rPr>
        <w:t xml:space="preserve">תהליך מציאת העונש המתאים מתחיל בקביעת מתחם עונש הולם למעשה העבירה שאותו ביצע הנאשם מתוך התחשבות בערך החברתי שנפגע מביצוע העבירה, במידת הפגיעה בו, במדיניות הענישה הנהוגה ובנסיבות הקשורות בביצוע העבירה. </w:t>
      </w:r>
    </w:p>
    <w:p w14:paraId="4AB6505A" w14:textId="77777777" w:rsidR="00DF6722" w:rsidRDefault="00DF6722" w:rsidP="00DF6722">
      <w:pPr>
        <w:spacing w:line="360" w:lineRule="auto"/>
        <w:jc w:val="both"/>
        <w:rPr>
          <w:rtl/>
        </w:rPr>
      </w:pPr>
    </w:p>
    <w:p w14:paraId="4F3561F7" w14:textId="77777777" w:rsidR="00DF6722" w:rsidRDefault="00DF6722" w:rsidP="00DF6722">
      <w:pPr>
        <w:spacing w:line="360" w:lineRule="auto"/>
        <w:jc w:val="both"/>
        <w:rPr>
          <w:rtl/>
        </w:rPr>
      </w:pPr>
      <w:r>
        <w:rPr>
          <w:rFonts w:hint="cs"/>
          <w:rtl/>
        </w:rPr>
        <w:t xml:space="preserve">נצא, אפוא, למסענו בקביעת מתחם העונש ההולם את העבירה. </w:t>
      </w:r>
    </w:p>
    <w:p w14:paraId="4DFC0F54" w14:textId="77777777" w:rsidR="00DF6722" w:rsidRDefault="00DF6722" w:rsidP="00DF6722">
      <w:pPr>
        <w:spacing w:line="360" w:lineRule="auto"/>
        <w:jc w:val="both"/>
        <w:rPr>
          <w:rtl/>
        </w:rPr>
      </w:pPr>
    </w:p>
    <w:p w14:paraId="59E4F81C" w14:textId="77777777" w:rsidR="00DF6722" w:rsidRDefault="00DF6722" w:rsidP="00DF6722">
      <w:pPr>
        <w:spacing w:line="360" w:lineRule="auto"/>
        <w:jc w:val="both"/>
        <w:rPr>
          <w:rtl/>
        </w:rPr>
      </w:pPr>
      <w:r>
        <w:rPr>
          <w:rFonts w:hint="cs"/>
          <w:b/>
          <w:bCs/>
          <w:u w:val="single"/>
          <w:rtl/>
        </w:rPr>
        <w:t>הערכים המוגנים ומידת הפגיעה בהם</w:t>
      </w:r>
    </w:p>
    <w:p w14:paraId="400F27E8" w14:textId="77777777" w:rsidR="00DF6722" w:rsidRDefault="00DF6722" w:rsidP="00DF6722">
      <w:pPr>
        <w:spacing w:line="360" w:lineRule="auto"/>
        <w:jc w:val="both"/>
        <w:rPr>
          <w:rtl/>
        </w:rPr>
      </w:pPr>
      <w:r>
        <w:rPr>
          <w:rFonts w:hint="cs"/>
          <w:rtl/>
        </w:rPr>
        <w:t xml:space="preserve">כפי שצוין, הערכים החברתיים שבהם פגע הנאשם במעשהו הם הבטחת שלום הציבור ובטחונו, הסדר הציבורי והגנה על חיי-אדם, שכן ערכים אלו כולם נתונים בסיכון מקום בו נישא נשק שלא כחוק. כידוע, זמינותו של נשק מגדילה את הסיכון להתפתחות אירועים אלימים ולהגברת חומרתם. מידת הפגיעה בערכים אלו, בהתחשב באופי הנשק (תת מקלע מאולתר) שהוחזק לצד מחסנית (וכדור בתוכה) ובכך שהנשק נישא והוסתר היא בינונית. </w:t>
      </w:r>
    </w:p>
    <w:p w14:paraId="207AD20A" w14:textId="77777777" w:rsidR="00DF6722" w:rsidRDefault="00DF6722" w:rsidP="00DF6722">
      <w:pPr>
        <w:jc w:val="both"/>
        <w:rPr>
          <w:b/>
          <w:bCs/>
          <w:u w:val="single"/>
          <w:rtl/>
        </w:rPr>
      </w:pPr>
    </w:p>
    <w:p w14:paraId="22D88C8C" w14:textId="77777777" w:rsidR="00DF6722" w:rsidRDefault="00DF6722" w:rsidP="00DF6722">
      <w:pPr>
        <w:spacing w:line="360" w:lineRule="auto"/>
        <w:jc w:val="both"/>
        <w:rPr>
          <w:rtl/>
        </w:rPr>
      </w:pPr>
      <w:r w:rsidRPr="00D1552F">
        <w:rPr>
          <w:rFonts w:hint="cs"/>
          <w:b/>
          <w:bCs/>
          <w:u w:val="single"/>
          <w:rtl/>
        </w:rPr>
        <w:t>מדיניות הענישה</w:t>
      </w:r>
    </w:p>
    <w:p w14:paraId="68949233" w14:textId="77777777" w:rsidR="00DF6722" w:rsidRDefault="00DF6722" w:rsidP="00DF6722">
      <w:pPr>
        <w:spacing w:line="360" w:lineRule="auto"/>
        <w:jc w:val="both"/>
        <w:rPr>
          <w:rtl/>
        </w:rPr>
      </w:pPr>
      <w:r>
        <w:rPr>
          <w:rFonts w:hint="cs"/>
          <w:rtl/>
        </w:rPr>
        <w:t xml:space="preserve">בתי-המשפט בכלל ובית-המשפט העליון בראשם קבעו מדיניות ענישה מחמירה, ביחס לכל מי שנותן ידו להחזקת נשק ללא היתר כדין, להובלתו ולנשיאתו. מדיניות מחמירה זו מתחייבת מריבוי המקרים שבהם נעשה שימוש בנשק, המוחזק שלא כחוק במסגרת אירועים אלימים על רקעים שונים ומשונים באורח שיש בו כדי לקפד חיי-אדם או לסכנם. </w:t>
      </w:r>
    </w:p>
    <w:p w14:paraId="26B9A956" w14:textId="77777777" w:rsidR="00DF6722" w:rsidRDefault="00DF6722" w:rsidP="00DF6722">
      <w:pPr>
        <w:spacing w:line="360" w:lineRule="auto"/>
        <w:jc w:val="both"/>
        <w:rPr>
          <w:rtl/>
        </w:rPr>
      </w:pPr>
    </w:p>
    <w:p w14:paraId="3BA216EB" w14:textId="77777777" w:rsidR="00DF6722" w:rsidRPr="00747D32" w:rsidRDefault="00DF6722" w:rsidP="00DF6722">
      <w:pPr>
        <w:spacing w:line="360" w:lineRule="auto"/>
        <w:jc w:val="both"/>
        <w:rPr>
          <w:rtl/>
        </w:rPr>
      </w:pPr>
      <w:r w:rsidRPr="00747D32">
        <w:rPr>
          <w:rFonts w:hint="cs"/>
          <w:rtl/>
        </w:rPr>
        <w:t xml:space="preserve">עמדה על כך כב' השופטת ארבל ב- </w:t>
      </w:r>
      <w:hyperlink r:id="rId43" w:history="1">
        <w:r w:rsidR="009B3218" w:rsidRPr="009B3218">
          <w:rPr>
            <w:color w:val="0000FF"/>
            <w:u w:val="single"/>
            <w:rtl/>
          </w:rPr>
          <w:t>ע"פ 4945/13</w:t>
        </w:r>
      </w:hyperlink>
      <w:r w:rsidRPr="00747D32">
        <w:rPr>
          <w:rFonts w:hint="cs"/>
          <w:rtl/>
        </w:rPr>
        <w:t xml:space="preserve"> </w:t>
      </w:r>
      <w:r w:rsidRPr="00747D32">
        <w:rPr>
          <w:rFonts w:hint="cs"/>
          <w:b/>
          <w:bCs/>
          <w:rtl/>
        </w:rPr>
        <w:t>מדינת ישראל נ'</w:t>
      </w:r>
      <w:r w:rsidRPr="00747D32">
        <w:rPr>
          <w:rFonts w:hint="cs"/>
          <w:rtl/>
        </w:rPr>
        <w:t xml:space="preserve"> </w:t>
      </w:r>
      <w:r w:rsidRPr="00747D32">
        <w:rPr>
          <w:rFonts w:ascii="Arial" w:hAnsi="Arial"/>
          <w:b/>
          <w:bCs/>
          <w:color w:val="333333"/>
          <w:rtl/>
        </w:rPr>
        <w:t>עבד אלכרים</w:t>
      </w:r>
      <w:r w:rsidRPr="00747D32">
        <w:rPr>
          <w:rFonts w:ascii="Arial" w:hAnsi="Arial" w:hint="cs"/>
          <w:b/>
          <w:bCs/>
          <w:color w:val="333333"/>
          <w:rtl/>
        </w:rPr>
        <w:t xml:space="preserve"> </w:t>
      </w:r>
      <w:r w:rsidRPr="00747D32">
        <w:rPr>
          <w:rFonts w:ascii="Arial" w:hAnsi="Arial"/>
          <w:b/>
          <w:bCs/>
          <w:color w:val="333333"/>
          <w:rtl/>
        </w:rPr>
        <w:t xml:space="preserve"> סלימאן </w:t>
      </w:r>
      <w:r w:rsidRPr="00747D32">
        <w:rPr>
          <w:rFonts w:ascii="Arial" w:hAnsi="Arial"/>
          <w:rtl/>
        </w:rPr>
        <w:t>(</w:t>
      </w:r>
      <w:r w:rsidRPr="00747D32">
        <w:rPr>
          <w:rFonts w:ascii="Arial" w:hAnsi="Arial" w:hint="cs"/>
          <w:rtl/>
        </w:rPr>
        <w:t xml:space="preserve">ניתן ביום </w:t>
      </w:r>
      <w:r w:rsidRPr="00747D32">
        <w:rPr>
          <w:rFonts w:ascii="Arial" w:hAnsi="Arial"/>
          <w:rtl/>
        </w:rPr>
        <w:t>19.01.</w:t>
      </w:r>
      <w:r w:rsidRPr="00747D32">
        <w:rPr>
          <w:rFonts w:ascii="Arial" w:hAnsi="Arial" w:hint="cs"/>
          <w:rtl/>
        </w:rPr>
        <w:t>14</w:t>
      </w:r>
      <w:r w:rsidRPr="00747D32">
        <w:rPr>
          <w:rFonts w:ascii="Arial" w:hAnsi="Arial"/>
          <w:rtl/>
        </w:rPr>
        <w:t>)</w:t>
      </w:r>
      <w:r w:rsidRPr="00747D32">
        <w:rPr>
          <w:rFonts w:hint="cs"/>
          <w:rtl/>
        </w:rPr>
        <w:t xml:space="preserve">, בציינה כדלהלן: </w:t>
      </w:r>
    </w:p>
    <w:p w14:paraId="54560492" w14:textId="77777777" w:rsidR="00DF6722" w:rsidRPr="00747D32" w:rsidRDefault="00DF6722" w:rsidP="00DF6722">
      <w:pPr>
        <w:spacing w:line="276" w:lineRule="auto"/>
        <w:ind w:left="1513" w:right="1418"/>
        <w:jc w:val="both"/>
        <w:rPr>
          <w:rFonts w:cs="Miriam"/>
          <w:rtl/>
        </w:rPr>
      </w:pPr>
      <w:r w:rsidRPr="00747D32">
        <w:rPr>
          <w:rFonts w:cs="Miriam" w:hint="cs"/>
          <w:rtl/>
        </w:rPr>
        <w:t>"..עבירות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w:t>
      </w:r>
      <w:r w:rsidRPr="00747D32">
        <w:rPr>
          <w:rFonts w:hint="cs"/>
          <w:rtl/>
        </w:rPr>
        <w:t xml:space="preserve"> </w:t>
      </w:r>
      <w:r w:rsidRPr="00747D32">
        <w:rPr>
          <w:rFonts w:cs="Miriam" w:hint="cs"/>
          <w:rtl/>
        </w:rPr>
        <w:t>ודוק: 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p>
    <w:p w14:paraId="02FA2EA8" w14:textId="77777777" w:rsidR="00DF6722" w:rsidRPr="00747D32" w:rsidRDefault="00DF6722" w:rsidP="00DF6722">
      <w:pPr>
        <w:spacing w:line="276" w:lineRule="auto"/>
        <w:ind w:left="1513" w:right="1418"/>
        <w:jc w:val="both"/>
        <w:rPr>
          <w:rFonts w:cs="Miriam"/>
          <w:rtl/>
        </w:rPr>
      </w:pPr>
    </w:p>
    <w:p w14:paraId="52DC9FCC" w14:textId="77777777" w:rsidR="00DF6722" w:rsidRPr="00747D32" w:rsidRDefault="00DF6722" w:rsidP="00DF6722">
      <w:pPr>
        <w:spacing w:line="360" w:lineRule="auto"/>
        <w:jc w:val="both"/>
        <w:rPr>
          <w:rtl/>
        </w:rPr>
      </w:pPr>
      <w:r w:rsidRPr="00747D32">
        <w:rPr>
          <w:rFonts w:hint="cs"/>
          <w:rtl/>
        </w:rPr>
        <w:t xml:space="preserve">יפים לעניינו גם דבריו של כב' השופט י' עמית ב- </w:t>
      </w:r>
      <w:hyperlink r:id="rId44" w:history="1">
        <w:r w:rsidR="009B3218" w:rsidRPr="009B3218">
          <w:rPr>
            <w:color w:val="0000FF"/>
            <w:u w:val="single"/>
            <w:rtl/>
          </w:rPr>
          <w:t>ע"פ 2398/14</w:t>
        </w:r>
      </w:hyperlink>
      <w:r w:rsidRPr="00747D32">
        <w:rPr>
          <w:rtl/>
        </w:rPr>
        <w:t xml:space="preserve"> </w:t>
      </w:r>
      <w:r w:rsidRPr="00747D32">
        <w:rPr>
          <w:b/>
          <w:bCs/>
          <w:rtl/>
        </w:rPr>
        <w:t>אלהזייל נ' מדינת ישראל</w:t>
      </w:r>
      <w:r w:rsidRPr="00747D32">
        <w:rPr>
          <w:rtl/>
        </w:rPr>
        <w:t xml:space="preserve"> (ניתן ביום 8.7.14)</w:t>
      </w:r>
      <w:r w:rsidRPr="00747D32">
        <w:rPr>
          <w:rFonts w:hint="cs"/>
          <w:rtl/>
        </w:rPr>
        <w:t>, לפיהם</w:t>
      </w:r>
      <w:r w:rsidRPr="00747D32">
        <w:rPr>
          <w:rtl/>
        </w:rPr>
        <w:t xml:space="preserve">: </w:t>
      </w:r>
    </w:p>
    <w:p w14:paraId="74EB3ADD" w14:textId="77777777" w:rsidR="00DF6722" w:rsidRPr="00747D32" w:rsidRDefault="00DF6722" w:rsidP="00DF6722">
      <w:pPr>
        <w:spacing w:line="276" w:lineRule="auto"/>
        <w:ind w:left="1513" w:right="993"/>
        <w:jc w:val="both"/>
        <w:rPr>
          <w:rFonts w:cs="Miriam"/>
          <w:rtl/>
        </w:rPr>
      </w:pPr>
      <w:r w:rsidRPr="00747D32">
        <w:rPr>
          <w:rFonts w:cs="Miriam"/>
          <w:rtl/>
        </w:rPr>
        <w:t xml:space="preserve">"..אחזור ואדגיש את מדיניות ההחמרה בעבירות נשק, שבאה לידי ביטוי בשורה ארוכה של פסקי דין של בית משפט זה בשנים האחרונות (ראו, לדוגמה, </w:t>
      </w:r>
      <w:hyperlink r:id="rId45" w:history="1">
        <w:r w:rsidR="009B3218" w:rsidRPr="009B3218">
          <w:rPr>
            <w:rFonts w:cs="Miriam"/>
            <w:color w:val="0000FF"/>
            <w:u w:val="single"/>
            <w:rtl/>
          </w:rPr>
          <w:t>ע"פ 4945/13</w:t>
        </w:r>
      </w:hyperlink>
      <w:r w:rsidRPr="00747D32">
        <w:rPr>
          <w:rFonts w:cs="Miriam"/>
          <w:rtl/>
        </w:rPr>
        <w:t xml:space="preserve"> </w:t>
      </w:r>
      <w:r w:rsidRPr="00747D32">
        <w:rPr>
          <w:rFonts w:cs="Miriam"/>
          <w:sz w:val="28"/>
          <w:rtl/>
        </w:rPr>
        <w:t>מדינת ישראל נ' עבד אלכרים סלימאן</w:t>
      </w:r>
      <w:r w:rsidRPr="00747D32">
        <w:rPr>
          <w:rFonts w:cs="Miriam"/>
          <w:rtl/>
        </w:rPr>
        <w:t xml:space="preserve"> (19.1.2014)). לזמינות הבלתי נסבלת של נשק חם בידי מי שאינם מורשים לכך, יש פוטנציאל לשמש ל"חיסול חשבונות" ול"פתרון סכסוכים" כמו-גם לעבירות חמורות נוספות. המציאות בארצנו מוכיחה כי הקלישאה אודות האקדח במערכה הראשונה אינה מדוייקת, באשר לעיתים מזומנות האקדח אינו ממתין עד למערכה האחרונה ויורה עוד קודם לכן. מכאן, שבעבירות כגון דא, גם לשיקולי ההרתעה משקל של ממש".  </w:t>
      </w:r>
    </w:p>
    <w:p w14:paraId="7F3E1463" w14:textId="77777777" w:rsidR="00DF6722" w:rsidRPr="00747D32" w:rsidRDefault="00DF6722" w:rsidP="00DF6722">
      <w:pPr>
        <w:jc w:val="both"/>
        <w:rPr>
          <w:b/>
          <w:bCs/>
          <w:u w:val="single"/>
          <w:rtl/>
        </w:rPr>
      </w:pPr>
    </w:p>
    <w:p w14:paraId="0BA10D95" w14:textId="77777777" w:rsidR="00DF6722" w:rsidRDefault="00DF6722" w:rsidP="00DF6722">
      <w:pPr>
        <w:spacing w:line="360" w:lineRule="auto"/>
        <w:jc w:val="both"/>
        <w:rPr>
          <w:rtl/>
        </w:rPr>
      </w:pPr>
      <w:r w:rsidRPr="00747D32">
        <w:rPr>
          <w:rFonts w:hint="cs"/>
          <w:rtl/>
        </w:rPr>
        <w:t xml:space="preserve">על מנת </w:t>
      </w:r>
      <w:r w:rsidRPr="00747D32">
        <w:rPr>
          <w:rFonts w:hint="eastAsia"/>
          <w:rtl/>
        </w:rPr>
        <w:t>לשרטט</w:t>
      </w:r>
      <w:r w:rsidRPr="00747D32">
        <w:rPr>
          <w:rFonts w:hint="cs"/>
          <w:rtl/>
        </w:rPr>
        <w:t xml:space="preserve"> כדבעי</w:t>
      </w:r>
      <w:r w:rsidRPr="00747D32">
        <w:rPr>
          <w:rtl/>
        </w:rPr>
        <w:t xml:space="preserve"> </w:t>
      </w:r>
      <w:r w:rsidRPr="00747D32">
        <w:rPr>
          <w:rFonts w:hint="eastAsia"/>
          <w:rtl/>
        </w:rPr>
        <w:t>את</w:t>
      </w:r>
      <w:r w:rsidRPr="00747D32">
        <w:rPr>
          <w:rtl/>
        </w:rPr>
        <w:t xml:space="preserve"> </w:t>
      </w:r>
      <w:r w:rsidRPr="00747D32">
        <w:rPr>
          <w:rFonts w:hint="eastAsia"/>
          <w:rtl/>
        </w:rPr>
        <w:t>מתחם</w:t>
      </w:r>
      <w:r w:rsidRPr="00747D32">
        <w:rPr>
          <w:rtl/>
        </w:rPr>
        <w:t xml:space="preserve"> </w:t>
      </w:r>
      <w:r w:rsidRPr="00747D32">
        <w:rPr>
          <w:rFonts w:hint="eastAsia"/>
          <w:rtl/>
        </w:rPr>
        <w:t>העונש</w:t>
      </w:r>
      <w:r w:rsidRPr="00747D32">
        <w:rPr>
          <w:rFonts w:hint="cs"/>
          <w:rtl/>
        </w:rPr>
        <w:t xml:space="preserve"> </w:t>
      </w:r>
      <w:r w:rsidRPr="00747D32">
        <w:rPr>
          <w:rFonts w:hint="eastAsia"/>
          <w:rtl/>
        </w:rPr>
        <w:t>ההולם</w:t>
      </w:r>
      <w:r w:rsidRPr="00747D32">
        <w:rPr>
          <w:rFonts w:hint="cs"/>
          <w:rtl/>
        </w:rPr>
        <w:t xml:space="preserve"> בעניינו של הנאשם,</w:t>
      </w:r>
      <w:r w:rsidRPr="00747D32">
        <w:rPr>
          <w:rtl/>
        </w:rPr>
        <w:t xml:space="preserve"> </w:t>
      </w:r>
      <w:r w:rsidRPr="00747D32">
        <w:rPr>
          <w:rFonts w:hint="eastAsia"/>
          <w:rtl/>
        </w:rPr>
        <w:t>עיינתי</w:t>
      </w:r>
      <w:r w:rsidRPr="00747D32">
        <w:rPr>
          <w:rtl/>
        </w:rPr>
        <w:t xml:space="preserve"> </w:t>
      </w:r>
      <w:r w:rsidRPr="00747D32">
        <w:rPr>
          <w:rFonts w:hint="eastAsia"/>
          <w:rtl/>
        </w:rPr>
        <w:t>בפסיקה</w:t>
      </w:r>
      <w:r w:rsidRPr="00747D32">
        <w:rPr>
          <w:rFonts w:hint="cs"/>
          <w:rtl/>
        </w:rPr>
        <w:t xml:space="preserve"> רחבה העוסקת בעבירות הזהות לנידון דידן. אציין את המובן מאליו, מדיניות הענישה הנהוגה במקרים אלו הינה מגוונת ותלויה בנסיבותיו של מקרה לגופו - "</w:t>
      </w:r>
      <w:r w:rsidRPr="00747D32">
        <w:rPr>
          <w:rFonts w:cs="Miriam" w:hint="cs"/>
          <w:rtl/>
        </w:rPr>
        <w:t>כבכל עבירה, גם בעבירות נשק קיים מדרג של חומרה, ושומה על בית המשפט להביאו בחשבון בבואו לקבוע את מתחם העונש ההולם" (</w:t>
      </w:r>
      <w:hyperlink r:id="rId46" w:history="1">
        <w:r w:rsidR="009B3218" w:rsidRPr="009B3218">
          <w:rPr>
            <w:color w:val="0000FF"/>
            <w:u w:val="single"/>
            <w:rtl/>
          </w:rPr>
          <w:t>ע"פ 9702/16</w:t>
        </w:r>
      </w:hyperlink>
      <w:r w:rsidRPr="00747D32">
        <w:rPr>
          <w:rFonts w:hint="cs"/>
          <w:rtl/>
        </w:rPr>
        <w:t xml:space="preserve"> </w:t>
      </w:r>
      <w:r w:rsidRPr="00747D32">
        <w:rPr>
          <w:rFonts w:hint="cs"/>
          <w:b/>
          <w:bCs/>
          <w:rtl/>
        </w:rPr>
        <w:t>אלוליאיה נ' מדינת ישראל</w:t>
      </w:r>
      <w:r w:rsidRPr="00747D32">
        <w:rPr>
          <w:rFonts w:hint="cs"/>
          <w:rtl/>
        </w:rPr>
        <w:t xml:space="preserve">, פסקה 8, ניתן ביום 13.9.17). </w:t>
      </w:r>
      <w:r w:rsidRPr="00747D32">
        <w:rPr>
          <w:rFonts w:cs="Miriam" w:hint="cs"/>
          <w:rtl/>
        </w:rPr>
        <w:t xml:space="preserve"> </w:t>
      </w:r>
      <w:r w:rsidRPr="00747D32">
        <w:rPr>
          <w:rFonts w:hint="cs"/>
          <w:rtl/>
        </w:rPr>
        <w:t xml:space="preserve">   </w:t>
      </w:r>
    </w:p>
    <w:p w14:paraId="3C92CB18" w14:textId="77777777" w:rsidR="00DF6722" w:rsidRPr="00747D32" w:rsidRDefault="00DF6722" w:rsidP="00DF6722">
      <w:pPr>
        <w:spacing w:line="360" w:lineRule="auto"/>
        <w:jc w:val="both"/>
        <w:rPr>
          <w:rtl/>
        </w:rPr>
      </w:pPr>
    </w:p>
    <w:p w14:paraId="668639DF" w14:textId="77777777" w:rsidR="00DF6722" w:rsidRPr="00747D32" w:rsidRDefault="00DF6722" w:rsidP="00DF6722">
      <w:pPr>
        <w:spacing w:line="360" w:lineRule="auto"/>
        <w:jc w:val="both"/>
        <w:rPr>
          <w:rtl/>
        </w:rPr>
      </w:pPr>
      <w:r w:rsidRPr="00747D32">
        <w:rPr>
          <w:rtl/>
        </w:rPr>
        <w:t xml:space="preserve">כך </w:t>
      </w:r>
      <w:r w:rsidRPr="00747D32">
        <w:rPr>
          <w:rFonts w:hint="cs"/>
          <w:rtl/>
        </w:rPr>
        <w:t>למשל,</w:t>
      </w:r>
      <w:r w:rsidRPr="00747D32">
        <w:rPr>
          <w:rtl/>
        </w:rPr>
        <w:t xml:space="preserve"> </w:t>
      </w:r>
      <w:r w:rsidRPr="00747D32">
        <w:rPr>
          <w:rFonts w:hint="cs"/>
          <w:rtl/>
        </w:rPr>
        <w:t xml:space="preserve">בפרשה שנדונה במסגרת </w:t>
      </w:r>
      <w:hyperlink r:id="rId47" w:history="1">
        <w:r w:rsidR="009B3218" w:rsidRPr="009B3218">
          <w:rPr>
            <w:color w:val="0000FF"/>
            <w:u w:val="single"/>
            <w:rtl/>
          </w:rPr>
          <w:t>ע"פ 3156/11</w:t>
        </w:r>
      </w:hyperlink>
      <w:r w:rsidRPr="00747D32">
        <w:rPr>
          <w:rtl/>
        </w:rPr>
        <w:t xml:space="preserve"> </w:t>
      </w:r>
      <w:r w:rsidRPr="00747D32">
        <w:rPr>
          <w:rFonts w:hint="eastAsia"/>
          <w:b/>
          <w:bCs/>
          <w:rtl/>
        </w:rPr>
        <w:t>זראיעה</w:t>
      </w:r>
      <w:r w:rsidRPr="00747D32">
        <w:rPr>
          <w:b/>
          <w:bCs/>
          <w:rtl/>
        </w:rPr>
        <w:t xml:space="preserve"> </w:t>
      </w:r>
      <w:r w:rsidRPr="00747D32">
        <w:rPr>
          <w:rFonts w:hint="eastAsia"/>
          <w:b/>
          <w:bCs/>
          <w:rtl/>
        </w:rPr>
        <w:t>נ</w:t>
      </w:r>
      <w:r w:rsidRPr="00747D32">
        <w:rPr>
          <w:b/>
          <w:bCs/>
          <w:rtl/>
        </w:rPr>
        <w:t xml:space="preserve">' </w:t>
      </w:r>
      <w:r w:rsidRPr="00747D32">
        <w:rPr>
          <w:rFonts w:hint="cs"/>
          <w:b/>
          <w:bCs/>
          <w:rtl/>
        </w:rPr>
        <w:t>מדינת ישראל</w:t>
      </w:r>
      <w:r w:rsidRPr="00747D32">
        <w:rPr>
          <w:rtl/>
        </w:rPr>
        <w:t xml:space="preserve"> (</w:t>
      </w:r>
      <w:r w:rsidRPr="00747D32">
        <w:rPr>
          <w:rFonts w:hint="eastAsia"/>
          <w:rtl/>
        </w:rPr>
        <w:t>ניתן</w:t>
      </w:r>
      <w:r w:rsidRPr="00747D32">
        <w:rPr>
          <w:rtl/>
        </w:rPr>
        <w:t xml:space="preserve"> </w:t>
      </w:r>
      <w:r w:rsidRPr="00747D32">
        <w:rPr>
          <w:rFonts w:hint="eastAsia"/>
          <w:rtl/>
        </w:rPr>
        <w:t>ביום</w:t>
      </w:r>
      <w:r w:rsidRPr="00747D32">
        <w:rPr>
          <w:rtl/>
        </w:rPr>
        <w:t xml:space="preserve"> 21.02.12),</w:t>
      </w:r>
      <w:r w:rsidRPr="00747D32">
        <w:rPr>
          <w:rFonts w:hint="cs"/>
          <w:rtl/>
        </w:rPr>
        <w:t xml:space="preserve"> דחה </w:t>
      </w:r>
      <w:r w:rsidRPr="00747D32">
        <w:rPr>
          <w:rFonts w:hint="eastAsia"/>
          <w:rtl/>
        </w:rPr>
        <w:t>בית</w:t>
      </w:r>
      <w:r w:rsidRPr="00747D32">
        <w:rPr>
          <w:rtl/>
        </w:rPr>
        <w:t xml:space="preserve"> </w:t>
      </w:r>
      <w:r w:rsidRPr="00747D32">
        <w:rPr>
          <w:rFonts w:hint="eastAsia"/>
          <w:rtl/>
        </w:rPr>
        <w:t>המשפט</w:t>
      </w:r>
      <w:r w:rsidRPr="00747D32">
        <w:rPr>
          <w:rFonts w:hint="cs"/>
          <w:rtl/>
        </w:rPr>
        <w:t xml:space="preserve"> </w:t>
      </w:r>
      <w:r w:rsidRPr="00747D32">
        <w:rPr>
          <w:rFonts w:hint="eastAsia"/>
          <w:rtl/>
        </w:rPr>
        <w:t>העליון</w:t>
      </w:r>
      <w:r w:rsidRPr="00747D32">
        <w:rPr>
          <w:rFonts w:hint="cs"/>
          <w:rtl/>
        </w:rPr>
        <w:t xml:space="preserve"> ערעור על גזר דינו של בית המשפט המחוזי בנצרת, במסגרתו הושת על המערער </w:t>
      </w:r>
      <w:r w:rsidRPr="00747D32">
        <w:rPr>
          <w:rFonts w:hint="eastAsia"/>
          <w:b/>
          <w:bCs/>
          <w:rtl/>
        </w:rPr>
        <w:t>עונש</w:t>
      </w:r>
      <w:r w:rsidRPr="00747D32">
        <w:rPr>
          <w:b/>
          <w:bCs/>
          <w:rtl/>
        </w:rPr>
        <w:t xml:space="preserve"> </w:t>
      </w:r>
      <w:r w:rsidRPr="00747D32">
        <w:rPr>
          <w:rFonts w:hint="eastAsia"/>
          <w:b/>
          <w:bCs/>
          <w:rtl/>
        </w:rPr>
        <w:t>מאסר</w:t>
      </w:r>
      <w:r w:rsidRPr="00747D32">
        <w:rPr>
          <w:b/>
          <w:bCs/>
          <w:rtl/>
        </w:rPr>
        <w:t xml:space="preserve"> </w:t>
      </w:r>
      <w:r w:rsidRPr="00747D32">
        <w:rPr>
          <w:rFonts w:hint="cs"/>
          <w:b/>
          <w:bCs/>
          <w:rtl/>
        </w:rPr>
        <w:t>בן 24 חודשים לריצוי בפועל.</w:t>
      </w:r>
      <w:r w:rsidRPr="00747D32">
        <w:rPr>
          <w:rFonts w:hint="cs"/>
          <w:rtl/>
        </w:rPr>
        <w:t xml:space="preserve"> עונש זה הוטל על המערער בגין ביצוען, על פי הודאתו, של עבירות שעניינן </w:t>
      </w:r>
      <w:r w:rsidRPr="00747D32">
        <w:rPr>
          <w:rFonts w:hint="cs"/>
          <w:b/>
          <w:bCs/>
          <w:rtl/>
        </w:rPr>
        <w:t>נשיאת והובלת נשק</w:t>
      </w:r>
      <w:r w:rsidRPr="00747D32">
        <w:rPr>
          <w:rFonts w:hint="cs"/>
          <w:rtl/>
        </w:rPr>
        <w:t xml:space="preserve"> ו</w:t>
      </w:r>
      <w:r w:rsidRPr="00747D32">
        <w:rPr>
          <w:rFonts w:hint="cs"/>
          <w:b/>
          <w:bCs/>
          <w:rtl/>
        </w:rPr>
        <w:t>הסתייעות ברכב לביצוע פשע</w:t>
      </w:r>
      <w:r w:rsidRPr="00747D32">
        <w:rPr>
          <w:rFonts w:hint="cs"/>
          <w:rtl/>
        </w:rPr>
        <w:t xml:space="preserve">. עובדות המקרה לימדו, כי המערער נסע ברכבו, לאחר שהסליק בו </w:t>
      </w:r>
      <w:r w:rsidRPr="00F92F85">
        <w:rPr>
          <w:rFonts w:hint="cs"/>
          <w:b/>
          <w:bCs/>
          <w:rtl/>
        </w:rPr>
        <w:t>אקדח</w:t>
      </w:r>
      <w:r w:rsidRPr="00747D32">
        <w:rPr>
          <w:rFonts w:hint="cs"/>
          <w:rtl/>
        </w:rPr>
        <w:t xml:space="preserve">, מחסנית טעונה בכדורי אקדח בקוטר </w:t>
      </w:r>
      <w:smartTag w:uri="urn:schemas-microsoft-com:office:smarttags" w:element="metricconverter">
        <w:smartTagPr>
          <w:attr w:name="ProductID" w:val="9 מ&quot;מ"/>
        </w:smartTagPr>
        <w:r w:rsidRPr="00747D32">
          <w:rPr>
            <w:rFonts w:hint="cs"/>
            <w:rtl/>
          </w:rPr>
          <w:t>9 מ"מ</w:t>
        </w:r>
      </w:smartTag>
      <w:r w:rsidRPr="00747D32">
        <w:rPr>
          <w:rFonts w:hint="cs"/>
          <w:rtl/>
        </w:rPr>
        <w:t xml:space="preserve"> וקופסאות עם כדורי אקדח בקוטר </w:t>
      </w:r>
      <w:smartTag w:uri="urn:schemas-microsoft-com:office:smarttags" w:element="metricconverter">
        <w:smartTagPr>
          <w:attr w:name="ProductID" w:val="9 מ&quot;מ"/>
        </w:smartTagPr>
        <w:r w:rsidRPr="00747D32">
          <w:rPr>
            <w:rFonts w:hint="cs"/>
            <w:rtl/>
          </w:rPr>
          <w:t>9 מ"מ</w:t>
        </w:r>
      </w:smartTag>
      <w:r w:rsidRPr="00747D32">
        <w:rPr>
          <w:rFonts w:hint="cs"/>
          <w:rtl/>
        </w:rPr>
        <w:t>. האקדח והתחמושת נתפסו בחיפוש שגרתי שביצעה המשטרה ברכב.</w:t>
      </w:r>
    </w:p>
    <w:p w14:paraId="46671E44" w14:textId="77777777" w:rsidR="00DF6722" w:rsidRDefault="00DF6722" w:rsidP="00DF6722">
      <w:pPr>
        <w:spacing w:line="360" w:lineRule="auto"/>
        <w:jc w:val="both"/>
        <w:rPr>
          <w:rFonts w:cs="FrankRuehl"/>
          <w:sz w:val="28"/>
          <w:szCs w:val="28"/>
          <w:rtl/>
        </w:rPr>
      </w:pPr>
      <w:r w:rsidRPr="00747D32">
        <w:rPr>
          <w:rFonts w:hint="cs"/>
          <w:rtl/>
        </w:rPr>
        <w:t xml:space="preserve">בפרשה שנדונה במסגרת </w:t>
      </w:r>
      <w:hyperlink r:id="rId48" w:history="1">
        <w:r w:rsidR="009B3218" w:rsidRPr="009B3218">
          <w:rPr>
            <w:color w:val="0000FF"/>
            <w:u w:val="single"/>
            <w:rtl/>
          </w:rPr>
          <w:t>ע"פ 3877/16</w:t>
        </w:r>
      </w:hyperlink>
      <w:r w:rsidRPr="00747D32">
        <w:rPr>
          <w:rFonts w:hint="cs"/>
          <w:rtl/>
        </w:rPr>
        <w:t xml:space="preserve">  </w:t>
      </w:r>
      <w:r w:rsidRPr="00747D32">
        <w:rPr>
          <w:rFonts w:hint="cs"/>
          <w:b/>
          <w:bCs/>
          <w:rtl/>
        </w:rPr>
        <w:t xml:space="preserve">פאדי ג'באלי </w:t>
      </w:r>
      <w:r w:rsidRPr="00747D32">
        <w:rPr>
          <w:rFonts w:hint="eastAsia"/>
          <w:b/>
          <w:bCs/>
          <w:rtl/>
        </w:rPr>
        <w:t>נ</w:t>
      </w:r>
      <w:r w:rsidRPr="00747D32">
        <w:rPr>
          <w:b/>
          <w:bCs/>
          <w:rtl/>
        </w:rPr>
        <w:t xml:space="preserve">' </w:t>
      </w:r>
      <w:r w:rsidRPr="00747D32">
        <w:rPr>
          <w:rFonts w:hint="cs"/>
          <w:b/>
          <w:bCs/>
          <w:rtl/>
        </w:rPr>
        <w:t>מדינת ישראל</w:t>
      </w:r>
      <w:r w:rsidRPr="00747D32">
        <w:rPr>
          <w:rtl/>
        </w:rPr>
        <w:t xml:space="preserve"> (</w:t>
      </w:r>
      <w:r w:rsidRPr="00747D32">
        <w:rPr>
          <w:rFonts w:hint="eastAsia"/>
          <w:rtl/>
        </w:rPr>
        <w:t>ניתן</w:t>
      </w:r>
      <w:r w:rsidRPr="00747D32">
        <w:rPr>
          <w:rtl/>
        </w:rPr>
        <w:t xml:space="preserve"> </w:t>
      </w:r>
      <w:r w:rsidRPr="00747D32">
        <w:rPr>
          <w:rFonts w:hint="eastAsia"/>
          <w:rtl/>
        </w:rPr>
        <w:t>ביום</w:t>
      </w:r>
      <w:r w:rsidRPr="00747D32">
        <w:rPr>
          <w:rtl/>
        </w:rPr>
        <w:t xml:space="preserve"> </w:t>
      </w:r>
      <w:r w:rsidRPr="00747D32">
        <w:rPr>
          <w:rFonts w:hint="cs"/>
          <w:rtl/>
        </w:rPr>
        <w:t>17.11.16</w:t>
      </w:r>
      <w:r w:rsidRPr="00747D32">
        <w:rPr>
          <w:rtl/>
        </w:rPr>
        <w:t>),</w:t>
      </w:r>
      <w:r w:rsidRPr="00747D32">
        <w:rPr>
          <w:rFonts w:hint="cs"/>
          <w:rtl/>
        </w:rPr>
        <w:t xml:space="preserve"> דחה </w:t>
      </w:r>
      <w:r w:rsidRPr="00747D32">
        <w:rPr>
          <w:rFonts w:hint="eastAsia"/>
          <w:rtl/>
        </w:rPr>
        <w:t>בית</w:t>
      </w:r>
      <w:r w:rsidRPr="00747D32">
        <w:rPr>
          <w:rtl/>
        </w:rPr>
        <w:t xml:space="preserve"> </w:t>
      </w:r>
      <w:r w:rsidRPr="00747D32">
        <w:rPr>
          <w:rFonts w:hint="eastAsia"/>
          <w:rtl/>
        </w:rPr>
        <w:t>המשפט</w:t>
      </w:r>
      <w:r w:rsidRPr="00747D32">
        <w:rPr>
          <w:rFonts w:hint="cs"/>
          <w:rtl/>
        </w:rPr>
        <w:t xml:space="preserve"> </w:t>
      </w:r>
      <w:r w:rsidRPr="00747D32">
        <w:rPr>
          <w:rFonts w:hint="eastAsia"/>
          <w:rtl/>
        </w:rPr>
        <w:t>העליון</w:t>
      </w:r>
      <w:r w:rsidRPr="00747D32">
        <w:rPr>
          <w:rFonts w:hint="cs"/>
          <w:rtl/>
        </w:rPr>
        <w:t xml:space="preserve"> ערעור על גזר דינו של בית המשפט המחוזי מרכז -לוד, במסגרתו הושת על המערער (</w:t>
      </w:r>
      <w:r w:rsidRPr="00747D32">
        <w:rPr>
          <w:rFonts w:hint="cs"/>
          <w:b/>
          <w:bCs/>
          <w:rtl/>
        </w:rPr>
        <w:t>בעל עבר פלילי מכביד)</w:t>
      </w:r>
      <w:r w:rsidRPr="00747D32">
        <w:rPr>
          <w:rFonts w:hint="cs"/>
          <w:rtl/>
        </w:rPr>
        <w:t xml:space="preserve"> </w:t>
      </w:r>
      <w:r w:rsidRPr="00747D32">
        <w:rPr>
          <w:rFonts w:hint="eastAsia"/>
          <w:b/>
          <w:bCs/>
          <w:rtl/>
        </w:rPr>
        <w:t>עונש</w:t>
      </w:r>
      <w:r w:rsidRPr="00747D32">
        <w:rPr>
          <w:b/>
          <w:bCs/>
          <w:rtl/>
        </w:rPr>
        <w:t xml:space="preserve"> </w:t>
      </w:r>
      <w:r w:rsidRPr="00747D32">
        <w:rPr>
          <w:rFonts w:hint="eastAsia"/>
          <w:b/>
          <w:bCs/>
          <w:rtl/>
        </w:rPr>
        <w:t>מאסר</w:t>
      </w:r>
      <w:r w:rsidRPr="00747D32">
        <w:rPr>
          <w:b/>
          <w:bCs/>
          <w:rtl/>
        </w:rPr>
        <w:t xml:space="preserve"> </w:t>
      </w:r>
      <w:r w:rsidRPr="00747D32">
        <w:rPr>
          <w:rFonts w:hint="cs"/>
          <w:b/>
          <w:bCs/>
          <w:rtl/>
        </w:rPr>
        <w:t>בן 34 חודשים לריצוי בפועל.</w:t>
      </w:r>
      <w:r w:rsidRPr="00747D32">
        <w:rPr>
          <w:rFonts w:hint="cs"/>
          <w:rtl/>
        </w:rPr>
        <w:t xml:space="preserve"> עונש זה הוטל על המערער בגין ביצועה, על פי הודאתו, של עבירה שעניינה </w:t>
      </w:r>
      <w:r w:rsidRPr="00747D32">
        <w:rPr>
          <w:rFonts w:hint="cs"/>
          <w:b/>
          <w:bCs/>
          <w:rtl/>
        </w:rPr>
        <w:t xml:space="preserve">נשיאת נשק </w:t>
      </w:r>
      <w:r w:rsidRPr="00747D32">
        <w:rPr>
          <w:rFonts w:hint="cs"/>
          <w:rtl/>
        </w:rPr>
        <w:t xml:space="preserve">לפי </w:t>
      </w:r>
      <w:hyperlink r:id="rId49" w:history="1">
        <w:r w:rsidR="00F25B78" w:rsidRPr="00F25B78">
          <w:rPr>
            <w:color w:val="0000FF"/>
            <w:u w:val="single"/>
            <w:rtl/>
          </w:rPr>
          <w:t>סעיף 144(ב)</w:t>
        </w:r>
      </w:hyperlink>
      <w:r w:rsidRPr="00747D32">
        <w:rPr>
          <w:rFonts w:hint="cs"/>
          <w:rtl/>
        </w:rPr>
        <w:t xml:space="preserve"> ל</w:t>
      </w:r>
      <w:hyperlink r:id="rId50" w:history="1">
        <w:r w:rsidR="009B3218" w:rsidRPr="009B3218">
          <w:rPr>
            <w:color w:val="0000FF"/>
            <w:u w:val="single"/>
            <w:rtl/>
          </w:rPr>
          <w:t>חוק העונשין</w:t>
        </w:r>
      </w:hyperlink>
      <w:r w:rsidRPr="00747D32">
        <w:rPr>
          <w:rFonts w:hint="cs"/>
          <w:rtl/>
        </w:rPr>
        <w:t>. ע</w:t>
      </w:r>
      <w:r>
        <w:rPr>
          <w:rFonts w:hint="cs"/>
          <w:rtl/>
        </w:rPr>
        <w:t>וב</w:t>
      </w:r>
      <w:r w:rsidRPr="00747D32">
        <w:rPr>
          <w:rFonts w:hint="cs"/>
          <w:rtl/>
        </w:rPr>
        <w:t>דות המקרה לימדו, כי בין המערער לבין קרוב משפחתו התגלע סכסוך. על רקע זה, השניים קבעו להיפגש בעיר טייבה לשם יישוב הסכסוך. המערער נסע ברכבו למקום המפגש יחד עם קרוב משפחתו ר'.ג' (קטין) כשהוא נושא עמו ברכב אקדח טעון במחסנית שהכילה 14 כדורים. כאן המקום לציין</w:t>
      </w:r>
      <w:r>
        <w:rPr>
          <w:rFonts w:hint="cs"/>
          <w:rtl/>
        </w:rPr>
        <w:t>,</w:t>
      </w:r>
      <w:r w:rsidRPr="00747D32">
        <w:rPr>
          <w:rFonts w:hint="cs"/>
          <w:rtl/>
        </w:rPr>
        <w:t xml:space="preserve"> כי סוג כלי הנשק היה  </w:t>
      </w:r>
      <w:r w:rsidRPr="00747D32">
        <w:rPr>
          <w:rFonts w:hint="cs"/>
          <w:b/>
          <w:bCs/>
          <w:rtl/>
        </w:rPr>
        <w:t>אקדח מסוג "גלוק</w:t>
      </w:r>
      <w:r w:rsidRPr="00747D32">
        <w:rPr>
          <w:rFonts w:hint="cs"/>
          <w:rtl/>
        </w:rPr>
        <w:t xml:space="preserve">", אשר נגנב חודשים אחדים קודם </w:t>
      </w:r>
      <w:r>
        <w:rPr>
          <w:rFonts w:hint="cs"/>
          <w:rtl/>
        </w:rPr>
        <w:t xml:space="preserve">לכן בהתפרצות לדירה בהוד השרון. </w:t>
      </w:r>
      <w:r w:rsidRPr="00747D32">
        <w:rPr>
          <w:rFonts w:hint="cs"/>
          <w:rtl/>
        </w:rPr>
        <w:t>כשהגיעו למקום המפגש, עצר המערער סמוך לרכב שבו ישבו קרובי משפחתו. הוא החביא את האקדח במכנסיו והתקרב יחד עם הקטין אל הרכב. באותו שלב הגיעו למקום שוטרים שהורו למערער ולקטין להרים ידיים, אך המערער כרע לכיוון הרצפה והשליך את האקדח מאחורי גבו. בית המשפט העליון דחה כאמור את הערעור. צוין, כי על אף גילו הצעיר למערער עבר פלילי מכביד ביותר ואת העבירה ביצע שבועות ספורים בלבד לאחר שסיים לרצות עונש מאסר ארוך.</w:t>
      </w:r>
    </w:p>
    <w:p w14:paraId="7D00F303" w14:textId="77777777" w:rsidR="00DF6722" w:rsidRPr="00747D32" w:rsidRDefault="00DF6722" w:rsidP="00DF6722">
      <w:pPr>
        <w:jc w:val="both"/>
        <w:rPr>
          <w:rFonts w:cs="FrankRuehl"/>
          <w:sz w:val="28"/>
          <w:szCs w:val="28"/>
          <w:rtl/>
        </w:rPr>
      </w:pPr>
    </w:p>
    <w:p w14:paraId="2877B1E7" w14:textId="77777777" w:rsidR="00DF6722" w:rsidRDefault="00DF6722" w:rsidP="00DF6722">
      <w:pPr>
        <w:spacing w:line="360" w:lineRule="auto"/>
        <w:jc w:val="both"/>
        <w:rPr>
          <w:rtl/>
        </w:rPr>
      </w:pPr>
      <w:r w:rsidRPr="00747D32">
        <w:rPr>
          <w:rFonts w:hint="cs"/>
          <w:rtl/>
        </w:rPr>
        <w:t xml:space="preserve">בפרשה שנדונה במסגרת </w:t>
      </w:r>
      <w:hyperlink r:id="rId51" w:history="1">
        <w:r w:rsidR="009B3218" w:rsidRPr="009B3218">
          <w:rPr>
            <w:color w:val="0000FF"/>
            <w:u w:val="single"/>
            <w:rtl/>
          </w:rPr>
          <w:t>ע"פ 2892/13</w:t>
        </w:r>
      </w:hyperlink>
      <w:r w:rsidRPr="00747D32">
        <w:rPr>
          <w:rFonts w:hint="cs"/>
          <w:rtl/>
        </w:rPr>
        <w:t xml:space="preserve"> </w:t>
      </w:r>
      <w:r w:rsidRPr="00747D32">
        <w:rPr>
          <w:rFonts w:hint="cs"/>
          <w:b/>
          <w:bCs/>
          <w:rtl/>
        </w:rPr>
        <w:t xml:space="preserve">מוחמד עודתאללה  נ' מדינת ישראל  </w:t>
      </w:r>
      <w:r w:rsidRPr="00747D32">
        <w:rPr>
          <w:rFonts w:hint="cs"/>
          <w:rtl/>
        </w:rPr>
        <w:t xml:space="preserve">(ניתן ביום 29.9.13) דחה </w:t>
      </w:r>
      <w:r w:rsidRPr="00747D32">
        <w:rPr>
          <w:rFonts w:hint="eastAsia"/>
          <w:rtl/>
        </w:rPr>
        <w:t>בית</w:t>
      </w:r>
      <w:r w:rsidRPr="00747D32">
        <w:rPr>
          <w:rtl/>
        </w:rPr>
        <w:t xml:space="preserve"> </w:t>
      </w:r>
      <w:r w:rsidRPr="00747D32">
        <w:rPr>
          <w:rFonts w:hint="eastAsia"/>
          <w:rtl/>
        </w:rPr>
        <w:t>המשפט</w:t>
      </w:r>
      <w:r w:rsidRPr="00747D32">
        <w:rPr>
          <w:rFonts w:hint="cs"/>
          <w:rtl/>
        </w:rPr>
        <w:t xml:space="preserve"> </w:t>
      </w:r>
      <w:r w:rsidRPr="00747D32">
        <w:rPr>
          <w:rFonts w:hint="eastAsia"/>
          <w:rtl/>
        </w:rPr>
        <w:t>העליון</w:t>
      </w:r>
      <w:r w:rsidRPr="00747D32">
        <w:rPr>
          <w:rFonts w:hint="cs"/>
          <w:rtl/>
        </w:rPr>
        <w:t xml:space="preserve"> ערעור על פסק דינו של בית המשפט המחוזי בנצרת, במסגרתו הושת על המערער </w:t>
      </w:r>
      <w:r w:rsidRPr="00747D32">
        <w:rPr>
          <w:rFonts w:hint="eastAsia"/>
          <w:b/>
          <w:bCs/>
          <w:rtl/>
        </w:rPr>
        <w:t>עונש</w:t>
      </w:r>
      <w:r w:rsidRPr="00747D32">
        <w:rPr>
          <w:b/>
          <w:bCs/>
          <w:rtl/>
        </w:rPr>
        <w:t xml:space="preserve"> </w:t>
      </w:r>
      <w:r w:rsidRPr="00747D32">
        <w:rPr>
          <w:rFonts w:hint="eastAsia"/>
          <w:b/>
          <w:bCs/>
          <w:rtl/>
        </w:rPr>
        <w:t>מאסר</w:t>
      </w:r>
      <w:r w:rsidRPr="00747D32">
        <w:rPr>
          <w:rFonts w:hint="cs"/>
          <w:b/>
          <w:bCs/>
          <w:rtl/>
        </w:rPr>
        <w:t xml:space="preserve"> בן 21 חודשים לריצוי בפועל. </w:t>
      </w:r>
      <w:r w:rsidRPr="00747D32">
        <w:rPr>
          <w:rFonts w:hint="cs"/>
          <w:rtl/>
        </w:rPr>
        <w:t xml:space="preserve"> עונש זה הוטל על המערער</w:t>
      </w:r>
      <w:r w:rsidRPr="00747D32">
        <w:rPr>
          <w:rFonts w:hint="cs"/>
          <w:b/>
          <w:bCs/>
          <w:rtl/>
        </w:rPr>
        <w:t xml:space="preserve"> </w:t>
      </w:r>
      <w:r w:rsidRPr="00747D32">
        <w:rPr>
          <w:rFonts w:hint="cs"/>
          <w:rtl/>
        </w:rPr>
        <w:t>בגין ביצוען של עבירות שעניינן</w:t>
      </w:r>
      <w:r w:rsidRPr="00747D32">
        <w:rPr>
          <w:rFonts w:hint="cs"/>
          <w:b/>
          <w:bCs/>
          <w:rtl/>
        </w:rPr>
        <w:t xml:space="preserve"> נשיאה והובלה של נשק</w:t>
      </w:r>
      <w:r w:rsidRPr="00747D32">
        <w:rPr>
          <w:rFonts w:hint="cs"/>
          <w:rtl/>
        </w:rPr>
        <w:t xml:space="preserve"> שלא כדין לפי </w:t>
      </w:r>
      <w:hyperlink r:id="rId52" w:history="1">
        <w:r w:rsidR="00F25B78" w:rsidRPr="00F25B78">
          <w:rPr>
            <w:color w:val="0000FF"/>
            <w:u w:val="single"/>
            <w:rtl/>
          </w:rPr>
          <w:t>סעיף 144(ב)</w:t>
        </w:r>
      </w:hyperlink>
      <w:r w:rsidRPr="00747D32">
        <w:rPr>
          <w:rFonts w:hint="cs"/>
          <w:rtl/>
        </w:rPr>
        <w:t xml:space="preserve"> רישא; </w:t>
      </w:r>
      <w:r w:rsidRPr="00747D32">
        <w:rPr>
          <w:rFonts w:hint="cs"/>
          <w:b/>
          <w:bCs/>
          <w:rtl/>
        </w:rPr>
        <w:t>והסתייעות ברכב לביצוע פשע</w:t>
      </w:r>
      <w:r w:rsidRPr="00747D32">
        <w:rPr>
          <w:rFonts w:hint="cs"/>
          <w:rtl/>
        </w:rPr>
        <w:t xml:space="preserve"> לפי </w:t>
      </w:r>
      <w:hyperlink r:id="rId53" w:history="1">
        <w:r w:rsidR="00F25B78" w:rsidRPr="00F25B78">
          <w:rPr>
            <w:color w:val="0000FF"/>
            <w:u w:val="single"/>
            <w:rtl/>
          </w:rPr>
          <w:t>סעיף 43</w:t>
        </w:r>
      </w:hyperlink>
      <w:r w:rsidRPr="00747D32">
        <w:rPr>
          <w:rFonts w:hint="cs"/>
          <w:rtl/>
        </w:rPr>
        <w:t xml:space="preserve"> ל</w:t>
      </w:r>
      <w:hyperlink r:id="rId54" w:history="1">
        <w:r w:rsidR="009B3218" w:rsidRPr="009B3218">
          <w:rPr>
            <w:color w:val="0000FF"/>
            <w:u w:val="single"/>
            <w:rtl/>
          </w:rPr>
          <w:t>פקודת התעבורה</w:t>
        </w:r>
      </w:hyperlink>
      <w:r w:rsidRPr="00747D32">
        <w:rPr>
          <w:rFonts w:hint="cs"/>
          <w:rtl/>
        </w:rPr>
        <w:t xml:space="preserve">. עובדות מקרה זה לימדו, כי המערער נהג בנצרת ברכב מסוג מאזדה כשהוא מוביל את </w:t>
      </w:r>
      <w:r w:rsidRPr="00747D32">
        <w:rPr>
          <w:rFonts w:hint="cs"/>
          <w:b/>
          <w:bCs/>
          <w:rtl/>
        </w:rPr>
        <w:t xml:space="preserve">האקדח </w:t>
      </w:r>
      <w:r w:rsidRPr="00747D32">
        <w:rPr>
          <w:rFonts w:hint="cs"/>
          <w:rtl/>
        </w:rPr>
        <w:t>(הטעון במחסנית ריקה מכדורים) מוסתר תחת השטיחון שמתחת לכסא הנהג ברכב. יחד עם המערער ברכב היה אדם נוסף. משהבחין המערער בחסימה משטרתית, סטה מנתיבו לדרך ללא מוצא ועצר את הרכב. השוטרים הגיעו לרכבו של המערער ומצאו את האקדח. בתום החיפוש, המערער והאדם הנוסף נעצרו והובלו לתחנת המשטרה.</w:t>
      </w:r>
    </w:p>
    <w:p w14:paraId="12F0AF7B" w14:textId="77777777" w:rsidR="00DF6722" w:rsidRPr="00747D32" w:rsidRDefault="00DF6722" w:rsidP="00DF6722">
      <w:pPr>
        <w:spacing w:line="360" w:lineRule="auto"/>
        <w:jc w:val="both"/>
        <w:rPr>
          <w:rtl/>
        </w:rPr>
      </w:pPr>
    </w:p>
    <w:p w14:paraId="3688BCE1" w14:textId="77777777" w:rsidR="00DF6722" w:rsidRDefault="00DF6722" w:rsidP="00DF6722">
      <w:pPr>
        <w:spacing w:line="360" w:lineRule="auto"/>
        <w:jc w:val="both"/>
        <w:rPr>
          <w:rtl/>
        </w:rPr>
      </w:pPr>
      <w:r w:rsidRPr="00747D32">
        <w:rPr>
          <w:rFonts w:hint="cs"/>
          <w:rtl/>
        </w:rPr>
        <w:t xml:space="preserve">בפרשה </w:t>
      </w:r>
      <w:r>
        <w:rPr>
          <w:rFonts w:hint="cs"/>
          <w:rtl/>
        </w:rPr>
        <w:t xml:space="preserve"> נוספת </w:t>
      </w:r>
      <w:r w:rsidRPr="00747D32">
        <w:rPr>
          <w:rFonts w:hint="cs"/>
          <w:rtl/>
        </w:rPr>
        <w:t xml:space="preserve">שנדונה במסגרת </w:t>
      </w:r>
      <w:hyperlink r:id="rId55" w:history="1">
        <w:r w:rsidR="009B3218" w:rsidRPr="009B3218">
          <w:rPr>
            <w:color w:val="0000FF"/>
            <w:u w:val="single"/>
            <w:rtl/>
          </w:rPr>
          <w:t>ע"פ 4329/10</w:t>
        </w:r>
      </w:hyperlink>
      <w:r w:rsidRPr="00747D32">
        <w:rPr>
          <w:rFonts w:hint="cs"/>
          <w:rtl/>
        </w:rPr>
        <w:t xml:space="preserve"> </w:t>
      </w:r>
      <w:r w:rsidRPr="00747D32">
        <w:rPr>
          <w:rFonts w:hint="cs"/>
          <w:b/>
          <w:bCs/>
          <w:rtl/>
        </w:rPr>
        <w:t>פלוני נ' מדינת ישראל</w:t>
      </w:r>
      <w:r w:rsidRPr="00747D32">
        <w:rPr>
          <w:rtl/>
        </w:rPr>
        <w:t xml:space="preserve"> (</w:t>
      </w:r>
      <w:r w:rsidRPr="00747D32">
        <w:rPr>
          <w:rFonts w:hint="eastAsia"/>
          <w:rtl/>
        </w:rPr>
        <w:t>ניתן</w:t>
      </w:r>
      <w:r w:rsidRPr="00747D32">
        <w:rPr>
          <w:rtl/>
        </w:rPr>
        <w:t xml:space="preserve"> </w:t>
      </w:r>
      <w:r w:rsidRPr="00747D32">
        <w:rPr>
          <w:rFonts w:hint="eastAsia"/>
          <w:rtl/>
        </w:rPr>
        <w:t>ביום</w:t>
      </w:r>
      <w:r w:rsidRPr="00747D32">
        <w:rPr>
          <w:rtl/>
        </w:rPr>
        <w:t xml:space="preserve"> </w:t>
      </w:r>
      <w:r w:rsidRPr="00747D32">
        <w:rPr>
          <w:rFonts w:hint="cs"/>
          <w:rtl/>
        </w:rPr>
        <w:t>25.10.10</w:t>
      </w:r>
      <w:r w:rsidRPr="00747D32">
        <w:rPr>
          <w:rtl/>
        </w:rPr>
        <w:t>),</w:t>
      </w:r>
      <w:r w:rsidRPr="00747D32">
        <w:rPr>
          <w:rFonts w:hint="cs"/>
          <w:rtl/>
        </w:rPr>
        <w:t xml:space="preserve"> דחה </w:t>
      </w:r>
      <w:r w:rsidRPr="00747D32">
        <w:rPr>
          <w:rFonts w:hint="eastAsia"/>
          <w:rtl/>
        </w:rPr>
        <w:t>בית</w:t>
      </w:r>
      <w:r w:rsidRPr="00747D32">
        <w:rPr>
          <w:rtl/>
        </w:rPr>
        <w:t xml:space="preserve"> </w:t>
      </w:r>
      <w:r w:rsidRPr="00747D32">
        <w:rPr>
          <w:rFonts w:hint="eastAsia"/>
          <w:rtl/>
        </w:rPr>
        <w:t>המשפט</w:t>
      </w:r>
      <w:r w:rsidRPr="00747D32">
        <w:rPr>
          <w:rFonts w:hint="cs"/>
          <w:rtl/>
        </w:rPr>
        <w:t xml:space="preserve"> </w:t>
      </w:r>
      <w:r w:rsidRPr="00747D32">
        <w:rPr>
          <w:rFonts w:hint="eastAsia"/>
          <w:rtl/>
        </w:rPr>
        <w:t>העליון</w:t>
      </w:r>
      <w:r w:rsidRPr="00747D32">
        <w:rPr>
          <w:rFonts w:hint="cs"/>
          <w:rtl/>
        </w:rPr>
        <w:t xml:space="preserve"> ערעור על גזר דינו של בית המשפט המחוזי בנצרת, במסגרתו הושת על המערער (הנעדר עבר פלילי) </w:t>
      </w:r>
      <w:r w:rsidRPr="00747D32">
        <w:rPr>
          <w:rFonts w:hint="eastAsia"/>
          <w:b/>
          <w:bCs/>
          <w:rtl/>
        </w:rPr>
        <w:t>עונש</w:t>
      </w:r>
      <w:r w:rsidRPr="00747D32">
        <w:rPr>
          <w:b/>
          <w:bCs/>
          <w:rtl/>
        </w:rPr>
        <w:t xml:space="preserve"> </w:t>
      </w:r>
      <w:r w:rsidRPr="00747D32">
        <w:rPr>
          <w:rFonts w:hint="eastAsia"/>
          <w:b/>
          <w:bCs/>
          <w:rtl/>
        </w:rPr>
        <w:t>מאסר</w:t>
      </w:r>
      <w:r w:rsidRPr="00747D32">
        <w:rPr>
          <w:b/>
          <w:bCs/>
          <w:rtl/>
        </w:rPr>
        <w:t xml:space="preserve"> </w:t>
      </w:r>
      <w:r w:rsidRPr="00747D32">
        <w:rPr>
          <w:rFonts w:hint="cs"/>
          <w:b/>
          <w:bCs/>
          <w:rtl/>
        </w:rPr>
        <w:t>בן 20 חודשים לריצוי בפועל.</w:t>
      </w:r>
      <w:r w:rsidRPr="00747D32">
        <w:rPr>
          <w:rFonts w:hint="cs"/>
          <w:rtl/>
        </w:rPr>
        <w:t xml:space="preserve"> עונש זה הוטל על המערער בגין ביצוען, על יסוד הודאתו, של עבירות שעניינן </w:t>
      </w:r>
      <w:r w:rsidRPr="00747D32">
        <w:rPr>
          <w:rFonts w:hint="cs"/>
          <w:b/>
          <w:bCs/>
          <w:rtl/>
        </w:rPr>
        <w:t>החזקת</w:t>
      </w:r>
      <w:r w:rsidRPr="00747D32">
        <w:rPr>
          <w:rFonts w:hint="cs"/>
          <w:rtl/>
        </w:rPr>
        <w:t xml:space="preserve"> נשק </w:t>
      </w:r>
      <w:r w:rsidRPr="00747D32">
        <w:rPr>
          <w:rFonts w:hint="cs"/>
          <w:b/>
          <w:bCs/>
          <w:rtl/>
        </w:rPr>
        <w:t>ונשיאתו</w:t>
      </w:r>
      <w:r w:rsidRPr="00747D32">
        <w:rPr>
          <w:rFonts w:hint="cs"/>
          <w:rtl/>
        </w:rPr>
        <w:t xml:space="preserve"> שלא כדין לפי </w:t>
      </w:r>
      <w:hyperlink r:id="rId56" w:history="1">
        <w:r w:rsidR="00F25B78" w:rsidRPr="00F25B78">
          <w:rPr>
            <w:color w:val="0000FF"/>
            <w:u w:val="single"/>
            <w:rtl/>
          </w:rPr>
          <w:t>סעיפים 144(א)</w:t>
        </w:r>
      </w:hyperlink>
      <w:r w:rsidRPr="00747D32">
        <w:rPr>
          <w:rFonts w:hint="cs"/>
          <w:rtl/>
        </w:rPr>
        <w:t xml:space="preserve"> ו-</w:t>
      </w:r>
      <w:hyperlink r:id="rId57" w:history="1">
        <w:r w:rsidR="00F25B78" w:rsidRPr="00F25B78">
          <w:rPr>
            <w:color w:val="0000FF"/>
            <w:u w:val="single"/>
            <w:rtl/>
          </w:rPr>
          <w:t>144(ב)</w:t>
        </w:r>
      </w:hyperlink>
      <w:r w:rsidRPr="00747D32">
        <w:rPr>
          <w:rFonts w:hint="cs"/>
          <w:rtl/>
        </w:rPr>
        <w:t xml:space="preserve"> ל</w:t>
      </w:r>
      <w:hyperlink r:id="rId58" w:history="1">
        <w:r w:rsidR="009B3218" w:rsidRPr="009B3218">
          <w:rPr>
            <w:color w:val="0000FF"/>
            <w:u w:val="single"/>
            <w:rtl/>
          </w:rPr>
          <w:t>חוק העונשין</w:t>
        </w:r>
      </w:hyperlink>
      <w:r w:rsidRPr="00747D32">
        <w:rPr>
          <w:rFonts w:hint="cs"/>
          <w:rtl/>
        </w:rPr>
        <w:t>. עובדות המקרה לימדו, כי בעת שנהג ברכב שבבעלותו, נמצא המערער מחזיק ב</w:t>
      </w:r>
      <w:r w:rsidRPr="00747D32">
        <w:rPr>
          <w:rFonts w:hint="cs"/>
          <w:b/>
          <w:bCs/>
          <w:rtl/>
        </w:rPr>
        <w:t xml:space="preserve">אקדח </w:t>
      </w:r>
      <w:r w:rsidRPr="00747D32">
        <w:rPr>
          <w:rFonts w:hint="cs"/>
          <w:rtl/>
        </w:rPr>
        <w:t>טעון בתחמושת במצב נצור, מבלי שהיה מורשה לכך.</w:t>
      </w:r>
    </w:p>
    <w:p w14:paraId="36C2CA3F" w14:textId="77777777" w:rsidR="00DF6722" w:rsidRPr="00747D32" w:rsidRDefault="00DF6722" w:rsidP="00DF6722">
      <w:pPr>
        <w:spacing w:line="360" w:lineRule="auto"/>
        <w:jc w:val="both"/>
        <w:rPr>
          <w:rtl/>
        </w:rPr>
      </w:pPr>
    </w:p>
    <w:p w14:paraId="69D5A9CD" w14:textId="77777777" w:rsidR="00DF6722" w:rsidRDefault="00DF6722" w:rsidP="00DF6722">
      <w:pPr>
        <w:spacing w:line="360" w:lineRule="auto"/>
        <w:jc w:val="both"/>
        <w:rPr>
          <w:rtl/>
        </w:rPr>
      </w:pPr>
      <w:r w:rsidRPr="00747D32">
        <w:rPr>
          <w:rFonts w:hint="cs"/>
          <w:rtl/>
        </w:rPr>
        <w:t xml:space="preserve">במסגרת </w:t>
      </w:r>
      <w:hyperlink r:id="rId59" w:history="1">
        <w:r w:rsidR="009B3218" w:rsidRPr="009B3218">
          <w:rPr>
            <w:color w:val="0000FF"/>
            <w:u w:val="single"/>
            <w:rtl/>
          </w:rPr>
          <w:t>ת"פ 9111-02-15</w:t>
        </w:r>
      </w:hyperlink>
      <w:r w:rsidRPr="00747D32">
        <w:rPr>
          <w:rFonts w:hint="cs"/>
          <w:rtl/>
        </w:rPr>
        <w:t xml:space="preserve"> </w:t>
      </w:r>
      <w:r w:rsidRPr="00747D32">
        <w:rPr>
          <w:rFonts w:hint="cs"/>
          <w:b/>
          <w:bCs/>
          <w:rtl/>
        </w:rPr>
        <w:t>מדינת ישראל נ' חאסרמה</w:t>
      </w:r>
      <w:r w:rsidRPr="00747D32">
        <w:rPr>
          <w:rFonts w:hint="cs"/>
          <w:rtl/>
        </w:rPr>
        <w:t xml:space="preserve"> (ניתן ביום 20.9.15) גזר בית המשפט המחוזי בחיפה על הנאשם  עונש מאסר בן </w:t>
      </w:r>
      <w:r w:rsidRPr="00747D32">
        <w:rPr>
          <w:rFonts w:hint="cs"/>
          <w:b/>
          <w:bCs/>
          <w:rtl/>
        </w:rPr>
        <w:t>10 חודשים לריצוי בפועל</w:t>
      </w:r>
      <w:r w:rsidRPr="00747D32">
        <w:rPr>
          <w:rFonts w:hint="cs"/>
          <w:rtl/>
        </w:rPr>
        <w:t xml:space="preserve"> בגין ביצוען של שתי עבירות בנשק - האחת, לפי  </w:t>
      </w:r>
      <w:hyperlink r:id="rId60" w:history="1">
        <w:r w:rsidR="00F25B78" w:rsidRPr="00F25B78">
          <w:rPr>
            <w:color w:val="0000FF"/>
            <w:u w:val="single"/>
            <w:rtl/>
          </w:rPr>
          <w:t>סעיף 144(א)</w:t>
        </w:r>
      </w:hyperlink>
      <w:r w:rsidRPr="00747D32">
        <w:rPr>
          <w:rFonts w:hint="cs"/>
          <w:rtl/>
        </w:rPr>
        <w:t xml:space="preserve"> ל</w:t>
      </w:r>
      <w:hyperlink r:id="rId61" w:history="1">
        <w:r w:rsidR="009B3218" w:rsidRPr="009B3218">
          <w:rPr>
            <w:color w:val="0000FF"/>
            <w:u w:val="single"/>
            <w:rtl/>
          </w:rPr>
          <w:t>חוק העונשין</w:t>
        </w:r>
      </w:hyperlink>
      <w:r w:rsidRPr="00747D32">
        <w:rPr>
          <w:rFonts w:hint="cs"/>
          <w:rtl/>
        </w:rPr>
        <w:t xml:space="preserve"> והשנייה לפי </w:t>
      </w:r>
      <w:hyperlink r:id="rId62" w:history="1">
        <w:r w:rsidR="00F25B78" w:rsidRPr="00F25B78">
          <w:rPr>
            <w:color w:val="0000FF"/>
            <w:u w:val="single"/>
            <w:rtl/>
          </w:rPr>
          <w:t>סעיף 144(ב)</w:t>
        </w:r>
      </w:hyperlink>
      <w:r w:rsidRPr="00747D32">
        <w:rPr>
          <w:rFonts w:hint="cs"/>
          <w:rtl/>
        </w:rPr>
        <w:t xml:space="preserve"> לחוק העונשין. עובדות המקרה בפרשה זו היו אלו:</w:t>
      </w:r>
      <w:r w:rsidRPr="00747D32">
        <w:rPr>
          <w:rtl/>
        </w:rPr>
        <w:t xml:space="preserve"> </w:t>
      </w:r>
      <w:r w:rsidRPr="00747D32">
        <w:rPr>
          <w:rFonts w:hint="cs"/>
          <w:rtl/>
        </w:rPr>
        <w:t xml:space="preserve"> עת הגיעו </w:t>
      </w:r>
      <w:r w:rsidRPr="00747D32">
        <w:rPr>
          <w:rtl/>
        </w:rPr>
        <w:t>שוטרים</w:t>
      </w:r>
      <w:r w:rsidRPr="00747D32">
        <w:rPr>
          <w:rFonts w:hint="cs"/>
          <w:rtl/>
        </w:rPr>
        <w:t xml:space="preserve"> </w:t>
      </w:r>
      <w:r w:rsidRPr="00747D32">
        <w:rPr>
          <w:rtl/>
        </w:rPr>
        <w:t>לסוכת אבלים של משפחת חסארמה</w:t>
      </w:r>
      <w:r w:rsidRPr="00747D32">
        <w:rPr>
          <w:rFonts w:hint="cs"/>
          <w:rtl/>
        </w:rPr>
        <w:t>,</w:t>
      </w:r>
      <w:r w:rsidRPr="00747D32">
        <w:rPr>
          <w:rtl/>
        </w:rPr>
        <w:t xml:space="preserve"> בכפר בענה</w:t>
      </w:r>
      <w:r w:rsidRPr="00747D32">
        <w:rPr>
          <w:rFonts w:hint="cs"/>
          <w:rtl/>
        </w:rPr>
        <w:t>,</w:t>
      </w:r>
      <w:r w:rsidRPr="00747D32">
        <w:rPr>
          <w:rtl/>
        </w:rPr>
        <w:t xml:space="preserve"> במטרה לעכב את יוסף</w:t>
      </w:r>
      <w:r w:rsidRPr="00747D32">
        <w:rPr>
          <w:rFonts w:hint="cs"/>
          <w:rtl/>
        </w:rPr>
        <w:t xml:space="preserve"> </w:t>
      </w:r>
      <w:r w:rsidRPr="00747D32">
        <w:rPr>
          <w:rtl/>
        </w:rPr>
        <w:t>חסארמה לחקירה</w:t>
      </w:r>
      <w:r w:rsidRPr="00747D32">
        <w:rPr>
          <w:rFonts w:hint="cs"/>
          <w:rtl/>
        </w:rPr>
        <w:t xml:space="preserve">, הבחין בהם </w:t>
      </w:r>
      <w:r w:rsidRPr="00747D32">
        <w:rPr>
          <w:rtl/>
        </w:rPr>
        <w:t>הנאשם שהיה במתחם</w:t>
      </w:r>
      <w:r w:rsidRPr="00747D32">
        <w:rPr>
          <w:rFonts w:hint="cs"/>
          <w:rtl/>
        </w:rPr>
        <w:t xml:space="preserve"> </w:t>
      </w:r>
      <w:r w:rsidRPr="00747D32">
        <w:rPr>
          <w:rtl/>
        </w:rPr>
        <w:t>והחל במנוסה מהם</w:t>
      </w:r>
      <w:r w:rsidRPr="00747D32">
        <w:rPr>
          <w:rFonts w:hint="cs"/>
          <w:rtl/>
        </w:rPr>
        <w:t xml:space="preserve"> כאשר </w:t>
      </w:r>
      <w:r w:rsidRPr="00747D32">
        <w:rPr>
          <w:rtl/>
        </w:rPr>
        <w:t xml:space="preserve">הוא נושא ומחזיק </w:t>
      </w:r>
      <w:r w:rsidRPr="00F92F85">
        <w:rPr>
          <w:b/>
          <w:bCs/>
          <w:rtl/>
        </w:rPr>
        <w:t>אקדח</w:t>
      </w:r>
      <w:r w:rsidRPr="00747D32">
        <w:rPr>
          <w:rtl/>
        </w:rPr>
        <w:t xml:space="preserve"> מסוג </w:t>
      </w:r>
      <w:r w:rsidRPr="00747D32">
        <w:t>FN</w:t>
      </w:r>
      <w:r w:rsidRPr="00747D32">
        <w:rPr>
          <w:rtl/>
        </w:rPr>
        <w:t xml:space="preserve"> ומחסנית עם 13 כדורים 9 מ"מ. במהלך המנוסה מהשוטרים</w:t>
      </w:r>
      <w:r w:rsidRPr="00747D32">
        <w:rPr>
          <w:rFonts w:hint="cs"/>
          <w:rtl/>
        </w:rPr>
        <w:t xml:space="preserve"> זרק הנאשם את האקדח והמחסנית.  </w:t>
      </w:r>
    </w:p>
    <w:p w14:paraId="44E01249" w14:textId="77777777" w:rsidR="00DF6722" w:rsidRPr="00747D32" w:rsidRDefault="00DF6722" w:rsidP="00DF6722">
      <w:pPr>
        <w:spacing w:line="360" w:lineRule="auto"/>
        <w:jc w:val="both"/>
        <w:rPr>
          <w:rtl/>
        </w:rPr>
      </w:pPr>
    </w:p>
    <w:p w14:paraId="632A5B2D" w14:textId="77777777" w:rsidR="00DF6722" w:rsidRPr="00747D32" w:rsidRDefault="00DF6722" w:rsidP="00DF6722">
      <w:pPr>
        <w:spacing w:line="360" w:lineRule="auto"/>
        <w:jc w:val="both"/>
        <w:rPr>
          <w:rFonts w:ascii="Arial" w:hAnsi="Arial"/>
          <w:b/>
          <w:bCs/>
          <w:rtl/>
        </w:rPr>
      </w:pPr>
      <w:r>
        <w:rPr>
          <w:rFonts w:hint="cs"/>
          <w:rtl/>
        </w:rPr>
        <w:t xml:space="preserve">במסגרת </w:t>
      </w:r>
      <w:hyperlink r:id="rId63" w:history="1">
        <w:r w:rsidR="009B3218" w:rsidRPr="009B3218">
          <w:rPr>
            <w:color w:val="0000FF"/>
            <w:u w:val="single"/>
            <w:rtl/>
          </w:rPr>
          <w:t>ת"פ 17520-03-14</w:t>
        </w:r>
      </w:hyperlink>
      <w:r w:rsidRPr="00747D32">
        <w:rPr>
          <w:rFonts w:hint="cs"/>
          <w:rtl/>
        </w:rPr>
        <w:t xml:space="preserve"> </w:t>
      </w:r>
      <w:r w:rsidRPr="00747D32">
        <w:rPr>
          <w:b/>
          <w:bCs/>
          <w:rtl/>
        </w:rPr>
        <w:t>מדינת ישראל נ' אבו אלהווה</w:t>
      </w:r>
      <w:r w:rsidRPr="00747D32">
        <w:rPr>
          <w:rFonts w:hint="cs"/>
          <w:rtl/>
        </w:rPr>
        <w:t xml:space="preserve"> (ניתן ביום 31.12.14) גזר בית המשפט המחוזי בירושלים על הנאשם עונש מאסר</w:t>
      </w:r>
      <w:r>
        <w:rPr>
          <w:rFonts w:hint="cs"/>
          <w:rtl/>
        </w:rPr>
        <w:t xml:space="preserve"> </w:t>
      </w:r>
      <w:r w:rsidRPr="00747D32">
        <w:rPr>
          <w:rFonts w:hint="cs"/>
          <w:rtl/>
        </w:rPr>
        <w:t xml:space="preserve">בן </w:t>
      </w:r>
      <w:r w:rsidRPr="00747D32">
        <w:rPr>
          <w:rFonts w:hint="cs"/>
          <w:b/>
          <w:bCs/>
          <w:rtl/>
        </w:rPr>
        <w:t>20 חודשים לריצוי בפועל,</w:t>
      </w:r>
      <w:r w:rsidRPr="00747D32">
        <w:rPr>
          <w:rFonts w:ascii="Arial" w:hAnsi="Arial" w:hint="cs"/>
          <w:rtl/>
        </w:rPr>
        <w:t xml:space="preserve"> בגין ביצועה של עבירה שעניינה הובלת נשק (</w:t>
      </w:r>
      <w:r w:rsidRPr="00747D32">
        <w:rPr>
          <w:rFonts w:ascii="Arial" w:hAnsi="Arial" w:hint="cs"/>
          <w:b/>
          <w:bCs/>
          <w:rtl/>
        </w:rPr>
        <w:t>תת מקלע מאולתר)</w:t>
      </w:r>
      <w:r w:rsidRPr="00747D32">
        <w:rPr>
          <w:rFonts w:ascii="Arial" w:hAnsi="Arial" w:hint="cs"/>
          <w:rtl/>
        </w:rPr>
        <w:t>;</w:t>
      </w:r>
      <w:r w:rsidRPr="00747D32">
        <w:rPr>
          <w:rFonts w:ascii="Arial" w:hAnsi="Arial" w:hint="cs"/>
          <w:b/>
          <w:bCs/>
          <w:rtl/>
        </w:rPr>
        <w:t xml:space="preserve"> </w:t>
      </w:r>
    </w:p>
    <w:p w14:paraId="6AF8B353" w14:textId="77777777" w:rsidR="00DF6722" w:rsidRDefault="00DF6722" w:rsidP="00DF6722">
      <w:pPr>
        <w:spacing w:line="360" w:lineRule="auto"/>
        <w:jc w:val="both"/>
        <w:rPr>
          <w:rtl/>
        </w:rPr>
      </w:pPr>
      <w:r>
        <w:rPr>
          <w:rFonts w:hint="cs"/>
          <w:rtl/>
        </w:rPr>
        <w:t xml:space="preserve">במסגרת </w:t>
      </w:r>
      <w:hyperlink r:id="rId64" w:history="1">
        <w:r w:rsidR="009B3218" w:rsidRPr="009B3218">
          <w:rPr>
            <w:color w:val="0000FF"/>
            <w:u w:val="single"/>
            <w:rtl/>
          </w:rPr>
          <w:t>ת"פ 20604-12-09</w:t>
        </w:r>
      </w:hyperlink>
      <w:r w:rsidRPr="00747D32">
        <w:rPr>
          <w:rFonts w:hint="cs"/>
          <w:rtl/>
        </w:rPr>
        <w:t xml:space="preserve"> </w:t>
      </w:r>
      <w:r w:rsidRPr="00747D32">
        <w:rPr>
          <w:rFonts w:hint="cs"/>
          <w:b/>
          <w:bCs/>
          <w:rtl/>
        </w:rPr>
        <w:t>מדינת ישראל נ' אזולאי</w:t>
      </w:r>
      <w:r w:rsidRPr="00747D32">
        <w:rPr>
          <w:rFonts w:hint="cs"/>
          <w:rtl/>
        </w:rPr>
        <w:t xml:space="preserve"> (ניתן ביום 28.6.10) גזר בית המשפט המחוזי בתל אביב על הנאשם, במסגרת הסדר טיעון, עונש מאסר בן  </w:t>
      </w:r>
      <w:r w:rsidRPr="00747D32">
        <w:rPr>
          <w:rFonts w:hint="cs"/>
          <w:b/>
          <w:bCs/>
          <w:rtl/>
        </w:rPr>
        <w:t>16 חודשים לריצוי בפועל,</w:t>
      </w:r>
      <w:r w:rsidRPr="00747D32">
        <w:rPr>
          <w:rFonts w:hint="cs"/>
          <w:rtl/>
        </w:rPr>
        <w:t xml:space="preserve"> בגין ביצועה של עבירה שעניינה נשיאת נשק שלא כדין לפי </w:t>
      </w:r>
      <w:hyperlink r:id="rId65" w:history="1">
        <w:r w:rsidR="00F25B78" w:rsidRPr="00F25B78">
          <w:rPr>
            <w:color w:val="0000FF"/>
            <w:u w:val="single"/>
            <w:rtl/>
          </w:rPr>
          <w:t>סעיף 144(ב)</w:t>
        </w:r>
      </w:hyperlink>
      <w:r w:rsidRPr="00747D32">
        <w:rPr>
          <w:rFonts w:hint="cs"/>
          <w:rtl/>
        </w:rPr>
        <w:t xml:space="preserve"> ל</w:t>
      </w:r>
      <w:hyperlink r:id="rId66" w:history="1">
        <w:r w:rsidR="009B3218" w:rsidRPr="009B3218">
          <w:rPr>
            <w:color w:val="0000FF"/>
            <w:u w:val="single"/>
            <w:rtl/>
          </w:rPr>
          <w:t>חוק העונשין</w:t>
        </w:r>
      </w:hyperlink>
      <w:r w:rsidRPr="00747D32">
        <w:rPr>
          <w:rFonts w:hint="cs"/>
          <w:rtl/>
        </w:rPr>
        <w:t>.</w:t>
      </w:r>
    </w:p>
    <w:p w14:paraId="62045928" w14:textId="77777777" w:rsidR="00DF6722" w:rsidRPr="00510559" w:rsidRDefault="00DF6722" w:rsidP="00DF6722">
      <w:pPr>
        <w:spacing w:line="360" w:lineRule="auto"/>
        <w:jc w:val="both"/>
        <w:rPr>
          <w:rtl/>
        </w:rPr>
      </w:pPr>
    </w:p>
    <w:p w14:paraId="5BDD43D9" w14:textId="77777777" w:rsidR="00DF6722" w:rsidRDefault="00DF6722" w:rsidP="00DF6722">
      <w:pPr>
        <w:spacing w:line="360" w:lineRule="auto"/>
        <w:jc w:val="both"/>
        <w:rPr>
          <w:rtl/>
        </w:rPr>
      </w:pPr>
      <w:r>
        <w:rPr>
          <w:rFonts w:hint="cs"/>
          <w:b/>
          <w:bCs/>
          <w:u w:val="single"/>
          <w:rtl/>
        </w:rPr>
        <w:t>נסיבות הקשורות בביצוע העבירה (</w:t>
      </w:r>
      <w:hyperlink r:id="rId67" w:history="1">
        <w:r w:rsidR="00F25B78" w:rsidRPr="00F25B78">
          <w:rPr>
            <w:b/>
            <w:bCs/>
            <w:color w:val="0000FF"/>
            <w:u w:val="single"/>
            <w:rtl/>
          </w:rPr>
          <w:t>סעיף 40ט'</w:t>
        </w:r>
      </w:hyperlink>
      <w:r>
        <w:rPr>
          <w:rFonts w:hint="cs"/>
          <w:b/>
          <w:bCs/>
          <w:u w:val="single"/>
          <w:rtl/>
        </w:rPr>
        <w:t xml:space="preserve"> ל</w:t>
      </w:r>
      <w:hyperlink r:id="rId68" w:history="1">
        <w:r w:rsidR="009B3218" w:rsidRPr="009B3218">
          <w:rPr>
            <w:b/>
            <w:bCs/>
            <w:color w:val="0000FF"/>
            <w:u w:val="single"/>
            <w:rtl/>
          </w:rPr>
          <w:t>חוק העונשין</w:t>
        </w:r>
      </w:hyperlink>
      <w:r>
        <w:rPr>
          <w:rFonts w:hint="cs"/>
          <w:b/>
          <w:bCs/>
          <w:u w:val="single"/>
          <w:rtl/>
        </w:rPr>
        <w:t>)</w:t>
      </w:r>
    </w:p>
    <w:p w14:paraId="5280C063" w14:textId="77777777" w:rsidR="00DF6722" w:rsidRDefault="00DF6722" w:rsidP="00DF6722">
      <w:pPr>
        <w:spacing w:line="360" w:lineRule="auto"/>
        <w:jc w:val="both"/>
        <w:rPr>
          <w:rtl/>
        </w:rPr>
      </w:pPr>
      <w:r w:rsidRPr="000F02C4">
        <w:rPr>
          <w:rFonts w:hint="cs"/>
          <w:rtl/>
        </w:rPr>
        <w:t>הובלת נשק באמצעות תיק על הגב מצביעה על תכנון. כפי שפורט, לא הוכחו נסיבות מיוחדות המוכיחות אחרת (</w:t>
      </w:r>
      <w:hyperlink r:id="rId69" w:history="1">
        <w:r w:rsidR="00F25B78" w:rsidRPr="00F25B78">
          <w:rPr>
            <w:color w:val="0000FF"/>
            <w:u w:val="single"/>
            <w:rtl/>
          </w:rPr>
          <w:t>סעיף 40ט(1)</w:t>
        </w:r>
      </w:hyperlink>
      <w:r w:rsidRPr="000F02C4">
        <w:rPr>
          <w:rFonts w:hint="cs"/>
          <w:rtl/>
        </w:rPr>
        <w:t xml:space="preserve"> ל</w:t>
      </w:r>
      <w:hyperlink r:id="rId70" w:history="1">
        <w:r w:rsidR="009B3218" w:rsidRPr="009B3218">
          <w:rPr>
            <w:color w:val="0000FF"/>
            <w:u w:val="single"/>
            <w:rtl/>
          </w:rPr>
          <w:t>חוק העונשין</w:t>
        </w:r>
      </w:hyperlink>
      <w:r w:rsidRPr="000F02C4">
        <w:rPr>
          <w:rFonts w:hint="cs"/>
          <w:rtl/>
        </w:rPr>
        <w:t xml:space="preserve">); </w:t>
      </w:r>
      <w:r w:rsidRPr="000F02C4">
        <w:rPr>
          <w:rFonts w:hint="cs"/>
          <w:b/>
          <w:bCs/>
          <w:rtl/>
        </w:rPr>
        <w:t>הנאשם ביצע את העבירה לבדו והוא העבריין היחיד</w:t>
      </w:r>
      <w:r w:rsidRPr="000F02C4">
        <w:rPr>
          <w:rFonts w:hint="cs"/>
          <w:rtl/>
        </w:rPr>
        <w:t>(</w:t>
      </w:r>
      <w:hyperlink r:id="rId71" w:history="1">
        <w:r w:rsidR="00F25B78" w:rsidRPr="00F25B78">
          <w:rPr>
            <w:color w:val="0000FF"/>
            <w:u w:val="single"/>
            <w:rtl/>
          </w:rPr>
          <w:t>סעיף 40ט(2)</w:t>
        </w:r>
      </w:hyperlink>
      <w:r w:rsidRPr="000F02C4">
        <w:rPr>
          <w:rFonts w:hint="cs"/>
          <w:rtl/>
        </w:rPr>
        <w:t>)</w:t>
      </w:r>
      <w:r w:rsidRPr="000F02C4">
        <w:rPr>
          <w:rFonts w:hint="cs"/>
          <w:b/>
          <w:bCs/>
          <w:rtl/>
        </w:rPr>
        <w:t>.</w:t>
      </w:r>
      <w:r w:rsidRPr="000F02C4">
        <w:rPr>
          <w:rFonts w:hint="cs"/>
          <w:rtl/>
        </w:rPr>
        <w:t xml:space="preserve"> </w:t>
      </w:r>
      <w:r w:rsidRPr="000F02C4">
        <w:rPr>
          <w:rFonts w:hint="cs"/>
          <w:b/>
          <w:bCs/>
          <w:rtl/>
        </w:rPr>
        <w:t>כתוצאה מהמעשה עלול היה להיגרם נזק חמור</w:t>
      </w:r>
      <w:r>
        <w:rPr>
          <w:rFonts w:hint="cs"/>
          <w:rtl/>
        </w:rPr>
        <w:t xml:space="preserve"> (</w:t>
      </w:r>
      <w:hyperlink r:id="rId72" w:history="1">
        <w:r w:rsidR="00F25B78" w:rsidRPr="00F25B78">
          <w:rPr>
            <w:color w:val="0000FF"/>
            <w:u w:val="single"/>
            <w:rtl/>
          </w:rPr>
          <w:t>סעיף 40ט(3)</w:t>
        </w:r>
      </w:hyperlink>
      <w:r w:rsidR="00F25B78">
        <w:rPr>
          <w:rFonts w:hint="cs"/>
          <w:rtl/>
        </w:rPr>
        <w:t xml:space="preserve"> </w:t>
      </w:r>
      <w:r>
        <w:rPr>
          <w:rFonts w:hint="cs"/>
          <w:rtl/>
        </w:rPr>
        <w:t>)</w:t>
      </w:r>
      <w:r w:rsidRPr="000F02C4">
        <w:rPr>
          <w:rFonts w:hint="cs"/>
          <w:rtl/>
        </w:rPr>
        <w:t>; משכלי הנשק (</w:t>
      </w:r>
      <w:r w:rsidRPr="000F02C4">
        <w:rPr>
          <w:rFonts w:hint="cs"/>
          <w:b/>
          <w:bCs/>
          <w:rtl/>
        </w:rPr>
        <w:t>תת מקלע מאולתר</w:t>
      </w:r>
      <w:r w:rsidRPr="000F02C4">
        <w:rPr>
          <w:rFonts w:hint="cs"/>
          <w:rtl/>
        </w:rPr>
        <w:t>) המחסנית והכדור בתוכה נתפסו - לא נגרם כל נזק בפועל (</w:t>
      </w:r>
      <w:hyperlink r:id="rId73" w:history="1">
        <w:r w:rsidR="00F25B78" w:rsidRPr="00F25B78">
          <w:rPr>
            <w:color w:val="0000FF"/>
            <w:u w:val="single"/>
            <w:rtl/>
          </w:rPr>
          <w:t>סעיף 40ט(4)</w:t>
        </w:r>
      </w:hyperlink>
      <w:r w:rsidR="00F25B78">
        <w:rPr>
          <w:rFonts w:hint="cs"/>
          <w:rtl/>
        </w:rPr>
        <w:t xml:space="preserve"> </w:t>
      </w:r>
      <w:r>
        <w:rPr>
          <w:rFonts w:hint="cs"/>
          <w:rtl/>
        </w:rPr>
        <w:t xml:space="preserve">). </w:t>
      </w:r>
      <w:r w:rsidRPr="0066054C">
        <w:rPr>
          <w:rFonts w:hint="cs"/>
          <w:b/>
          <w:bCs/>
          <w:rtl/>
        </w:rPr>
        <w:t>מניעיו של הנאשם בביצוע העבירה לא הובררו כלל</w:t>
      </w:r>
      <w:r>
        <w:rPr>
          <w:rFonts w:hint="cs"/>
          <w:rtl/>
        </w:rPr>
        <w:t xml:space="preserve"> (</w:t>
      </w:r>
      <w:hyperlink r:id="rId74" w:history="1">
        <w:r w:rsidR="00F25B78" w:rsidRPr="00F25B78">
          <w:rPr>
            <w:rStyle w:val="Hyperlink"/>
            <w:rFonts w:hint="eastAsia"/>
            <w:color w:val="0000FF"/>
            <w:rtl/>
          </w:rPr>
          <w:t>סעיף</w:t>
        </w:r>
        <w:r w:rsidR="00F25B78" w:rsidRPr="00F25B78">
          <w:rPr>
            <w:rStyle w:val="Hyperlink"/>
            <w:color w:val="0000FF"/>
            <w:rtl/>
          </w:rPr>
          <w:t xml:space="preserve"> 40ט(5)</w:t>
        </w:r>
      </w:hyperlink>
      <w:r w:rsidR="00F25B78">
        <w:rPr>
          <w:rFonts w:hint="cs"/>
          <w:rtl/>
        </w:rPr>
        <w:t xml:space="preserve"> </w:t>
      </w:r>
      <w:r>
        <w:rPr>
          <w:rFonts w:hint="cs"/>
          <w:rtl/>
        </w:rPr>
        <w:t>)</w:t>
      </w:r>
      <w:r w:rsidRPr="0066054C">
        <w:rPr>
          <w:rFonts w:hint="cs"/>
          <w:b/>
          <w:bCs/>
          <w:rtl/>
        </w:rPr>
        <w:t>.</w:t>
      </w:r>
      <w:r>
        <w:rPr>
          <w:rFonts w:hint="cs"/>
          <w:rtl/>
        </w:rPr>
        <w:t xml:space="preserve"> </w:t>
      </w:r>
      <w:r w:rsidRPr="0066054C">
        <w:rPr>
          <w:rFonts w:hint="cs"/>
          <w:b/>
          <w:bCs/>
          <w:rtl/>
        </w:rPr>
        <w:t>הנאשם הבין את מעשיו, יכול היה וצריך היה להימנע מלבצעם</w:t>
      </w:r>
      <w:r w:rsidRPr="00CF322B">
        <w:rPr>
          <w:rFonts w:hint="cs"/>
          <w:rtl/>
        </w:rPr>
        <w:t xml:space="preserve"> </w:t>
      </w:r>
      <w:r>
        <w:rPr>
          <w:rFonts w:hint="cs"/>
          <w:rtl/>
        </w:rPr>
        <w:t>(</w:t>
      </w:r>
      <w:hyperlink r:id="rId75" w:history="1">
        <w:r w:rsidR="00F25B78" w:rsidRPr="00F25B78">
          <w:rPr>
            <w:rStyle w:val="Hyperlink"/>
            <w:rFonts w:hint="eastAsia"/>
            <w:color w:val="0000FF"/>
            <w:rtl/>
          </w:rPr>
          <w:t>סעיף</w:t>
        </w:r>
        <w:r w:rsidR="00F25B78" w:rsidRPr="00F25B78">
          <w:rPr>
            <w:rStyle w:val="Hyperlink"/>
            <w:color w:val="0000FF"/>
            <w:rtl/>
          </w:rPr>
          <w:t xml:space="preserve"> 40ט(6) ו-(7)</w:t>
        </w:r>
      </w:hyperlink>
      <w:r w:rsidR="00F25B78">
        <w:rPr>
          <w:rFonts w:hint="cs"/>
          <w:rtl/>
        </w:rPr>
        <w:t xml:space="preserve"> </w:t>
      </w:r>
      <w:r>
        <w:rPr>
          <w:rFonts w:hint="cs"/>
          <w:rtl/>
        </w:rPr>
        <w:t xml:space="preserve">). </w:t>
      </w:r>
    </w:p>
    <w:p w14:paraId="306166AA" w14:textId="77777777" w:rsidR="00DF6722" w:rsidRDefault="00DF6722" w:rsidP="00DF6722">
      <w:pPr>
        <w:spacing w:line="360" w:lineRule="auto"/>
        <w:jc w:val="both"/>
        <w:rPr>
          <w:rtl/>
        </w:rPr>
      </w:pPr>
      <w:r>
        <w:rPr>
          <w:rFonts w:hint="cs"/>
          <w:rtl/>
        </w:rPr>
        <w:t xml:space="preserve">בהתחשב במכלול הנסיבות הללו, בערכים המוגנים שנפגעו, במידת הפגיעה בהם ובמדיניות הענישה המקובלת בכגון דא, </w:t>
      </w:r>
      <w:r w:rsidRPr="000572C5">
        <w:rPr>
          <w:rFonts w:hint="cs"/>
          <w:b/>
          <w:bCs/>
          <w:rtl/>
        </w:rPr>
        <w:t>ראוי לקבוע מתחם ענישה הולם הנע בין</w:t>
      </w:r>
      <w:r>
        <w:rPr>
          <w:rFonts w:hint="cs"/>
          <w:rtl/>
        </w:rPr>
        <w:t xml:space="preserve"> </w:t>
      </w:r>
      <w:r>
        <w:rPr>
          <w:rFonts w:hint="cs"/>
          <w:b/>
          <w:bCs/>
          <w:rtl/>
        </w:rPr>
        <w:t xml:space="preserve">14  </w:t>
      </w:r>
      <w:r w:rsidRPr="000572C5">
        <w:rPr>
          <w:rFonts w:hint="cs"/>
          <w:b/>
          <w:bCs/>
          <w:rtl/>
        </w:rPr>
        <w:t>חודשי מאסר לריצוי בפועל לבין 36 חודשי</w:t>
      </w:r>
      <w:r>
        <w:rPr>
          <w:rFonts w:hint="cs"/>
          <w:rtl/>
        </w:rPr>
        <w:t xml:space="preserve"> </w:t>
      </w:r>
      <w:r w:rsidRPr="000572C5">
        <w:rPr>
          <w:rFonts w:hint="cs"/>
          <w:b/>
          <w:bCs/>
          <w:rtl/>
        </w:rPr>
        <w:t>מאסר לריצוי בפועל</w:t>
      </w:r>
      <w:r>
        <w:rPr>
          <w:rFonts w:hint="cs"/>
          <w:b/>
          <w:bCs/>
          <w:rtl/>
        </w:rPr>
        <w:t>,</w:t>
      </w:r>
      <w:r w:rsidRPr="000572C5">
        <w:rPr>
          <w:rFonts w:hint="cs"/>
          <w:b/>
          <w:bCs/>
          <w:rtl/>
        </w:rPr>
        <w:t xml:space="preserve"> </w:t>
      </w:r>
      <w:r>
        <w:rPr>
          <w:rFonts w:hint="cs"/>
          <w:rtl/>
        </w:rPr>
        <w:t>הכול לצד עונשים נלווים דוגמת מאסר-</w:t>
      </w:r>
      <w:r w:rsidRPr="008C1805">
        <w:rPr>
          <w:rFonts w:hint="cs"/>
          <w:rtl/>
        </w:rPr>
        <w:t xml:space="preserve">על-תנאי וקנס כספי.  </w:t>
      </w:r>
    </w:p>
    <w:p w14:paraId="23AC534A" w14:textId="77777777" w:rsidR="00DF6722" w:rsidRPr="008C1805" w:rsidRDefault="00DF6722" w:rsidP="00DF6722">
      <w:pPr>
        <w:spacing w:line="360" w:lineRule="auto"/>
        <w:jc w:val="both"/>
        <w:rPr>
          <w:rtl/>
        </w:rPr>
      </w:pPr>
    </w:p>
    <w:p w14:paraId="2503F4F5" w14:textId="77777777" w:rsidR="00DF6722" w:rsidRDefault="00DF6722" w:rsidP="00DF6722">
      <w:pPr>
        <w:spacing w:line="360" w:lineRule="auto"/>
        <w:jc w:val="both"/>
        <w:rPr>
          <w:b/>
          <w:bCs/>
          <w:u w:val="single"/>
          <w:rtl/>
        </w:rPr>
      </w:pPr>
      <w:r w:rsidRPr="008C1805">
        <w:rPr>
          <w:rFonts w:hint="cs"/>
          <w:b/>
          <w:bCs/>
          <w:u w:val="single"/>
          <w:rtl/>
        </w:rPr>
        <w:t xml:space="preserve">נסיבות שאינן קשורות בביצוע העבירה </w:t>
      </w:r>
      <w:r w:rsidRPr="008C1805">
        <w:rPr>
          <w:rFonts w:hint="cs"/>
          <w:rtl/>
        </w:rPr>
        <w:t>(</w:t>
      </w:r>
      <w:hyperlink r:id="rId76" w:history="1">
        <w:r w:rsidR="00F25B78" w:rsidRPr="00F25B78">
          <w:rPr>
            <w:rStyle w:val="Hyperlink"/>
            <w:rFonts w:hint="eastAsia"/>
            <w:color w:val="0000FF"/>
            <w:rtl/>
          </w:rPr>
          <w:t>סעיף</w:t>
        </w:r>
        <w:r w:rsidR="00F25B78" w:rsidRPr="00F25B78">
          <w:rPr>
            <w:rStyle w:val="Hyperlink"/>
            <w:color w:val="0000FF"/>
            <w:rtl/>
          </w:rPr>
          <w:t xml:space="preserve"> 40יא</w:t>
        </w:r>
      </w:hyperlink>
      <w:r w:rsidRPr="008C1805">
        <w:rPr>
          <w:rFonts w:hint="cs"/>
          <w:rtl/>
        </w:rPr>
        <w:t xml:space="preserve"> ל</w:t>
      </w:r>
      <w:hyperlink r:id="rId77" w:history="1">
        <w:r w:rsidR="009B3218" w:rsidRPr="009B3218">
          <w:rPr>
            <w:color w:val="0000FF"/>
            <w:u w:val="single"/>
            <w:rtl/>
          </w:rPr>
          <w:t>חוק העונשין</w:t>
        </w:r>
      </w:hyperlink>
      <w:r w:rsidRPr="008C1805">
        <w:rPr>
          <w:rFonts w:hint="cs"/>
          <w:rtl/>
        </w:rPr>
        <w:t>)</w:t>
      </w:r>
    </w:p>
    <w:p w14:paraId="23D921E3" w14:textId="77777777" w:rsidR="00DF6722" w:rsidRDefault="00DF6722" w:rsidP="00DF6722">
      <w:pPr>
        <w:spacing w:line="360" w:lineRule="auto"/>
        <w:jc w:val="both"/>
        <w:rPr>
          <w:rtl/>
        </w:rPr>
      </w:pPr>
      <w:r>
        <w:rPr>
          <w:rFonts w:hint="cs"/>
          <w:rtl/>
        </w:rPr>
        <w:t xml:space="preserve">משנקבע מתחם העונש ההולם הגיעה השעה למקם את העונש אותו ראוי להטיל על הנאשם בהתחשב בנסיבות </w:t>
      </w:r>
      <w:r w:rsidRPr="00C60D39">
        <w:rPr>
          <w:rFonts w:hint="cs"/>
          <w:b/>
          <w:bCs/>
          <w:rtl/>
        </w:rPr>
        <w:t xml:space="preserve">שאינן </w:t>
      </w:r>
      <w:r>
        <w:rPr>
          <w:rFonts w:hint="cs"/>
          <w:rtl/>
        </w:rPr>
        <w:t xml:space="preserve">קשורות בביצוע העבירה, נסיבותיו האישיות. </w:t>
      </w:r>
    </w:p>
    <w:p w14:paraId="5BF5D4DC" w14:textId="77777777" w:rsidR="00DF6722" w:rsidRDefault="00DF6722" w:rsidP="00DF6722">
      <w:pPr>
        <w:spacing w:line="360" w:lineRule="auto"/>
        <w:jc w:val="both"/>
        <w:rPr>
          <w:rtl/>
        </w:rPr>
      </w:pPr>
    </w:p>
    <w:p w14:paraId="00F3DC22" w14:textId="77777777" w:rsidR="00DF6722" w:rsidRDefault="00DF6722" w:rsidP="00DF6722">
      <w:pPr>
        <w:spacing w:line="360" w:lineRule="auto"/>
        <w:jc w:val="both"/>
        <w:rPr>
          <w:rtl/>
        </w:rPr>
      </w:pPr>
      <w:r>
        <w:rPr>
          <w:rFonts w:hint="cs"/>
          <w:rtl/>
        </w:rPr>
        <w:t xml:space="preserve">מאסר ממושך  בוודאי יפגע בנאשם, לנוכח גילו הצעיר יחסית; הנאשם נטל אחריות על מעשיו. הנאשם הודה באשמה במשפטו ובכך חסך זמן שיפוטי; נסיבות חייו לא פשוטות; </w:t>
      </w:r>
      <w:r w:rsidRPr="00B42629">
        <w:rPr>
          <w:rFonts w:hint="cs"/>
          <w:b/>
          <w:bCs/>
          <w:rtl/>
        </w:rPr>
        <w:t>עברו הפלילי של הנאשם נקי</w:t>
      </w:r>
      <w:r>
        <w:rPr>
          <w:rFonts w:hint="cs"/>
          <w:rtl/>
        </w:rPr>
        <w:t xml:space="preserve">. </w:t>
      </w:r>
    </w:p>
    <w:p w14:paraId="2650C085" w14:textId="77777777" w:rsidR="00DF6722" w:rsidRDefault="00DF6722" w:rsidP="00DF6722">
      <w:pPr>
        <w:spacing w:line="360" w:lineRule="auto"/>
        <w:jc w:val="both"/>
        <w:rPr>
          <w:rtl/>
        </w:rPr>
      </w:pPr>
    </w:p>
    <w:p w14:paraId="02F682B1" w14:textId="77777777" w:rsidR="00DF6722" w:rsidRPr="000379FB" w:rsidRDefault="00DF6722" w:rsidP="00DF6722">
      <w:pPr>
        <w:spacing w:line="360" w:lineRule="auto"/>
        <w:jc w:val="both"/>
        <w:rPr>
          <w:rtl/>
        </w:rPr>
      </w:pPr>
      <w:r w:rsidRPr="000379FB">
        <w:rPr>
          <w:rFonts w:hint="cs"/>
          <w:rtl/>
        </w:rPr>
        <w:t xml:space="preserve">לנוכח המכלול, בשים לב להמלצת שירות המבחן, אשר לטעמי, מאיינת את האפשרות לסטות ממתחם הענישה </w:t>
      </w:r>
      <w:r w:rsidRPr="000379FB">
        <w:rPr>
          <w:rFonts w:hint="cs"/>
          <w:b/>
          <w:bCs/>
          <w:rtl/>
        </w:rPr>
        <w:t>ובהתחשב</w:t>
      </w:r>
      <w:r w:rsidRPr="000379FB">
        <w:rPr>
          <w:rFonts w:hint="cs"/>
          <w:rtl/>
        </w:rPr>
        <w:t xml:space="preserve"> בתקופת שהייתו (כשלושה חודשים) של הנאשם במעצר באיזוק אלקטרוני (ראו לעניין זה: </w:t>
      </w:r>
      <w:hyperlink r:id="rId78" w:history="1">
        <w:r w:rsidR="009B3218" w:rsidRPr="009B3218">
          <w:rPr>
            <w:color w:val="0000FF"/>
            <w:u w:val="single"/>
            <w:rtl/>
          </w:rPr>
          <w:t>ע"פ 7768/15</w:t>
        </w:r>
      </w:hyperlink>
      <w:r w:rsidRPr="000379FB">
        <w:rPr>
          <w:rFonts w:hint="cs"/>
          <w:rtl/>
        </w:rPr>
        <w:t xml:space="preserve"> </w:t>
      </w:r>
      <w:r w:rsidRPr="000379FB">
        <w:rPr>
          <w:rFonts w:hint="cs"/>
          <w:b/>
          <w:bCs/>
          <w:rtl/>
        </w:rPr>
        <w:t>פלוני נ' מדינת ישראל</w:t>
      </w:r>
      <w:r w:rsidRPr="000379FB">
        <w:rPr>
          <w:rFonts w:hint="cs"/>
          <w:rtl/>
        </w:rPr>
        <w:t>, ניתן ביום 20.4.16)</w:t>
      </w:r>
      <w:r>
        <w:rPr>
          <w:rFonts w:hint="cs"/>
          <w:rtl/>
        </w:rPr>
        <w:t xml:space="preserve"> </w:t>
      </w:r>
      <w:r w:rsidRPr="000379FB">
        <w:rPr>
          <w:rFonts w:hint="cs"/>
          <w:rtl/>
        </w:rPr>
        <w:t xml:space="preserve">מצאתי לנכון לגזור לנאשם עונשים כדלקמן </w:t>
      </w:r>
      <w:r w:rsidRPr="000379FB">
        <w:rPr>
          <w:rtl/>
        </w:rPr>
        <w:t>–</w:t>
      </w:r>
      <w:r w:rsidRPr="000379FB">
        <w:rPr>
          <w:rFonts w:hint="cs"/>
          <w:rtl/>
        </w:rPr>
        <w:t xml:space="preserve"> </w:t>
      </w:r>
    </w:p>
    <w:p w14:paraId="46006D25" w14:textId="77777777" w:rsidR="00DF6722" w:rsidRDefault="00DF6722" w:rsidP="00DF6722">
      <w:pPr>
        <w:spacing w:line="360" w:lineRule="auto"/>
        <w:jc w:val="both"/>
        <w:rPr>
          <w:rtl/>
        </w:rPr>
      </w:pPr>
      <w:r w:rsidRPr="000379FB">
        <w:rPr>
          <w:rFonts w:hint="cs"/>
          <w:rtl/>
        </w:rPr>
        <w:t>(א)</w:t>
      </w:r>
      <w:r w:rsidRPr="000379FB">
        <w:rPr>
          <w:rFonts w:hint="cs"/>
          <w:b/>
          <w:bCs/>
          <w:rtl/>
        </w:rPr>
        <w:t xml:space="preserve">18 חודשי מאסר לריצוי בפועל  </w:t>
      </w:r>
      <w:r w:rsidRPr="000379FB">
        <w:rPr>
          <w:rFonts w:hint="cs"/>
          <w:rtl/>
        </w:rPr>
        <w:t xml:space="preserve">(בניכוי </w:t>
      </w:r>
      <w:r w:rsidRPr="000379FB">
        <w:rPr>
          <w:rFonts w:hint="cs"/>
          <w:b/>
          <w:bCs/>
          <w:u w:val="single"/>
          <w:rtl/>
        </w:rPr>
        <w:t>תקופות</w:t>
      </w:r>
      <w:r w:rsidRPr="000379FB">
        <w:rPr>
          <w:rFonts w:hint="cs"/>
          <w:b/>
          <w:bCs/>
          <w:rtl/>
        </w:rPr>
        <w:t xml:space="preserve"> </w:t>
      </w:r>
      <w:r w:rsidRPr="000379FB">
        <w:rPr>
          <w:rFonts w:hint="cs"/>
          <w:rtl/>
        </w:rPr>
        <w:t>המעצר, במסגרתן שהה הנאשם במתקן מעצר, בגין  התיק דכאן).</w:t>
      </w:r>
      <w:r>
        <w:rPr>
          <w:rFonts w:hint="cs"/>
          <w:rtl/>
        </w:rPr>
        <w:t xml:space="preserve">   </w:t>
      </w:r>
    </w:p>
    <w:p w14:paraId="1968066A" w14:textId="77777777" w:rsidR="00DF6722" w:rsidRDefault="00DF6722" w:rsidP="00DF6722">
      <w:pPr>
        <w:spacing w:line="360" w:lineRule="auto"/>
        <w:jc w:val="both"/>
        <w:rPr>
          <w:rtl/>
        </w:rPr>
      </w:pPr>
      <w:r w:rsidRPr="000F02C4">
        <w:rPr>
          <w:rFonts w:hint="cs"/>
          <w:rtl/>
        </w:rPr>
        <w:t xml:space="preserve">(ב) 12 חודשי מאסר על תנאי לבל יעבור במשך 3 שנים עבירה על </w:t>
      </w:r>
      <w:hyperlink r:id="rId79" w:history="1">
        <w:r w:rsidR="00F25B78" w:rsidRPr="00F25B78">
          <w:rPr>
            <w:rStyle w:val="Hyperlink"/>
            <w:rFonts w:hint="eastAsia"/>
            <w:color w:val="0000FF"/>
            <w:rtl/>
          </w:rPr>
          <w:t>סעיף</w:t>
        </w:r>
        <w:r w:rsidR="00F25B78" w:rsidRPr="00F25B78">
          <w:rPr>
            <w:rStyle w:val="Hyperlink"/>
            <w:color w:val="0000FF"/>
            <w:rtl/>
          </w:rPr>
          <w:t xml:space="preserve"> 144</w:t>
        </w:r>
      </w:hyperlink>
      <w:r w:rsidRPr="000F02C4">
        <w:rPr>
          <w:rFonts w:hint="cs"/>
          <w:rtl/>
        </w:rPr>
        <w:t xml:space="preserve"> ל</w:t>
      </w:r>
      <w:hyperlink r:id="rId80" w:history="1">
        <w:r w:rsidR="009B3218" w:rsidRPr="009B3218">
          <w:rPr>
            <w:color w:val="0000FF"/>
            <w:u w:val="single"/>
            <w:rtl/>
          </w:rPr>
          <w:t>חוק העונשין</w:t>
        </w:r>
      </w:hyperlink>
      <w:r>
        <w:rPr>
          <w:rFonts w:hint="cs"/>
          <w:rtl/>
        </w:rPr>
        <w:t>.</w:t>
      </w:r>
    </w:p>
    <w:p w14:paraId="46CADAC3" w14:textId="77777777" w:rsidR="00DF6722" w:rsidRDefault="00DF6722" w:rsidP="00DF6722">
      <w:pPr>
        <w:spacing w:line="360" w:lineRule="auto"/>
        <w:jc w:val="both"/>
        <w:rPr>
          <w:rtl/>
        </w:rPr>
      </w:pPr>
      <w:r>
        <w:rPr>
          <w:rFonts w:hint="cs"/>
          <w:rtl/>
        </w:rPr>
        <w:t>(ג</w:t>
      </w:r>
      <w:r w:rsidRPr="000F02C4">
        <w:rPr>
          <w:rFonts w:hint="cs"/>
          <w:rtl/>
        </w:rPr>
        <w:t xml:space="preserve">) </w:t>
      </w:r>
      <w:r w:rsidRPr="000F02C4">
        <w:rPr>
          <w:rFonts w:hint="cs"/>
          <w:b/>
          <w:bCs/>
          <w:rtl/>
        </w:rPr>
        <w:t xml:space="preserve">קנס בסך 3000 </w:t>
      </w:r>
      <w:r>
        <w:rPr>
          <w:rFonts w:hint="cs"/>
          <w:b/>
          <w:bCs/>
          <w:rtl/>
        </w:rPr>
        <w:t>₪</w:t>
      </w:r>
      <w:r>
        <w:rPr>
          <w:rFonts w:hint="cs"/>
          <w:rtl/>
        </w:rPr>
        <w:t xml:space="preserve"> אשר ישולם עד יום 1 ינואר 2019. </w:t>
      </w:r>
    </w:p>
    <w:p w14:paraId="6F3744E7" w14:textId="77777777" w:rsidR="00DF6722" w:rsidRDefault="00DF6722" w:rsidP="00DF6722">
      <w:pPr>
        <w:spacing w:line="360" w:lineRule="auto"/>
        <w:jc w:val="both"/>
        <w:rPr>
          <w:b/>
          <w:bCs/>
          <w:rtl/>
        </w:rPr>
      </w:pPr>
    </w:p>
    <w:p w14:paraId="365B387F" w14:textId="77777777" w:rsidR="00DF6722" w:rsidRPr="00166F4D" w:rsidRDefault="00DF6722" w:rsidP="00DF6722">
      <w:pPr>
        <w:spacing w:line="360" w:lineRule="auto"/>
        <w:jc w:val="both"/>
        <w:rPr>
          <w:b/>
          <w:bCs/>
          <w:rtl/>
        </w:rPr>
      </w:pPr>
      <w:r w:rsidRPr="00166F4D">
        <w:rPr>
          <w:rFonts w:hint="cs"/>
          <w:b/>
          <w:bCs/>
          <w:rtl/>
        </w:rPr>
        <w:t>זכות ערעור כחוק</w:t>
      </w:r>
      <w:r>
        <w:rPr>
          <w:rFonts w:hint="cs"/>
          <w:b/>
          <w:bCs/>
          <w:rtl/>
        </w:rPr>
        <w:t xml:space="preserve">. </w:t>
      </w:r>
    </w:p>
    <w:p w14:paraId="64932D3C" w14:textId="77777777" w:rsidR="00DF6722" w:rsidRPr="009B3218" w:rsidRDefault="009B3218" w:rsidP="00DF6722">
      <w:pPr>
        <w:rPr>
          <w:color w:val="FFFFFF"/>
          <w:sz w:val="2"/>
          <w:szCs w:val="2"/>
          <w:rtl/>
        </w:rPr>
      </w:pPr>
      <w:r w:rsidRPr="009B3218">
        <w:rPr>
          <w:color w:val="FFFFFF"/>
          <w:sz w:val="2"/>
          <w:szCs w:val="2"/>
          <w:rtl/>
        </w:rPr>
        <w:t>5129371</w:t>
      </w:r>
    </w:p>
    <w:p w14:paraId="7D3B5379" w14:textId="77777777" w:rsidR="00DF6722" w:rsidRDefault="009B3218" w:rsidP="00DF6722">
      <w:pPr>
        <w:rPr>
          <w:rFonts w:cs="FrankRuehl"/>
          <w:sz w:val="28"/>
          <w:szCs w:val="28"/>
          <w:rtl/>
        </w:rPr>
      </w:pPr>
      <w:r w:rsidRPr="009B3218">
        <w:rPr>
          <w:rFonts w:ascii="Arial" w:hAnsi="Arial"/>
          <w:color w:val="FFFFFF"/>
          <w:sz w:val="2"/>
          <w:szCs w:val="2"/>
          <w:rtl/>
        </w:rPr>
        <w:t>54678313</w:t>
      </w:r>
      <w:r>
        <w:rPr>
          <w:rFonts w:ascii="Arial" w:hAnsi="Arial"/>
          <w:rtl/>
        </w:rPr>
        <w:t xml:space="preserve">ניתן היום, ב' אייר תשע"ח, 17 אפריל 2018. </w:t>
      </w:r>
    </w:p>
    <w:p w14:paraId="67FE52C0" w14:textId="77777777" w:rsidR="00DF6722" w:rsidRDefault="00DF6722" w:rsidP="00DF672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22B96B17" w14:textId="77777777" w:rsidR="00DF6722" w:rsidRDefault="00DF6722" w:rsidP="00DF6722">
      <w:pPr>
        <w:jc w:val="center"/>
        <w:rPr>
          <w:rFonts w:ascii="Arial" w:hAnsi="Arial" w:cs="FrankRuehl"/>
          <w:sz w:val="28"/>
          <w:szCs w:val="28"/>
          <w:rtl/>
        </w:rPr>
      </w:pPr>
    </w:p>
    <w:p w14:paraId="3E4E14F1" w14:textId="77777777" w:rsidR="00DF6722" w:rsidRDefault="00DF6722" w:rsidP="00DF6722">
      <w:pPr>
        <w:rPr>
          <w:rFonts w:cs="FrankRuehl"/>
          <w:sz w:val="28"/>
          <w:szCs w:val="28"/>
          <w:rtl/>
        </w:rPr>
      </w:pPr>
    </w:p>
    <w:p w14:paraId="5486353F" w14:textId="77777777" w:rsidR="00DF6722" w:rsidRPr="00F25B78" w:rsidRDefault="00F25B78" w:rsidP="00DF6722">
      <w:pPr>
        <w:pStyle w:val="a3"/>
        <w:jc w:val="center"/>
        <w:rPr>
          <w:color w:val="FFFFFF"/>
          <w:sz w:val="2"/>
          <w:szCs w:val="2"/>
          <w:rtl/>
        </w:rPr>
      </w:pPr>
      <w:r w:rsidRPr="00F25B78">
        <w:rPr>
          <w:color w:val="FFFFFF"/>
          <w:sz w:val="2"/>
          <w:szCs w:val="2"/>
          <w:rtl/>
        </w:rPr>
        <w:t>5129371</w:t>
      </w:r>
    </w:p>
    <w:p w14:paraId="3BB5879B" w14:textId="77777777" w:rsidR="002D7B2F" w:rsidRPr="00F25B78" w:rsidRDefault="00F25B78" w:rsidP="009B3218">
      <w:pPr>
        <w:keepNext/>
        <w:rPr>
          <w:rFonts w:ascii="David" w:hAnsi="David"/>
          <w:color w:val="FFFFFF"/>
          <w:sz w:val="2"/>
          <w:szCs w:val="2"/>
          <w:rtl/>
        </w:rPr>
      </w:pPr>
      <w:r w:rsidRPr="00F25B78">
        <w:rPr>
          <w:rFonts w:ascii="David" w:hAnsi="David"/>
          <w:color w:val="FFFFFF"/>
          <w:sz w:val="2"/>
          <w:szCs w:val="2"/>
          <w:rtl/>
        </w:rPr>
        <w:t>54678313</w:t>
      </w:r>
    </w:p>
    <w:p w14:paraId="3E20175B" w14:textId="77777777" w:rsidR="009B3218" w:rsidRPr="009B3218" w:rsidRDefault="009B3218" w:rsidP="009B3218">
      <w:pPr>
        <w:keepNext/>
        <w:rPr>
          <w:rFonts w:ascii="David" w:hAnsi="David"/>
          <w:color w:val="000000"/>
          <w:sz w:val="22"/>
          <w:szCs w:val="22"/>
          <w:rtl/>
        </w:rPr>
      </w:pPr>
      <w:r w:rsidRPr="009B3218">
        <w:rPr>
          <w:rFonts w:ascii="David" w:hAnsi="David"/>
          <w:color w:val="000000"/>
          <w:sz w:val="22"/>
          <w:szCs w:val="22"/>
          <w:rtl/>
        </w:rPr>
        <w:t>אבי לוי 54678313</w:t>
      </w:r>
    </w:p>
    <w:p w14:paraId="702CD3EC" w14:textId="77777777" w:rsidR="009B3218" w:rsidRDefault="009B3218" w:rsidP="009B3218">
      <w:r w:rsidRPr="009B3218">
        <w:rPr>
          <w:color w:val="000000"/>
          <w:rtl/>
        </w:rPr>
        <w:t>נוסח מסמך זה כפוף לשינויי ניסוח ועריכה</w:t>
      </w:r>
    </w:p>
    <w:p w14:paraId="02CB0B16" w14:textId="77777777" w:rsidR="009B3218" w:rsidRDefault="009B3218" w:rsidP="009B3218">
      <w:pPr>
        <w:rPr>
          <w:rtl/>
        </w:rPr>
      </w:pPr>
    </w:p>
    <w:p w14:paraId="4274F254" w14:textId="77777777" w:rsidR="009B3218" w:rsidRDefault="009B3218" w:rsidP="009B3218">
      <w:pPr>
        <w:jc w:val="center"/>
        <w:rPr>
          <w:color w:val="0000FF"/>
          <w:u w:val="single"/>
        </w:rPr>
      </w:pPr>
      <w:hyperlink r:id="rId81" w:history="1">
        <w:r>
          <w:rPr>
            <w:color w:val="0000FF"/>
            <w:u w:val="single"/>
            <w:rtl/>
          </w:rPr>
          <w:t>בעניין עריכה ושינויים במסמכי פסיקה, חקיקה ועוד באתר נבו – הקש כאן</w:t>
        </w:r>
      </w:hyperlink>
    </w:p>
    <w:p w14:paraId="1B816839" w14:textId="77777777" w:rsidR="00F25B78" w:rsidRPr="00F25B78" w:rsidRDefault="00F25B78" w:rsidP="00F25B78">
      <w:pPr>
        <w:keepNext/>
        <w:rPr>
          <w:rFonts w:ascii="David" w:hAnsi="David"/>
          <w:color w:val="000000"/>
          <w:sz w:val="22"/>
          <w:szCs w:val="22"/>
          <w:rtl/>
        </w:rPr>
      </w:pPr>
    </w:p>
    <w:p w14:paraId="4E8805CF" w14:textId="77777777" w:rsidR="009B3218" w:rsidRPr="00F25B78" w:rsidRDefault="009B3218" w:rsidP="00F25B78">
      <w:pPr>
        <w:keepNext/>
        <w:rPr>
          <w:rFonts w:ascii="David" w:hAnsi="David" w:hint="cs"/>
          <w:color w:val="000000"/>
          <w:sz w:val="22"/>
          <w:szCs w:val="22"/>
        </w:rPr>
      </w:pPr>
    </w:p>
    <w:sectPr w:rsidR="009B3218" w:rsidRPr="00F25B78" w:rsidSect="00F25B78">
      <w:headerReference w:type="even" r:id="rId82"/>
      <w:headerReference w:type="default" r:id="rId83"/>
      <w:footerReference w:type="even" r:id="rId84"/>
      <w:footerReference w:type="default" r:id="rId8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251211" w14:textId="77777777" w:rsidR="00960C6E" w:rsidRDefault="00960C6E" w:rsidP="001D71E8">
      <w:r>
        <w:separator/>
      </w:r>
    </w:p>
  </w:endnote>
  <w:endnote w:type="continuationSeparator" w:id="0">
    <w:p w14:paraId="7454D2FE" w14:textId="77777777" w:rsidR="00960C6E" w:rsidRDefault="00960C6E" w:rsidP="001D7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aunPenh">
    <w:charset w:val="00"/>
    <w:family w:val="auto"/>
    <w:pitch w:val="variable"/>
    <w:sig w:usb0="80000003" w:usb1="00000000" w:usb2="00010000" w:usb3="00000000" w:csb0="0000000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4F857" w14:textId="77777777" w:rsidR="00F25B78" w:rsidRDefault="00F25B78" w:rsidP="00F25B7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0A67E8DE" w14:textId="77777777" w:rsidR="00960C6E" w:rsidRPr="00F25B78" w:rsidRDefault="00F25B78" w:rsidP="00F25B78">
    <w:pPr>
      <w:pStyle w:val="a5"/>
      <w:pBdr>
        <w:top w:val="single" w:sz="4" w:space="1" w:color="auto"/>
        <w:between w:val="single" w:sz="4" w:space="0" w:color="auto"/>
      </w:pBdr>
      <w:spacing w:after="60"/>
      <w:jc w:val="center"/>
      <w:rPr>
        <w:rFonts w:ascii="FrankRuehl" w:hAnsi="FrankRuehl" w:cs="FrankRuehl"/>
        <w:color w:val="000000"/>
      </w:rPr>
    </w:pPr>
    <w:r w:rsidRPr="00F25B7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38E7F" w14:textId="77777777" w:rsidR="00F25B78" w:rsidRDefault="00F25B78" w:rsidP="00F25B7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E4084">
      <w:rPr>
        <w:rFonts w:ascii="FrankRuehl" w:hAnsi="FrankRuehl" w:cs="FrankRuehl"/>
        <w:noProof/>
        <w:rtl/>
      </w:rPr>
      <w:t>1</w:t>
    </w:r>
    <w:r>
      <w:rPr>
        <w:rFonts w:ascii="FrankRuehl" w:hAnsi="FrankRuehl" w:cs="FrankRuehl"/>
        <w:rtl/>
      </w:rPr>
      <w:fldChar w:fldCharType="end"/>
    </w:r>
  </w:p>
  <w:p w14:paraId="2BAE828B" w14:textId="77777777" w:rsidR="00960C6E" w:rsidRPr="00F25B78" w:rsidRDefault="00F25B78" w:rsidP="00F25B78">
    <w:pPr>
      <w:pStyle w:val="a5"/>
      <w:pBdr>
        <w:top w:val="single" w:sz="4" w:space="1" w:color="auto"/>
        <w:between w:val="single" w:sz="4" w:space="0" w:color="auto"/>
      </w:pBdr>
      <w:spacing w:after="60"/>
      <w:jc w:val="center"/>
      <w:rPr>
        <w:rFonts w:ascii="FrankRuehl" w:hAnsi="FrankRuehl" w:cs="FrankRuehl"/>
        <w:color w:val="000000"/>
      </w:rPr>
    </w:pPr>
    <w:r w:rsidRPr="00F25B78">
      <w:rPr>
        <w:rFonts w:ascii="FrankRuehl" w:hAnsi="FrankRuehl" w:cs="FrankRuehl"/>
        <w:color w:val="000000"/>
      </w:rPr>
      <w:pict w14:anchorId="6A6710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E30953" w14:textId="77777777" w:rsidR="00960C6E" w:rsidRDefault="00960C6E" w:rsidP="001D71E8">
      <w:r>
        <w:separator/>
      </w:r>
    </w:p>
  </w:footnote>
  <w:footnote w:type="continuationSeparator" w:id="0">
    <w:p w14:paraId="1C1A0F3A" w14:textId="77777777" w:rsidR="00960C6E" w:rsidRDefault="00960C6E" w:rsidP="001D71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973E7" w14:textId="77777777" w:rsidR="009B3218" w:rsidRPr="00F25B78" w:rsidRDefault="00F25B78" w:rsidP="00F25B7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31034-06-17</w:t>
    </w:r>
    <w:r>
      <w:rPr>
        <w:rFonts w:ascii="David" w:hAnsi="David"/>
        <w:color w:val="000000"/>
        <w:sz w:val="22"/>
        <w:szCs w:val="22"/>
        <w:rtl/>
      </w:rPr>
      <w:tab/>
      <w:t xml:space="preserve"> מדינת ישראל נ' סעיד מסרי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01B4A" w14:textId="77777777" w:rsidR="009B3218" w:rsidRPr="00F25B78" w:rsidRDefault="00F25B78" w:rsidP="00F25B7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31034-06-17</w:t>
    </w:r>
    <w:r>
      <w:rPr>
        <w:rFonts w:ascii="David" w:hAnsi="David"/>
        <w:color w:val="000000"/>
        <w:sz w:val="22"/>
        <w:szCs w:val="22"/>
        <w:rtl/>
      </w:rPr>
      <w:tab/>
      <w:t xml:space="preserve"> מדינת ישראל נ' סעיד מסרי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F6722"/>
    <w:rsid w:val="001D71E8"/>
    <w:rsid w:val="002D7B2F"/>
    <w:rsid w:val="00515299"/>
    <w:rsid w:val="00544484"/>
    <w:rsid w:val="00960C6E"/>
    <w:rsid w:val="009B3218"/>
    <w:rsid w:val="00BA16A0"/>
    <w:rsid w:val="00BE4084"/>
    <w:rsid w:val="00DF6722"/>
    <w:rsid w:val="00F25B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14:docId w14:val="543B7942"/>
  <w15:chartTrackingRefBased/>
  <w15:docId w15:val="{DD176082-6066-4D22-A922-77A6FD69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672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F6722"/>
    <w:pPr>
      <w:tabs>
        <w:tab w:val="center" w:pos="4153"/>
        <w:tab w:val="right" w:pos="8306"/>
      </w:tabs>
    </w:pPr>
  </w:style>
  <w:style w:type="character" w:customStyle="1" w:styleId="a4">
    <w:name w:val="כותרת עליונה תו"/>
    <w:link w:val="a3"/>
    <w:rsid w:val="00DF6722"/>
    <w:rPr>
      <w:rFonts w:ascii="Times New Roman" w:eastAsia="Times New Roman" w:hAnsi="Times New Roman" w:cs="David"/>
      <w:sz w:val="24"/>
      <w:szCs w:val="24"/>
    </w:rPr>
  </w:style>
  <w:style w:type="paragraph" w:styleId="a5">
    <w:name w:val="footer"/>
    <w:basedOn w:val="a"/>
    <w:link w:val="a6"/>
    <w:rsid w:val="00DF6722"/>
    <w:pPr>
      <w:tabs>
        <w:tab w:val="center" w:pos="4153"/>
        <w:tab w:val="right" w:pos="8306"/>
      </w:tabs>
    </w:pPr>
  </w:style>
  <w:style w:type="character" w:customStyle="1" w:styleId="a6">
    <w:name w:val="כותרת תחתונה תו"/>
    <w:link w:val="a5"/>
    <w:rsid w:val="00DF6722"/>
    <w:rPr>
      <w:rFonts w:ascii="Times New Roman" w:eastAsia="Times New Roman" w:hAnsi="Times New Roman" w:cs="David"/>
      <w:sz w:val="24"/>
      <w:szCs w:val="24"/>
    </w:rPr>
  </w:style>
  <w:style w:type="table" w:styleId="a7">
    <w:name w:val="Table Grid"/>
    <w:basedOn w:val="a1"/>
    <w:rsid w:val="00DF672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F6722"/>
  </w:style>
  <w:style w:type="character" w:styleId="Hyperlink">
    <w:name w:val="Hyperlink"/>
    <w:rsid w:val="009B3218"/>
    <w:rPr>
      <w:color w:val="0563C1"/>
      <w:u w:val="single"/>
    </w:rPr>
  </w:style>
  <w:style w:type="character" w:styleId="a9">
    <w:name w:val="Unresolved Mention"/>
    <w:rsid w:val="009B321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5227" TargetMode="External"/><Relationship Id="rId21" Type="http://schemas.openxmlformats.org/officeDocument/2006/relationships/hyperlink" Target="http://www.nevo.co.il/law/70301/144.a"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5878682" TargetMode="External"/><Relationship Id="rId63" Type="http://schemas.openxmlformats.org/officeDocument/2006/relationships/hyperlink" Target="http://www.nevo.co.il/case/13042005" TargetMode="External"/><Relationship Id="rId68" Type="http://schemas.openxmlformats.org/officeDocument/2006/relationships/hyperlink" Target="http://www.nevo.co.il/law/70301" TargetMode="External"/><Relationship Id="rId84" Type="http://schemas.openxmlformats.org/officeDocument/2006/relationships/footer" Target="footer1.xml"/><Relationship Id="rId16" Type="http://schemas.openxmlformats.org/officeDocument/2006/relationships/hyperlink" Target="http://www.nevo.co.il/law/70301/40j.a" TargetMode="External"/><Relationship Id="rId11" Type="http://schemas.openxmlformats.org/officeDocument/2006/relationships/hyperlink" Target="http://www.nevo.co.il/law/70301/40i.3" TargetMode="External"/><Relationship Id="rId32" Type="http://schemas.openxmlformats.org/officeDocument/2006/relationships/hyperlink" Target="http://www.nevo.co.il/law/70301/40j.b.1" TargetMode="External"/><Relationship Id="rId37" Type="http://schemas.openxmlformats.org/officeDocument/2006/relationships/hyperlink" Target="http://www.nevo.co.il/law/70301" TargetMode="External"/><Relationship Id="rId53" Type="http://schemas.openxmlformats.org/officeDocument/2006/relationships/hyperlink" Target="http://www.nevo.co.il/law/5227/43" TargetMode="External"/><Relationship Id="rId58" Type="http://schemas.openxmlformats.org/officeDocument/2006/relationships/hyperlink" Target="http://www.nevo.co.il/law/70301" TargetMode="External"/><Relationship Id="rId74" Type="http://schemas.openxmlformats.org/officeDocument/2006/relationships/hyperlink" Target="http://www.nevo.co.il/law/70301/40i.5" TargetMode="External"/><Relationship Id="rId79" Type="http://schemas.openxmlformats.org/officeDocument/2006/relationships/hyperlink" Target="http://www.nevo.co.il/law/70301/144" TargetMode="External"/><Relationship Id="rId5" Type="http://schemas.openxmlformats.org/officeDocument/2006/relationships/endnotes" Target="endnotes.xml"/><Relationship Id="rId19" Type="http://schemas.openxmlformats.org/officeDocument/2006/relationships/hyperlink" Target="http://www.nevo.co.il/law/70301/40j.c" TargetMode="External"/><Relationship Id="rId14" Type="http://schemas.openxmlformats.org/officeDocument/2006/relationships/hyperlink" Target="http://www.nevo.co.il/law/70301/40i.6." TargetMode="External"/><Relationship Id="rId22" Type="http://schemas.openxmlformats.org/officeDocument/2006/relationships/hyperlink" Target="http://www.nevo.co.il/law/70301/144.b" TargetMode="External"/><Relationship Id="rId27" Type="http://schemas.openxmlformats.org/officeDocument/2006/relationships/hyperlink" Target="http://www.nevo.co.il/law/5227/43" TargetMode="External"/><Relationship Id="rId30" Type="http://schemas.openxmlformats.org/officeDocument/2006/relationships/hyperlink" Target="http://www.nevo.co.il/law/70301/40j.a"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7791493" TargetMode="External"/><Relationship Id="rId48" Type="http://schemas.openxmlformats.org/officeDocument/2006/relationships/hyperlink" Target="http://www.nevo.co.il/case/21474168" TargetMode="External"/><Relationship Id="rId56" Type="http://schemas.openxmlformats.org/officeDocument/2006/relationships/hyperlink" Target="http://www.nevo.co.il/law/70301/144.a" TargetMode="External"/><Relationship Id="rId64" Type="http://schemas.openxmlformats.org/officeDocument/2006/relationships/hyperlink" Target="http://www.nevo.co.il/case/4812721" TargetMode="External"/><Relationship Id="rId69" Type="http://schemas.openxmlformats.org/officeDocument/2006/relationships/hyperlink" Target="http://www.nevo.co.il/law/70301/40i.1" TargetMode="External"/><Relationship Id="rId77" Type="http://schemas.openxmlformats.org/officeDocument/2006/relationships/hyperlink" Target="http://www.nevo.co.il/law/70301" TargetMode="External"/><Relationship Id="rId8" Type="http://schemas.openxmlformats.org/officeDocument/2006/relationships/hyperlink" Target="http://www.nevo.co.il/law/70301/40i" TargetMode="External"/><Relationship Id="rId51" Type="http://schemas.openxmlformats.org/officeDocument/2006/relationships/hyperlink" Target="http://www.nevo.co.il/case/6949290" TargetMode="External"/><Relationship Id="rId72" Type="http://schemas.openxmlformats.org/officeDocument/2006/relationships/hyperlink" Target="http://www.nevo.co.il/law/70301/40i.3" TargetMode="External"/><Relationship Id="rId80" Type="http://schemas.openxmlformats.org/officeDocument/2006/relationships/hyperlink" Target="http://www.nevo.co.il/law/70301" TargetMode="External"/><Relationship Id="rId85"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nevo.co.il/law/70301/40i.4" TargetMode="External"/><Relationship Id="rId17" Type="http://schemas.openxmlformats.org/officeDocument/2006/relationships/hyperlink" Target="http://www.nevo.co.il/law/70301/40j.b.1" TargetMode="External"/><Relationship Id="rId25" Type="http://schemas.openxmlformats.org/officeDocument/2006/relationships/hyperlink" Target="http://www.nevo.co.il/law/70301/fCa1S"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fCa1S" TargetMode="External"/><Relationship Id="rId46" Type="http://schemas.openxmlformats.org/officeDocument/2006/relationships/hyperlink" Target="http://www.nevo.co.il/case/21771409" TargetMode="External"/><Relationship Id="rId59" Type="http://schemas.openxmlformats.org/officeDocument/2006/relationships/hyperlink" Target="http://www.nevo.co.il/case/20009157" TargetMode="External"/><Relationship Id="rId67" Type="http://schemas.openxmlformats.org/officeDocument/2006/relationships/hyperlink" Target="http://www.nevo.co.il/law/70301/40i" TargetMode="External"/><Relationship Id="rId20" Type="http://schemas.openxmlformats.org/officeDocument/2006/relationships/hyperlink" Target="http://www.nevo.co.il/law/70301/144" TargetMode="External"/><Relationship Id="rId41" Type="http://schemas.openxmlformats.org/officeDocument/2006/relationships/hyperlink" Target="http://www.nevo.co.il/law/70301/40b" TargetMode="External"/><Relationship Id="rId54" Type="http://schemas.openxmlformats.org/officeDocument/2006/relationships/hyperlink" Target="http://www.nevo.co.il/law/5227" TargetMode="External"/><Relationship Id="rId62" Type="http://schemas.openxmlformats.org/officeDocument/2006/relationships/hyperlink" Target="http://www.nevo.co.il/law/70301/144.b" TargetMode="External"/><Relationship Id="rId70" Type="http://schemas.openxmlformats.org/officeDocument/2006/relationships/hyperlink" Target="http://www.nevo.co.il/law/70301" TargetMode="External"/><Relationship Id="rId75" Type="http://schemas.openxmlformats.org/officeDocument/2006/relationships/hyperlink" Target="http://www.nevo.co.il/law/70301/40i.6.;40i.7" TargetMode="External"/><Relationship Id="rId83"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40i.7" TargetMode="External"/><Relationship Id="rId23" Type="http://schemas.openxmlformats.org/officeDocument/2006/relationships/hyperlink" Target="http://www.nevo.co.il/law/70301/40ja" TargetMode="External"/><Relationship Id="rId28" Type="http://schemas.openxmlformats.org/officeDocument/2006/relationships/hyperlink" Target="http://www.nevo.co.il/law/70301/144.b" TargetMode="External"/><Relationship Id="rId36" Type="http://schemas.openxmlformats.org/officeDocument/2006/relationships/hyperlink" Target="http://www.nevo.co.il/law/70301/40j.c" TargetMode="External"/><Relationship Id="rId49" Type="http://schemas.openxmlformats.org/officeDocument/2006/relationships/hyperlink" Target="http://www.nevo.co.il/law/70301/144.b" TargetMode="External"/><Relationship Id="rId57" Type="http://schemas.openxmlformats.org/officeDocument/2006/relationships/hyperlink" Target="http://www.nevo.co.il/law/70301/144.b" TargetMode="External"/><Relationship Id="rId10" Type="http://schemas.openxmlformats.org/officeDocument/2006/relationships/hyperlink" Target="http://www.nevo.co.il/law/70301/40i.2"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13093744" TargetMode="External"/><Relationship Id="rId52" Type="http://schemas.openxmlformats.org/officeDocument/2006/relationships/hyperlink" Target="http://www.nevo.co.il/law/70301/144.b" TargetMode="External"/><Relationship Id="rId60" Type="http://schemas.openxmlformats.org/officeDocument/2006/relationships/hyperlink" Target="http://www.nevo.co.il/law/70301/144.a" TargetMode="External"/><Relationship Id="rId65" Type="http://schemas.openxmlformats.org/officeDocument/2006/relationships/hyperlink" Target="http://www.nevo.co.il/law/70301/144.b" TargetMode="External"/><Relationship Id="rId73" Type="http://schemas.openxmlformats.org/officeDocument/2006/relationships/hyperlink" Target="http://www.nevo.co.il/law/70301/40i.4" TargetMode="External"/><Relationship Id="rId78" Type="http://schemas.openxmlformats.org/officeDocument/2006/relationships/hyperlink" Target="http://www.nevo.co.il/case/20832660" TargetMode="External"/><Relationship Id="rId81" Type="http://schemas.openxmlformats.org/officeDocument/2006/relationships/hyperlink" Target="http://www.nevo.co.il/advertisements/nevo-100.doc" TargetMode="External"/><Relationship Id="rId86"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40i.1" TargetMode="External"/><Relationship Id="rId13" Type="http://schemas.openxmlformats.org/officeDocument/2006/relationships/hyperlink" Target="http://www.nevo.co.il/law/70301/40i.5" TargetMode="External"/><Relationship Id="rId18" Type="http://schemas.openxmlformats.org/officeDocument/2006/relationships/hyperlink" Target="http://www.nevo.co.il/law/70301/40j.b.2" TargetMode="External"/><Relationship Id="rId39" Type="http://schemas.openxmlformats.org/officeDocument/2006/relationships/hyperlink" Target="http://www.nevo.co.il/law/70301/fC" TargetMode="External"/><Relationship Id="rId34" Type="http://schemas.openxmlformats.org/officeDocument/2006/relationships/hyperlink" Target="http://www.nevo.co.il/law/70301/40j.b.2" TargetMode="External"/><Relationship Id="rId50" Type="http://schemas.openxmlformats.org/officeDocument/2006/relationships/hyperlink" Target="http://www.nevo.co.il/law/70301" TargetMode="External"/><Relationship Id="rId55" Type="http://schemas.openxmlformats.org/officeDocument/2006/relationships/hyperlink" Target="http://www.nevo.co.il/case/5950172" TargetMode="External"/><Relationship Id="rId76" Type="http://schemas.openxmlformats.org/officeDocument/2006/relationships/hyperlink" Target="http://www.nevo.co.il/law/70301/40ja" TargetMode="External"/><Relationship Id="rId7" Type="http://schemas.openxmlformats.org/officeDocument/2006/relationships/hyperlink" Target="http://www.nevo.co.il/law/70301/40b" TargetMode="External"/><Relationship Id="rId71" Type="http://schemas.openxmlformats.org/officeDocument/2006/relationships/hyperlink" Target="http://www.nevo.co.il/law/70301/40i.2" TargetMode="External"/><Relationship Id="rId2" Type="http://schemas.openxmlformats.org/officeDocument/2006/relationships/settings" Target="settings.xml"/><Relationship Id="rId29" Type="http://schemas.openxmlformats.org/officeDocument/2006/relationships/hyperlink" Target="http://www.nevo.co.il/law/70301" TargetMode="External"/><Relationship Id="rId24" Type="http://schemas.openxmlformats.org/officeDocument/2006/relationships/hyperlink" Target="http://www.nevo.co.il/law/70301/fC"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7791493" TargetMode="External"/><Relationship Id="rId66" Type="http://schemas.openxmlformats.org/officeDocument/2006/relationships/hyperlink" Target="http://www.nevo.co.il/law/70301" TargetMode="External"/><Relationship Id="rId87" Type="http://schemas.openxmlformats.org/officeDocument/2006/relationships/theme" Target="theme/theme1.xml"/><Relationship Id="rId61" Type="http://schemas.openxmlformats.org/officeDocument/2006/relationships/hyperlink" Target="http://www.nevo.co.il/law/70301" TargetMode="External"/><Relationship Id="rId8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4686</Words>
  <Characters>23432</Characters>
  <Application>Microsoft Office Word</Application>
  <DocSecurity>0</DocSecurity>
  <Lines>195</Lines>
  <Paragraphs>56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28062</CharactersWithSpaces>
  <SharedDoc>false</SharedDoc>
  <HLinks>
    <vt:vector size="456" baseType="variant">
      <vt:variant>
        <vt:i4>393283</vt:i4>
      </vt:variant>
      <vt:variant>
        <vt:i4>225</vt:i4>
      </vt:variant>
      <vt:variant>
        <vt:i4>0</vt:i4>
      </vt:variant>
      <vt:variant>
        <vt:i4>5</vt:i4>
      </vt:variant>
      <vt:variant>
        <vt:lpwstr>http://www.nevo.co.il/advertisements/nevo-100.doc</vt:lpwstr>
      </vt:variant>
      <vt:variant>
        <vt:lpwstr/>
      </vt:variant>
      <vt:variant>
        <vt:i4>7995492</vt:i4>
      </vt:variant>
      <vt:variant>
        <vt:i4>222</vt:i4>
      </vt:variant>
      <vt:variant>
        <vt:i4>0</vt:i4>
      </vt:variant>
      <vt:variant>
        <vt:i4>5</vt:i4>
      </vt:variant>
      <vt:variant>
        <vt:lpwstr>http://www.nevo.co.il/law/70301</vt:lpwstr>
      </vt:variant>
      <vt:variant>
        <vt:lpwstr/>
      </vt:variant>
      <vt:variant>
        <vt:i4>6357092</vt:i4>
      </vt:variant>
      <vt:variant>
        <vt:i4>219</vt:i4>
      </vt:variant>
      <vt:variant>
        <vt:i4>0</vt:i4>
      </vt:variant>
      <vt:variant>
        <vt:i4>5</vt:i4>
      </vt:variant>
      <vt:variant>
        <vt:lpwstr>http://www.nevo.co.il/law/70301/144</vt:lpwstr>
      </vt:variant>
      <vt:variant>
        <vt:lpwstr/>
      </vt:variant>
      <vt:variant>
        <vt:i4>4063345</vt:i4>
      </vt:variant>
      <vt:variant>
        <vt:i4>216</vt:i4>
      </vt:variant>
      <vt:variant>
        <vt:i4>0</vt:i4>
      </vt:variant>
      <vt:variant>
        <vt:i4>5</vt:i4>
      </vt:variant>
      <vt:variant>
        <vt:lpwstr>http://www.nevo.co.il/case/20832660</vt:lpwstr>
      </vt:variant>
      <vt:variant>
        <vt:lpwstr/>
      </vt:variant>
      <vt:variant>
        <vt:i4>7995492</vt:i4>
      </vt:variant>
      <vt:variant>
        <vt:i4>213</vt:i4>
      </vt:variant>
      <vt:variant>
        <vt:i4>0</vt:i4>
      </vt:variant>
      <vt:variant>
        <vt:i4>5</vt:i4>
      </vt:variant>
      <vt:variant>
        <vt:lpwstr>http://www.nevo.co.il/law/70301</vt:lpwstr>
      </vt:variant>
      <vt:variant>
        <vt:lpwstr/>
      </vt:variant>
      <vt:variant>
        <vt:i4>262155</vt:i4>
      </vt:variant>
      <vt:variant>
        <vt:i4>210</vt:i4>
      </vt:variant>
      <vt:variant>
        <vt:i4>0</vt:i4>
      </vt:variant>
      <vt:variant>
        <vt:i4>5</vt:i4>
      </vt:variant>
      <vt:variant>
        <vt:lpwstr>http://www.nevo.co.il/law/70301/40ja</vt:lpwstr>
      </vt:variant>
      <vt:variant>
        <vt:lpwstr/>
      </vt:variant>
      <vt:variant>
        <vt:i4>983067</vt:i4>
      </vt:variant>
      <vt:variant>
        <vt:i4>207</vt:i4>
      </vt:variant>
      <vt:variant>
        <vt:i4>0</vt:i4>
      </vt:variant>
      <vt:variant>
        <vt:i4>5</vt:i4>
      </vt:variant>
      <vt:variant>
        <vt:lpwstr>http://www.nevo.co.il/law/70301/40i.6.;40i.7</vt:lpwstr>
      </vt:variant>
      <vt:variant>
        <vt:lpwstr/>
      </vt:variant>
      <vt:variant>
        <vt:i4>4915208</vt:i4>
      </vt:variant>
      <vt:variant>
        <vt:i4>204</vt:i4>
      </vt:variant>
      <vt:variant>
        <vt:i4>0</vt:i4>
      </vt:variant>
      <vt:variant>
        <vt:i4>5</vt:i4>
      </vt:variant>
      <vt:variant>
        <vt:lpwstr>http://www.nevo.co.il/law/70301/40i.5</vt:lpwstr>
      </vt:variant>
      <vt:variant>
        <vt:lpwstr/>
      </vt:variant>
      <vt:variant>
        <vt:i4>4915208</vt:i4>
      </vt:variant>
      <vt:variant>
        <vt:i4>201</vt:i4>
      </vt:variant>
      <vt:variant>
        <vt:i4>0</vt:i4>
      </vt:variant>
      <vt:variant>
        <vt:i4>5</vt:i4>
      </vt:variant>
      <vt:variant>
        <vt:lpwstr>http://www.nevo.co.il/law/70301/40i.4</vt:lpwstr>
      </vt:variant>
      <vt:variant>
        <vt:lpwstr/>
      </vt:variant>
      <vt:variant>
        <vt:i4>4915208</vt:i4>
      </vt:variant>
      <vt:variant>
        <vt:i4>198</vt:i4>
      </vt:variant>
      <vt:variant>
        <vt:i4>0</vt:i4>
      </vt:variant>
      <vt:variant>
        <vt:i4>5</vt:i4>
      </vt:variant>
      <vt:variant>
        <vt:lpwstr>http://www.nevo.co.il/law/70301/40i.3</vt:lpwstr>
      </vt:variant>
      <vt:variant>
        <vt:lpwstr/>
      </vt:variant>
      <vt:variant>
        <vt:i4>4915208</vt:i4>
      </vt:variant>
      <vt:variant>
        <vt:i4>195</vt:i4>
      </vt:variant>
      <vt:variant>
        <vt:i4>0</vt:i4>
      </vt:variant>
      <vt:variant>
        <vt:i4>5</vt:i4>
      </vt:variant>
      <vt:variant>
        <vt:lpwstr>http://www.nevo.co.il/law/70301/40i.2</vt:lpwstr>
      </vt:variant>
      <vt:variant>
        <vt:lpwstr/>
      </vt:variant>
      <vt:variant>
        <vt:i4>7995492</vt:i4>
      </vt:variant>
      <vt:variant>
        <vt:i4>192</vt:i4>
      </vt:variant>
      <vt:variant>
        <vt:i4>0</vt:i4>
      </vt:variant>
      <vt:variant>
        <vt:i4>5</vt:i4>
      </vt:variant>
      <vt:variant>
        <vt:lpwstr>http://www.nevo.co.il/law/70301</vt:lpwstr>
      </vt:variant>
      <vt:variant>
        <vt:lpwstr/>
      </vt:variant>
      <vt:variant>
        <vt:i4>4915208</vt:i4>
      </vt:variant>
      <vt:variant>
        <vt:i4>189</vt:i4>
      </vt:variant>
      <vt:variant>
        <vt:i4>0</vt:i4>
      </vt:variant>
      <vt:variant>
        <vt:i4>5</vt:i4>
      </vt:variant>
      <vt:variant>
        <vt:lpwstr>http://www.nevo.co.il/law/70301/40i.1</vt:lpwstr>
      </vt:variant>
      <vt:variant>
        <vt:lpwstr/>
      </vt:variant>
      <vt:variant>
        <vt:i4>7995492</vt:i4>
      </vt:variant>
      <vt:variant>
        <vt:i4>186</vt:i4>
      </vt:variant>
      <vt:variant>
        <vt:i4>0</vt:i4>
      </vt:variant>
      <vt:variant>
        <vt:i4>5</vt:i4>
      </vt:variant>
      <vt:variant>
        <vt:lpwstr>http://www.nevo.co.il/law/70301</vt:lpwstr>
      </vt:variant>
      <vt:variant>
        <vt:lpwstr/>
      </vt:variant>
      <vt:variant>
        <vt:i4>6619233</vt:i4>
      </vt:variant>
      <vt:variant>
        <vt:i4>183</vt:i4>
      </vt:variant>
      <vt:variant>
        <vt:i4>0</vt:i4>
      </vt:variant>
      <vt:variant>
        <vt:i4>5</vt:i4>
      </vt:variant>
      <vt:variant>
        <vt:lpwstr>http://www.nevo.co.il/law/70301/40i</vt:lpwstr>
      </vt:variant>
      <vt:variant>
        <vt:lpwstr/>
      </vt:variant>
      <vt:variant>
        <vt:i4>7995492</vt:i4>
      </vt:variant>
      <vt:variant>
        <vt:i4>180</vt:i4>
      </vt:variant>
      <vt:variant>
        <vt:i4>0</vt:i4>
      </vt:variant>
      <vt:variant>
        <vt:i4>5</vt:i4>
      </vt:variant>
      <vt:variant>
        <vt:lpwstr>http://www.nevo.co.il/law/70301</vt:lpwstr>
      </vt:variant>
      <vt:variant>
        <vt:lpwstr/>
      </vt:variant>
      <vt:variant>
        <vt:i4>5177424</vt:i4>
      </vt:variant>
      <vt:variant>
        <vt:i4>177</vt:i4>
      </vt:variant>
      <vt:variant>
        <vt:i4>0</vt:i4>
      </vt:variant>
      <vt:variant>
        <vt:i4>5</vt:i4>
      </vt:variant>
      <vt:variant>
        <vt:lpwstr>http://www.nevo.co.il/law/70301/144.b</vt:lpwstr>
      </vt:variant>
      <vt:variant>
        <vt:lpwstr/>
      </vt:variant>
      <vt:variant>
        <vt:i4>3342460</vt:i4>
      </vt:variant>
      <vt:variant>
        <vt:i4>174</vt:i4>
      </vt:variant>
      <vt:variant>
        <vt:i4>0</vt:i4>
      </vt:variant>
      <vt:variant>
        <vt:i4>5</vt:i4>
      </vt:variant>
      <vt:variant>
        <vt:lpwstr>http://www.nevo.co.il/case/4812721</vt:lpwstr>
      </vt:variant>
      <vt:variant>
        <vt:lpwstr/>
      </vt:variant>
      <vt:variant>
        <vt:i4>3342451</vt:i4>
      </vt:variant>
      <vt:variant>
        <vt:i4>171</vt:i4>
      </vt:variant>
      <vt:variant>
        <vt:i4>0</vt:i4>
      </vt:variant>
      <vt:variant>
        <vt:i4>5</vt:i4>
      </vt:variant>
      <vt:variant>
        <vt:lpwstr>http://www.nevo.co.il/case/13042005</vt:lpwstr>
      </vt:variant>
      <vt:variant>
        <vt:lpwstr/>
      </vt:variant>
      <vt:variant>
        <vt:i4>5177424</vt:i4>
      </vt:variant>
      <vt:variant>
        <vt:i4>168</vt:i4>
      </vt:variant>
      <vt:variant>
        <vt:i4>0</vt:i4>
      </vt:variant>
      <vt:variant>
        <vt:i4>5</vt:i4>
      </vt:variant>
      <vt:variant>
        <vt:lpwstr>http://www.nevo.co.il/law/70301/144.b</vt:lpwstr>
      </vt:variant>
      <vt:variant>
        <vt:lpwstr/>
      </vt:variant>
      <vt:variant>
        <vt:i4>7995492</vt:i4>
      </vt:variant>
      <vt:variant>
        <vt:i4>165</vt:i4>
      </vt:variant>
      <vt:variant>
        <vt:i4>0</vt:i4>
      </vt:variant>
      <vt:variant>
        <vt:i4>5</vt:i4>
      </vt:variant>
      <vt:variant>
        <vt:lpwstr>http://www.nevo.co.il/law/70301</vt:lpwstr>
      </vt:variant>
      <vt:variant>
        <vt:lpwstr/>
      </vt:variant>
      <vt:variant>
        <vt:i4>5177424</vt:i4>
      </vt:variant>
      <vt:variant>
        <vt:i4>162</vt:i4>
      </vt:variant>
      <vt:variant>
        <vt:i4>0</vt:i4>
      </vt:variant>
      <vt:variant>
        <vt:i4>5</vt:i4>
      </vt:variant>
      <vt:variant>
        <vt:lpwstr>http://www.nevo.co.il/law/70301/144.a</vt:lpwstr>
      </vt:variant>
      <vt:variant>
        <vt:lpwstr/>
      </vt:variant>
      <vt:variant>
        <vt:i4>4063349</vt:i4>
      </vt:variant>
      <vt:variant>
        <vt:i4>159</vt:i4>
      </vt:variant>
      <vt:variant>
        <vt:i4>0</vt:i4>
      </vt:variant>
      <vt:variant>
        <vt:i4>5</vt:i4>
      </vt:variant>
      <vt:variant>
        <vt:lpwstr>http://www.nevo.co.il/case/20009157</vt:lpwstr>
      </vt:variant>
      <vt:variant>
        <vt:lpwstr/>
      </vt:variant>
      <vt:variant>
        <vt:i4>7995492</vt:i4>
      </vt:variant>
      <vt:variant>
        <vt:i4>156</vt:i4>
      </vt:variant>
      <vt:variant>
        <vt:i4>0</vt:i4>
      </vt:variant>
      <vt:variant>
        <vt:i4>5</vt:i4>
      </vt:variant>
      <vt:variant>
        <vt:lpwstr>http://www.nevo.co.il/law/70301</vt:lpwstr>
      </vt:variant>
      <vt:variant>
        <vt:lpwstr/>
      </vt:variant>
      <vt:variant>
        <vt:i4>5177424</vt:i4>
      </vt:variant>
      <vt:variant>
        <vt:i4>153</vt:i4>
      </vt:variant>
      <vt:variant>
        <vt:i4>0</vt:i4>
      </vt:variant>
      <vt:variant>
        <vt:i4>5</vt:i4>
      </vt:variant>
      <vt:variant>
        <vt:lpwstr>http://www.nevo.co.il/law/70301/144.b</vt:lpwstr>
      </vt:variant>
      <vt:variant>
        <vt:lpwstr/>
      </vt:variant>
      <vt:variant>
        <vt:i4>5177424</vt:i4>
      </vt:variant>
      <vt:variant>
        <vt:i4>150</vt:i4>
      </vt:variant>
      <vt:variant>
        <vt:i4>0</vt:i4>
      </vt:variant>
      <vt:variant>
        <vt:i4>5</vt:i4>
      </vt:variant>
      <vt:variant>
        <vt:lpwstr>http://www.nevo.co.il/law/70301/144.a</vt:lpwstr>
      </vt:variant>
      <vt:variant>
        <vt:lpwstr/>
      </vt:variant>
      <vt:variant>
        <vt:i4>3342458</vt:i4>
      </vt:variant>
      <vt:variant>
        <vt:i4>147</vt:i4>
      </vt:variant>
      <vt:variant>
        <vt:i4>0</vt:i4>
      </vt:variant>
      <vt:variant>
        <vt:i4>5</vt:i4>
      </vt:variant>
      <vt:variant>
        <vt:lpwstr>http://www.nevo.co.il/case/5950172</vt:lpwstr>
      </vt:variant>
      <vt:variant>
        <vt:lpwstr/>
      </vt:variant>
      <vt:variant>
        <vt:i4>8323175</vt:i4>
      </vt:variant>
      <vt:variant>
        <vt:i4>144</vt:i4>
      </vt:variant>
      <vt:variant>
        <vt:i4>0</vt:i4>
      </vt:variant>
      <vt:variant>
        <vt:i4>5</vt:i4>
      </vt:variant>
      <vt:variant>
        <vt:lpwstr>http://www.nevo.co.il/law/5227</vt:lpwstr>
      </vt:variant>
      <vt:variant>
        <vt:lpwstr/>
      </vt:variant>
      <vt:variant>
        <vt:i4>4915272</vt:i4>
      </vt:variant>
      <vt:variant>
        <vt:i4>141</vt:i4>
      </vt:variant>
      <vt:variant>
        <vt:i4>0</vt:i4>
      </vt:variant>
      <vt:variant>
        <vt:i4>5</vt:i4>
      </vt:variant>
      <vt:variant>
        <vt:lpwstr>http://www.nevo.co.il/law/5227/43</vt:lpwstr>
      </vt:variant>
      <vt:variant>
        <vt:lpwstr/>
      </vt:variant>
      <vt:variant>
        <vt:i4>5177424</vt:i4>
      </vt:variant>
      <vt:variant>
        <vt:i4>138</vt:i4>
      </vt:variant>
      <vt:variant>
        <vt:i4>0</vt:i4>
      </vt:variant>
      <vt:variant>
        <vt:i4>5</vt:i4>
      </vt:variant>
      <vt:variant>
        <vt:lpwstr>http://www.nevo.co.il/law/70301/144.b</vt:lpwstr>
      </vt:variant>
      <vt:variant>
        <vt:lpwstr/>
      </vt:variant>
      <vt:variant>
        <vt:i4>3145853</vt:i4>
      </vt:variant>
      <vt:variant>
        <vt:i4>135</vt:i4>
      </vt:variant>
      <vt:variant>
        <vt:i4>0</vt:i4>
      </vt:variant>
      <vt:variant>
        <vt:i4>5</vt:i4>
      </vt:variant>
      <vt:variant>
        <vt:lpwstr>http://www.nevo.co.il/case/6949290</vt:lpwstr>
      </vt:variant>
      <vt:variant>
        <vt:lpwstr/>
      </vt:variant>
      <vt:variant>
        <vt:i4>7995492</vt:i4>
      </vt:variant>
      <vt:variant>
        <vt:i4>132</vt:i4>
      </vt:variant>
      <vt:variant>
        <vt:i4>0</vt:i4>
      </vt:variant>
      <vt:variant>
        <vt:i4>5</vt:i4>
      </vt:variant>
      <vt:variant>
        <vt:lpwstr>http://www.nevo.co.il/law/70301</vt:lpwstr>
      </vt:variant>
      <vt:variant>
        <vt:lpwstr/>
      </vt:variant>
      <vt:variant>
        <vt:i4>5177424</vt:i4>
      </vt:variant>
      <vt:variant>
        <vt:i4>129</vt:i4>
      </vt:variant>
      <vt:variant>
        <vt:i4>0</vt:i4>
      </vt:variant>
      <vt:variant>
        <vt:i4>5</vt:i4>
      </vt:variant>
      <vt:variant>
        <vt:lpwstr>http://www.nevo.co.il/law/70301/144.b</vt:lpwstr>
      </vt:variant>
      <vt:variant>
        <vt:lpwstr/>
      </vt:variant>
      <vt:variant>
        <vt:i4>3407987</vt:i4>
      </vt:variant>
      <vt:variant>
        <vt:i4>126</vt:i4>
      </vt:variant>
      <vt:variant>
        <vt:i4>0</vt:i4>
      </vt:variant>
      <vt:variant>
        <vt:i4>5</vt:i4>
      </vt:variant>
      <vt:variant>
        <vt:lpwstr>http://www.nevo.co.il/case/21474168</vt:lpwstr>
      </vt:variant>
      <vt:variant>
        <vt:lpwstr/>
      </vt:variant>
      <vt:variant>
        <vt:i4>3539068</vt:i4>
      </vt:variant>
      <vt:variant>
        <vt:i4>123</vt:i4>
      </vt:variant>
      <vt:variant>
        <vt:i4>0</vt:i4>
      </vt:variant>
      <vt:variant>
        <vt:i4>5</vt:i4>
      </vt:variant>
      <vt:variant>
        <vt:lpwstr>http://www.nevo.co.il/case/5878682</vt:lpwstr>
      </vt:variant>
      <vt:variant>
        <vt:lpwstr/>
      </vt:variant>
      <vt:variant>
        <vt:i4>3407990</vt:i4>
      </vt:variant>
      <vt:variant>
        <vt:i4>120</vt:i4>
      </vt:variant>
      <vt:variant>
        <vt:i4>0</vt:i4>
      </vt:variant>
      <vt:variant>
        <vt:i4>5</vt:i4>
      </vt:variant>
      <vt:variant>
        <vt:lpwstr>http://www.nevo.co.il/case/21771409</vt:lpwstr>
      </vt:variant>
      <vt:variant>
        <vt:lpwstr/>
      </vt:variant>
      <vt:variant>
        <vt:i4>3735675</vt:i4>
      </vt:variant>
      <vt:variant>
        <vt:i4>117</vt:i4>
      </vt:variant>
      <vt:variant>
        <vt:i4>0</vt:i4>
      </vt:variant>
      <vt:variant>
        <vt:i4>5</vt:i4>
      </vt:variant>
      <vt:variant>
        <vt:lpwstr>http://www.nevo.co.il/case/7791493</vt:lpwstr>
      </vt:variant>
      <vt:variant>
        <vt:lpwstr/>
      </vt:variant>
      <vt:variant>
        <vt:i4>3539065</vt:i4>
      </vt:variant>
      <vt:variant>
        <vt:i4>114</vt:i4>
      </vt:variant>
      <vt:variant>
        <vt:i4>0</vt:i4>
      </vt:variant>
      <vt:variant>
        <vt:i4>5</vt:i4>
      </vt:variant>
      <vt:variant>
        <vt:lpwstr>http://www.nevo.co.il/case/13093744</vt:lpwstr>
      </vt:variant>
      <vt:variant>
        <vt:lpwstr/>
      </vt:variant>
      <vt:variant>
        <vt:i4>3735675</vt:i4>
      </vt:variant>
      <vt:variant>
        <vt:i4>111</vt:i4>
      </vt:variant>
      <vt:variant>
        <vt:i4>0</vt:i4>
      </vt:variant>
      <vt:variant>
        <vt:i4>5</vt:i4>
      </vt:variant>
      <vt:variant>
        <vt:lpwstr>http://www.nevo.co.il/case/7791493</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6619233</vt:i4>
      </vt:variant>
      <vt:variant>
        <vt:i4>105</vt:i4>
      </vt:variant>
      <vt:variant>
        <vt:i4>0</vt:i4>
      </vt:variant>
      <vt:variant>
        <vt:i4>5</vt:i4>
      </vt:variant>
      <vt:variant>
        <vt:lpwstr>http://www.nevo.co.il/law/70301/40b</vt:lpwstr>
      </vt:variant>
      <vt:variant>
        <vt:lpwstr/>
      </vt:variant>
      <vt:variant>
        <vt:i4>7995492</vt:i4>
      </vt:variant>
      <vt:variant>
        <vt:i4>102</vt:i4>
      </vt:variant>
      <vt:variant>
        <vt:i4>0</vt:i4>
      </vt:variant>
      <vt:variant>
        <vt:i4>5</vt:i4>
      </vt:variant>
      <vt:variant>
        <vt:lpwstr>http://www.nevo.co.il/law/70301</vt:lpwstr>
      </vt:variant>
      <vt:variant>
        <vt:lpwstr/>
      </vt:variant>
      <vt:variant>
        <vt:i4>3538995</vt:i4>
      </vt:variant>
      <vt:variant>
        <vt:i4>99</vt:i4>
      </vt:variant>
      <vt:variant>
        <vt:i4>0</vt:i4>
      </vt:variant>
      <vt:variant>
        <vt:i4>5</vt:i4>
      </vt:variant>
      <vt:variant>
        <vt:lpwstr>http://www.nevo.co.il/law/70301/fC</vt:lpwstr>
      </vt:variant>
      <vt:variant>
        <vt:lpwstr/>
      </vt:variant>
      <vt:variant>
        <vt:i4>458834</vt:i4>
      </vt:variant>
      <vt:variant>
        <vt:i4>96</vt:i4>
      </vt:variant>
      <vt:variant>
        <vt:i4>0</vt:i4>
      </vt:variant>
      <vt:variant>
        <vt:i4>5</vt:i4>
      </vt:variant>
      <vt:variant>
        <vt:lpwstr>http://www.nevo.co.il/law/70301/fCa1S</vt:lpwstr>
      </vt:variant>
      <vt:variant>
        <vt:lpwstr/>
      </vt:variant>
      <vt:variant>
        <vt:i4>7995492</vt:i4>
      </vt:variant>
      <vt:variant>
        <vt:i4>93</vt:i4>
      </vt:variant>
      <vt:variant>
        <vt:i4>0</vt:i4>
      </vt:variant>
      <vt:variant>
        <vt:i4>5</vt:i4>
      </vt:variant>
      <vt:variant>
        <vt:lpwstr>http://www.nevo.co.il/law/70301</vt:lpwstr>
      </vt:variant>
      <vt:variant>
        <vt:lpwstr/>
      </vt:variant>
      <vt:variant>
        <vt:i4>4915211</vt:i4>
      </vt:variant>
      <vt:variant>
        <vt:i4>90</vt:i4>
      </vt:variant>
      <vt:variant>
        <vt:i4>0</vt:i4>
      </vt:variant>
      <vt:variant>
        <vt:i4>5</vt:i4>
      </vt:variant>
      <vt:variant>
        <vt:lpwstr>http://www.nevo.co.il/law/70301/40j.c</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6619241</vt:i4>
      </vt:variant>
      <vt:variant>
        <vt:i4>84</vt:i4>
      </vt:variant>
      <vt:variant>
        <vt:i4>0</vt:i4>
      </vt:variant>
      <vt:variant>
        <vt:i4>5</vt:i4>
      </vt:variant>
      <vt:variant>
        <vt:lpwstr>http://www.nevo.co.il/law/70301/40j.b.2</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6619241</vt:i4>
      </vt:variant>
      <vt:variant>
        <vt:i4>78</vt:i4>
      </vt:variant>
      <vt:variant>
        <vt:i4>0</vt:i4>
      </vt:variant>
      <vt:variant>
        <vt:i4>5</vt:i4>
      </vt:variant>
      <vt:variant>
        <vt:lpwstr>http://www.nevo.co.il/law/70301/40j.b.1</vt:lpwstr>
      </vt:variant>
      <vt:variant>
        <vt:lpwstr/>
      </vt:variant>
      <vt:variant>
        <vt:i4>7995492</vt:i4>
      </vt:variant>
      <vt:variant>
        <vt:i4>75</vt:i4>
      </vt:variant>
      <vt:variant>
        <vt:i4>0</vt:i4>
      </vt:variant>
      <vt:variant>
        <vt:i4>5</vt:i4>
      </vt:variant>
      <vt:variant>
        <vt:lpwstr>http://www.nevo.co.il/law/70301</vt:lpwstr>
      </vt:variant>
      <vt:variant>
        <vt:lpwstr/>
      </vt:variant>
      <vt:variant>
        <vt:i4>4915211</vt:i4>
      </vt:variant>
      <vt:variant>
        <vt:i4>72</vt:i4>
      </vt:variant>
      <vt:variant>
        <vt:i4>0</vt:i4>
      </vt:variant>
      <vt:variant>
        <vt:i4>5</vt:i4>
      </vt:variant>
      <vt:variant>
        <vt:lpwstr>http://www.nevo.co.il/law/70301/40j.a</vt:lpwstr>
      </vt:variant>
      <vt:variant>
        <vt:lpwstr/>
      </vt:variant>
      <vt:variant>
        <vt:i4>7995492</vt:i4>
      </vt:variant>
      <vt:variant>
        <vt:i4>69</vt:i4>
      </vt:variant>
      <vt:variant>
        <vt:i4>0</vt:i4>
      </vt:variant>
      <vt:variant>
        <vt:i4>5</vt:i4>
      </vt:variant>
      <vt:variant>
        <vt:lpwstr>http://www.nevo.co.il/law/70301</vt:lpwstr>
      </vt:variant>
      <vt:variant>
        <vt:lpwstr/>
      </vt:variant>
      <vt:variant>
        <vt:i4>5177424</vt:i4>
      </vt:variant>
      <vt:variant>
        <vt:i4>66</vt:i4>
      </vt:variant>
      <vt:variant>
        <vt:i4>0</vt:i4>
      </vt:variant>
      <vt:variant>
        <vt:i4>5</vt:i4>
      </vt:variant>
      <vt:variant>
        <vt:lpwstr>http://www.nevo.co.il/law/70301/144.b</vt:lpwstr>
      </vt:variant>
      <vt:variant>
        <vt:lpwstr/>
      </vt:variant>
      <vt:variant>
        <vt:i4>4915272</vt:i4>
      </vt:variant>
      <vt:variant>
        <vt:i4>63</vt:i4>
      </vt:variant>
      <vt:variant>
        <vt:i4>0</vt:i4>
      </vt:variant>
      <vt:variant>
        <vt:i4>5</vt:i4>
      </vt:variant>
      <vt:variant>
        <vt:lpwstr>http://www.nevo.co.il/law/5227/43</vt:lpwstr>
      </vt:variant>
      <vt:variant>
        <vt:lpwstr/>
      </vt:variant>
      <vt:variant>
        <vt:i4>8323175</vt:i4>
      </vt:variant>
      <vt:variant>
        <vt:i4>60</vt:i4>
      </vt:variant>
      <vt:variant>
        <vt:i4>0</vt:i4>
      </vt:variant>
      <vt:variant>
        <vt:i4>5</vt:i4>
      </vt:variant>
      <vt:variant>
        <vt:lpwstr>http://www.nevo.co.il/law/5227</vt:lpwstr>
      </vt:variant>
      <vt:variant>
        <vt:lpwstr/>
      </vt:variant>
      <vt:variant>
        <vt:i4>458834</vt:i4>
      </vt:variant>
      <vt:variant>
        <vt:i4>57</vt:i4>
      </vt:variant>
      <vt:variant>
        <vt:i4>0</vt:i4>
      </vt:variant>
      <vt:variant>
        <vt:i4>5</vt:i4>
      </vt:variant>
      <vt:variant>
        <vt:lpwstr>http://www.nevo.co.il/law/70301/fCa1S</vt:lpwstr>
      </vt:variant>
      <vt:variant>
        <vt:lpwstr/>
      </vt:variant>
      <vt:variant>
        <vt:i4>3538995</vt:i4>
      </vt:variant>
      <vt:variant>
        <vt:i4>54</vt:i4>
      </vt:variant>
      <vt:variant>
        <vt:i4>0</vt:i4>
      </vt:variant>
      <vt:variant>
        <vt:i4>5</vt:i4>
      </vt:variant>
      <vt:variant>
        <vt:lpwstr>http://www.nevo.co.il/law/70301/fC</vt:lpwstr>
      </vt:variant>
      <vt:variant>
        <vt:lpwstr/>
      </vt:variant>
      <vt:variant>
        <vt:i4>262155</vt:i4>
      </vt:variant>
      <vt:variant>
        <vt:i4>51</vt:i4>
      </vt:variant>
      <vt:variant>
        <vt:i4>0</vt:i4>
      </vt:variant>
      <vt:variant>
        <vt:i4>5</vt:i4>
      </vt:variant>
      <vt:variant>
        <vt:lpwstr>http://www.nevo.co.il/law/70301/40ja</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5177424</vt:i4>
      </vt:variant>
      <vt:variant>
        <vt:i4>45</vt:i4>
      </vt:variant>
      <vt:variant>
        <vt:i4>0</vt:i4>
      </vt:variant>
      <vt:variant>
        <vt:i4>5</vt:i4>
      </vt:variant>
      <vt:variant>
        <vt:lpwstr>http://www.nevo.co.il/law/70301/144.a</vt:lpwstr>
      </vt:variant>
      <vt:variant>
        <vt:lpwstr/>
      </vt:variant>
      <vt:variant>
        <vt:i4>6357092</vt:i4>
      </vt:variant>
      <vt:variant>
        <vt:i4>42</vt:i4>
      </vt:variant>
      <vt:variant>
        <vt:i4>0</vt:i4>
      </vt:variant>
      <vt:variant>
        <vt:i4>5</vt:i4>
      </vt:variant>
      <vt:variant>
        <vt:lpwstr>http://www.nevo.co.il/law/70301/144</vt:lpwstr>
      </vt:variant>
      <vt:variant>
        <vt:lpwstr/>
      </vt:variant>
      <vt:variant>
        <vt:i4>4915211</vt:i4>
      </vt:variant>
      <vt:variant>
        <vt:i4>39</vt:i4>
      </vt:variant>
      <vt:variant>
        <vt:i4>0</vt:i4>
      </vt:variant>
      <vt:variant>
        <vt:i4>5</vt:i4>
      </vt:variant>
      <vt:variant>
        <vt:lpwstr>http://www.nevo.co.il/law/70301/40j.c</vt:lpwstr>
      </vt:variant>
      <vt:variant>
        <vt:lpwstr/>
      </vt:variant>
      <vt:variant>
        <vt:i4>6619241</vt:i4>
      </vt:variant>
      <vt:variant>
        <vt:i4>36</vt:i4>
      </vt:variant>
      <vt:variant>
        <vt:i4>0</vt:i4>
      </vt:variant>
      <vt:variant>
        <vt:i4>5</vt:i4>
      </vt:variant>
      <vt:variant>
        <vt:lpwstr>http://www.nevo.co.il/law/70301/40j.b.2</vt:lpwstr>
      </vt:variant>
      <vt:variant>
        <vt:lpwstr/>
      </vt:variant>
      <vt:variant>
        <vt:i4>6619241</vt:i4>
      </vt:variant>
      <vt:variant>
        <vt:i4>33</vt:i4>
      </vt:variant>
      <vt:variant>
        <vt:i4>0</vt:i4>
      </vt:variant>
      <vt:variant>
        <vt:i4>5</vt:i4>
      </vt:variant>
      <vt:variant>
        <vt:lpwstr>http://www.nevo.co.il/law/70301/40j.b.1</vt:lpwstr>
      </vt:variant>
      <vt:variant>
        <vt:lpwstr/>
      </vt:variant>
      <vt:variant>
        <vt:i4>4915211</vt:i4>
      </vt:variant>
      <vt:variant>
        <vt:i4>30</vt:i4>
      </vt:variant>
      <vt:variant>
        <vt:i4>0</vt:i4>
      </vt:variant>
      <vt:variant>
        <vt:i4>5</vt:i4>
      </vt:variant>
      <vt:variant>
        <vt:lpwstr>http://www.nevo.co.il/law/70301/40j.a</vt:lpwstr>
      </vt:variant>
      <vt:variant>
        <vt:lpwstr/>
      </vt:variant>
      <vt:variant>
        <vt:i4>4915208</vt:i4>
      </vt:variant>
      <vt:variant>
        <vt:i4>27</vt:i4>
      </vt:variant>
      <vt:variant>
        <vt:i4>0</vt:i4>
      </vt:variant>
      <vt:variant>
        <vt:i4>5</vt:i4>
      </vt:variant>
      <vt:variant>
        <vt:lpwstr>http://www.nevo.co.il/law/70301/40i.7</vt:lpwstr>
      </vt:variant>
      <vt:variant>
        <vt:lpwstr/>
      </vt:variant>
      <vt:variant>
        <vt:i4>6619198</vt:i4>
      </vt:variant>
      <vt:variant>
        <vt:i4>24</vt:i4>
      </vt:variant>
      <vt:variant>
        <vt:i4>0</vt:i4>
      </vt:variant>
      <vt:variant>
        <vt:i4>5</vt:i4>
      </vt:variant>
      <vt:variant>
        <vt:lpwstr>http://www.nevo.co.il/law/70301/40i.6.</vt:lpwstr>
      </vt:variant>
      <vt:variant>
        <vt:lpwstr/>
      </vt:variant>
      <vt:variant>
        <vt:i4>4915208</vt:i4>
      </vt:variant>
      <vt:variant>
        <vt:i4>21</vt:i4>
      </vt:variant>
      <vt:variant>
        <vt:i4>0</vt:i4>
      </vt:variant>
      <vt:variant>
        <vt:i4>5</vt:i4>
      </vt:variant>
      <vt:variant>
        <vt:lpwstr>http://www.nevo.co.il/law/70301/40i.5</vt:lpwstr>
      </vt:variant>
      <vt:variant>
        <vt:lpwstr/>
      </vt:variant>
      <vt:variant>
        <vt:i4>4915208</vt:i4>
      </vt:variant>
      <vt:variant>
        <vt:i4>18</vt:i4>
      </vt:variant>
      <vt:variant>
        <vt:i4>0</vt:i4>
      </vt:variant>
      <vt:variant>
        <vt:i4>5</vt:i4>
      </vt:variant>
      <vt:variant>
        <vt:lpwstr>http://www.nevo.co.il/law/70301/40i.4</vt:lpwstr>
      </vt:variant>
      <vt:variant>
        <vt:lpwstr/>
      </vt:variant>
      <vt:variant>
        <vt:i4>4915208</vt:i4>
      </vt:variant>
      <vt:variant>
        <vt:i4>15</vt:i4>
      </vt:variant>
      <vt:variant>
        <vt:i4>0</vt:i4>
      </vt:variant>
      <vt:variant>
        <vt:i4>5</vt:i4>
      </vt:variant>
      <vt:variant>
        <vt:lpwstr>http://www.nevo.co.il/law/70301/40i.3</vt:lpwstr>
      </vt:variant>
      <vt:variant>
        <vt:lpwstr/>
      </vt:variant>
      <vt:variant>
        <vt:i4>4915208</vt:i4>
      </vt:variant>
      <vt:variant>
        <vt:i4>12</vt:i4>
      </vt:variant>
      <vt:variant>
        <vt:i4>0</vt:i4>
      </vt:variant>
      <vt:variant>
        <vt:i4>5</vt:i4>
      </vt:variant>
      <vt:variant>
        <vt:lpwstr>http://www.nevo.co.il/law/70301/40i.2</vt:lpwstr>
      </vt:variant>
      <vt:variant>
        <vt:lpwstr/>
      </vt:variant>
      <vt:variant>
        <vt:i4>4915208</vt:i4>
      </vt:variant>
      <vt:variant>
        <vt:i4>9</vt:i4>
      </vt:variant>
      <vt:variant>
        <vt:i4>0</vt:i4>
      </vt:variant>
      <vt:variant>
        <vt:i4>5</vt:i4>
      </vt:variant>
      <vt:variant>
        <vt:lpwstr>http://www.nevo.co.il/law/70301/40i.1</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2025-01-19T16:16:00Z</dcterms:created>
  <dcterms:modified xsi:type="dcterms:W3CDTF">2025-01-19T16:16:00Z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31034</vt:lpwstr>
  </property>
  <property fmtid="{D5CDD505-2E9C-101B-9397-08002B2CF9AE}" pid="6" name="NEWPARTB">
    <vt:lpwstr>06</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סעיד מסרי </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20180417</vt:lpwstr>
  </property>
  <property fmtid="{D5CDD505-2E9C-101B-9397-08002B2CF9AE}" pid="13" name="TYPE_N_DATE">
    <vt:lpwstr>39020180417</vt:lpwstr>
  </property>
  <property fmtid="{D5CDD505-2E9C-101B-9397-08002B2CF9AE}" pid="14" name="CASESLISTTMP1">
    <vt:lpwstr>7791493:2;13093744;21771409;5878682;21474168;6949290;5950172;20009157;13042005;4812721;20832660</vt:lpwstr>
  </property>
  <property fmtid="{D5CDD505-2E9C-101B-9397-08002B2CF9AE}" pid="15" name="WORDNUMPAGES">
    <vt:lpwstr>12</vt:lpwstr>
  </property>
  <property fmtid="{D5CDD505-2E9C-101B-9397-08002B2CF9AE}" pid="16" name="TYPE_ABS_DATE">
    <vt:lpwstr>390020180417</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70301/144.b:6;040j.a;040j.b.1;040j.b.2;040j.c;fCa1S;fC;040b;144.a:2;040i;040i.1;040i.2;040i.3;040i.4;040i.5;040i.6;040i.7;40ja;144</vt:lpwstr>
  </property>
  <property fmtid="{D5CDD505-2E9C-101B-9397-08002B2CF9AE}" pid="37" name="LAWLISTTMP2">
    <vt:lpwstr>5227/043</vt:lpwstr>
  </property>
</Properties>
</file>