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BF4047" w:rsidRPr="009F57C5" w14:paraId="75559BB6" w14:textId="77777777" w:rsidTr="006C47E3">
        <w:trPr>
          <w:trHeight w:hRule="exact" w:val="418"/>
          <w:jc w:val="center"/>
        </w:trPr>
        <w:tc>
          <w:tcPr>
            <w:tcW w:w="8721" w:type="dxa"/>
            <w:gridSpan w:val="2"/>
          </w:tcPr>
          <w:p w14:paraId="5A6F27C5" w14:textId="77777777" w:rsidR="00BF4047" w:rsidRPr="009F57C5" w:rsidRDefault="00BF4047" w:rsidP="009230DF">
            <w:pPr>
              <w:pStyle w:val="a3"/>
              <w:jc w:val="center"/>
              <w:rPr>
                <w:rFonts w:ascii="Tahoma" w:hAnsi="Tahoma" w:cs="Tahoma"/>
                <w:color w:val="000080"/>
                <w:rtl/>
              </w:rPr>
            </w:pPr>
            <w:bookmarkStart w:id="0" w:name="LastJudge"/>
            <w:r w:rsidRPr="009F57C5">
              <w:rPr>
                <w:rFonts w:ascii="Tahoma" w:hAnsi="Tahoma" w:cs="Tahoma"/>
                <w:b/>
                <w:bCs/>
                <w:color w:val="000080"/>
                <w:rtl/>
              </w:rPr>
              <w:t>בית המשפט המחוזי בירושלים</w:t>
            </w:r>
          </w:p>
        </w:tc>
      </w:tr>
      <w:tr w:rsidR="00BF4047" w:rsidRPr="009F57C5" w14:paraId="0045C59C" w14:textId="77777777" w:rsidTr="006C47E3">
        <w:trPr>
          <w:trHeight w:val="337"/>
          <w:jc w:val="center"/>
        </w:trPr>
        <w:tc>
          <w:tcPr>
            <w:tcW w:w="5056" w:type="dxa"/>
          </w:tcPr>
          <w:p w14:paraId="70438B94" w14:textId="77777777" w:rsidR="00BF4047" w:rsidRPr="009F57C5" w:rsidRDefault="00BF4047" w:rsidP="009230DF">
            <w:pPr>
              <w:rPr>
                <w:rFonts w:cs="FrankRuehl"/>
                <w:sz w:val="28"/>
                <w:szCs w:val="28"/>
                <w:rtl/>
              </w:rPr>
            </w:pPr>
            <w:r w:rsidRPr="009F57C5">
              <w:rPr>
                <w:rFonts w:cs="FrankRuehl"/>
                <w:sz w:val="28"/>
                <w:szCs w:val="28"/>
                <w:rtl/>
              </w:rPr>
              <w:t>ת"פ</w:t>
            </w:r>
            <w:r w:rsidRPr="009F57C5">
              <w:rPr>
                <w:rFonts w:cs="FrankRuehl" w:hint="cs"/>
                <w:sz w:val="28"/>
                <w:szCs w:val="28"/>
                <w:rtl/>
              </w:rPr>
              <w:t xml:space="preserve"> </w:t>
            </w:r>
            <w:r w:rsidRPr="009F57C5">
              <w:rPr>
                <w:rFonts w:cs="FrankRuehl"/>
                <w:sz w:val="28"/>
                <w:szCs w:val="28"/>
                <w:rtl/>
              </w:rPr>
              <w:t>52219-06-17</w:t>
            </w:r>
            <w:r w:rsidRPr="009F57C5">
              <w:rPr>
                <w:rFonts w:cs="FrankRuehl" w:hint="cs"/>
                <w:sz w:val="28"/>
                <w:szCs w:val="28"/>
                <w:rtl/>
              </w:rPr>
              <w:t xml:space="preserve"> </w:t>
            </w:r>
            <w:r w:rsidRPr="009F57C5">
              <w:rPr>
                <w:rFonts w:cs="FrankRuehl"/>
                <w:sz w:val="28"/>
                <w:szCs w:val="28"/>
                <w:rtl/>
              </w:rPr>
              <w:t>מדינת ישראל נ' נורי(עציר)</w:t>
            </w:r>
          </w:p>
          <w:p w14:paraId="6A4E8D59" w14:textId="77777777" w:rsidR="00BF4047" w:rsidRPr="009F57C5" w:rsidRDefault="00BF4047" w:rsidP="009230DF">
            <w:pPr>
              <w:pStyle w:val="a3"/>
              <w:rPr>
                <w:rFonts w:cs="FrankRuehl"/>
                <w:sz w:val="28"/>
                <w:szCs w:val="28"/>
                <w:rtl/>
              </w:rPr>
            </w:pPr>
          </w:p>
        </w:tc>
        <w:tc>
          <w:tcPr>
            <w:tcW w:w="3665" w:type="dxa"/>
          </w:tcPr>
          <w:p w14:paraId="62916E6A" w14:textId="77777777" w:rsidR="00BF4047" w:rsidRPr="009F57C5" w:rsidRDefault="00BF4047" w:rsidP="009230DF">
            <w:pPr>
              <w:pStyle w:val="a3"/>
              <w:jc w:val="right"/>
              <w:rPr>
                <w:rFonts w:cs="FrankRuehl"/>
                <w:sz w:val="28"/>
                <w:szCs w:val="28"/>
                <w:rtl/>
              </w:rPr>
            </w:pPr>
          </w:p>
        </w:tc>
      </w:tr>
    </w:tbl>
    <w:p w14:paraId="0FBA90C5" w14:textId="77777777" w:rsidR="00BF4047" w:rsidRPr="009F57C5" w:rsidRDefault="00BF4047" w:rsidP="00BF4047">
      <w:pPr>
        <w:pStyle w:val="a3"/>
        <w:rPr>
          <w:rtl/>
        </w:rPr>
      </w:pPr>
      <w:r w:rsidRPr="009F57C5">
        <w:rPr>
          <w:rFonts w:hint="cs"/>
          <w:rtl/>
        </w:rPr>
        <w:t xml:space="preserve"> </w:t>
      </w:r>
    </w:p>
    <w:p w14:paraId="035097A9" w14:textId="77777777" w:rsidR="00BF4047" w:rsidRPr="009F57C5" w:rsidRDefault="00BF4047" w:rsidP="00BF404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2798"/>
        <w:gridCol w:w="5099"/>
      </w:tblGrid>
      <w:tr w:rsidR="00BF4047" w:rsidRPr="009F57C5" w14:paraId="3AE9C6DB" w14:textId="77777777" w:rsidTr="00BF4047">
        <w:trPr>
          <w:trHeight w:val="295"/>
          <w:jc w:val="center"/>
        </w:trPr>
        <w:tc>
          <w:tcPr>
            <w:tcW w:w="923" w:type="dxa"/>
            <w:tcBorders>
              <w:top w:val="nil"/>
              <w:left w:val="nil"/>
              <w:bottom w:val="nil"/>
              <w:right w:val="nil"/>
            </w:tcBorders>
            <w:shd w:val="clear" w:color="auto" w:fill="auto"/>
          </w:tcPr>
          <w:p w14:paraId="45D6D1D1" w14:textId="77777777" w:rsidR="00BF4047" w:rsidRPr="009F57C5" w:rsidRDefault="00BF4047" w:rsidP="00BF4047">
            <w:pPr>
              <w:jc w:val="both"/>
              <w:rPr>
                <w:rFonts w:ascii="Arial" w:hAnsi="Arial"/>
                <w:b/>
                <w:bCs/>
              </w:rPr>
            </w:pPr>
            <w:r w:rsidRPr="009F57C5">
              <w:rPr>
                <w:rFonts w:ascii="Arial" w:hAnsi="Arial" w:hint="cs"/>
                <w:b/>
                <w:bCs/>
                <w:rtl/>
              </w:rPr>
              <w:t>ב</w:t>
            </w:r>
            <w:r w:rsidRPr="009F57C5">
              <w:rPr>
                <w:rFonts w:ascii="Arial" w:hAnsi="Arial"/>
                <w:b/>
                <w:bCs/>
                <w:rtl/>
              </w:rPr>
              <w:t>פני</w:t>
            </w:r>
            <w:r w:rsidRPr="009F57C5">
              <w:rPr>
                <w:rFonts w:ascii="Arial" w:hAnsi="Arial" w:hint="cs"/>
                <w:b/>
                <w:bCs/>
                <w:rtl/>
              </w:rPr>
              <w:t>:</w:t>
            </w:r>
            <w:r w:rsidRPr="009F57C5">
              <w:rPr>
                <w:rFonts w:ascii="Arial" w:hAnsi="Arial"/>
                <w:b/>
                <w:bCs/>
                <w:rtl/>
              </w:rPr>
              <w:t xml:space="preserve"> </w:t>
            </w:r>
          </w:p>
        </w:tc>
        <w:tc>
          <w:tcPr>
            <w:tcW w:w="7897" w:type="dxa"/>
            <w:gridSpan w:val="2"/>
            <w:tcBorders>
              <w:top w:val="nil"/>
              <w:left w:val="nil"/>
              <w:bottom w:val="nil"/>
              <w:right w:val="nil"/>
            </w:tcBorders>
            <w:shd w:val="clear" w:color="auto" w:fill="auto"/>
          </w:tcPr>
          <w:p w14:paraId="5D3C1D64" w14:textId="77777777" w:rsidR="00BF4047" w:rsidRPr="009F57C5" w:rsidRDefault="00BF4047" w:rsidP="009230DF">
            <w:pPr>
              <w:rPr>
                <w:rFonts w:ascii="Arial" w:hAnsi="Arial"/>
                <w:b/>
                <w:bCs/>
                <w:rtl/>
              </w:rPr>
            </w:pPr>
            <w:r w:rsidRPr="009F57C5">
              <w:rPr>
                <w:rFonts w:ascii="Arial" w:hAnsi="Arial" w:hint="cs"/>
                <w:b/>
                <w:bCs/>
                <w:rtl/>
              </w:rPr>
              <w:t>כבוד ה</w:t>
            </w:r>
            <w:r w:rsidRPr="009F57C5">
              <w:rPr>
                <w:rFonts w:ascii="Arial" w:hAnsi="Arial"/>
                <w:b/>
                <w:bCs/>
                <w:rtl/>
              </w:rPr>
              <w:t>שופט</w:t>
            </w:r>
            <w:r w:rsidRPr="009F57C5">
              <w:rPr>
                <w:rFonts w:ascii="Arial" w:hAnsi="Arial" w:hint="cs"/>
                <w:b/>
                <w:bCs/>
                <w:rtl/>
              </w:rPr>
              <w:t xml:space="preserve">  </w:t>
            </w:r>
            <w:r w:rsidRPr="009F57C5">
              <w:rPr>
                <w:rFonts w:ascii="Arial" w:hAnsi="Arial"/>
                <w:b/>
                <w:bCs/>
                <w:rtl/>
              </w:rPr>
              <w:t>אברהם רובין</w:t>
            </w:r>
          </w:p>
          <w:p w14:paraId="66407FE9" w14:textId="77777777" w:rsidR="00BF4047" w:rsidRPr="009F57C5" w:rsidRDefault="00BF4047" w:rsidP="009230DF">
            <w:pPr>
              <w:rPr>
                <w:rtl/>
              </w:rPr>
            </w:pPr>
          </w:p>
          <w:p w14:paraId="5377EDC7" w14:textId="77777777" w:rsidR="00BF4047" w:rsidRPr="009F57C5" w:rsidRDefault="00BF4047" w:rsidP="00BF4047">
            <w:pPr>
              <w:jc w:val="both"/>
              <w:rPr>
                <w:rFonts w:ascii="Arial" w:hAnsi="Arial" w:cs="FrankRuehl"/>
                <w:sz w:val="28"/>
                <w:szCs w:val="28"/>
              </w:rPr>
            </w:pPr>
          </w:p>
        </w:tc>
      </w:tr>
      <w:tr w:rsidR="00BF4047" w:rsidRPr="009F57C5" w14:paraId="453246F1" w14:textId="77777777" w:rsidTr="00BF4047">
        <w:trPr>
          <w:trHeight w:val="543"/>
          <w:jc w:val="center"/>
        </w:trPr>
        <w:tc>
          <w:tcPr>
            <w:tcW w:w="923" w:type="dxa"/>
            <w:tcBorders>
              <w:top w:val="nil"/>
              <w:left w:val="nil"/>
              <w:bottom w:val="nil"/>
              <w:right w:val="nil"/>
            </w:tcBorders>
            <w:shd w:val="clear" w:color="auto" w:fill="auto"/>
          </w:tcPr>
          <w:p w14:paraId="357E980D" w14:textId="77777777" w:rsidR="00BF4047" w:rsidRPr="009F57C5" w:rsidRDefault="00BF4047" w:rsidP="00BF4047">
            <w:pPr>
              <w:jc w:val="both"/>
              <w:rPr>
                <w:rFonts w:ascii="Arial" w:hAnsi="Arial"/>
                <w:b/>
                <w:bCs/>
              </w:rPr>
            </w:pPr>
            <w:bookmarkStart w:id="1" w:name="FirstAppellant"/>
            <w:r w:rsidRPr="009F57C5">
              <w:rPr>
                <w:rFonts w:ascii="Arial" w:hAnsi="Arial" w:hint="cs"/>
                <w:b/>
                <w:bCs/>
                <w:rtl/>
              </w:rPr>
              <w:t>בעניין:</w:t>
            </w:r>
          </w:p>
        </w:tc>
        <w:tc>
          <w:tcPr>
            <w:tcW w:w="2798" w:type="dxa"/>
            <w:tcBorders>
              <w:top w:val="nil"/>
              <w:left w:val="nil"/>
              <w:bottom w:val="nil"/>
              <w:right w:val="nil"/>
            </w:tcBorders>
            <w:shd w:val="clear" w:color="auto" w:fill="auto"/>
          </w:tcPr>
          <w:p w14:paraId="549BF20E" w14:textId="77777777" w:rsidR="00BF4047" w:rsidRPr="009F57C5" w:rsidRDefault="00BF4047" w:rsidP="009230DF">
            <w:pPr>
              <w:rPr>
                <w:b/>
                <w:bCs/>
              </w:rPr>
            </w:pPr>
            <w:r w:rsidRPr="009F57C5">
              <w:rPr>
                <w:rFonts w:hint="cs"/>
                <w:b/>
                <w:bCs/>
                <w:rtl/>
              </w:rPr>
              <w:t>המאשימה</w:t>
            </w:r>
          </w:p>
        </w:tc>
        <w:tc>
          <w:tcPr>
            <w:tcW w:w="5099" w:type="dxa"/>
            <w:tcBorders>
              <w:top w:val="nil"/>
              <w:left w:val="nil"/>
              <w:bottom w:val="nil"/>
              <w:right w:val="nil"/>
            </w:tcBorders>
            <w:shd w:val="clear" w:color="auto" w:fill="auto"/>
          </w:tcPr>
          <w:p w14:paraId="7DA1D9ED" w14:textId="77777777" w:rsidR="00BF4047" w:rsidRPr="009F57C5" w:rsidRDefault="00BF4047" w:rsidP="00BF4047">
            <w:pPr>
              <w:jc w:val="both"/>
              <w:rPr>
                <w:rFonts w:ascii="Arial" w:hAnsi="Arial"/>
                <w:b/>
                <w:bCs/>
              </w:rPr>
            </w:pPr>
            <w:r w:rsidRPr="009F57C5">
              <w:rPr>
                <w:rFonts w:ascii="Arial" w:hAnsi="Arial"/>
                <w:b/>
                <w:bCs/>
                <w:rtl/>
              </w:rPr>
              <w:t>מדינת ישראל</w:t>
            </w:r>
          </w:p>
        </w:tc>
      </w:tr>
      <w:bookmarkEnd w:id="1"/>
      <w:tr w:rsidR="00BF4047" w:rsidRPr="009F57C5" w14:paraId="1727B4A4" w14:textId="77777777" w:rsidTr="00BF4047">
        <w:trPr>
          <w:trHeight w:val="355"/>
          <w:jc w:val="center"/>
        </w:trPr>
        <w:tc>
          <w:tcPr>
            <w:tcW w:w="923" w:type="dxa"/>
            <w:tcBorders>
              <w:top w:val="nil"/>
              <w:left w:val="nil"/>
              <w:bottom w:val="nil"/>
              <w:right w:val="nil"/>
            </w:tcBorders>
            <w:shd w:val="clear" w:color="auto" w:fill="auto"/>
          </w:tcPr>
          <w:p w14:paraId="34D8707B" w14:textId="77777777" w:rsidR="00BF4047" w:rsidRPr="009F57C5" w:rsidRDefault="00BF4047" w:rsidP="00BF4047">
            <w:pPr>
              <w:jc w:val="both"/>
              <w:rPr>
                <w:rFonts w:ascii="Arial" w:hAnsi="Arial" w:cs="FrankRuehl"/>
                <w:sz w:val="28"/>
                <w:szCs w:val="28"/>
                <w:rtl/>
              </w:rPr>
            </w:pPr>
          </w:p>
        </w:tc>
        <w:tc>
          <w:tcPr>
            <w:tcW w:w="2798" w:type="dxa"/>
            <w:tcBorders>
              <w:top w:val="nil"/>
              <w:left w:val="nil"/>
              <w:bottom w:val="nil"/>
              <w:right w:val="nil"/>
            </w:tcBorders>
            <w:shd w:val="clear" w:color="auto" w:fill="auto"/>
          </w:tcPr>
          <w:p w14:paraId="6E5FEBDB" w14:textId="77777777" w:rsidR="00BF4047" w:rsidRPr="009F57C5" w:rsidRDefault="00BF4047" w:rsidP="00BF4047">
            <w:pPr>
              <w:jc w:val="both"/>
              <w:rPr>
                <w:rtl/>
              </w:rPr>
            </w:pPr>
          </w:p>
        </w:tc>
        <w:tc>
          <w:tcPr>
            <w:tcW w:w="5099" w:type="dxa"/>
            <w:tcBorders>
              <w:top w:val="nil"/>
              <w:left w:val="nil"/>
              <w:bottom w:val="nil"/>
              <w:right w:val="nil"/>
            </w:tcBorders>
            <w:shd w:val="clear" w:color="auto" w:fill="auto"/>
          </w:tcPr>
          <w:p w14:paraId="70E83434" w14:textId="77777777" w:rsidR="00BF4047" w:rsidRPr="009F57C5" w:rsidRDefault="00BF4047" w:rsidP="00BF4047">
            <w:pPr>
              <w:jc w:val="right"/>
              <w:rPr>
                <w:rFonts w:ascii="Arial" w:hAnsi="Arial" w:cs="FrankRuehl"/>
                <w:sz w:val="28"/>
                <w:szCs w:val="28"/>
                <w:rtl/>
              </w:rPr>
            </w:pPr>
          </w:p>
        </w:tc>
      </w:tr>
      <w:tr w:rsidR="00BF4047" w:rsidRPr="009F57C5" w14:paraId="002EDCAC" w14:textId="77777777" w:rsidTr="00BF4047">
        <w:trPr>
          <w:trHeight w:val="355"/>
          <w:jc w:val="center"/>
        </w:trPr>
        <w:tc>
          <w:tcPr>
            <w:tcW w:w="923" w:type="dxa"/>
            <w:tcBorders>
              <w:top w:val="nil"/>
              <w:left w:val="nil"/>
              <w:bottom w:val="nil"/>
              <w:right w:val="nil"/>
            </w:tcBorders>
            <w:shd w:val="clear" w:color="auto" w:fill="auto"/>
          </w:tcPr>
          <w:p w14:paraId="6949B3E5" w14:textId="77777777" w:rsidR="00BF4047" w:rsidRPr="009F57C5" w:rsidRDefault="00BF4047" w:rsidP="00BF4047">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B873A7F" w14:textId="77777777" w:rsidR="00BF4047" w:rsidRPr="009F57C5" w:rsidRDefault="00BF4047" w:rsidP="00BF4047">
            <w:pPr>
              <w:jc w:val="center"/>
              <w:rPr>
                <w:rFonts w:ascii="Arial" w:hAnsi="Arial" w:cs="FrankRuehl"/>
                <w:b/>
                <w:bCs/>
                <w:sz w:val="28"/>
                <w:szCs w:val="28"/>
                <w:rtl/>
              </w:rPr>
            </w:pPr>
          </w:p>
          <w:p w14:paraId="1DDBFFF7" w14:textId="77777777" w:rsidR="00BF4047" w:rsidRPr="009F57C5" w:rsidRDefault="00BF4047" w:rsidP="00BF4047">
            <w:pPr>
              <w:tabs>
                <w:tab w:val="left" w:pos="2958"/>
                <w:tab w:val="center" w:pos="3840"/>
              </w:tabs>
              <w:rPr>
                <w:rFonts w:ascii="Arial" w:hAnsi="Arial" w:cs="FrankRuehl"/>
                <w:b/>
                <w:bCs/>
                <w:sz w:val="28"/>
                <w:szCs w:val="28"/>
                <w:rtl/>
              </w:rPr>
            </w:pPr>
            <w:r w:rsidRPr="009F57C5">
              <w:rPr>
                <w:rFonts w:ascii="Arial" w:hAnsi="Arial" w:cs="FrankRuehl"/>
                <w:b/>
                <w:bCs/>
                <w:sz w:val="28"/>
                <w:szCs w:val="28"/>
                <w:rtl/>
              </w:rPr>
              <w:tab/>
            </w:r>
            <w:r w:rsidRPr="009F57C5">
              <w:rPr>
                <w:rFonts w:ascii="Arial" w:hAnsi="Arial" w:cs="FrankRuehl" w:hint="cs"/>
                <w:b/>
                <w:bCs/>
                <w:sz w:val="28"/>
                <w:szCs w:val="28"/>
                <w:rtl/>
              </w:rPr>
              <w:t xml:space="preserve">    </w:t>
            </w:r>
            <w:r w:rsidRPr="009F57C5">
              <w:rPr>
                <w:rFonts w:ascii="Arial" w:hAnsi="Arial" w:cs="FrankRuehl"/>
                <w:b/>
                <w:bCs/>
                <w:sz w:val="28"/>
                <w:szCs w:val="28"/>
                <w:rtl/>
              </w:rPr>
              <w:t>נגד</w:t>
            </w:r>
          </w:p>
          <w:p w14:paraId="1BF77ACD" w14:textId="77777777" w:rsidR="00BF4047" w:rsidRPr="009F57C5" w:rsidRDefault="00BF4047" w:rsidP="00BF4047">
            <w:pPr>
              <w:jc w:val="both"/>
              <w:rPr>
                <w:rFonts w:ascii="Arial" w:hAnsi="Arial" w:cs="FrankRuehl"/>
                <w:sz w:val="28"/>
                <w:szCs w:val="28"/>
              </w:rPr>
            </w:pPr>
          </w:p>
        </w:tc>
      </w:tr>
      <w:tr w:rsidR="00BF4047" w:rsidRPr="009F57C5" w14:paraId="348AFB8B" w14:textId="77777777" w:rsidTr="00BF4047">
        <w:trPr>
          <w:trHeight w:val="355"/>
          <w:jc w:val="center"/>
        </w:trPr>
        <w:tc>
          <w:tcPr>
            <w:tcW w:w="923" w:type="dxa"/>
            <w:tcBorders>
              <w:top w:val="nil"/>
              <w:left w:val="nil"/>
              <w:bottom w:val="nil"/>
              <w:right w:val="nil"/>
            </w:tcBorders>
            <w:shd w:val="clear" w:color="auto" w:fill="auto"/>
          </w:tcPr>
          <w:p w14:paraId="20D46FEE" w14:textId="77777777" w:rsidR="00BF4047" w:rsidRPr="009F57C5" w:rsidRDefault="00BF4047" w:rsidP="009230DF">
            <w:pPr>
              <w:rPr>
                <w:rFonts w:ascii="Arial" w:hAnsi="Arial" w:cs="FrankRuehl"/>
                <w:sz w:val="28"/>
                <w:szCs w:val="28"/>
                <w:rtl/>
              </w:rPr>
            </w:pPr>
          </w:p>
        </w:tc>
        <w:tc>
          <w:tcPr>
            <w:tcW w:w="2798" w:type="dxa"/>
            <w:tcBorders>
              <w:top w:val="nil"/>
              <w:left w:val="nil"/>
              <w:bottom w:val="nil"/>
              <w:right w:val="nil"/>
            </w:tcBorders>
            <w:shd w:val="clear" w:color="auto" w:fill="auto"/>
          </w:tcPr>
          <w:p w14:paraId="10D6AED8" w14:textId="77777777" w:rsidR="00BF4047" w:rsidRPr="009F57C5" w:rsidRDefault="00BF4047" w:rsidP="009230DF">
            <w:pPr>
              <w:rPr>
                <w:b/>
                <w:bCs/>
                <w:rtl/>
              </w:rPr>
            </w:pPr>
            <w:r w:rsidRPr="009F57C5">
              <w:rPr>
                <w:rFonts w:hint="cs"/>
                <w:b/>
                <w:bCs/>
                <w:rtl/>
              </w:rPr>
              <w:t>הנאשם</w:t>
            </w:r>
          </w:p>
        </w:tc>
        <w:tc>
          <w:tcPr>
            <w:tcW w:w="5099" w:type="dxa"/>
            <w:tcBorders>
              <w:top w:val="nil"/>
              <w:left w:val="nil"/>
              <w:bottom w:val="nil"/>
              <w:right w:val="nil"/>
            </w:tcBorders>
            <w:shd w:val="clear" w:color="auto" w:fill="auto"/>
          </w:tcPr>
          <w:p w14:paraId="16FE4ADF" w14:textId="77777777" w:rsidR="00BF4047" w:rsidRPr="009F57C5" w:rsidRDefault="00BF4047" w:rsidP="00BF4047">
            <w:pPr>
              <w:tabs>
                <w:tab w:val="right" w:pos="3555"/>
              </w:tabs>
              <w:rPr>
                <w:rFonts w:ascii="Arial" w:hAnsi="Arial" w:hint="cs"/>
                <w:b/>
                <w:bCs/>
                <w:rtl/>
              </w:rPr>
            </w:pPr>
            <w:r w:rsidRPr="009F57C5">
              <w:rPr>
                <w:rFonts w:ascii="Arial" w:hAnsi="Arial"/>
                <w:b/>
                <w:bCs/>
                <w:rtl/>
              </w:rPr>
              <w:t>מוסא נורי (עציר)</w:t>
            </w:r>
            <w:r w:rsidRPr="009F57C5">
              <w:rPr>
                <w:rFonts w:hint="cs"/>
                <w:b/>
                <w:bCs/>
                <w:rtl/>
              </w:rPr>
              <w:t xml:space="preserve"> </w:t>
            </w:r>
          </w:p>
        </w:tc>
      </w:tr>
      <w:tr w:rsidR="00BF4047" w:rsidRPr="009F57C5" w14:paraId="43AA7965" w14:textId="77777777" w:rsidTr="00BF4047">
        <w:trPr>
          <w:trHeight w:val="355"/>
          <w:jc w:val="center"/>
        </w:trPr>
        <w:tc>
          <w:tcPr>
            <w:tcW w:w="923" w:type="dxa"/>
            <w:tcBorders>
              <w:top w:val="nil"/>
              <w:left w:val="nil"/>
              <w:bottom w:val="nil"/>
              <w:right w:val="nil"/>
            </w:tcBorders>
            <w:shd w:val="clear" w:color="auto" w:fill="auto"/>
          </w:tcPr>
          <w:p w14:paraId="52E0D59E" w14:textId="77777777" w:rsidR="00BF4047" w:rsidRPr="009F57C5" w:rsidRDefault="00BF4047" w:rsidP="00BF4047">
            <w:pPr>
              <w:jc w:val="both"/>
              <w:rPr>
                <w:rFonts w:ascii="Arial" w:hAnsi="Arial" w:cs="FrankRuehl"/>
                <w:sz w:val="28"/>
                <w:szCs w:val="28"/>
                <w:rtl/>
              </w:rPr>
            </w:pPr>
          </w:p>
        </w:tc>
        <w:tc>
          <w:tcPr>
            <w:tcW w:w="2798" w:type="dxa"/>
            <w:tcBorders>
              <w:top w:val="nil"/>
              <w:left w:val="nil"/>
              <w:bottom w:val="nil"/>
              <w:right w:val="nil"/>
            </w:tcBorders>
            <w:shd w:val="clear" w:color="auto" w:fill="auto"/>
          </w:tcPr>
          <w:p w14:paraId="166FEB3D" w14:textId="77777777" w:rsidR="00BF4047" w:rsidRPr="009F57C5" w:rsidRDefault="00BF4047" w:rsidP="00BF4047">
            <w:pPr>
              <w:jc w:val="both"/>
              <w:rPr>
                <w:rtl/>
              </w:rPr>
            </w:pPr>
          </w:p>
        </w:tc>
        <w:tc>
          <w:tcPr>
            <w:tcW w:w="5099" w:type="dxa"/>
            <w:tcBorders>
              <w:top w:val="nil"/>
              <w:left w:val="nil"/>
              <w:bottom w:val="nil"/>
              <w:right w:val="nil"/>
            </w:tcBorders>
            <w:shd w:val="clear" w:color="auto" w:fill="auto"/>
          </w:tcPr>
          <w:p w14:paraId="5EA038A8" w14:textId="77777777" w:rsidR="00BF4047" w:rsidRPr="009F57C5" w:rsidRDefault="00BF4047" w:rsidP="00BF4047">
            <w:pPr>
              <w:jc w:val="right"/>
              <w:rPr>
                <w:rFonts w:ascii="Arial" w:hAnsi="Arial" w:cs="FrankRuehl"/>
                <w:sz w:val="28"/>
                <w:szCs w:val="28"/>
              </w:rPr>
            </w:pPr>
          </w:p>
        </w:tc>
      </w:tr>
    </w:tbl>
    <w:p w14:paraId="7DFFF4E6" w14:textId="77777777" w:rsidR="00815DE0" w:rsidRDefault="00815DE0" w:rsidP="00BF4047">
      <w:pPr>
        <w:rPr>
          <w:rtl/>
        </w:rPr>
      </w:pPr>
      <w:bookmarkStart w:id="2" w:name="LawTable"/>
      <w:bookmarkEnd w:id="2"/>
    </w:p>
    <w:p w14:paraId="5F631A42" w14:textId="77777777" w:rsidR="00815DE0" w:rsidRPr="00815DE0" w:rsidRDefault="00815DE0" w:rsidP="00815DE0">
      <w:pPr>
        <w:spacing w:after="120" w:line="240" w:lineRule="exact"/>
        <w:ind w:left="283" w:hanging="283"/>
        <w:jc w:val="both"/>
        <w:rPr>
          <w:rFonts w:ascii="FrankRuehl" w:hAnsi="FrankRuehl" w:cs="FrankRuehl"/>
          <w:rtl/>
        </w:rPr>
      </w:pPr>
    </w:p>
    <w:p w14:paraId="77F335CF" w14:textId="77777777" w:rsidR="00815DE0" w:rsidRPr="00815DE0" w:rsidRDefault="00815DE0" w:rsidP="00815DE0">
      <w:pPr>
        <w:spacing w:after="120" w:line="240" w:lineRule="exact"/>
        <w:ind w:left="283" w:hanging="283"/>
        <w:jc w:val="both"/>
        <w:rPr>
          <w:rFonts w:ascii="FrankRuehl" w:hAnsi="FrankRuehl" w:cs="FrankRuehl"/>
          <w:rtl/>
        </w:rPr>
      </w:pPr>
      <w:r w:rsidRPr="00815DE0">
        <w:rPr>
          <w:rFonts w:ascii="FrankRuehl" w:hAnsi="FrankRuehl" w:cs="FrankRuehl"/>
          <w:rtl/>
        </w:rPr>
        <w:t xml:space="preserve">חקיקה שאוזכרה: </w:t>
      </w:r>
    </w:p>
    <w:p w14:paraId="48642C40" w14:textId="77777777" w:rsidR="00815DE0" w:rsidRPr="00815DE0" w:rsidRDefault="00815DE0" w:rsidP="00815DE0">
      <w:pPr>
        <w:spacing w:after="120" w:line="240" w:lineRule="exact"/>
        <w:ind w:left="283" w:hanging="283"/>
        <w:jc w:val="both"/>
        <w:rPr>
          <w:rFonts w:ascii="FrankRuehl" w:hAnsi="FrankRuehl" w:cs="FrankRuehl"/>
          <w:rtl/>
        </w:rPr>
      </w:pPr>
      <w:hyperlink r:id="rId6" w:history="1">
        <w:r w:rsidRPr="00815DE0">
          <w:rPr>
            <w:rFonts w:ascii="FrankRuehl" w:hAnsi="FrankRuehl" w:cs="FrankRuehl"/>
            <w:color w:val="0000FF"/>
            <w:u w:val="single"/>
            <w:rtl/>
          </w:rPr>
          <w:t>חוק העונשין, תשל"ז-1977</w:t>
        </w:r>
      </w:hyperlink>
      <w:r w:rsidRPr="00815DE0">
        <w:rPr>
          <w:rFonts w:ascii="FrankRuehl" w:hAnsi="FrankRuehl" w:cs="FrankRuehl"/>
          <w:rtl/>
        </w:rPr>
        <w:t xml:space="preserve">: סע'  </w:t>
      </w:r>
      <w:hyperlink r:id="rId7" w:history="1">
        <w:r w:rsidRPr="00815DE0">
          <w:rPr>
            <w:rFonts w:ascii="FrankRuehl" w:hAnsi="FrankRuehl" w:cs="FrankRuehl"/>
            <w:color w:val="0000FF"/>
            <w:u w:val="single"/>
            <w:rtl/>
          </w:rPr>
          <w:t>144</w:t>
        </w:r>
      </w:hyperlink>
      <w:r w:rsidRPr="00815DE0">
        <w:rPr>
          <w:rFonts w:ascii="FrankRuehl" w:hAnsi="FrankRuehl" w:cs="FrankRuehl"/>
          <w:rtl/>
        </w:rPr>
        <w:t xml:space="preserve">, </w:t>
      </w:r>
      <w:hyperlink r:id="rId8" w:history="1">
        <w:r w:rsidRPr="00815DE0">
          <w:rPr>
            <w:rFonts w:ascii="FrankRuehl" w:hAnsi="FrankRuehl" w:cs="FrankRuehl"/>
            <w:color w:val="0000FF"/>
            <w:u w:val="single"/>
            <w:rtl/>
          </w:rPr>
          <w:t>144(ב)</w:t>
        </w:r>
      </w:hyperlink>
      <w:r w:rsidRPr="00815DE0">
        <w:rPr>
          <w:rFonts w:ascii="FrankRuehl" w:hAnsi="FrankRuehl" w:cs="FrankRuehl"/>
          <w:rtl/>
        </w:rPr>
        <w:t xml:space="preserve">, </w:t>
      </w:r>
      <w:hyperlink r:id="rId9" w:history="1">
        <w:r w:rsidRPr="00815DE0">
          <w:rPr>
            <w:rFonts w:ascii="FrankRuehl" w:hAnsi="FrankRuehl" w:cs="FrankRuehl"/>
            <w:color w:val="0000FF"/>
            <w:u w:val="single"/>
            <w:rtl/>
          </w:rPr>
          <w:t>144 (ב2)</w:t>
        </w:r>
      </w:hyperlink>
      <w:r w:rsidRPr="00815DE0">
        <w:rPr>
          <w:rFonts w:ascii="FrankRuehl" w:hAnsi="FrankRuehl" w:cs="FrankRuehl"/>
          <w:rtl/>
        </w:rPr>
        <w:t xml:space="preserve">, </w:t>
      </w:r>
      <w:hyperlink r:id="rId10" w:history="1">
        <w:r w:rsidRPr="00815DE0">
          <w:rPr>
            <w:rFonts w:ascii="FrankRuehl" w:hAnsi="FrankRuehl" w:cs="FrankRuehl"/>
            <w:color w:val="0000FF"/>
            <w:u w:val="single"/>
            <w:rtl/>
          </w:rPr>
          <w:t>40 יא'</w:t>
        </w:r>
      </w:hyperlink>
    </w:p>
    <w:p w14:paraId="46027C60" w14:textId="77777777" w:rsidR="00815DE0" w:rsidRPr="00815DE0" w:rsidRDefault="00815DE0" w:rsidP="00815DE0">
      <w:pPr>
        <w:spacing w:after="120" w:line="240" w:lineRule="exact"/>
        <w:ind w:left="283" w:hanging="283"/>
        <w:jc w:val="both"/>
        <w:rPr>
          <w:rFonts w:ascii="FrankRuehl" w:hAnsi="FrankRuehl" w:cs="FrankRuehl"/>
          <w:rtl/>
        </w:rPr>
      </w:pPr>
    </w:p>
    <w:p w14:paraId="686A42A5" w14:textId="77777777" w:rsidR="00815DE0" w:rsidRPr="00815DE0" w:rsidRDefault="00815DE0" w:rsidP="00BF4047">
      <w:pPr>
        <w:rPr>
          <w:rtl/>
        </w:rPr>
      </w:pPr>
      <w:bookmarkStart w:id="3" w:name="LawTable_End"/>
      <w:bookmarkEnd w:id="3"/>
    </w:p>
    <w:p w14:paraId="4F8B90A1" w14:textId="77777777" w:rsidR="004F3556" w:rsidRPr="004F3556" w:rsidRDefault="004F3556" w:rsidP="00BF4047">
      <w:pPr>
        <w:rPr>
          <w:rtl/>
        </w:rPr>
      </w:pPr>
    </w:p>
    <w:p w14:paraId="38383E6A" w14:textId="77777777" w:rsidR="00BF4047" w:rsidRPr="004F3556" w:rsidRDefault="00BF4047" w:rsidP="00BF4047"/>
    <w:p w14:paraId="60BF3EC0" w14:textId="77777777" w:rsidR="00BF4047" w:rsidRPr="009F57C5" w:rsidRDefault="00BF4047" w:rsidP="00BF4047">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F4047" w:rsidRPr="00D0742D" w14:paraId="62CB059B" w14:textId="77777777" w:rsidTr="00BF4047">
        <w:trPr>
          <w:trHeight w:val="355"/>
          <w:jc w:val="center"/>
        </w:trPr>
        <w:tc>
          <w:tcPr>
            <w:tcW w:w="8820" w:type="dxa"/>
            <w:tcBorders>
              <w:top w:val="nil"/>
              <w:left w:val="nil"/>
              <w:bottom w:val="nil"/>
              <w:right w:val="nil"/>
            </w:tcBorders>
            <w:shd w:val="clear" w:color="auto" w:fill="auto"/>
          </w:tcPr>
          <w:p w14:paraId="23D72837" w14:textId="77777777" w:rsidR="009F57C5" w:rsidRPr="009F57C5" w:rsidRDefault="009F57C5" w:rsidP="009F57C5">
            <w:pPr>
              <w:jc w:val="center"/>
              <w:rPr>
                <w:rFonts w:ascii="Arial" w:hAnsi="Arial"/>
                <w:b/>
                <w:bCs/>
                <w:sz w:val="32"/>
                <w:szCs w:val="32"/>
                <w:u w:val="single"/>
                <w:rtl/>
              </w:rPr>
            </w:pPr>
            <w:bookmarkStart w:id="4" w:name="PsakDin" w:colFirst="0" w:colLast="0"/>
            <w:bookmarkEnd w:id="0"/>
            <w:r w:rsidRPr="009F57C5">
              <w:rPr>
                <w:rFonts w:ascii="Arial" w:hAnsi="Arial"/>
                <w:b/>
                <w:bCs/>
                <w:sz w:val="32"/>
                <w:szCs w:val="32"/>
                <w:u w:val="single"/>
                <w:rtl/>
              </w:rPr>
              <w:t>גזר דין</w:t>
            </w:r>
          </w:p>
          <w:p w14:paraId="102E7F01" w14:textId="77777777" w:rsidR="00BF4047" w:rsidRPr="009F57C5" w:rsidRDefault="00BF4047" w:rsidP="009F57C5">
            <w:pPr>
              <w:jc w:val="center"/>
              <w:rPr>
                <w:rFonts w:ascii="Arial" w:hAnsi="Arial"/>
                <w:bCs/>
                <w:sz w:val="32"/>
                <w:szCs w:val="32"/>
                <w:u w:val="single"/>
                <w:rtl/>
              </w:rPr>
            </w:pPr>
          </w:p>
        </w:tc>
      </w:tr>
      <w:bookmarkEnd w:id="4"/>
    </w:tbl>
    <w:p w14:paraId="21A2E6A6" w14:textId="77777777" w:rsidR="00BF4047" w:rsidRPr="00D0742D" w:rsidRDefault="00BF4047" w:rsidP="00BF4047">
      <w:pPr>
        <w:rPr>
          <w:rFonts w:ascii="Arial" w:hAnsi="Arial"/>
          <w:rtl/>
        </w:rPr>
      </w:pPr>
    </w:p>
    <w:p w14:paraId="017731E5" w14:textId="77777777" w:rsidR="00BF4047" w:rsidRPr="00D0742D" w:rsidRDefault="00BF4047" w:rsidP="00BF4047">
      <w:pPr>
        <w:spacing w:line="360" w:lineRule="auto"/>
        <w:jc w:val="both"/>
        <w:rPr>
          <w:rFonts w:ascii="Arial" w:hAnsi="Arial"/>
          <w:rtl/>
        </w:rPr>
      </w:pPr>
    </w:p>
    <w:p w14:paraId="54C1CB86" w14:textId="77777777" w:rsidR="00BF4047" w:rsidRPr="00B8384F" w:rsidRDefault="00BF4047" w:rsidP="00BF4047">
      <w:pPr>
        <w:spacing w:line="360" w:lineRule="auto"/>
        <w:ind w:left="720" w:hanging="720"/>
        <w:jc w:val="both"/>
        <w:rPr>
          <w:rtl/>
        </w:rPr>
      </w:pPr>
      <w:r>
        <w:rPr>
          <w:rFonts w:hint="cs"/>
          <w:sz w:val="22"/>
          <w:szCs w:val="22"/>
          <w:rtl/>
        </w:rPr>
        <w:t>1</w:t>
      </w:r>
      <w:r w:rsidRPr="00B8384F">
        <w:rPr>
          <w:rFonts w:hint="cs"/>
          <w:rtl/>
        </w:rPr>
        <w:t>.</w:t>
      </w:r>
      <w:r w:rsidRPr="00B8384F">
        <w:rPr>
          <w:rFonts w:hint="cs"/>
          <w:rtl/>
        </w:rPr>
        <w:tab/>
      </w:r>
      <w:r w:rsidRPr="00B8384F">
        <w:rPr>
          <w:rFonts w:hint="cs"/>
          <w:b/>
          <w:bCs/>
          <w:u w:val="single"/>
          <w:rtl/>
        </w:rPr>
        <w:t>הכרעת הדין</w:t>
      </w:r>
    </w:p>
    <w:p w14:paraId="29A9A967" w14:textId="77777777" w:rsidR="00BF4047" w:rsidRPr="00B8384F" w:rsidRDefault="00BF4047" w:rsidP="00BF4047">
      <w:pPr>
        <w:spacing w:line="360" w:lineRule="auto"/>
        <w:ind w:left="720"/>
        <w:jc w:val="both"/>
        <w:rPr>
          <w:rtl/>
        </w:rPr>
      </w:pPr>
      <w:bookmarkStart w:id="5" w:name="ABSTRACT_START"/>
      <w:bookmarkEnd w:id="5"/>
      <w:r w:rsidRPr="00B8384F">
        <w:rPr>
          <w:rFonts w:hint="cs"/>
          <w:rtl/>
        </w:rPr>
        <w:t xml:space="preserve">ביום 11.12.17 הורשע הנאשם, על יסוד הודאתו בכתב האישום המתוקן במסגרת הסדר טיעון פתוח, בביצוע עבירה של נשיאת נשק </w:t>
      </w:r>
      <w:r w:rsidRPr="00B8384F">
        <w:rPr>
          <w:rtl/>
        </w:rPr>
        <w:t>–</w:t>
      </w:r>
      <w:r w:rsidRPr="00B8384F">
        <w:rPr>
          <w:rFonts w:hint="cs"/>
          <w:rtl/>
        </w:rPr>
        <w:t xml:space="preserve"> עבירה לפי </w:t>
      </w:r>
      <w:hyperlink r:id="rId11" w:history="1">
        <w:r w:rsidR="006C47E3" w:rsidRPr="006C47E3">
          <w:rPr>
            <w:color w:val="0000FF"/>
            <w:u w:val="single"/>
            <w:rtl/>
          </w:rPr>
          <w:t>סעיף 144(ב)</w:t>
        </w:r>
      </w:hyperlink>
      <w:r w:rsidRPr="00B8384F">
        <w:rPr>
          <w:rFonts w:hint="cs"/>
          <w:rtl/>
        </w:rPr>
        <w:t xml:space="preserve"> ל</w:t>
      </w:r>
      <w:hyperlink r:id="rId12" w:history="1">
        <w:r w:rsidR="009F57C5" w:rsidRPr="009F57C5">
          <w:rPr>
            <w:color w:val="0000FF"/>
            <w:u w:val="single"/>
            <w:rtl/>
          </w:rPr>
          <w:t>חוק העונשין</w:t>
        </w:r>
      </w:hyperlink>
      <w:r w:rsidRPr="00B8384F">
        <w:rPr>
          <w:rFonts w:hint="cs"/>
          <w:rtl/>
        </w:rPr>
        <w:t xml:space="preserve">, התשל"ז- 1977 (להלן </w:t>
      </w:r>
      <w:r w:rsidRPr="00B8384F">
        <w:rPr>
          <w:rtl/>
        </w:rPr>
        <w:t>–</w:t>
      </w:r>
      <w:r w:rsidRPr="00B8384F">
        <w:rPr>
          <w:rFonts w:hint="cs"/>
          <w:rtl/>
        </w:rPr>
        <w:t xml:space="preserve"> </w:t>
      </w:r>
      <w:r w:rsidRPr="00B8384F">
        <w:rPr>
          <w:rFonts w:hint="cs"/>
          <w:b/>
          <w:bCs/>
          <w:rtl/>
        </w:rPr>
        <w:t>"חוק העונשין"</w:t>
      </w:r>
      <w:r w:rsidRPr="00B8384F">
        <w:rPr>
          <w:rFonts w:hint="cs"/>
          <w:rtl/>
        </w:rPr>
        <w:t>).</w:t>
      </w:r>
    </w:p>
    <w:p w14:paraId="6CD48B90" w14:textId="77777777" w:rsidR="00BF4047" w:rsidRPr="00B8384F" w:rsidRDefault="00BF4047" w:rsidP="00BF4047">
      <w:pPr>
        <w:spacing w:line="360" w:lineRule="auto"/>
        <w:ind w:left="720" w:hanging="720"/>
        <w:jc w:val="both"/>
        <w:rPr>
          <w:rtl/>
        </w:rPr>
      </w:pPr>
    </w:p>
    <w:p w14:paraId="30FB0787" w14:textId="77777777" w:rsidR="00BF4047" w:rsidRPr="00B8384F" w:rsidRDefault="00BF4047" w:rsidP="00BF4047">
      <w:pPr>
        <w:spacing w:line="360" w:lineRule="auto"/>
        <w:ind w:left="720" w:hanging="720"/>
        <w:jc w:val="both"/>
        <w:rPr>
          <w:rtl/>
        </w:rPr>
      </w:pPr>
      <w:bookmarkStart w:id="6" w:name="ABSTRACT_END"/>
      <w:bookmarkEnd w:id="6"/>
      <w:r w:rsidRPr="00B8384F">
        <w:rPr>
          <w:rFonts w:hint="cs"/>
          <w:rtl/>
        </w:rPr>
        <w:t>2.</w:t>
      </w:r>
      <w:r w:rsidRPr="00B8384F">
        <w:rPr>
          <w:rFonts w:hint="cs"/>
          <w:rtl/>
        </w:rPr>
        <w:tab/>
        <w:t xml:space="preserve">על פי הנטען בעובדות כתב האישום המתוקן בהן הודה והורשע הנאשם, ביום 8.6.17 בשעה 14:00 לערך, נסע הנאשם לכיוון מחסום שועפט. בדרכו הבחין הנאשם בשוטרים שהקימו  מחסום מאולתר לשם בדיקת כלי רכב. על מנת שלא לעבור במחסום ביצע הנאשם פניית פרסה שלאחריה נעצר הנאשם על ידי כוח משטרתי נוסף. בעת נסיעה המתוארת, הוביל הנאשם בכלי הרכב שני מטעני נפץ מאולתרים שבכוחם להמית אדם, ואשר הורכבו </w:t>
      </w:r>
      <w:r w:rsidRPr="00B8384F">
        <w:rPr>
          <w:rFonts w:hint="cs"/>
          <w:rtl/>
        </w:rPr>
        <w:lastRenderedPageBreak/>
        <w:t xml:space="preserve">מתערובת חומרים הכוללים, בין היתר, תערובת נפץ, תערובת נפץ שמקורה בזיקוקים, ניטרוגליצרין, </w:t>
      </w:r>
      <w:r w:rsidRPr="00B8384F">
        <w:rPr>
          <w:rFonts w:hint="cs"/>
        </w:rPr>
        <w:t>DPA</w:t>
      </w:r>
      <w:r w:rsidRPr="00B8384F">
        <w:rPr>
          <w:rFonts w:hint="cs"/>
          <w:rtl/>
        </w:rPr>
        <w:t>,  גופרית ומלח ניטראתי.</w:t>
      </w:r>
    </w:p>
    <w:p w14:paraId="295C9565"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כאמור, בגין מעשה זה הורשע הנאשם בעבירה של נשיאת נשק.</w:t>
      </w:r>
    </w:p>
    <w:p w14:paraId="5FDC04E1" w14:textId="77777777" w:rsidR="00BF4047" w:rsidRPr="00B8384F" w:rsidRDefault="00BF4047" w:rsidP="00BF4047">
      <w:pPr>
        <w:spacing w:line="360" w:lineRule="auto"/>
        <w:ind w:left="720" w:hanging="720"/>
        <w:jc w:val="both"/>
        <w:rPr>
          <w:rtl/>
        </w:rPr>
      </w:pPr>
    </w:p>
    <w:p w14:paraId="16B406A1" w14:textId="77777777" w:rsidR="00BF4047" w:rsidRPr="00B8384F" w:rsidRDefault="00BF4047" w:rsidP="00BF4047">
      <w:pPr>
        <w:spacing w:line="360" w:lineRule="auto"/>
        <w:ind w:left="720" w:hanging="720"/>
        <w:jc w:val="both"/>
        <w:rPr>
          <w:rtl/>
        </w:rPr>
      </w:pPr>
      <w:r w:rsidRPr="00B8384F">
        <w:rPr>
          <w:rFonts w:hint="cs"/>
          <w:rtl/>
        </w:rPr>
        <w:t>3.</w:t>
      </w:r>
      <w:r w:rsidRPr="00B8384F">
        <w:rPr>
          <w:rtl/>
        </w:rPr>
        <w:tab/>
      </w:r>
      <w:r w:rsidRPr="00B8384F">
        <w:rPr>
          <w:rFonts w:hint="cs"/>
          <w:b/>
          <w:bCs/>
          <w:u w:val="single"/>
          <w:rtl/>
        </w:rPr>
        <w:t>ראיות הצדדים לעונש</w:t>
      </w:r>
    </w:p>
    <w:p w14:paraId="136F0EA1"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המאשימה הגישה במסגרת טיעוניה את רישומו הפלילי של הנאשם (ת/1). הרישום הפלילי כולל לא פחות מתשע עשרה הרשעות קודמות במגוון רחב של עבירות</w:t>
      </w:r>
      <w:r>
        <w:rPr>
          <w:rFonts w:hint="cs"/>
          <w:rtl/>
        </w:rPr>
        <w:t>,</w:t>
      </w:r>
      <w:r w:rsidRPr="00B8384F">
        <w:rPr>
          <w:rFonts w:hint="cs"/>
          <w:rtl/>
        </w:rPr>
        <w:t xml:space="preserve"> שתקצר היריעה מלפרט את כולן. ההרשעה האחרונה של הנאשם היא מיום 22.11.17 בגין עבירות של העלבת עובד ציבור במילוי תפקידו והפרעה לשוטר במילוי תפקידו, אשר בוצעו בשנת 2014 (הרשעה מס' 1 בגיליון ההרשעות). הנאשם הורשע גם בעבירות של איומים והחזקת סכין (הרשעות 2, 3  ו- 5 מהשנים 2016, 2012 ו- 2011). בשנת 2011 הורשע הנאשם בעבירה של שוד מזויין ונגזרו עליו בבית המשפט המחוזי חמש שנות מאסר. במסגרת ערעור שהוגש על גזר הדין  הופחת עונשו של הנאשם והועמד על ארבע שנות מאסר בלבד, זאת במטרה לעודד אותו להמשיך בתהליך הטיפולי שעבר (ראו </w:t>
      </w:r>
      <w:r w:rsidRPr="00B8384F">
        <w:rPr>
          <w:rtl/>
        </w:rPr>
        <w:t>–</w:t>
      </w:r>
      <w:r w:rsidRPr="00B8384F">
        <w:rPr>
          <w:rFonts w:hint="cs"/>
          <w:rtl/>
        </w:rPr>
        <w:t xml:space="preserve"> </w:t>
      </w:r>
      <w:hyperlink r:id="rId13" w:history="1">
        <w:r w:rsidR="009F57C5" w:rsidRPr="009F57C5">
          <w:rPr>
            <w:color w:val="0000FF"/>
            <w:u w:val="single"/>
            <w:rtl/>
          </w:rPr>
          <w:t>ע"פ 3846/10</w:t>
        </w:r>
      </w:hyperlink>
      <w:r w:rsidRPr="00B8384F">
        <w:rPr>
          <w:rFonts w:hint="cs"/>
          <w:rtl/>
        </w:rPr>
        <w:t xml:space="preserve"> </w:t>
      </w:r>
      <w:r w:rsidRPr="00B8384F">
        <w:rPr>
          <w:rFonts w:hint="cs"/>
          <w:b/>
          <w:bCs/>
          <w:rtl/>
        </w:rPr>
        <w:t>מוסא נורי בעראני</w:t>
      </w:r>
      <w:r w:rsidRPr="00B8384F">
        <w:rPr>
          <w:rFonts w:hint="cs"/>
          <w:rtl/>
        </w:rPr>
        <w:t xml:space="preserve"> נ' </w:t>
      </w:r>
      <w:r w:rsidRPr="00B8384F">
        <w:rPr>
          <w:rFonts w:hint="cs"/>
          <w:b/>
          <w:bCs/>
          <w:rtl/>
        </w:rPr>
        <w:t>מדינת ישראל</w:t>
      </w:r>
      <w:r w:rsidRPr="00B8384F">
        <w:rPr>
          <w:rFonts w:hint="cs"/>
          <w:rtl/>
        </w:rPr>
        <w:t xml:space="preserve"> [פורסם בנבו] (11.4.11)). כן הורשע הנאשם בשנת 2005 בעבירה נוספת של שוד מזויין, ונגזר עליו, לאחר הגשת ערעור, עונש מאסר של שלוש שנים (הרשעה מס' 8). ביני לביני, וכן בשנים מוקדמות יותר, הורשע הנאשם מספר פעמים בעבירות של גניבה (הרשעות מס' 7, 9, 11, ו- 16 (ריבוי עבירות)), בעבירות של החזקת סמים לצריכה עצמית (הרשעות מס' 4 ו- 10), בעבירות של סחר בסמים (הרשעות מס' 12 (שלוש עבירות), ו-15), ובעבירות של הצתת רכב מנועי במזיד (הרשעה מס' 19 מיום 1991 (שלוש עבירות)). ולבסוף, יצויין כי גם בשנת 1997 הורשע הנאשם בשש עבירות של שוד מזויין ונגזרו עליו שלושים חודשי מאסר (הרשעה מס' 17).</w:t>
      </w:r>
    </w:p>
    <w:p w14:paraId="2690FC8C" w14:textId="77777777" w:rsidR="00BF4047" w:rsidRPr="00B8384F" w:rsidRDefault="00BF4047" w:rsidP="00BF4047">
      <w:pPr>
        <w:spacing w:line="360" w:lineRule="auto"/>
        <w:ind w:left="720"/>
        <w:jc w:val="both"/>
        <w:rPr>
          <w:rtl/>
        </w:rPr>
      </w:pPr>
      <w:r w:rsidRPr="00B8384F">
        <w:rPr>
          <w:rFonts w:hint="cs"/>
          <w:rtl/>
        </w:rPr>
        <w:t>הנאשם לא הגיש ראיות לעונש ואף לא ביקש למסור דבר מפיו לאחר טיעוני בא כוחו.</w:t>
      </w:r>
      <w:r>
        <w:rPr>
          <w:rFonts w:hint="cs"/>
          <w:rtl/>
        </w:rPr>
        <w:t xml:space="preserve"> עם זאת בטרם נמסר גזר הדין הביע הנאשם את צערו ואת חרטתו על מעשהו, וביקש את התחשבות בית המשפט לנוכח מצבו המשפחתי ומצבה הרפואי של אמו.</w:t>
      </w:r>
    </w:p>
    <w:p w14:paraId="23355A55" w14:textId="77777777" w:rsidR="00BF4047" w:rsidRPr="00B8384F" w:rsidRDefault="00BF4047" w:rsidP="00BF4047">
      <w:pPr>
        <w:spacing w:line="360" w:lineRule="auto"/>
        <w:ind w:left="720"/>
        <w:jc w:val="both"/>
        <w:rPr>
          <w:rtl/>
        </w:rPr>
      </w:pPr>
    </w:p>
    <w:p w14:paraId="50D72FB1" w14:textId="77777777" w:rsidR="00BF4047" w:rsidRPr="00B8384F" w:rsidRDefault="00BF4047" w:rsidP="00BF4047">
      <w:pPr>
        <w:spacing w:line="360" w:lineRule="auto"/>
        <w:ind w:left="720" w:hanging="720"/>
        <w:jc w:val="both"/>
        <w:rPr>
          <w:rtl/>
        </w:rPr>
      </w:pPr>
      <w:r w:rsidRPr="00B8384F">
        <w:rPr>
          <w:rFonts w:hint="cs"/>
          <w:rtl/>
        </w:rPr>
        <w:t>4.</w:t>
      </w:r>
      <w:r w:rsidRPr="00B8384F">
        <w:rPr>
          <w:rFonts w:hint="cs"/>
          <w:rtl/>
        </w:rPr>
        <w:tab/>
      </w:r>
      <w:r w:rsidRPr="00B8384F">
        <w:rPr>
          <w:rFonts w:hint="cs"/>
          <w:b/>
          <w:bCs/>
          <w:u w:val="single"/>
          <w:rtl/>
        </w:rPr>
        <w:t>התסקיר</w:t>
      </w:r>
    </w:p>
    <w:p w14:paraId="6A4D77B5" w14:textId="77777777" w:rsidR="00BF4047" w:rsidRPr="00B8384F" w:rsidRDefault="00BF4047" w:rsidP="00BF4047">
      <w:pPr>
        <w:spacing w:line="360" w:lineRule="auto"/>
        <w:ind w:left="720"/>
        <w:jc w:val="both"/>
        <w:rPr>
          <w:rtl/>
        </w:rPr>
      </w:pPr>
      <w:r w:rsidRPr="00B8384F">
        <w:rPr>
          <w:rFonts w:hint="cs"/>
          <w:rtl/>
        </w:rPr>
        <w:t xml:space="preserve">לבקשת הנאשם הוגש בעניינו תסקיר. </w:t>
      </w:r>
    </w:p>
    <w:p w14:paraId="38F655DD" w14:textId="77777777" w:rsidR="00BF4047" w:rsidRDefault="00BF4047" w:rsidP="00BF4047">
      <w:pPr>
        <w:spacing w:line="360" w:lineRule="auto"/>
        <w:ind w:left="720" w:hanging="720"/>
        <w:jc w:val="both"/>
        <w:rPr>
          <w:rtl/>
        </w:rPr>
      </w:pPr>
      <w:r w:rsidRPr="00B8384F">
        <w:rPr>
          <w:rtl/>
        </w:rPr>
        <w:tab/>
      </w:r>
      <w:r w:rsidRPr="00B8384F">
        <w:rPr>
          <w:rFonts w:hint="cs"/>
          <w:rtl/>
        </w:rPr>
        <w:t>בתסקיר מתוארות נסיבות חייו הקשות של הנאשם. הנאשם נשר מבית הספר לאחר שש שנות לימוד בלבד</w:t>
      </w:r>
      <w:r>
        <w:rPr>
          <w:rFonts w:hint="cs"/>
          <w:rtl/>
        </w:rPr>
        <w:t>,</w:t>
      </w:r>
      <w:r w:rsidRPr="00B8384F">
        <w:rPr>
          <w:rFonts w:hint="cs"/>
          <w:rtl/>
        </w:rPr>
        <w:t xml:space="preserve"> והחל לעבוד עם אביו. האב עצמו ריצה מספר עונשי מאסר לאורך שנות ילדותו של הנאשם. שירות המבחן מציין כי לנאשם 19 הרשעות קודמות בגין מגוון עבירות אלימות, רכוש, סמים ואף עבירת מין אחת. שירות המבחן מציין כי ברקע ביצוע העבירה המיוחסת לנאשם עומדת אישיותו התוקפנית והאימפולסיבית</w:t>
      </w:r>
      <w:r>
        <w:rPr>
          <w:rFonts w:hint="cs"/>
          <w:rtl/>
        </w:rPr>
        <w:t>,</w:t>
      </w:r>
      <w:r w:rsidRPr="00B8384F">
        <w:rPr>
          <w:rFonts w:hint="cs"/>
          <w:rtl/>
        </w:rPr>
        <w:t xml:space="preserve"> וכן העובדה שהנאשם צורך סמים. שירות המבחן התרשם כי הנאשם איננו לוקח אחריות על ביצוע העבירה ומבטא חרטה מילולית בלבד לגביה. שירות המבחן סבור כי הנאשם ביצע את העבירה לשם השגת </w:t>
      </w:r>
      <w:r w:rsidRPr="00B8384F">
        <w:rPr>
          <w:rFonts w:hint="cs"/>
          <w:rtl/>
        </w:rPr>
        <w:lastRenderedPageBreak/>
        <w:t>רווח כספי לצורך מימון הסם. שירות המבחן ציין כי קיימים גורמי סיכוי לשיקומו של הנאשם, שכן הנאשם מבין ברמה הראשונית את השפעת השימוש המאסיבי בסמים ובאלכוהול על דפוסי פעולתו, ו</w:t>
      </w:r>
      <w:r>
        <w:rPr>
          <w:rFonts w:hint="cs"/>
          <w:rtl/>
        </w:rPr>
        <w:t xml:space="preserve">כן </w:t>
      </w:r>
      <w:r w:rsidRPr="00B8384F">
        <w:rPr>
          <w:rFonts w:hint="cs"/>
          <w:rtl/>
        </w:rPr>
        <w:t>הוא הביע מוטיבציה מילולית להימנע מצריכת חומרים אלו. לצד זאת פירט שירות המבחן גורמי סיכון להישנות העבירה, ובכלל זה  את מאפייני האישיות הבסיסיים של הנאשם ואת מעורבותו העמוקה בפליליים לאורך השנים. לנוכח חומרת העבירה ועמדתו הבעייתית של הנאשם ביחס אליה, סבור שירות המבחן כי אין מקום לנקיטת צעד שיקומי בעניינו של הנאשם. המלצת שירות המבחן היא שיוטל על הנאשם עונש מוחשי שיחדד לו את גבולות האסור והמותר. עם זאת, ממליץ שירות המבחן כי תינתן הוראה לגורמי הטיפול בשב"ס לבחון את התאמתו של הנאשם לתכנית שיקומית במסגרת בית הכלא. כמו כן, ממליץ שירות המבחן על הטלת עונש של מאסר על תנאי כגורם הרתעה נוסף.</w:t>
      </w:r>
    </w:p>
    <w:p w14:paraId="5D48C378" w14:textId="77777777" w:rsidR="00BF4047" w:rsidRDefault="00BF4047" w:rsidP="00BF4047">
      <w:pPr>
        <w:spacing w:line="360" w:lineRule="auto"/>
        <w:ind w:left="720" w:hanging="720"/>
        <w:jc w:val="both"/>
        <w:rPr>
          <w:rtl/>
        </w:rPr>
      </w:pPr>
    </w:p>
    <w:p w14:paraId="4B7FB7AC" w14:textId="77777777" w:rsidR="00BF4047" w:rsidRPr="00B8384F" w:rsidRDefault="00BF4047" w:rsidP="00BF4047">
      <w:pPr>
        <w:spacing w:line="360" w:lineRule="auto"/>
        <w:ind w:left="720" w:hanging="720"/>
        <w:jc w:val="both"/>
        <w:rPr>
          <w:rtl/>
        </w:rPr>
      </w:pPr>
      <w:r w:rsidRPr="00B8384F">
        <w:rPr>
          <w:rFonts w:hint="cs"/>
          <w:rtl/>
        </w:rPr>
        <w:t xml:space="preserve"> </w:t>
      </w:r>
    </w:p>
    <w:p w14:paraId="7DB61C98" w14:textId="77777777" w:rsidR="00BF4047" w:rsidRPr="00B8384F" w:rsidRDefault="00BF4047" w:rsidP="00BF4047">
      <w:pPr>
        <w:spacing w:line="360" w:lineRule="auto"/>
        <w:ind w:left="720" w:hanging="720"/>
        <w:jc w:val="both"/>
        <w:rPr>
          <w:rtl/>
        </w:rPr>
      </w:pPr>
    </w:p>
    <w:p w14:paraId="4E73EEA0" w14:textId="77777777" w:rsidR="00BF4047" w:rsidRPr="00B8384F" w:rsidRDefault="00BF4047" w:rsidP="00BF4047">
      <w:pPr>
        <w:spacing w:line="360" w:lineRule="auto"/>
        <w:ind w:left="720" w:hanging="720"/>
        <w:jc w:val="both"/>
        <w:rPr>
          <w:b/>
          <w:bCs/>
          <w:u w:val="single"/>
          <w:rtl/>
        </w:rPr>
      </w:pPr>
      <w:r w:rsidRPr="00B8384F">
        <w:rPr>
          <w:rFonts w:hint="cs"/>
          <w:rtl/>
        </w:rPr>
        <w:t>5.</w:t>
      </w:r>
      <w:r w:rsidRPr="00B8384F">
        <w:rPr>
          <w:rFonts w:hint="cs"/>
          <w:rtl/>
        </w:rPr>
        <w:tab/>
      </w:r>
      <w:r w:rsidRPr="00B8384F">
        <w:rPr>
          <w:rFonts w:hint="cs"/>
          <w:b/>
          <w:bCs/>
          <w:u w:val="single"/>
          <w:rtl/>
        </w:rPr>
        <w:t>טיעוני המאשימה לעונש</w:t>
      </w:r>
    </w:p>
    <w:p w14:paraId="50965042"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המאשימה טוענת כי העבירה בה הורשע הנאשם מצויה בלבו של הדין הפלילי הקלאסי. מדובר בעבירה חמורה שבצידה עונש של מאסר ממושך. מדובר בעבירה שהסיכון הכרוך בה רב, ואשר הופכת להיות נפוצה יותר ויותר,  ועל כן שמה לה המאשימה למטרה להביא להעלאת רף הענישה בגין עבירות נשק. ב"כ המאשימה טענה כי הנאשם אחראי למלוא מעש</w:t>
      </w:r>
      <w:r>
        <w:rPr>
          <w:rFonts w:hint="cs"/>
          <w:rtl/>
        </w:rPr>
        <w:t>ה</w:t>
      </w:r>
      <w:r w:rsidRPr="00B8384F">
        <w:rPr>
          <w:rFonts w:hint="cs"/>
          <w:rtl/>
        </w:rPr>
        <w:t xml:space="preserve"> העבירה. ב"כ המאשימה הדגישה את פוטנציאל הנזק גדול שגלום בעבירה </w:t>
      </w:r>
      <w:r>
        <w:rPr>
          <w:rFonts w:hint="cs"/>
          <w:rtl/>
        </w:rPr>
        <w:t>בשים לב לכך</w:t>
      </w:r>
      <w:r w:rsidRPr="00B8384F">
        <w:rPr>
          <w:rFonts w:hint="cs"/>
          <w:rtl/>
        </w:rPr>
        <w:t xml:space="preserve"> שמדובר במטעני צינור שעלולים היו בסופו של דבר להמית אדם. לטענת המאשימה בין אם הנאשם ביצע את העבירה ממניע פלילי ובין אם ממניע לאומני, הרי שיש מקום לענישה מרתיעה. לטענת המאשימה גלומה חומרה מיוחדת בעובדה שמדובר במטענים מאולתרים. המאשימה טוענת שאין לקבל את טענת הנאשם לפיה המרכיבים שהרכיבו את התערובת הם מרכיבים לא מאוד מסוכנים, כגון חומר שמקורו בזיקוקים, שכן גם חומר זה עלול לגרום למוות. אשר על כן, המאשימה סבורה כי מתחם העונש ההולם נע בין שלוש וחצי שנות מאסר לבין שמונה וחצי שנות מאסר בצירוף מאסר על תנאי. המאשימה סבורה כי לנוכח התסקיר יש להחמיר עם הנאשם ולכן יש למקם את עונשו של הנאשם ברף האמצעי </w:t>
      </w:r>
      <w:r w:rsidRPr="00B8384F">
        <w:rPr>
          <w:rtl/>
        </w:rPr>
        <w:t>–</w:t>
      </w:r>
      <w:r w:rsidRPr="00B8384F">
        <w:rPr>
          <w:rFonts w:hint="cs"/>
          <w:rtl/>
        </w:rPr>
        <w:t xml:space="preserve"> עליון של המתחם. כמו כן</w:t>
      </w:r>
      <w:r>
        <w:rPr>
          <w:rFonts w:hint="cs"/>
          <w:rtl/>
        </w:rPr>
        <w:t>,</w:t>
      </w:r>
      <w:r w:rsidRPr="00B8384F">
        <w:rPr>
          <w:rFonts w:hint="cs"/>
          <w:rtl/>
        </w:rPr>
        <w:t xml:space="preserve"> המאשימה עותרת לחילוט רכבו של הנאשם בטענה שהרכב שימש לצורך ביצוע העבירה. </w:t>
      </w:r>
    </w:p>
    <w:p w14:paraId="3191CF8A" w14:textId="77777777" w:rsidR="00BF4047" w:rsidRPr="00B8384F" w:rsidRDefault="00BF4047" w:rsidP="00BF4047">
      <w:pPr>
        <w:spacing w:line="360" w:lineRule="auto"/>
        <w:ind w:left="720" w:hanging="720"/>
        <w:jc w:val="both"/>
        <w:rPr>
          <w:rtl/>
        </w:rPr>
      </w:pPr>
    </w:p>
    <w:p w14:paraId="41D3B9A0" w14:textId="77777777" w:rsidR="00BF4047" w:rsidRPr="00B8384F" w:rsidRDefault="00BF4047" w:rsidP="00BF4047">
      <w:pPr>
        <w:spacing w:line="360" w:lineRule="auto"/>
        <w:ind w:left="720" w:hanging="720"/>
        <w:jc w:val="both"/>
        <w:rPr>
          <w:b/>
          <w:bCs/>
          <w:u w:val="single"/>
          <w:rtl/>
        </w:rPr>
      </w:pPr>
      <w:r w:rsidRPr="00B8384F">
        <w:rPr>
          <w:rFonts w:hint="cs"/>
          <w:rtl/>
        </w:rPr>
        <w:t>6.</w:t>
      </w:r>
      <w:r w:rsidRPr="00B8384F">
        <w:rPr>
          <w:rFonts w:hint="cs"/>
          <w:rtl/>
        </w:rPr>
        <w:tab/>
      </w:r>
      <w:r w:rsidRPr="00B8384F">
        <w:rPr>
          <w:rFonts w:hint="cs"/>
          <w:b/>
          <w:bCs/>
          <w:u w:val="single"/>
          <w:rtl/>
        </w:rPr>
        <w:t>טיעוני הנאשם לעונש</w:t>
      </w:r>
    </w:p>
    <w:p w14:paraId="7284F674" w14:textId="77777777" w:rsidR="00BF4047" w:rsidRPr="00B8384F" w:rsidRDefault="00BF4047" w:rsidP="00BF4047">
      <w:pPr>
        <w:spacing w:line="360" w:lineRule="auto"/>
        <w:ind w:left="720" w:hanging="720"/>
        <w:jc w:val="both"/>
        <w:rPr>
          <w:rtl/>
        </w:rPr>
      </w:pPr>
      <w:r w:rsidRPr="00B8384F">
        <w:rPr>
          <w:rFonts w:hint="cs"/>
          <w:rtl/>
        </w:rPr>
        <w:tab/>
        <w:t xml:space="preserve">ב"כ הנאשם טען כי </w:t>
      </w:r>
      <w:r>
        <w:rPr>
          <w:rFonts w:hint="cs"/>
          <w:rtl/>
        </w:rPr>
        <w:t>על אף</w:t>
      </w:r>
      <w:r w:rsidRPr="00B8384F">
        <w:rPr>
          <w:rFonts w:hint="cs"/>
          <w:rtl/>
        </w:rPr>
        <w:t xml:space="preserve"> </w:t>
      </w:r>
      <w:r>
        <w:rPr>
          <w:rFonts w:hint="cs"/>
          <w:rtl/>
        </w:rPr>
        <w:t>ש</w:t>
      </w:r>
      <w:r w:rsidRPr="00B8384F">
        <w:rPr>
          <w:rFonts w:hint="cs"/>
          <w:rtl/>
        </w:rPr>
        <w:t xml:space="preserve">לנאשם הרשעות הקודמות, </w:t>
      </w:r>
      <w:r>
        <w:rPr>
          <w:rFonts w:hint="cs"/>
          <w:rtl/>
        </w:rPr>
        <w:t>הרי ש</w:t>
      </w:r>
      <w:r w:rsidRPr="00B8384F">
        <w:rPr>
          <w:rFonts w:hint="cs"/>
          <w:rtl/>
        </w:rPr>
        <w:t xml:space="preserve">יש להביא בחשבון שחלק מהרשעותיו ישנות. כמו כן, טען ב"כ הנאשם כי יש להביא בחשבון שהנאשם לא הורשע בעבר בעבירה של נשיאת נשק. לדעת בא כוח הנאשם יש למקם את חומרת העבירה שביצע הנאשם ברף הנמוך כיוון שאין טענה שהנאשם משתייך לארגון טרור או לארגון פשע כלשהו. לדברי בא כוח הנאשם הרקע לביצוע העבירה ברור וידוע </w:t>
      </w:r>
      <w:r w:rsidRPr="00B8384F">
        <w:rPr>
          <w:rtl/>
        </w:rPr>
        <w:t>–</w:t>
      </w:r>
      <w:r w:rsidRPr="00B8384F">
        <w:rPr>
          <w:rFonts w:hint="cs"/>
          <w:rtl/>
        </w:rPr>
        <w:t xml:space="preserve"> המצב הכלכלי הקשה שבו נתון הנאשם והסביבה בה גדל. בא כוח הנאשם טען כי לנוכח העובדה שהנאשם מכור לסמים הרי ששיקומו של הנאשם גובר על האינטרס הציבורי </w:t>
      </w:r>
      <w:r>
        <w:rPr>
          <w:rFonts w:hint="cs"/>
          <w:rtl/>
        </w:rPr>
        <w:t>הכרוך ב</w:t>
      </w:r>
      <w:r w:rsidRPr="00B8384F">
        <w:rPr>
          <w:rFonts w:hint="cs"/>
          <w:rtl/>
        </w:rPr>
        <w:t>ענישה ממושכת. ב"כ כוח הנאשם הדגיש את העובדה שהנאשם הודה בהזדמנות הראשונה ובכך חסך זמן שיפוטי יקר, וכן את העובדה שהנאשם נטל אחריות על מעשהו. כמו כן, ציין בא כוח הנאשם כי התערובת בתוך מטעני הצינור הייתה מורכבת מחומר שמקורו בזיקוקים</w:t>
      </w:r>
      <w:r>
        <w:rPr>
          <w:rFonts w:hint="cs"/>
          <w:rtl/>
        </w:rPr>
        <w:t>,</w:t>
      </w:r>
      <w:r w:rsidRPr="00B8384F">
        <w:rPr>
          <w:rFonts w:hint="cs"/>
          <w:rtl/>
        </w:rPr>
        <w:t xml:space="preserve"> וכי לא מדובר בתערובת שיש בה כדי לגרום להדף, ומכאן שפוטנציאל הנזק של העבירה פחות</w:t>
      </w:r>
      <w:r>
        <w:rPr>
          <w:rFonts w:hint="cs"/>
          <w:rtl/>
        </w:rPr>
        <w:t xml:space="preserve"> גדול ממה שנטען. בנוגע לתסקיר ט</w:t>
      </w:r>
      <w:r w:rsidRPr="00B8384F">
        <w:rPr>
          <w:rFonts w:hint="cs"/>
          <w:rtl/>
        </w:rPr>
        <w:t xml:space="preserve">ען ב"כ הנאשם כי כל הנסיבות המפורטות בתסקיר צריכות להוביל למסקנה שראוי לנקוט בעניינו של הנאשם בגישה שיקומית. </w:t>
      </w:r>
    </w:p>
    <w:p w14:paraId="71EFBD58" w14:textId="77777777" w:rsidR="00BF4047" w:rsidRPr="00B8384F" w:rsidRDefault="00BF4047" w:rsidP="00BF4047">
      <w:pPr>
        <w:spacing w:line="360" w:lineRule="auto"/>
        <w:ind w:left="720" w:hanging="720"/>
        <w:jc w:val="both"/>
        <w:rPr>
          <w:rtl/>
        </w:rPr>
      </w:pPr>
      <w:r w:rsidRPr="00B8384F">
        <w:rPr>
          <w:rtl/>
        </w:rPr>
        <w:tab/>
      </w:r>
      <w:r>
        <w:rPr>
          <w:rFonts w:hint="cs"/>
          <w:rtl/>
        </w:rPr>
        <w:t>לאור כל האמור ט</w:t>
      </w:r>
      <w:r w:rsidRPr="00B8384F">
        <w:rPr>
          <w:rFonts w:hint="cs"/>
          <w:rtl/>
        </w:rPr>
        <w:t>ען ב"כ הנאשם כי המתחם לו טענה המאשימה גבוה מדי, א</w:t>
      </w:r>
      <w:r>
        <w:rPr>
          <w:rFonts w:hint="cs"/>
          <w:rtl/>
        </w:rPr>
        <w:t xml:space="preserve">ם כי ב"כ הנאשם לא הציע מתחם אחר, אלא </w:t>
      </w:r>
      <w:r w:rsidRPr="00B8384F">
        <w:rPr>
          <w:rFonts w:hint="cs"/>
          <w:rtl/>
        </w:rPr>
        <w:t xml:space="preserve">הסתפק בבקשה לגזור על הנאשם עונש מינימלי שלא יחרוג ממאסר על תנאי. </w:t>
      </w:r>
    </w:p>
    <w:p w14:paraId="153FC6E4"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 xml:space="preserve">לעניין חילוט הרכב ציין ב"כ הנאשם כי הרכב נמכר </w:t>
      </w:r>
      <w:r>
        <w:rPr>
          <w:rFonts w:hint="cs"/>
          <w:rtl/>
        </w:rPr>
        <w:t>זה מכבר</w:t>
      </w:r>
      <w:r w:rsidRPr="00B8384F">
        <w:rPr>
          <w:rFonts w:hint="cs"/>
          <w:rtl/>
        </w:rPr>
        <w:t xml:space="preserve"> תמורת 7,000 ₪ </w:t>
      </w:r>
      <w:r>
        <w:rPr>
          <w:rFonts w:hint="cs"/>
          <w:rtl/>
        </w:rPr>
        <w:t>בלבד, ו</w:t>
      </w:r>
      <w:r w:rsidRPr="00B8384F">
        <w:rPr>
          <w:rFonts w:hint="cs"/>
          <w:rtl/>
        </w:rPr>
        <w:t>כי משפחת הנאשם השתמשה בתמורה</w:t>
      </w:r>
      <w:r>
        <w:rPr>
          <w:rFonts w:hint="cs"/>
          <w:rtl/>
        </w:rPr>
        <w:t xml:space="preserve"> שקבלה</w:t>
      </w:r>
      <w:r w:rsidRPr="00B8384F">
        <w:rPr>
          <w:rFonts w:hint="cs"/>
          <w:rtl/>
        </w:rPr>
        <w:t xml:space="preserve">, כך שבקשת החילוט הפכה להיות לא אקטואלית. </w:t>
      </w:r>
    </w:p>
    <w:p w14:paraId="4ABDDE49" w14:textId="77777777" w:rsidR="00BF4047" w:rsidRPr="00B8384F" w:rsidRDefault="00BF4047" w:rsidP="00BF4047">
      <w:pPr>
        <w:spacing w:line="360" w:lineRule="auto"/>
        <w:ind w:left="720" w:hanging="720"/>
        <w:jc w:val="both"/>
        <w:rPr>
          <w:rtl/>
        </w:rPr>
      </w:pPr>
    </w:p>
    <w:p w14:paraId="71057EF8" w14:textId="77777777" w:rsidR="00BF4047" w:rsidRPr="00B8384F" w:rsidRDefault="00BF4047" w:rsidP="00BF4047">
      <w:pPr>
        <w:spacing w:line="360" w:lineRule="auto"/>
        <w:ind w:left="720" w:hanging="720"/>
        <w:jc w:val="both"/>
        <w:rPr>
          <w:b/>
          <w:bCs/>
          <w:u w:val="single"/>
          <w:rtl/>
        </w:rPr>
      </w:pPr>
      <w:r w:rsidRPr="00B8384F">
        <w:rPr>
          <w:rtl/>
        </w:rPr>
        <w:tab/>
      </w:r>
      <w:r w:rsidRPr="00B8384F">
        <w:rPr>
          <w:rFonts w:hint="cs"/>
          <w:b/>
          <w:bCs/>
          <w:u w:val="single"/>
          <w:rtl/>
        </w:rPr>
        <w:t>דיון והכרעה</w:t>
      </w:r>
    </w:p>
    <w:p w14:paraId="7AE4D1DF" w14:textId="77777777" w:rsidR="00BF4047" w:rsidRPr="00B8384F" w:rsidRDefault="00BF4047" w:rsidP="00BF4047">
      <w:pPr>
        <w:spacing w:line="360" w:lineRule="auto"/>
        <w:ind w:left="720" w:hanging="720"/>
        <w:jc w:val="both"/>
        <w:rPr>
          <w:b/>
          <w:bCs/>
          <w:u w:val="single"/>
          <w:rtl/>
        </w:rPr>
      </w:pPr>
    </w:p>
    <w:p w14:paraId="375459DD" w14:textId="77777777" w:rsidR="00BF4047" w:rsidRPr="00B8384F" w:rsidRDefault="00BF4047" w:rsidP="00BF4047">
      <w:pPr>
        <w:spacing w:line="360" w:lineRule="auto"/>
        <w:ind w:left="720" w:hanging="720"/>
        <w:jc w:val="both"/>
        <w:rPr>
          <w:rtl/>
        </w:rPr>
      </w:pPr>
      <w:r w:rsidRPr="00B8384F">
        <w:rPr>
          <w:rFonts w:hint="cs"/>
          <w:rtl/>
        </w:rPr>
        <w:t>7.</w:t>
      </w:r>
      <w:r w:rsidRPr="00B8384F">
        <w:rPr>
          <w:rFonts w:hint="cs"/>
          <w:rtl/>
        </w:rPr>
        <w:tab/>
      </w:r>
      <w:r w:rsidRPr="00B8384F">
        <w:rPr>
          <w:rFonts w:hint="cs"/>
          <w:b/>
          <w:bCs/>
          <w:u w:val="single"/>
          <w:rtl/>
        </w:rPr>
        <w:t>מתחם העונש ההולם</w:t>
      </w:r>
    </w:p>
    <w:p w14:paraId="3A0844E2"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 xml:space="preserve">עבירות הנשק, המפורטות על חלופותיהן השונות </w:t>
      </w:r>
      <w:hyperlink r:id="rId14" w:history="1">
        <w:r w:rsidR="004F3556" w:rsidRPr="004F3556">
          <w:rPr>
            <w:color w:val="0000FF"/>
            <w:u w:val="single"/>
            <w:rtl/>
          </w:rPr>
          <w:t>בסעיף 144</w:t>
        </w:r>
      </w:hyperlink>
      <w:r w:rsidRPr="00B8384F">
        <w:rPr>
          <w:rFonts w:hint="cs"/>
          <w:rtl/>
        </w:rPr>
        <w:t xml:space="preserve"> ל</w:t>
      </w:r>
      <w:hyperlink r:id="rId15" w:history="1">
        <w:r w:rsidR="009F57C5" w:rsidRPr="009F57C5">
          <w:rPr>
            <w:color w:val="0000FF"/>
            <w:u w:val="single"/>
            <w:rtl/>
          </w:rPr>
          <w:t>חוק העונשין</w:t>
        </w:r>
      </w:hyperlink>
      <w:r w:rsidRPr="00B8384F">
        <w:rPr>
          <w:rFonts w:hint="cs"/>
          <w:rtl/>
        </w:rPr>
        <w:t>, הן עבירות שעניינן בהגנה על הערך החברתי היסודי והבסיסי ביותר - שלום חייו ושלמות גופו של האדם. פגיעתן של עבירות הנשק בערך החברתי המוגן היא קשה וחמורה:</w:t>
      </w:r>
    </w:p>
    <w:p w14:paraId="6A476485" w14:textId="77777777" w:rsidR="00BF4047" w:rsidRPr="00B8384F" w:rsidRDefault="00BF4047" w:rsidP="00BF4047">
      <w:pPr>
        <w:spacing w:line="360" w:lineRule="auto"/>
        <w:ind w:left="720" w:hanging="720"/>
        <w:jc w:val="both"/>
        <w:rPr>
          <w:rtl/>
        </w:rPr>
      </w:pPr>
    </w:p>
    <w:p w14:paraId="4FE83B06" w14:textId="77777777" w:rsidR="00BF4047" w:rsidRPr="00B8384F" w:rsidRDefault="00BF4047" w:rsidP="00BF4047">
      <w:pPr>
        <w:spacing w:line="360" w:lineRule="auto"/>
        <w:ind w:left="1417" w:right="851"/>
        <w:jc w:val="both"/>
        <w:rPr>
          <w:b/>
          <w:bCs/>
          <w:rtl/>
        </w:rPr>
      </w:pPr>
      <w:r w:rsidRPr="00B8384F">
        <w:rPr>
          <w:rFonts w:hint="cs"/>
          <w:b/>
          <w:bCs/>
          <w:rtl/>
        </w:rPr>
        <w:t>"</w:t>
      </w:r>
      <w:r w:rsidRPr="00B8384F">
        <w:rPr>
          <w:b/>
          <w:bCs/>
          <w:rtl/>
        </w:rPr>
        <w:t>עבירות בנשק חומרתן מכופלת,</w:t>
      </w:r>
      <w:r w:rsidRPr="00B8384F">
        <w:rPr>
          <w:rFonts w:hint="cs"/>
          <w:b/>
          <w:bCs/>
          <w:rtl/>
        </w:rPr>
        <w:t xml:space="preserve"> </w:t>
      </w:r>
      <w:r w:rsidRPr="00B8384F">
        <w:rPr>
          <w:b/>
          <w:bCs/>
          <w:rtl/>
        </w:rPr>
        <w:t>הן בעצם המעבר על החוק והן ובמוטעם במאטריה הספציפית; נשק שאינו כדין, קרי - ברישיון כדבעי, מועד לפורענות. זכורה האמירה, אם ראית במחזה תיאטרון אקדח במערכה הראשונה, סופו שיירה במערכה השניה או השלישית. הימצאו של נשק בידיים לא נכונות, עלול להביא בסופו של יום אף לקיפוד חיי אדם ר"ל</w:t>
      </w:r>
      <w:r w:rsidRPr="00B8384F">
        <w:rPr>
          <w:rFonts w:hint="cs"/>
          <w:b/>
          <w:bCs/>
          <w:rtl/>
        </w:rPr>
        <w:t>"</w:t>
      </w:r>
    </w:p>
    <w:p w14:paraId="1B2D46EC" w14:textId="77777777" w:rsidR="00BF4047" w:rsidRPr="00B8384F" w:rsidRDefault="00BF4047" w:rsidP="00BF4047">
      <w:pPr>
        <w:spacing w:line="360" w:lineRule="auto"/>
        <w:ind w:left="1417" w:right="851"/>
        <w:jc w:val="both"/>
        <w:rPr>
          <w:rtl/>
        </w:rPr>
      </w:pPr>
      <w:r w:rsidRPr="00B8384F">
        <w:rPr>
          <w:rFonts w:hint="cs"/>
          <w:rtl/>
        </w:rPr>
        <w:t>(</w:t>
      </w:r>
      <w:hyperlink r:id="rId16" w:history="1">
        <w:r w:rsidR="009F57C5" w:rsidRPr="009F57C5">
          <w:rPr>
            <w:color w:val="0000FF"/>
            <w:u w:val="single"/>
            <w:rtl/>
          </w:rPr>
          <w:t>ע"פ 6371/11</w:t>
        </w:r>
      </w:hyperlink>
      <w:r w:rsidRPr="00B8384F">
        <w:rPr>
          <w:rFonts w:hint="cs"/>
          <w:rtl/>
        </w:rPr>
        <w:t xml:space="preserve"> </w:t>
      </w:r>
      <w:r w:rsidRPr="00B8384F">
        <w:rPr>
          <w:rFonts w:hint="cs"/>
          <w:b/>
          <w:bCs/>
          <w:rtl/>
        </w:rPr>
        <w:t>מדינת ישראל</w:t>
      </w:r>
      <w:r w:rsidRPr="00B8384F">
        <w:rPr>
          <w:rFonts w:hint="cs"/>
          <w:rtl/>
        </w:rPr>
        <w:t xml:space="preserve"> נ' </w:t>
      </w:r>
      <w:r w:rsidRPr="00B8384F">
        <w:rPr>
          <w:rFonts w:hint="cs"/>
          <w:b/>
          <w:bCs/>
          <w:rtl/>
        </w:rPr>
        <w:t>אנס הייבי</w:t>
      </w:r>
      <w:r w:rsidRPr="00B8384F">
        <w:rPr>
          <w:rFonts w:hint="cs"/>
          <w:rtl/>
        </w:rPr>
        <w:t xml:space="preserve"> [פורסם בנבו] (18.12.11)).</w:t>
      </w:r>
    </w:p>
    <w:p w14:paraId="33069B3C" w14:textId="77777777" w:rsidR="00BF4047" w:rsidRPr="00B8384F" w:rsidRDefault="00BF4047" w:rsidP="00BF4047">
      <w:pPr>
        <w:spacing w:line="360" w:lineRule="auto"/>
        <w:ind w:left="720"/>
        <w:jc w:val="both"/>
        <w:rPr>
          <w:b/>
          <w:bCs/>
          <w:rtl/>
        </w:rPr>
      </w:pPr>
    </w:p>
    <w:p w14:paraId="1F7E1BEC" w14:textId="77777777" w:rsidR="00BF4047" w:rsidRPr="00B8384F" w:rsidRDefault="00BF4047" w:rsidP="00BF4047">
      <w:pPr>
        <w:spacing w:line="360" w:lineRule="auto"/>
        <w:ind w:left="720"/>
        <w:jc w:val="both"/>
        <w:rPr>
          <w:rtl/>
        </w:rPr>
      </w:pPr>
      <w:r w:rsidRPr="00B8384F">
        <w:rPr>
          <w:rFonts w:hint="cs"/>
          <w:rtl/>
        </w:rPr>
        <w:t>בהמשך לכך נפסק כי :</w:t>
      </w:r>
    </w:p>
    <w:p w14:paraId="4401FF61" w14:textId="77777777" w:rsidR="00BF4047" w:rsidRPr="00B8384F" w:rsidRDefault="00BF4047" w:rsidP="00BF4047">
      <w:pPr>
        <w:spacing w:line="360" w:lineRule="auto"/>
        <w:ind w:left="720" w:hanging="720"/>
        <w:jc w:val="both"/>
        <w:rPr>
          <w:rtl/>
        </w:rPr>
      </w:pPr>
    </w:p>
    <w:p w14:paraId="1BAF137E" w14:textId="77777777" w:rsidR="00BF4047" w:rsidRPr="00B8384F" w:rsidRDefault="00BF4047" w:rsidP="00BF4047">
      <w:pPr>
        <w:spacing w:line="360" w:lineRule="auto"/>
        <w:ind w:left="1417" w:right="851"/>
        <w:jc w:val="both"/>
        <w:rPr>
          <w:b/>
          <w:bCs/>
          <w:rtl/>
        </w:rPr>
      </w:pPr>
      <w:r w:rsidRPr="00B8384F">
        <w:rPr>
          <w:b/>
          <w:bCs/>
          <w:rtl/>
        </w:rPr>
        <w:tab/>
      </w:r>
      <w:r w:rsidRPr="00B8384F">
        <w:rPr>
          <w:rFonts w:hint="cs"/>
          <w:b/>
          <w:bCs/>
          <w:rtl/>
        </w:rPr>
        <w:t>"....</w:t>
      </w:r>
      <w:r w:rsidRPr="00B8384F">
        <w:rPr>
          <w:b/>
          <w:bCs/>
          <w:rtl/>
        </w:rPr>
        <w:t xml:space="preserve"> מידת העונש המוטל בגין עבירות המבוצעות בנשק, מושפעת מפוטנציאל הסיכון הרב הטמון בנשק המוחזק שלא כדין ומהעברתו מיד ליד ללא פיקוח. בבוא בית-המשפט לגזור את הדין בעבירה של החזקה ונשיאה של נשק עליו להתחשב בנסיבות שבהן באה לידי ביטוי החומרה המיוחדת שבעבירה. בין היתר, ייתן בית-המשפט דעתו על סוג הנשק המוחזק שלא כדין, על כמותו, על התכלית שלשמה הוא מוחזק ועל הסכנה המוחשית שיעשה בו שימוש </w:t>
      </w:r>
      <w:r w:rsidRPr="00B8384F">
        <w:rPr>
          <w:rtl/>
        </w:rPr>
        <w:t xml:space="preserve">(השוו </w:t>
      </w:r>
      <w:hyperlink r:id="rId17" w:history="1">
        <w:r w:rsidR="009F57C5" w:rsidRPr="009F57C5">
          <w:rPr>
            <w:rFonts w:cs="Times New Roman"/>
            <w:color w:val="0000FF"/>
            <w:u w:val="single"/>
            <w:rtl/>
          </w:rPr>
          <w:t>ב"ש 625/82</w:t>
        </w:r>
      </w:hyperlink>
      <w:r w:rsidRPr="00B8384F">
        <w:rPr>
          <w:rtl/>
        </w:rPr>
        <w:t xml:space="preserve"> מחמוד נ' מדינת ישראל [1])</w:t>
      </w:r>
      <w:r w:rsidRPr="00B8384F">
        <w:rPr>
          <w:b/>
          <w:bCs/>
          <w:rtl/>
        </w:rPr>
        <w:t>. 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w:t>
      </w:r>
      <w:r w:rsidRPr="00B8384F">
        <w:rPr>
          <w:rFonts w:hint="cs"/>
          <w:b/>
          <w:bCs/>
          <w:rtl/>
        </w:rPr>
        <w:t>"</w:t>
      </w:r>
    </w:p>
    <w:p w14:paraId="268B87CA" w14:textId="77777777" w:rsidR="00BF4047" w:rsidRPr="00B8384F" w:rsidRDefault="00BF4047" w:rsidP="00BF4047">
      <w:pPr>
        <w:spacing w:line="360" w:lineRule="auto"/>
        <w:ind w:left="1417" w:right="851"/>
        <w:jc w:val="both"/>
        <w:rPr>
          <w:rtl/>
        </w:rPr>
      </w:pPr>
      <w:r w:rsidRPr="00B8384F">
        <w:rPr>
          <w:b/>
          <w:bCs/>
          <w:rtl/>
        </w:rPr>
        <w:tab/>
      </w:r>
      <w:r w:rsidRPr="00B8384F">
        <w:rPr>
          <w:rFonts w:hint="cs"/>
          <w:rtl/>
        </w:rPr>
        <w:t xml:space="preserve">(ע"פ 1332/04 </w:t>
      </w:r>
      <w:r w:rsidRPr="00B8384F">
        <w:rPr>
          <w:rFonts w:hint="cs"/>
          <w:b/>
          <w:bCs/>
          <w:rtl/>
        </w:rPr>
        <w:t>מדינת ישראל</w:t>
      </w:r>
      <w:r w:rsidRPr="00B8384F">
        <w:rPr>
          <w:rFonts w:hint="cs"/>
          <w:rtl/>
        </w:rPr>
        <w:t xml:space="preserve"> נ' </w:t>
      </w:r>
      <w:r w:rsidRPr="00B8384F">
        <w:rPr>
          <w:rFonts w:hint="cs"/>
          <w:b/>
          <w:bCs/>
          <w:rtl/>
        </w:rPr>
        <w:t>פס</w:t>
      </w:r>
      <w:r w:rsidRPr="00B8384F">
        <w:rPr>
          <w:rFonts w:hint="cs"/>
          <w:rtl/>
        </w:rPr>
        <w:t xml:space="preserve"> [פורסם בנבו] (19.4.04)</w:t>
      </w:r>
    </w:p>
    <w:p w14:paraId="51E52101" w14:textId="77777777" w:rsidR="00BF4047" w:rsidRPr="00B8384F" w:rsidRDefault="00BF4047" w:rsidP="00BF4047">
      <w:pPr>
        <w:spacing w:line="360" w:lineRule="auto"/>
        <w:ind w:left="720" w:hanging="720"/>
        <w:jc w:val="both"/>
        <w:rPr>
          <w:b/>
          <w:bCs/>
          <w:rtl/>
        </w:rPr>
      </w:pPr>
    </w:p>
    <w:p w14:paraId="5E300E49" w14:textId="77777777" w:rsidR="00BF4047" w:rsidRPr="00B8384F" w:rsidRDefault="00BF4047" w:rsidP="00BF4047">
      <w:pPr>
        <w:spacing w:line="360" w:lineRule="auto"/>
        <w:ind w:left="720" w:hanging="720"/>
        <w:jc w:val="both"/>
        <w:rPr>
          <w:rtl/>
        </w:rPr>
      </w:pPr>
      <w:r w:rsidRPr="00B8384F">
        <w:rPr>
          <w:b/>
          <w:bCs/>
          <w:rtl/>
        </w:rPr>
        <w:tab/>
      </w:r>
      <w:r w:rsidRPr="00B8384F">
        <w:rPr>
          <w:rFonts w:hint="cs"/>
          <w:rtl/>
        </w:rPr>
        <w:t xml:space="preserve">ככלל, הענישה בעבירות נשק צריכה לכלול רכיב של מאסר בפועל (ראו </w:t>
      </w:r>
      <w:r w:rsidRPr="00B8384F">
        <w:rPr>
          <w:rtl/>
        </w:rPr>
        <w:t>–</w:t>
      </w:r>
      <w:r w:rsidRPr="00B8384F">
        <w:rPr>
          <w:rFonts w:hint="cs"/>
          <w:rtl/>
        </w:rPr>
        <w:t xml:space="preserve"> ע"פ </w:t>
      </w:r>
      <w:hyperlink r:id="rId18" w:history="1">
        <w:r w:rsidR="00815DE0" w:rsidRPr="00815DE0">
          <w:rPr>
            <w:color w:val="0000FF"/>
            <w:u w:val="single"/>
            <w:rtl/>
          </w:rPr>
          <w:t xml:space="preserve">5220.09 </w:t>
        </w:r>
      </w:hyperlink>
      <w:r w:rsidRPr="00B8384F">
        <w:rPr>
          <w:rFonts w:hint="cs"/>
          <w:rtl/>
        </w:rPr>
        <w:t xml:space="preserve"> </w:t>
      </w:r>
      <w:r w:rsidRPr="00B8384F">
        <w:rPr>
          <w:rFonts w:hint="cs"/>
          <w:b/>
          <w:bCs/>
          <w:rtl/>
        </w:rPr>
        <w:t>עוואודה</w:t>
      </w:r>
      <w:r w:rsidRPr="00B8384F">
        <w:rPr>
          <w:rFonts w:hint="cs"/>
          <w:rtl/>
        </w:rPr>
        <w:t xml:space="preserve"> נ' </w:t>
      </w:r>
      <w:r w:rsidRPr="00B8384F">
        <w:rPr>
          <w:rFonts w:hint="cs"/>
          <w:b/>
          <w:bCs/>
          <w:rtl/>
        </w:rPr>
        <w:t>מדינת ישראל</w:t>
      </w:r>
      <w:r w:rsidRPr="00B8384F">
        <w:rPr>
          <w:rFonts w:hint="cs"/>
          <w:rtl/>
        </w:rPr>
        <w:t xml:space="preserve"> [פורסם בנבו] (30.12.09)), תוך שקילת הנסיבות של כל מקרה לגופו (</w:t>
      </w:r>
      <w:hyperlink r:id="rId19" w:history="1">
        <w:r w:rsidR="009F57C5" w:rsidRPr="009F57C5">
          <w:rPr>
            <w:color w:val="0000FF"/>
            <w:u w:val="single"/>
            <w:rtl/>
          </w:rPr>
          <w:t>ע"פ 9702/16</w:t>
        </w:r>
      </w:hyperlink>
      <w:r w:rsidRPr="00B8384F">
        <w:rPr>
          <w:rFonts w:hint="cs"/>
          <w:rtl/>
        </w:rPr>
        <w:t xml:space="preserve"> </w:t>
      </w:r>
      <w:r w:rsidRPr="00B8384F">
        <w:rPr>
          <w:rFonts w:hint="cs"/>
          <w:b/>
          <w:bCs/>
          <w:rtl/>
        </w:rPr>
        <w:t>אלוליאיה</w:t>
      </w:r>
      <w:r w:rsidRPr="00B8384F">
        <w:rPr>
          <w:rFonts w:hint="cs"/>
          <w:rtl/>
        </w:rPr>
        <w:t xml:space="preserve"> נ' </w:t>
      </w:r>
      <w:r w:rsidRPr="00B8384F">
        <w:rPr>
          <w:rFonts w:hint="cs"/>
          <w:b/>
          <w:bCs/>
          <w:rtl/>
        </w:rPr>
        <w:t>מדינת ישראל</w:t>
      </w:r>
      <w:r w:rsidRPr="00B8384F">
        <w:rPr>
          <w:rFonts w:hint="cs"/>
          <w:rtl/>
        </w:rPr>
        <w:t xml:space="preserve"> (13.9.17)). בהחלטה שנתנה ב</w:t>
      </w:r>
      <w:hyperlink r:id="rId20" w:history="1">
        <w:r w:rsidR="009F57C5" w:rsidRPr="009F57C5">
          <w:rPr>
            <w:color w:val="0000FF"/>
            <w:u w:val="single"/>
            <w:rtl/>
          </w:rPr>
          <w:t>ב"ש 625/82 אבו מוך נ' מדינת ישראל (פ"ד לז</w:t>
        </w:r>
      </w:hyperlink>
      <w:r w:rsidRPr="00B8384F">
        <w:rPr>
          <w:rFonts w:hint="cs"/>
          <w:rtl/>
        </w:rPr>
        <w:t xml:space="preserve"> (3) 668 (1983)), ערך בית המשפט העליון מדרג של עבירות החזקת נשק לפי חומרתן, כאשר בראש הרשימה מבחינת החומרה, ניצבות עבירות של החזקת נשק שבוצעו במטרה לפגוע בביטחון המדינה או הציבור, או לשם ביצוע עבירה פלילית ספציפית, באמצע הרשימה נמצאות עבירות של החזקת נשק שבוצעו לשם צבירת נשק לעת מצוא, או לשם הגנה עצמית, ובתחתית הרשימה נמצאות עבירות שבוצעו על רקע של החזקת נשק לשם ספורט או כתחביב ועבירה של החזקת נשק שפג תוקף רישיונו. מדרג זה משמש את בתי המשפט עד היום (ראו </w:t>
      </w:r>
      <w:r w:rsidRPr="00B8384F">
        <w:rPr>
          <w:rtl/>
        </w:rPr>
        <w:t>–</w:t>
      </w:r>
      <w:r w:rsidRPr="00B8384F">
        <w:rPr>
          <w:rFonts w:hint="cs"/>
          <w:rtl/>
        </w:rPr>
        <w:t xml:space="preserve"> ע"פ </w:t>
      </w:r>
      <w:r w:rsidRPr="00B8384F">
        <w:rPr>
          <w:rFonts w:hint="cs"/>
          <w:b/>
          <w:bCs/>
          <w:rtl/>
        </w:rPr>
        <w:t>פס</w:t>
      </w:r>
      <w:r w:rsidRPr="00B8384F">
        <w:rPr>
          <w:rFonts w:hint="cs"/>
          <w:rtl/>
        </w:rPr>
        <w:t xml:space="preserve"> הנ"ל, וכן , למשל - </w:t>
      </w:r>
      <w:hyperlink r:id="rId21" w:history="1">
        <w:r w:rsidR="009F57C5" w:rsidRPr="009F57C5">
          <w:rPr>
            <w:color w:val="0000FF"/>
            <w:u w:val="single"/>
            <w:rtl/>
          </w:rPr>
          <w:t>ת"פ (חיפה) 57965-03-15</w:t>
        </w:r>
      </w:hyperlink>
      <w:r w:rsidRPr="00B8384F">
        <w:rPr>
          <w:rFonts w:hint="cs"/>
          <w:rtl/>
        </w:rPr>
        <w:t xml:space="preserve"> </w:t>
      </w:r>
      <w:r w:rsidRPr="00B8384F">
        <w:rPr>
          <w:rFonts w:hint="cs"/>
          <w:b/>
          <w:bCs/>
          <w:rtl/>
        </w:rPr>
        <w:t>מדינת ישראל</w:t>
      </w:r>
      <w:r w:rsidRPr="00B8384F">
        <w:rPr>
          <w:rFonts w:hint="cs"/>
          <w:rtl/>
        </w:rPr>
        <w:t xml:space="preserve"> נ' </w:t>
      </w:r>
      <w:r w:rsidRPr="00B8384F">
        <w:rPr>
          <w:rFonts w:hint="cs"/>
          <w:b/>
          <w:bCs/>
          <w:rtl/>
        </w:rPr>
        <w:t>אגברייה</w:t>
      </w:r>
      <w:r w:rsidRPr="00B8384F">
        <w:rPr>
          <w:rFonts w:hint="cs"/>
          <w:rtl/>
        </w:rPr>
        <w:t xml:space="preserve"> [פורסם בנבו] (15.1.15), ו- </w:t>
      </w:r>
      <w:hyperlink r:id="rId22" w:history="1">
        <w:r w:rsidR="009F57C5" w:rsidRPr="009F57C5">
          <w:rPr>
            <w:color w:val="0000FF"/>
            <w:u w:val="single"/>
            <w:rtl/>
          </w:rPr>
          <w:t>ת"פ (ירושלים) 2106/06</w:t>
        </w:r>
      </w:hyperlink>
      <w:r w:rsidRPr="00B8384F">
        <w:rPr>
          <w:rFonts w:hint="cs"/>
          <w:rtl/>
        </w:rPr>
        <w:t xml:space="preserve"> </w:t>
      </w:r>
      <w:r w:rsidRPr="00B8384F">
        <w:rPr>
          <w:rFonts w:hint="cs"/>
          <w:b/>
          <w:bCs/>
          <w:rtl/>
        </w:rPr>
        <w:t>מדינת ישראל</w:t>
      </w:r>
      <w:r w:rsidRPr="00B8384F">
        <w:rPr>
          <w:rFonts w:hint="cs"/>
          <w:rtl/>
        </w:rPr>
        <w:t xml:space="preserve"> נ' </w:t>
      </w:r>
      <w:r w:rsidRPr="00B8384F">
        <w:rPr>
          <w:rFonts w:hint="cs"/>
          <w:b/>
          <w:bCs/>
          <w:rtl/>
        </w:rPr>
        <w:t>רקח</w:t>
      </w:r>
      <w:r w:rsidRPr="00B8384F">
        <w:rPr>
          <w:rFonts w:hint="cs"/>
          <w:rtl/>
        </w:rPr>
        <w:t xml:space="preserve"> [פורסם בנבו] (10.5.07)).</w:t>
      </w:r>
    </w:p>
    <w:p w14:paraId="74A0E813" w14:textId="77777777" w:rsidR="00BF4047" w:rsidRPr="00B8384F" w:rsidRDefault="00BF4047" w:rsidP="00BF4047">
      <w:pPr>
        <w:spacing w:line="360" w:lineRule="auto"/>
        <w:ind w:left="720"/>
        <w:jc w:val="both"/>
        <w:rPr>
          <w:rtl/>
        </w:rPr>
      </w:pPr>
      <w:r w:rsidRPr="00B8384F">
        <w:rPr>
          <w:rFonts w:hint="cs"/>
          <w:rtl/>
        </w:rPr>
        <w:t xml:space="preserve">בעניין </w:t>
      </w:r>
      <w:r w:rsidRPr="00B8384F">
        <w:rPr>
          <w:rFonts w:hint="cs"/>
          <w:b/>
          <w:bCs/>
          <w:rtl/>
        </w:rPr>
        <w:t xml:space="preserve">פס </w:t>
      </w:r>
      <w:r w:rsidRPr="00B8384F">
        <w:rPr>
          <w:rFonts w:hint="cs"/>
          <w:rtl/>
        </w:rPr>
        <w:t>נטען כי בתי המשפט מקלים יתר על המידה בענישה בגין עבירות נשק, ועל כך אמר בית המשפט העליון את הדברים הבאים:</w:t>
      </w:r>
    </w:p>
    <w:p w14:paraId="5BF40DC6" w14:textId="77777777" w:rsidR="00BF4047" w:rsidRPr="00B8384F" w:rsidRDefault="00BF4047" w:rsidP="00BF4047">
      <w:pPr>
        <w:spacing w:line="360" w:lineRule="auto"/>
        <w:ind w:left="720"/>
        <w:jc w:val="both"/>
        <w:rPr>
          <w:rtl/>
        </w:rPr>
      </w:pPr>
    </w:p>
    <w:p w14:paraId="3CC13BEC" w14:textId="77777777" w:rsidR="00BF4047" w:rsidRPr="00B8384F" w:rsidRDefault="00BF4047" w:rsidP="00BF4047">
      <w:pPr>
        <w:spacing w:line="360" w:lineRule="auto"/>
        <w:ind w:left="1417" w:right="851"/>
        <w:jc w:val="both"/>
        <w:rPr>
          <w:b/>
          <w:bCs/>
          <w:rtl/>
        </w:rPr>
      </w:pPr>
      <w:r w:rsidRPr="00B8384F">
        <w:rPr>
          <w:rFonts w:hint="cs"/>
          <w:b/>
          <w:bCs/>
          <w:rtl/>
        </w:rPr>
        <w:t xml:space="preserve">".... </w:t>
      </w:r>
      <w:r w:rsidRPr="00B8384F">
        <w:rPr>
          <w:b/>
          <w:bCs/>
          <w:rtl/>
        </w:rPr>
        <w:t>נדגיש כי בכל הנוגע לרמת הענישה, הגיעה העת לתת משקל לחומרת העבירות של החזקת נשק, ובייחוד נשק התקפי שנגנב מצה"ל. מן הראוי שיהיה בעונש כדי להרתיע מנפיצות התופעה העבריינית של החזקת נשק חם מסוגים שונים, נשיאתו ושימוש בו. גם אם נכון הדבר כי עד כה רמת הענישה בעבירות של החזקת נשק אינה גבוהה, הרי שהמציאות השוררת היום בארץ – זמינותו של נשק חם ורב עוצמה שיש עמו פוטנציאל להסלמה באלימות העבריינית והאידאולוגית כאחד – מחייבת מתן ביטוי עונשי הולם והחמרה ברמת הענישה</w:t>
      </w:r>
      <w:r w:rsidRPr="00B8384F">
        <w:rPr>
          <w:rFonts w:hint="cs"/>
          <w:b/>
          <w:bCs/>
          <w:rtl/>
        </w:rPr>
        <w:t>."</w:t>
      </w:r>
    </w:p>
    <w:p w14:paraId="5C24A227" w14:textId="77777777" w:rsidR="00BF4047" w:rsidRPr="00B8384F" w:rsidRDefault="00BF4047" w:rsidP="00BF4047">
      <w:pPr>
        <w:spacing w:line="360" w:lineRule="auto"/>
        <w:ind w:left="1417" w:right="851"/>
        <w:jc w:val="both"/>
        <w:rPr>
          <w:rtl/>
        </w:rPr>
      </w:pPr>
      <w:r w:rsidRPr="00B8384F">
        <w:rPr>
          <w:rFonts w:hint="cs"/>
          <w:rtl/>
        </w:rPr>
        <w:t>(שם, בפסקה 4 לפסק הדין).</w:t>
      </w:r>
    </w:p>
    <w:p w14:paraId="046D8EB5" w14:textId="77777777" w:rsidR="00BF4047" w:rsidRPr="00B8384F" w:rsidRDefault="00BF4047" w:rsidP="00BF4047">
      <w:pPr>
        <w:spacing w:line="360" w:lineRule="auto"/>
        <w:ind w:left="1417" w:right="851"/>
        <w:jc w:val="both"/>
        <w:rPr>
          <w:rtl/>
        </w:rPr>
      </w:pPr>
    </w:p>
    <w:p w14:paraId="7A0875BD"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 xml:space="preserve">ואכן, ניכרת במהלך השנים החמרה ברמת הענישה בכל הנוגע לעבירות נשק (ראו - דברי כב' השופטת ארבל ב- </w:t>
      </w:r>
      <w:hyperlink r:id="rId23" w:history="1">
        <w:r w:rsidR="009F57C5" w:rsidRPr="009F57C5">
          <w:rPr>
            <w:color w:val="0000FF"/>
            <w:u w:val="single"/>
            <w:rtl/>
          </w:rPr>
          <w:t>ע"פ 1323/13</w:t>
        </w:r>
      </w:hyperlink>
      <w:r w:rsidRPr="00B8384F">
        <w:rPr>
          <w:rFonts w:hint="cs"/>
          <w:rtl/>
        </w:rPr>
        <w:t xml:space="preserve"> </w:t>
      </w:r>
      <w:r w:rsidRPr="00B8384F">
        <w:rPr>
          <w:rFonts w:hint="cs"/>
          <w:b/>
          <w:bCs/>
          <w:rtl/>
        </w:rPr>
        <w:t>רך חסן</w:t>
      </w:r>
      <w:r w:rsidRPr="00B8384F">
        <w:rPr>
          <w:rFonts w:hint="cs"/>
          <w:rtl/>
        </w:rPr>
        <w:t xml:space="preserve"> נ' </w:t>
      </w:r>
      <w:r w:rsidRPr="00B8384F">
        <w:rPr>
          <w:rFonts w:hint="cs"/>
          <w:b/>
          <w:bCs/>
          <w:rtl/>
        </w:rPr>
        <w:t>מדינת ישראל</w:t>
      </w:r>
      <w:r w:rsidRPr="00B8384F">
        <w:rPr>
          <w:rFonts w:hint="cs"/>
          <w:rtl/>
        </w:rPr>
        <w:t xml:space="preserve"> בפסקה 12 לפסק הדין [פורסם בנבו] (5.6.13)).</w:t>
      </w:r>
    </w:p>
    <w:p w14:paraId="3199D882" w14:textId="77777777" w:rsidR="00BF4047" w:rsidRPr="00B8384F" w:rsidRDefault="00BF4047" w:rsidP="00BF4047">
      <w:pPr>
        <w:spacing w:line="360" w:lineRule="auto"/>
        <w:ind w:left="720" w:hanging="720"/>
        <w:jc w:val="both"/>
        <w:rPr>
          <w:rtl/>
        </w:rPr>
      </w:pPr>
    </w:p>
    <w:p w14:paraId="7613CF03" w14:textId="77777777" w:rsidR="00BF4047" w:rsidRPr="00B8384F" w:rsidRDefault="00BF4047" w:rsidP="00BF4047">
      <w:pPr>
        <w:spacing w:line="360" w:lineRule="auto"/>
        <w:ind w:left="720" w:hanging="720"/>
        <w:jc w:val="both"/>
        <w:rPr>
          <w:rtl/>
        </w:rPr>
      </w:pPr>
      <w:r w:rsidRPr="00B8384F">
        <w:rPr>
          <w:rFonts w:hint="cs"/>
          <w:rtl/>
        </w:rPr>
        <w:t xml:space="preserve">8. </w:t>
      </w:r>
      <w:r w:rsidRPr="00B8384F">
        <w:rPr>
          <w:rFonts w:hint="cs"/>
          <w:rtl/>
        </w:rPr>
        <w:tab/>
        <w:t xml:space="preserve">אשר לנסיבות הקשורות בביצוע העבירה </w:t>
      </w:r>
      <w:r w:rsidRPr="00B8384F">
        <w:rPr>
          <w:rtl/>
        </w:rPr>
        <w:t>–</w:t>
      </w:r>
      <w:r w:rsidRPr="00B8384F">
        <w:rPr>
          <w:rFonts w:hint="cs"/>
          <w:rtl/>
        </w:rPr>
        <w:t xml:space="preserve"> העבירה בוצעה תוך תכנון מוקדם ולא כהחלטה ספונטאנית ברגע של חולשת הדעת. הנאשם מצא לטענתו את המטענים ממסגרת עיסוקו באיסוף ברזלים ובקבוקים והחליט לנסות למכור אותם כדי </w:t>
      </w:r>
      <w:r w:rsidRPr="00B8384F">
        <w:rPr>
          <w:rFonts w:hint="cs"/>
          <w:b/>
          <w:bCs/>
          <w:rtl/>
        </w:rPr>
        <w:t>"להרוויח כמה גרושים"</w:t>
      </w:r>
      <w:r w:rsidRPr="00B8384F">
        <w:rPr>
          <w:rtl/>
        </w:rPr>
        <w:t>–</w:t>
      </w:r>
      <w:r w:rsidRPr="00B8384F">
        <w:rPr>
          <w:rFonts w:hint="cs"/>
          <w:rtl/>
        </w:rPr>
        <w:t xml:space="preserve"> כלשון ב"כ הנאשם. מכאן, שמדובר בעבירה שבוצעה במחשבה תחילה, אפילו אם היא בוצעה במטרה להניב רווח נמוך לנאשם.</w:t>
      </w:r>
    </w:p>
    <w:p w14:paraId="70F9937C"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 xml:space="preserve">חלקו של הנאשם בביצוע העבירה בלעדי. </w:t>
      </w:r>
      <w:r w:rsidRPr="00B8384F">
        <w:rPr>
          <w:rtl/>
        </w:rPr>
        <w:t>–</w:t>
      </w:r>
      <w:r w:rsidRPr="00B8384F">
        <w:rPr>
          <w:rFonts w:hint="cs"/>
          <w:rtl/>
        </w:rPr>
        <w:t xml:space="preserve"> הוא לבדו החליט לבצע את העבירה וביצע אותה בפועל. </w:t>
      </w:r>
      <w:r>
        <w:rPr>
          <w:rFonts w:hint="cs"/>
          <w:rtl/>
        </w:rPr>
        <w:t>אכן, אין טענה לפיה</w:t>
      </w:r>
      <w:r w:rsidRPr="00B8384F">
        <w:rPr>
          <w:rFonts w:hint="cs"/>
          <w:rtl/>
        </w:rPr>
        <w:t xml:space="preserve"> הנאשם התכוון לעשות בעצמו שימוש במטעני הנפץ, </w:t>
      </w:r>
      <w:r>
        <w:rPr>
          <w:rFonts w:hint="cs"/>
          <w:rtl/>
        </w:rPr>
        <w:t xml:space="preserve">ברם </w:t>
      </w:r>
      <w:r w:rsidRPr="00B8384F">
        <w:rPr>
          <w:rFonts w:hint="cs"/>
          <w:rtl/>
        </w:rPr>
        <w:t xml:space="preserve">הוא העביר </w:t>
      </w:r>
      <w:r>
        <w:rPr>
          <w:rFonts w:hint="cs"/>
          <w:rtl/>
        </w:rPr>
        <w:t>את המטענים</w:t>
      </w:r>
      <w:r w:rsidRPr="00B8384F">
        <w:rPr>
          <w:rFonts w:hint="cs"/>
          <w:rtl/>
        </w:rPr>
        <w:t xml:space="preserve"> למקום בו יוכל למכור אותם, </w:t>
      </w:r>
      <w:r>
        <w:rPr>
          <w:rFonts w:hint="cs"/>
          <w:rtl/>
        </w:rPr>
        <w:t>ובמעשה זה גלומה חומרה רבה.</w:t>
      </w:r>
    </w:p>
    <w:p w14:paraId="319BDD61"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הנזק שהיה צפוי להיגרם כתוצאה מביצוע העבירה רב. מטען נפץ הוא איננו כלי נשק שיתכן כי אדם שומר תחת ידיו לצורך הגנה עצמית, אלא זהו כלי נשק שנוצר מעצם טיבו לצורך שימוש התקפי, ואשר השליטה בנזקים שעלולים להיגרם ממנו מוגבלת ביותר. במובן זה נשיאת מטעני חבלה חמורה יותר מנשיאת אקדח או רובה, שכן אף אם העבריין אשר מבקש לעשות שימוש במטען נפץ איננו מעוניין או מתכוון לפגוע  בחפים מפשע, הרי שאין בידיו שליטה של  ממש בתוצאות התפוצצות המטען, וכך יכול הפיצוץ  להביא למותם של חפים מפשע רבים, וכבר היו דברים מעולם. טענת הנאשם לפיה פוטנציאל הנזק שהיה גלום במטעני הנפץ נמוך לנוכח טיב החומרים מהם הוא היה מורכב איננה משכנעת, מן הטעם שלא הובאה ראייה לכך שכוח הנפץ של החומרים האמורים מוגבל. עם זאת, יש להביא בחשבון כי מדובר במטענים מאולתרים</w:t>
      </w:r>
      <w:r>
        <w:rPr>
          <w:rFonts w:hint="cs"/>
          <w:rtl/>
        </w:rPr>
        <w:t>,</w:t>
      </w:r>
      <w:r w:rsidRPr="00B8384F">
        <w:rPr>
          <w:rFonts w:hint="cs"/>
          <w:rtl/>
        </w:rPr>
        <w:t xml:space="preserve"> כך שניתן להניח כי עוצמתם נמוכה במידה מסוימת מעוצמתם של מתקני נפץ תקניים.</w:t>
      </w:r>
    </w:p>
    <w:p w14:paraId="4388AA47"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למרבה המזל נתפסו המטענים בטרם נעשה בהם כל שימוש</w:t>
      </w:r>
      <w:r>
        <w:rPr>
          <w:rFonts w:hint="cs"/>
          <w:rtl/>
        </w:rPr>
        <w:t>,</w:t>
      </w:r>
      <w:r w:rsidRPr="00B8384F">
        <w:rPr>
          <w:rFonts w:hint="cs"/>
          <w:rtl/>
        </w:rPr>
        <w:t xml:space="preserve"> ומכאן שבפועל לא נגרם נזק של ממש כתוצאה ממעשהו של הנאשם.</w:t>
      </w:r>
    </w:p>
    <w:p w14:paraId="6CF9500A"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הסיבות שהביאו את הנאשם לבצע את העבירה לא פורטו בכתב האישום המתוקן, ועל כן אין מקום לקבוע כי הנאשם היה חלק מהתארגנות חבלנית עויינת או חלק מהתארגנות פלילית כלשהי</w:t>
      </w:r>
      <w:r>
        <w:rPr>
          <w:rFonts w:hint="cs"/>
          <w:rtl/>
        </w:rPr>
        <w:t>. ב"כ הנאשם טען כי הנאשם ביצע א</w:t>
      </w:r>
      <w:r w:rsidRPr="00B8384F">
        <w:rPr>
          <w:rFonts w:hint="cs"/>
          <w:rtl/>
        </w:rPr>
        <w:t>ת העבירה כדי להרוויח מעט כסף</w:t>
      </w:r>
      <w:r>
        <w:rPr>
          <w:rFonts w:hint="cs"/>
          <w:rtl/>
        </w:rPr>
        <w:t>,</w:t>
      </w:r>
      <w:r w:rsidRPr="00B8384F">
        <w:rPr>
          <w:rFonts w:hint="cs"/>
          <w:rtl/>
        </w:rPr>
        <w:t xml:space="preserve"> וטענה זו לא נסתרה. מניע זה לביצוע העבירה מעט פחות חמור מאשר מניעים חבלניים או פליליים מובהקים, ברם אין להתעלם מכך שאם הנאשם לא היה נתפס </w:t>
      </w:r>
      <w:r>
        <w:rPr>
          <w:rFonts w:hint="cs"/>
          <w:rtl/>
        </w:rPr>
        <w:t xml:space="preserve">אזי </w:t>
      </w:r>
      <w:r w:rsidRPr="00B8384F">
        <w:rPr>
          <w:rFonts w:hint="cs"/>
          <w:rtl/>
        </w:rPr>
        <w:t>הוא היה מן הסתם מוכר את המטענים לכל המרבה במחיר, מבלי לה</w:t>
      </w:r>
      <w:r>
        <w:rPr>
          <w:rFonts w:hint="cs"/>
          <w:rtl/>
        </w:rPr>
        <w:t>טריד את עצמו</w:t>
      </w:r>
      <w:r w:rsidRPr="00B8384F">
        <w:rPr>
          <w:rFonts w:hint="cs"/>
          <w:rtl/>
        </w:rPr>
        <w:t xml:space="preserve"> </w:t>
      </w:r>
      <w:r>
        <w:rPr>
          <w:rFonts w:hint="cs"/>
          <w:rtl/>
        </w:rPr>
        <w:t>ב</w:t>
      </w:r>
      <w:r w:rsidRPr="00B8384F">
        <w:rPr>
          <w:rFonts w:hint="cs"/>
          <w:rtl/>
        </w:rPr>
        <w:t>שאלה האם מטרת הרוכש חבלנית או "סתם" פלילית.</w:t>
      </w:r>
    </w:p>
    <w:p w14:paraId="33807F34"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הנאשם בגיר, והמעשה המיוחס לו הוא מעשה פלילי מובהק וחמור, כך שאין ספק כי הנאשם הבין היטב את משמעות מעשהו ואת הפסול שבו.</w:t>
      </w:r>
    </w:p>
    <w:p w14:paraId="639CB333" w14:textId="77777777" w:rsidR="00BF4047" w:rsidRPr="00B8384F" w:rsidRDefault="00BF4047" w:rsidP="00BF4047">
      <w:pPr>
        <w:spacing w:line="360" w:lineRule="auto"/>
        <w:ind w:left="720" w:hanging="720"/>
        <w:jc w:val="both"/>
        <w:rPr>
          <w:rtl/>
        </w:rPr>
      </w:pPr>
      <w:r w:rsidRPr="00B8384F">
        <w:rPr>
          <w:rtl/>
        </w:rPr>
        <w:tab/>
      </w:r>
    </w:p>
    <w:p w14:paraId="0D93860B" w14:textId="77777777" w:rsidR="00BF4047" w:rsidRPr="00B8384F" w:rsidRDefault="00BF4047" w:rsidP="00BF4047">
      <w:pPr>
        <w:spacing w:line="360" w:lineRule="auto"/>
        <w:ind w:left="720" w:hanging="720"/>
        <w:jc w:val="both"/>
        <w:rPr>
          <w:rtl/>
        </w:rPr>
      </w:pPr>
      <w:r w:rsidRPr="00B8384F">
        <w:rPr>
          <w:rFonts w:hint="cs"/>
          <w:rtl/>
        </w:rPr>
        <w:t>9.</w:t>
      </w:r>
      <w:r w:rsidRPr="00B8384F">
        <w:rPr>
          <w:rFonts w:hint="cs"/>
          <w:rtl/>
        </w:rPr>
        <w:tab/>
        <w:t xml:space="preserve">אשר לענישה הנוהגת </w:t>
      </w:r>
      <w:r w:rsidRPr="00B8384F">
        <w:rPr>
          <w:rtl/>
        </w:rPr>
        <w:t>–</w:t>
      </w:r>
      <w:r w:rsidRPr="00B8384F">
        <w:rPr>
          <w:rFonts w:hint="cs"/>
          <w:rtl/>
        </w:rPr>
        <w:t xml:space="preserve"> כפי שציינתי לעיל, עמדת המוצא של בתי המשפט היא שיש להחמיר בענישה בעבירות של נשיאת נשק. בעניין </w:t>
      </w:r>
      <w:r w:rsidRPr="00B8384F">
        <w:rPr>
          <w:rFonts w:hint="cs"/>
          <w:b/>
          <w:bCs/>
          <w:rtl/>
        </w:rPr>
        <w:t xml:space="preserve">הייבי </w:t>
      </w:r>
      <w:r w:rsidRPr="00B8384F">
        <w:rPr>
          <w:rFonts w:hint="cs"/>
          <w:rtl/>
        </w:rPr>
        <w:t xml:space="preserve">הנ"ל נגזרו על נאשמים בעלי עבר נקי אשר הורשעו במספר עבירות של סחר בנשק </w:t>
      </w:r>
      <w:r w:rsidRPr="00B8384F">
        <w:rPr>
          <w:rtl/>
        </w:rPr>
        <w:t>–</w:t>
      </w:r>
      <w:r w:rsidRPr="00B8384F">
        <w:rPr>
          <w:rFonts w:hint="cs"/>
          <w:rtl/>
        </w:rPr>
        <w:t xml:space="preserve"> עבירה חמורה מזו שבה הורשע הנאשם שלפניי </w:t>
      </w:r>
      <w:r w:rsidRPr="00B8384F">
        <w:rPr>
          <w:rtl/>
        </w:rPr>
        <w:t>–</w:t>
      </w:r>
      <w:r w:rsidRPr="00B8384F">
        <w:rPr>
          <w:rFonts w:hint="cs"/>
          <w:rtl/>
        </w:rPr>
        <w:t xml:space="preserve"> עונשים של 35 עד 52 חודשי מאסר. המדינה הגישה רשימת פסיקה הכוללת גזרי דין בעבירות של החזקה ונשיאת נשק. ב</w:t>
      </w:r>
      <w:hyperlink r:id="rId24" w:history="1">
        <w:r w:rsidR="009F57C5" w:rsidRPr="009F57C5">
          <w:rPr>
            <w:color w:val="0000FF"/>
            <w:u w:val="single"/>
            <w:rtl/>
          </w:rPr>
          <w:t>ת"פ 19735-08-09</w:t>
        </w:r>
      </w:hyperlink>
      <w:r w:rsidRPr="00B8384F">
        <w:rPr>
          <w:rFonts w:hint="cs"/>
          <w:rtl/>
        </w:rPr>
        <w:t xml:space="preserve"> </w:t>
      </w:r>
      <w:r w:rsidRPr="00B8384F">
        <w:rPr>
          <w:rFonts w:hint="cs"/>
          <w:b/>
          <w:bCs/>
          <w:rtl/>
        </w:rPr>
        <w:t>מדינת ישראל</w:t>
      </w:r>
      <w:r w:rsidRPr="00B8384F">
        <w:rPr>
          <w:rFonts w:hint="cs"/>
          <w:rtl/>
        </w:rPr>
        <w:t xml:space="preserve"> נ' </w:t>
      </w:r>
      <w:r w:rsidRPr="00B8384F">
        <w:rPr>
          <w:rFonts w:hint="cs"/>
          <w:b/>
          <w:bCs/>
          <w:rtl/>
        </w:rPr>
        <w:t>דבאח</w:t>
      </w:r>
      <w:r w:rsidRPr="00B8384F">
        <w:rPr>
          <w:rFonts w:hint="cs"/>
          <w:rtl/>
        </w:rPr>
        <w:t xml:space="preserve"> [פורסם בנבו] (16.3.10), הורשע נאשם בעבירות של החזקת ונשיאת נשק (מטען נפץ מאולתר אשר התפוצץ ופצע את הנאשם), ונגזר עליו עונש של 30 חודשי מאסר בפועל. ב</w:t>
      </w:r>
      <w:hyperlink r:id="rId25" w:history="1">
        <w:r w:rsidR="009F57C5" w:rsidRPr="009F57C5">
          <w:rPr>
            <w:color w:val="0000FF"/>
            <w:u w:val="single"/>
            <w:rtl/>
          </w:rPr>
          <w:t>ע"פ 9373/10</w:t>
        </w:r>
      </w:hyperlink>
      <w:r w:rsidRPr="00B8384F">
        <w:rPr>
          <w:rFonts w:hint="cs"/>
          <w:rtl/>
        </w:rPr>
        <w:t xml:space="preserve"> </w:t>
      </w:r>
      <w:r w:rsidRPr="00B8384F">
        <w:rPr>
          <w:rFonts w:hint="cs"/>
          <w:b/>
          <w:bCs/>
          <w:rtl/>
        </w:rPr>
        <w:t>ותד</w:t>
      </w:r>
      <w:r w:rsidRPr="00B8384F">
        <w:rPr>
          <w:rFonts w:hint="cs"/>
          <w:rtl/>
        </w:rPr>
        <w:t xml:space="preserve"> נ' </w:t>
      </w:r>
      <w:r w:rsidRPr="00B8384F">
        <w:rPr>
          <w:rFonts w:hint="cs"/>
          <w:b/>
          <w:bCs/>
          <w:rtl/>
        </w:rPr>
        <w:t>מדינת ישראל</w:t>
      </w:r>
      <w:r w:rsidRPr="00B8384F">
        <w:rPr>
          <w:rFonts w:hint="cs"/>
          <w:rtl/>
        </w:rPr>
        <w:t xml:space="preserve"> ([פורסם בנבו] (14.9.11)), נגזרו על נאשם בעל עבר פלילי שהורשע בעבירות של החזקת ונשיאת נשק (החזקת אקדח וכדורים), שלושים חודשי מאסר בפועל, וב</w:t>
      </w:r>
      <w:hyperlink r:id="rId26" w:history="1">
        <w:r w:rsidR="009F57C5" w:rsidRPr="009F57C5">
          <w:rPr>
            <w:color w:val="0000FF"/>
            <w:u w:val="single"/>
            <w:rtl/>
          </w:rPr>
          <w:t>ע"פ 2892/13</w:t>
        </w:r>
      </w:hyperlink>
      <w:r w:rsidRPr="00B8384F">
        <w:rPr>
          <w:rFonts w:hint="cs"/>
          <w:rtl/>
        </w:rPr>
        <w:t xml:space="preserve"> </w:t>
      </w:r>
      <w:r w:rsidRPr="00B8384F">
        <w:rPr>
          <w:rFonts w:hint="cs"/>
          <w:b/>
          <w:bCs/>
          <w:rtl/>
        </w:rPr>
        <w:t>עודתאללה</w:t>
      </w:r>
      <w:r w:rsidRPr="00B8384F">
        <w:rPr>
          <w:rFonts w:hint="cs"/>
          <w:rtl/>
        </w:rPr>
        <w:t xml:space="preserve"> נ' </w:t>
      </w:r>
      <w:r w:rsidRPr="00B8384F">
        <w:rPr>
          <w:rFonts w:hint="cs"/>
          <w:b/>
          <w:bCs/>
          <w:rtl/>
        </w:rPr>
        <w:t>מדינת ישראל</w:t>
      </w:r>
      <w:r w:rsidRPr="00B8384F">
        <w:rPr>
          <w:rFonts w:hint="cs"/>
          <w:rtl/>
        </w:rPr>
        <w:t xml:space="preserve"> ([פורסם בנבו] ( 29.9.13)), נגזרו על נאשם שניהל אורח חיים נורמטיבי עד לביצוע העבירה והורשע בעבירות של נשיאת והובלת נשק (הובלת אקדח עם מחסנית ריקה), 21 חודשי מאסר בפועל. אציין כי מקרים אלו פחות חמורים מהמקרה שלפניי בו נשא הנאשם שני מטעני נפץ. ב</w:t>
      </w:r>
      <w:hyperlink r:id="rId27" w:history="1">
        <w:r w:rsidR="009F57C5" w:rsidRPr="009F57C5">
          <w:rPr>
            <w:color w:val="0000FF"/>
            <w:u w:val="single"/>
            <w:rtl/>
          </w:rPr>
          <w:t>ע"פ 5323/12</w:t>
        </w:r>
      </w:hyperlink>
      <w:r w:rsidRPr="00B8384F">
        <w:rPr>
          <w:rFonts w:hint="cs"/>
          <w:rtl/>
        </w:rPr>
        <w:t xml:space="preserve"> </w:t>
      </w:r>
      <w:r w:rsidRPr="00B8384F">
        <w:rPr>
          <w:rFonts w:hint="cs"/>
          <w:b/>
          <w:bCs/>
          <w:rtl/>
        </w:rPr>
        <w:t>אבו ליל</w:t>
      </w:r>
      <w:r w:rsidRPr="00B8384F">
        <w:rPr>
          <w:rFonts w:hint="cs"/>
          <w:rtl/>
        </w:rPr>
        <w:t xml:space="preserve"> נ' </w:t>
      </w:r>
      <w:r w:rsidRPr="00B8384F">
        <w:rPr>
          <w:rFonts w:hint="cs"/>
          <w:b/>
          <w:bCs/>
          <w:rtl/>
        </w:rPr>
        <w:t>מדינת ישראל</w:t>
      </w:r>
      <w:r w:rsidRPr="00B8384F">
        <w:rPr>
          <w:rFonts w:hint="cs"/>
          <w:rtl/>
        </w:rPr>
        <w:t xml:space="preserve"> ([פורסם בנבו] (17.6.14)), נגזר על נאשם שהורשע בעבירות של החזקת ונשיאת נשק (רובה אוטומטי ותחמושת), ואשר הורשע פעם אחת קודם לכן בעבירת מין, עונש של 28 חודשי מאסר בפועל. ולבסוף, ב</w:t>
      </w:r>
      <w:hyperlink r:id="rId28" w:history="1">
        <w:r w:rsidR="009F57C5" w:rsidRPr="009F57C5">
          <w:rPr>
            <w:color w:val="0000FF"/>
            <w:u w:val="single"/>
            <w:rtl/>
          </w:rPr>
          <w:t>ע"פ 9702/16</w:t>
        </w:r>
      </w:hyperlink>
      <w:r w:rsidRPr="00B8384F">
        <w:rPr>
          <w:rFonts w:hint="cs"/>
          <w:rtl/>
        </w:rPr>
        <w:t xml:space="preserve"> </w:t>
      </w:r>
      <w:r w:rsidRPr="00B8384F">
        <w:rPr>
          <w:rFonts w:hint="cs"/>
          <w:b/>
          <w:bCs/>
          <w:rtl/>
        </w:rPr>
        <w:t>אלוליאיה</w:t>
      </w:r>
      <w:r w:rsidRPr="00B8384F">
        <w:rPr>
          <w:rFonts w:hint="cs"/>
          <w:rtl/>
        </w:rPr>
        <w:t xml:space="preserve"> נ' </w:t>
      </w:r>
      <w:r w:rsidRPr="00B8384F">
        <w:rPr>
          <w:rFonts w:hint="cs"/>
          <w:b/>
          <w:bCs/>
          <w:rtl/>
        </w:rPr>
        <w:t xml:space="preserve">מדינת ישראל </w:t>
      </w:r>
      <w:r w:rsidRPr="00B8384F">
        <w:rPr>
          <w:rFonts w:hint="cs"/>
          <w:rtl/>
        </w:rPr>
        <w:t>([פורסם בנבו] (13.9.17)), נגזר על נאשם שהורשע במסגרת הסדר טיעון בעבירות של נשיאה והובלת נשק ותחמושת (תת מקלע מאולתר ותחמושת), ואשר היה בעל עבר פלילי ישן יחסית ולא מכביד, עונש של 18 חודשי מאסר בפועל, תוך שבית המשפט העליון פסק כי באותו מקרה ניתן היה להעמיד את מתחם העונש ההולם על 10 עד 30 חודשי מאסר בפועל.</w:t>
      </w:r>
    </w:p>
    <w:p w14:paraId="6F8A17A7"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ב"כ הנאשם הפנה לגזר דין שניתן ע"י כב' השופט מ' דרורי ב</w:t>
      </w:r>
      <w:hyperlink r:id="rId29" w:history="1">
        <w:r w:rsidR="009F57C5" w:rsidRPr="009F57C5">
          <w:rPr>
            <w:color w:val="0000FF"/>
            <w:u w:val="single"/>
            <w:rtl/>
          </w:rPr>
          <w:t>ת"פ 2106/06</w:t>
        </w:r>
      </w:hyperlink>
      <w:r w:rsidRPr="00B8384F">
        <w:rPr>
          <w:rFonts w:hint="cs"/>
          <w:rtl/>
        </w:rPr>
        <w:t xml:space="preserve"> </w:t>
      </w:r>
      <w:r w:rsidRPr="00B8384F">
        <w:rPr>
          <w:rFonts w:hint="cs"/>
          <w:b/>
          <w:bCs/>
          <w:rtl/>
        </w:rPr>
        <w:t>מדינת ישראל</w:t>
      </w:r>
      <w:r w:rsidRPr="00B8384F">
        <w:rPr>
          <w:rFonts w:hint="cs"/>
          <w:rtl/>
        </w:rPr>
        <w:t xml:space="preserve"> נ' </w:t>
      </w:r>
      <w:r w:rsidRPr="00B8384F">
        <w:rPr>
          <w:rFonts w:hint="cs"/>
          <w:b/>
          <w:bCs/>
          <w:rtl/>
        </w:rPr>
        <w:t>רקח</w:t>
      </w:r>
      <w:r w:rsidRPr="00B8384F">
        <w:rPr>
          <w:rFonts w:hint="cs"/>
          <w:rtl/>
        </w:rPr>
        <w:t xml:space="preserve"> ([פורסם בנבו] (10.5.07)), בגדרו נגזר על נאשם שהורשע בעבירה של ביצוע עסקה אחרת בנשק (עבירה לפי סעיף </w:t>
      </w:r>
      <w:hyperlink r:id="rId30" w:history="1">
        <w:r w:rsidR="004F3556" w:rsidRPr="004F3556">
          <w:rPr>
            <w:color w:val="0000FF"/>
            <w:u w:val="single"/>
            <w:rtl/>
          </w:rPr>
          <w:t>144 (ב2)</w:t>
        </w:r>
      </w:hyperlink>
      <w:r w:rsidRPr="00B8384F">
        <w:rPr>
          <w:rFonts w:hint="cs"/>
          <w:rtl/>
        </w:rPr>
        <w:t xml:space="preserve"> ל</w:t>
      </w:r>
      <w:hyperlink r:id="rId31" w:history="1">
        <w:r w:rsidR="009F57C5" w:rsidRPr="009F57C5">
          <w:rPr>
            <w:color w:val="0000FF"/>
            <w:u w:val="single"/>
            <w:rtl/>
          </w:rPr>
          <w:t>חוק העונשין</w:t>
        </w:r>
      </w:hyperlink>
      <w:r w:rsidRPr="00B8384F">
        <w:rPr>
          <w:rFonts w:hint="cs"/>
          <w:rtl/>
        </w:rPr>
        <w:t xml:space="preserve"> </w:t>
      </w:r>
      <w:r w:rsidRPr="00B8384F">
        <w:rPr>
          <w:rtl/>
        </w:rPr>
        <w:t>–</w:t>
      </w:r>
      <w:r w:rsidRPr="00B8384F">
        <w:rPr>
          <w:rFonts w:hint="cs"/>
          <w:rtl/>
        </w:rPr>
        <w:t xml:space="preserve"> מכירת אקדח), תשעה חודשי מאסר בפועל. כן הפנה ב"כ הנאשם ל</w:t>
      </w:r>
      <w:hyperlink r:id="rId32" w:history="1">
        <w:r w:rsidR="009F57C5" w:rsidRPr="009F57C5">
          <w:rPr>
            <w:color w:val="0000FF"/>
            <w:u w:val="single"/>
            <w:rtl/>
          </w:rPr>
          <w:t>ת"פ (באר שבע) 31108-04-16</w:t>
        </w:r>
      </w:hyperlink>
      <w:r w:rsidRPr="00B8384F">
        <w:rPr>
          <w:rFonts w:hint="cs"/>
          <w:rtl/>
        </w:rPr>
        <w:t xml:space="preserve"> </w:t>
      </w:r>
      <w:r w:rsidRPr="00B8384F">
        <w:rPr>
          <w:rFonts w:hint="cs"/>
          <w:b/>
          <w:bCs/>
          <w:rtl/>
        </w:rPr>
        <w:t>מדינת ישראל</w:t>
      </w:r>
      <w:r w:rsidRPr="00B8384F">
        <w:rPr>
          <w:rFonts w:hint="cs"/>
          <w:rtl/>
        </w:rPr>
        <w:t xml:space="preserve"> נ' </w:t>
      </w:r>
      <w:r w:rsidRPr="00B8384F">
        <w:rPr>
          <w:rFonts w:hint="cs"/>
          <w:b/>
          <w:bCs/>
          <w:rtl/>
        </w:rPr>
        <w:t>רוש ואח'</w:t>
      </w:r>
      <w:r w:rsidRPr="00B8384F">
        <w:rPr>
          <w:rFonts w:hint="cs"/>
          <w:rtl/>
        </w:rPr>
        <w:t xml:space="preserve"> (לא פורסם), בגדרו אישר בית המשפט הסדר טיעון סגור, לפיו הורשעו נאשמים 6-5 בעבירה של נשיאה והובלת נשק (העברת מטען חבלה שהורכב משתי לבנות חבלה תקניות), כאשר לנאשם 6 היו הרשעות קודמות, בין היתר בעבירות של נשיאת נשק וסחר בסם, ונגזרו עליהם עונשים של 22 ו- 26 חודשי מאסר בפועל (בהתאמה). לעניין גזר דין זה יש להדגיש, כי באותו עניין המאשימה הדגישה בטיעוניה כי: </w:t>
      </w:r>
      <w:r w:rsidRPr="00B8384F">
        <w:rPr>
          <w:rFonts w:hint="cs"/>
          <w:b/>
          <w:bCs/>
          <w:rtl/>
        </w:rPr>
        <w:t>"בתיק זה הגענו להסדר טיעון  לאור קושי ראייתי, בקשיים חסיוניים ממשיים, שהם אלו שהובילו לתיקון המשמעותי בכתב האישום וכן לענישה הנמוכה בתיק זה, שאם לא כן היינו עותרים לעונש גבוה הרבה יותר..."</w:t>
      </w:r>
      <w:r w:rsidRPr="00B8384F">
        <w:rPr>
          <w:rFonts w:hint="cs"/>
          <w:rtl/>
        </w:rPr>
        <w:t xml:space="preserve"> (עמ' 21 לפרוטוקול ש' 8-5). על כן, קשה ללמוד מגזר דין זה לענייננו.</w:t>
      </w:r>
    </w:p>
    <w:p w14:paraId="1FBA62B2" w14:textId="77777777" w:rsidR="00BF4047" w:rsidRPr="00B8384F" w:rsidRDefault="00BF4047" w:rsidP="00BF4047">
      <w:pPr>
        <w:spacing w:line="360" w:lineRule="auto"/>
        <w:ind w:left="720" w:hanging="720"/>
        <w:jc w:val="both"/>
        <w:rPr>
          <w:rtl/>
        </w:rPr>
      </w:pPr>
    </w:p>
    <w:p w14:paraId="4C691869" w14:textId="77777777" w:rsidR="00BF4047" w:rsidRPr="00B8384F" w:rsidRDefault="00BF4047" w:rsidP="00BF4047">
      <w:pPr>
        <w:spacing w:line="360" w:lineRule="auto"/>
        <w:ind w:left="720" w:hanging="720"/>
        <w:jc w:val="both"/>
        <w:rPr>
          <w:rtl/>
        </w:rPr>
      </w:pPr>
      <w:r w:rsidRPr="00B8384F">
        <w:rPr>
          <w:rFonts w:hint="cs"/>
          <w:rtl/>
        </w:rPr>
        <w:t xml:space="preserve">10. </w:t>
      </w:r>
      <w:r w:rsidRPr="00B8384F">
        <w:rPr>
          <w:rtl/>
        </w:rPr>
        <w:tab/>
      </w:r>
      <w:r w:rsidRPr="00B8384F">
        <w:rPr>
          <w:rFonts w:hint="cs"/>
          <w:rtl/>
        </w:rPr>
        <w:t>לאור כל הנסיבות האמורות, ולנוכח רמת הענישה המקובלת, אני מעמיד במקרה זה את מתחם העונש ההולם על 12 עד 48 חודשי מאסר בפועל.</w:t>
      </w:r>
    </w:p>
    <w:p w14:paraId="76DA5480" w14:textId="77777777" w:rsidR="00BF4047" w:rsidRPr="00B8384F" w:rsidRDefault="00BF4047" w:rsidP="00BF4047">
      <w:pPr>
        <w:spacing w:line="360" w:lineRule="auto"/>
        <w:ind w:left="720" w:hanging="720"/>
        <w:jc w:val="both"/>
        <w:rPr>
          <w:rtl/>
        </w:rPr>
      </w:pPr>
    </w:p>
    <w:p w14:paraId="30E8A2F8" w14:textId="77777777" w:rsidR="00BF4047" w:rsidRPr="00B8384F" w:rsidRDefault="00BF4047" w:rsidP="00BF4047">
      <w:pPr>
        <w:spacing w:line="360" w:lineRule="auto"/>
        <w:ind w:left="720" w:hanging="720"/>
        <w:jc w:val="both"/>
        <w:rPr>
          <w:b/>
          <w:bCs/>
          <w:u w:val="single"/>
          <w:rtl/>
        </w:rPr>
      </w:pPr>
      <w:r w:rsidRPr="00B8384F">
        <w:rPr>
          <w:rFonts w:hint="cs"/>
          <w:rtl/>
        </w:rPr>
        <w:t>11.</w:t>
      </w:r>
      <w:r w:rsidRPr="00B8384F">
        <w:rPr>
          <w:rFonts w:hint="cs"/>
          <w:rtl/>
        </w:rPr>
        <w:tab/>
      </w:r>
      <w:r w:rsidRPr="00B8384F">
        <w:rPr>
          <w:rFonts w:hint="cs"/>
          <w:b/>
          <w:bCs/>
          <w:u w:val="single"/>
          <w:rtl/>
        </w:rPr>
        <w:t>העונש המתאים</w:t>
      </w:r>
    </w:p>
    <w:p w14:paraId="67C0D04B" w14:textId="77777777" w:rsidR="00BF4047" w:rsidRPr="00B8384F" w:rsidRDefault="00BF4047" w:rsidP="00BF4047">
      <w:pPr>
        <w:spacing w:line="360" w:lineRule="auto"/>
        <w:ind w:left="720" w:hanging="720"/>
        <w:jc w:val="both"/>
        <w:rPr>
          <w:b/>
          <w:bCs/>
          <w:u w:val="single"/>
          <w:rtl/>
        </w:rPr>
      </w:pPr>
      <w:r w:rsidRPr="00B8384F">
        <w:rPr>
          <w:rtl/>
        </w:rPr>
        <w:tab/>
      </w:r>
      <w:r w:rsidRPr="00B8384F">
        <w:rPr>
          <w:rFonts w:hint="cs"/>
          <w:rtl/>
        </w:rPr>
        <w:t xml:space="preserve">בקביעת העונש המתאים יש להביא בחשבון את הנסיבות שאינן קשורות בעבירה, כאמור בסעיף </w:t>
      </w:r>
      <w:hyperlink r:id="rId33" w:history="1">
        <w:r w:rsidR="004F3556" w:rsidRPr="004F3556">
          <w:rPr>
            <w:color w:val="0000FF"/>
            <w:u w:val="single"/>
            <w:rtl/>
          </w:rPr>
          <w:t>40 יא'</w:t>
        </w:r>
      </w:hyperlink>
      <w:r w:rsidRPr="00B8384F">
        <w:rPr>
          <w:rFonts w:hint="cs"/>
          <w:rtl/>
        </w:rPr>
        <w:t xml:space="preserve"> ל</w:t>
      </w:r>
      <w:hyperlink r:id="rId34" w:history="1">
        <w:r w:rsidR="009F57C5" w:rsidRPr="009F57C5">
          <w:rPr>
            <w:color w:val="0000FF"/>
            <w:u w:val="single"/>
            <w:rtl/>
          </w:rPr>
          <w:t>חוק העונשין</w:t>
        </w:r>
      </w:hyperlink>
      <w:r w:rsidRPr="00B8384F">
        <w:rPr>
          <w:rFonts w:hint="cs"/>
          <w:rtl/>
        </w:rPr>
        <w:t>.</w:t>
      </w:r>
    </w:p>
    <w:p w14:paraId="6B03C308"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פגיעתו הצפויה של העונש בנאשם ובמשפחתו, והנזקים הצפויים להם כתוצאה מהעונש אינם יוצאי דופן באופן המחייב הקלה בעונש, זאת בשים לב לכך שמדובר בנאשם בן 42 שכמפורט לעיל כבר ריצה בעבר עונשי מאסר משמעותיים.</w:t>
      </w:r>
    </w:p>
    <w:p w14:paraId="0A5DF86E"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לזכות הנאשם יש להביא בחשבון כי הוא שיתף פעולה עם רשויות החוק ונטל אחריות מסוימת על מעשיו, בכך שהודה במיוחס לו וחסך מזמנה של המאשימה ומזמנו של בית המשפט. עם זאת, יש לציין כי בצד ההודאה באשמה במסגרת ההליך הפלילי שרות המבחן התרשם כי הנאשם לא נוטל אחריות על ביצוע העבירה, וכי הוא מבטא חרטה מילולית על מעשיו ומצמצם את חומרתם.</w:t>
      </w:r>
    </w:p>
    <w:p w14:paraId="52104470" w14:textId="77777777" w:rsidR="00BF4047" w:rsidRPr="00B8384F" w:rsidRDefault="00BF4047" w:rsidP="00BF4047">
      <w:pPr>
        <w:spacing w:line="360" w:lineRule="auto"/>
        <w:ind w:left="720"/>
        <w:jc w:val="both"/>
        <w:rPr>
          <w:rtl/>
        </w:rPr>
      </w:pPr>
      <w:r w:rsidRPr="00B8384F">
        <w:rPr>
          <w:rFonts w:hint="cs"/>
          <w:rtl/>
        </w:rPr>
        <w:t>נסיבות חייו של הנאשם קשות, והן מצדיקות התחשבות מסוימת לקולא. כעולה מהתסקיר,  אביו של הנאשם היה מכור לאלכוהול וריצה מספר עונשי מאסר בזמן ילדותו של הנאשם. כתוצאה מכך סבלה משפחת הנאשם מקשיים כלכליים ניכרים</w:t>
      </w:r>
      <w:r>
        <w:rPr>
          <w:rFonts w:hint="cs"/>
          <w:rtl/>
        </w:rPr>
        <w:t>,</w:t>
      </w:r>
      <w:r w:rsidRPr="00B8384F">
        <w:rPr>
          <w:rFonts w:hint="cs"/>
          <w:rtl/>
        </w:rPr>
        <w:t xml:space="preserve"> עד כדי כך שאמו נהגה לקבץ נדבות. הנאשם סיים שש שנות לימוד בלבד. הנאשם אף הוא מכור לסמים ואת העבירה ביצע, לדבריו בפני שירות המבחן, אגב איסוף ברזלים ובקבוקים בניסיון להשיג רווח כספי זעום.</w:t>
      </w:r>
    </w:p>
    <w:p w14:paraId="551E6A88" w14:textId="77777777" w:rsidR="00BF4047" w:rsidRPr="00B8384F" w:rsidRDefault="00BF4047" w:rsidP="00BF4047">
      <w:pPr>
        <w:spacing w:line="360" w:lineRule="auto"/>
        <w:ind w:left="720"/>
        <w:jc w:val="both"/>
        <w:rPr>
          <w:rtl/>
        </w:rPr>
      </w:pPr>
      <w:r w:rsidRPr="00B8384F">
        <w:rPr>
          <w:rFonts w:hint="cs"/>
          <w:rtl/>
        </w:rPr>
        <w:t>עברו הפלילי של הנאשם תואר לעיל. העבר מכביד ומהווה שיקול להחמרה בעונש, שכן כל תקופות המאסר שריצה הנאשם עד כה לא הרתיעו אותו מביצוע העבירה בה הורשע לפניי. אכן חלק ניכר מהעבר הפלילי ישן</w:t>
      </w:r>
      <w:r>
        <w:rPr>
          <w:rFonts w:hint="cs"/>
          <w:rtl/>
        </w:rPr>
        <w:t>,</w:t>
      </w:r>
      <w:r w:rsidRPr="00B8384F">
        <w:rPr>
          <w:rFonts w:hint="cs"/>
          <w:rtl/>
        </w:rPr>
        <w:t xml:space="preserve"> אך </w:t>
      </w:r>
      <w:r>
        <w:rPr>
          <w:rFonts w:hint="cs"/>
          <w:rtl/>
        </w:rPr>
        <w:t>בשים לב</w:t>
      </w:r>
      <w:r w:rsidRPr="00B8384F">
        <w:rPr>
          <w:rFonts w:hint="cs"/>
          <w:rtl/>
        </w:rPr>
        <w:t xml:space="preserve"> לתקופות בהן היה הנאשם בבית הכלא, שאז מטבע הדברים לא ביצע עבירות, </w:t>
      </w:r>
      <w:r>
        <w:rPr>
          <w:rFonts w:hint="cs"/>
          <w:rtl/>
        </w:rPr>
        <w:t xml:space="preserve">התמונה המתקבלת </w:t>
      </w:r>
      <w:r w:rsidRPr="00B8384F">
        <w:rPr>
          <w:rFonts w:hint="cs"/>
          <w:rtl/>
        </w:rPr>
        <w:t>עגומה, ומצביעה על כך שלנוכח התמכרותו לסמים לנאשם מעורבות ניכרת בעולם  הפלילי.</w:t>
      </w:r>
    </w:p>
    <w:p w14:paraId="0AE9C830" w14:textId="77777777" w:rsidR="00BF4047" w:rsidRPr="00B8384F" w:rsidRDefault="00BF4047" w:rsidP="00BF4047">
      <w:pPr>
        <w:spacing w:line="360" w:lineRule="auto"/>
        <w:ind w:left="720"/>
        <w:jc w:val="both"/>
        <w:rPr>
          <w:rtl/>
        </w:rPr>
      </w:pPr>
      <w:r w:rsidRPr="00B8384F">
        <w:rPr>
          <w:rFonts w:hint="cs"/>
          <w:rtl/>
        </w:rPr>
        <w:t xml:space="preserve">כל השיקולים האמורים מחייבים את העמדת עונשו של הנאשם מעל למחצית המתחם. </w:t>
      </w:r>
    </w:p>
    <w:p w14:paraId="45B198AD" w14:textId="77777777" w:rsidR="00BF4047" w:rsidRPr="00B8384F" w:rsidRDefault="00BF4047" w:rsidP="00BF4047">
      <w:pPr>
        <w:spacing w:line="360" w:lineRule="auto"/>
        <w:ind w:left="720"/>
        <w:jc w:val="both"/>
        <w:rPr>
          <w:rtl/>
        </w:rPr>
      </w:pPr>
    </w:p>
    <w:p w14:paraId="493B0A60" w14:textId="77777777" w:rsidR="00BF4047" w:rsidRPr="00B8384F" w:rsidRDefault="00BF4047" w:rsidP="00BF4047">
      <w:pPr>
        <w:spacing w:line="360" w:lineRule="auto"/>
        <w:ind w:left="720" w:hanging="720"/>
        <w:jc w:val="both"/>
        <w:rPr>
          <w:rtl/>
        </w:rPr>
      </w:pPr>
      <w:r w:rsidRPr="00B8384F">
        <w:rPr>
          <w:rFonts w:hint="cs"/>
          <w:rtl/>
        </w:rPr>
        <w:t>12.</w:t>
      </w:r>
      <w:r w:rsidRPr="00B8384F">
        <w:rPr>
          <w:rFonts w:hint="cs"/>
          <w:rtl/>
        </w:rPr>
        <w:tab/>
      </w:r>
      <w:r w:rsidRPr="00B8384F">
        <w:rPr>
          <w:rFonts w:hint="cs"/>
          <w:b/>
          <w:bCs/>
          <w:u w:val="single"/>
          <w:rtl/>
        </w:rPr>
        <w:t>חילוט</w:t>
      </w:r>
    </w:p>
    <w:p w14:paraId="7909E36E"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המאשימה בקשה לחלט את רכבו של הנאשם, ואולם בקשה זו הפכה ללא אקטואלית לאחר שהרכב שוחרר בשלב מסוים ללא כל תנאי, ולדברי ב"כ הנאשם הוא כבר איננו בידי המשפחה לאחר שנמכר תמורת 7,000 ₪ בלבד.</w:t>
      </w:r>
    </w:p>
    <w:p w14:paraId="0B66FC02" w14:textId="77777777" w:rsidR="00BF4047" w:rsidRPr="00B8384F" w:rsidRDefault="00BF4047" w:rsidP="00BF4047">
      <w:pPr>
        <w:spacing w:line="360" w:lineRule="auto"/>
        <w:ind w:left="720" w:hanging="720"/>
        <w:jc w:val="both"/>
        <w:rPr>
          <w:rtl/>
        </w:rPr>
      </w:pPr>
    </w:p>
    <w:p w14:paraId="08DE94BF" w14:textId="77777777" w:rsidR="00BF4047" w:rsidRPr="00B8384F" w:rsidRDefault="00BF4047" w:rsidP="00BF4047">
      <w:pPr>
        <w:spacing w:line="360" w:lineRule="auto"/>
        <w:ind w:left="720" w:hanging="720"/>
        <w:jc w:val="both"/>
        <w:rPr>
          <w:rtl/>
        </w:rPr>
      </w:pPr>
      <w:r w:rsidRPr="00B8384F">
        <w:rPr>
          <w:rFonts w:hint="cs"/>
          <w:rtl/>
        </w:rPr>
        <w:t>13.</w:t>
      </w:r>
      <w:r w:rsidRPr="00B8384F">
        <w:rPr>
          <w:rFonts w:hint="cs"/>
          <w:rtl/>
        </w:rPr>
        <w:tab/>
        <w:t>אשר על כן, אני גוזר על הנאשם את העונשים שלהלן:</w:t>
      </w:r>
    </w:p>
    <w:p w14:paraId="5DFD29D1"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 xml:space="preserve">א. שלושים ושמונה חודשי מאסר בפועל. תקופת המאסר תימנה מיום מעצרו של הנאשם </w:t>
      </w:r>
      <w:r w:rsidRPr="00B8384F">
        <w:rPr>
          <w:rtl/>
        </w:rPr>
        <w:t>–</w:t>
      </w:r>
      <w:r w:rsidRPr="00B8384F">
        <w:rPr>
          <w:rFonts w:hint="cs"/>
          <w:rtl/>
        </w:rPr>
        <w:t xml:space="preserve"> 8.6.17.</w:t>
      </w:r>
    </w:p>
    <w:p w14:paraId="543A2D3D"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 xml:space="preserve">ב. ששה חודשי מאסר על תנאי אותם ירצה הנאשם אם בתוך שלוש שנים מיום שחרורו מהכלא יעבור עבירה לפי </w:t>
      </w:r>
      <w:hyperlink r:id="rId35" w:history="1">
        <w:r w:rsidR="004F3556" w:rsidRPr="004F3556">
          <w:rPr>
            <w:color w:val="0000FF"/>
            <w:u w:val="single"/>
            <w:rtl/>
          </w:rPr>
          <w:t>סעיף 144</w:t>
        </w:r>
      </w:hyperlink>
      <w:r w:rsidRPr="00B8384F">
        <w:rPr>
          <w:rFonts w:hint="cs"/>
          <w:rtl/>
        </w:rPr>
        <w:t xml:space="preserve"> ל</w:t>
      </w:r>
      <w:hyperlink r:id="rId36" w:history="1">
        <w:r w:rsidR="009F57C5" w:rsidRPr="009F57C5">
          <w:rPr>
            <w:color w:val="0000FF"/>
            <w:u w:val="single"/>
            <w:rtl/>
          </w:rPr>
          <w:t>חוק העונשין</w:t>
        </w:r>
      </w:hyperlink>
      <w:r w:rsidRPr="00B8384F">
        <w:rPr>
          <w:rFonts w:hint="cs"/>
          <w:rtl/>
        </w:rPr>
        <w:t>.</w:t>
      </w:r>
    </w:p>
    <w:p w14:paraId="56E64FBB" w14:textId="77777777" w:rsidR="00BF4047" w:rsidRPr="00B8384F" w:rsidRDefault="00BF4047" w:rsidP="00BF4047">
      <w:pPr>
        <w:spacing w:line="360" w:lineRule="auto"/>
        <w:ind w:left="720" w:hanging="720"/>
        <w:jc w:val="both"/>
        <w:rPr>
          <w:rtl/>
        </w:rPr>
      </w:pPr>
    </w:p>
    <w:p w14:paraId="5C8D9937" w14:textId="77777777" w:rsidR="00BF4047" w:rsidRPr="009F57C5" w:rsidRDefault="009F57C5" w:rsidP="00BF4047">
      <w:pPr>
        <w:spacing w:line="360" w:lineRule="auto"/>
        <w:ind w:left="720" w:hanging="720"/>
        <w:jc w:val="both"/>
        <w:rPr>
          <w:color w:val="FFFFFF"/>
          <w:sz w:val="2"/>
          <w:szCs w:val="2"/>
          <w:rtl/>
        </w:rPr>
      </w:pPr>
      <w:r w:rsidRPr="009F57C5">
        <w:rPr>
          <w:color w:val="FFFFFF"/>
          <w:sz w:val="2"/>
          <w:szCs w:val="2"/>
          <w:rtl/>
        </w:rPr>
        <w:t>5129371</w:t>
      </w:r>
      <w:r w:rsidR="00BF4047" w:rsidRPr="009F57C5">
        <w:rPr>
          <w:color w:val="FFFFFF"/>
          <w:sz w:val="2"/>
          <w:szCs w:val="2"/>
          <w:rtl/>
        </w:rPr>
        <w:tab/>
      </w:r>
      <w:r w:rsidR="00BF4047" w:rsidRPr="009F57C5">
        <w:rPr>
          <w:rFonts w:hint="cs"/>
          <w:color w:val="FFFFFF"/>
          <w:sz w:val="2"/>
          <w:szCs w:val="2"/>
          <w:rtl/>
        </w:rPr>
        <w:t xml:space="preserve">  </w:t>
      </w:r>
    </w:p>
    <w:p w14:paraId="3F3BBC7B" w14:textId="77777777" w:rsidR="00BF4047" w:rsidRPr="00B8384F" w:rsidRDefault="009F57C5" w:rsidP="00BF4047">
      <w:pPr>
        <w:rPr>
          <w:rFonts w:cs="FrankRuehl"/>
          <w:rtl/>
        </w:rPr>
      </w:pPr>
      <w:r w:rsidRPr="009F57C5">
        <w:rPr>
          <w:rFonts w:ascii="Arial" w:hAnsi="Arial"/>
          <w:color w:val="FFFFFF"/>
          <w:sz w:val="2"/>
          <w:szCs w:val="2"/>
          <w:rtl/>
        </w:rPr>
        <w:t>54678313</w:t>
      </w:r>
      <w:r>
        <w:rPr>
          <w:rFonts w:ascii="Arial" w:hAnsi="Arial"/>
          <w:rtl/>
        </w:rPr>
        <w:t xml:space="preserve">ניתן היום,  ד' ניסן תשע"ח, 20 מרץ 2018, בנוכחות הצדדים. </w:t>
      </w:r>
    </w:p>
    <w:p w14:paraId="71BA8AEE" w14:textId="77777777" w:rsidR="00BF4047" w:rsidRPr="00B8384F" w:rsidRDefault="00BF4047" w:rsidP="00BF4047">
      <w:pPr>
        <w:jc w:val="center"/>
      </w:pPr>
      <w:r w:rsidRPr="00B8384F">
        <w:rPr>
          <w:rFonts w:hint="cs"/>
          <w:rtl/>
        </w:rPr>
        <w:t xml:space="preserve">   </w:t>
      </w:r>
      <w:r w:rsidRPr="00B8384F">
        <w:rPr>
          <w:rFonts w:hint="cs"/>
          <w:rtl/>
        </w:rPr>
        <w:tab/>
      </w:r>
      <w:r w:rsidRPr="00B8384F">
        <w:rPr>
          <w:rFonts w:hint="cs"/>
          <w:rtl/>
        </w:rPr>
        <w:tab/>
      </w:r>
      <w:r w:rsidRPr="00B8384F">
        <w:rPr>
          <w:rFonts w:hint="cs"/>
          <w:rtl/>
        </w:rPr>
        <w:tab/>
      </w:r>
      <w:r w:rsidRPr="00B8384F">
        <w:rPr>
          <w:rFonts w:hint="cs"/>
          <w:rtl/>
        </w:rPr>
        <w:tab/>
      </w:r>
      <w:r w:rsidRPr="00B8384F">
        <w:rPr>
          <w:rFonts w:hint="cs"/>
          <w:rtl/>
        </w:rPr>
        <w:tab/>
      </w:r>
      <w:r>
        <w:rPr>
          <w:rtl/>
        </w:rPr>
        <w:t xml:space="preserve">     </w:t>
      </w:r>
    </w:p>
    <w:p w14:paraId="1C70BAE8" w14:textId="77777777" w:rsidR="00BF4047" w:rsidRPr="00B8384F" w:rsidRDefault="00BF4047" w:rsidP="00BF4047">
      <w:pPr>
        <w:jc w:val="center"/>
        <w:rPr>
          <w:rFonts w:ascii="Arial" w:hAnsi="Arial" w:cs="FrankRuehl"/>
          <w:rtl/>
        </w:rPr>
      </w:pPr>
    </w:p>
    <w:p w14:paraId="2BBF263B" w14:textId="77777777" w:rsidR="00BF4047" w:rsidRPr="00B8384F" w:rsidRDefault="00BF4047" w:rsidP="00BF4047">
      <w:pPr>
        <w:rPr>
          <w:rFonts w:cs="FrankRuehl"/>
          <w:rtl/>
        </w:rPr>
      </w:pPr>
    </w:p>
    <w:p w14:paraId="5F2A7801" w14:textId="77777777" w:rsidR="00BF4047" w:rsidRPr="00B8384F" w:rsidRDefault="00BF4047" w:rsidP="00BF4047">
      <w:pPr>
        <w:pStyle w:val="a3"/>
        <w:jc w:val="center"/>
        <w:rPr>
          <w:rtl/>
        </w:rPr>
      </w:pPr>
    </w:p>
    <w:p w14:paraId="7B4A9EA5" w14:textId="77777777" w:rsidR="002D7B2F" w:rsidRPr="009F57C5" w:rsidRDefault="002D7B2F" w:rsidP="009F57C5">
      <w:pPr>
        <w:keepNext/>
        <w:rPr>
          <w:rFonts w:ascii="David" w:hAnsi="David"/>
          <w:color w:val="000000"/>
          <w:sz w:val="22"/>
          <w:szCs w:val="22"/>
          <w:rtl/>
        </w:rPr>
      </w:pPr>
    </w:p>
    <w:p w14:paraId="78B50970" w14:textId="77777777" w:rsidR="009F57C5" w:rsidRPr="009F57C5" w:rsidRDefault="009F57C5" w:rsidP="009F57C5">
      <w:pPr>
        <w:keepNext/>
        <w:rPr>
          <w:rFonts w:ascii="David" w:hAnsi="David"/>
          <w:color w:val="000000"/>
          <w:sz w:val="22"/>
          <w:szCs w:val="22"/>
          <w:rtl/>
        </w:rPr>
      </w:pPr>
      <w:r w:rsidRPr="009F57C5">
        <w:rPr>
          <w:rFonts w:ascii="David" w:hAnsi="David"/>
          <w:color w:val="000000"/>
          <w:sz w:val="22"/>
          <w:szCs w:val="22"/>
          <w:rtl/>
        </w:rPr>
        <w:t>אברהם רובין 54678313</w:t>
      </w:r>
    </w:p>
    <w:p w14:paraId="5438044C" w14:textId="77777777" w:rsidR="009F57C5" w:rsidRDefault="009F57C5" w:rsidP="009F57C5">
      <w:r w:rsidRPr="009F57C5">
        <w:rPr>
          <w:color w:val="000000"/>
          <w:rtl/>
        </w:rPr>
        <w:t>נוסח מסמך זה כפוף לשינויי ניסוח ועריכה</w:t>
      </w:r>
    </w:p>
    <w:p w14:paraId="0409C622" w14:textId="77777777" w:rsidR="009F57C5" w:rsidRDefault="009F57C5" w:rsidP="009F57C5">
      <w:pPr>
        <w:rPr>
          <w:rtl/>
        </w:rPr>
      </w:pPr>
    </w:p>
    <w:p w14:paraId="0602B6C2" w14:textId="77777777" w:rsidR="009F57C5" w:rsidRDefault="009F57C5" w:rsidP="009F57C5">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3129F0FE" w14:textId="77777777" w:rsidR="009F57C5" w:rsidRPr="009F57C5" w:rsidRDefault="009F57C5" w:rsidP="009F57C5">
      <w:pPr>
        <w:jc w:val="center"/>
        <w:rPr>
          <w:color w:val="0000FF"/>
          <w:u w:val="single"/>
        </w:rPr>
      </w:pPr>
    </w:p>
    <w:sectPr w:rsidR="009F57C5" w:rsidRPr="009F57C5" w:rsidSect="009F57C5">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FF25F4" w14:textId="77777777" w:rsidR="0020448F" w:rsidRDefault="0020448F" w:rsidP="0070203E">
      <w:r>
        <w:separator/>
      </w:r>
    </w:p>
  </w:endnote>
  <w:endnote w:type="continuationSeparator" w:id="0">
    <w:p w14:paraId="0CB131B4" w14:textId="77777777" w:rsidR="0020448F" w:rsidRDefault="0020448F" w:rsidP="00702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17DD1" w14:textId="77777777" w:rsidR="009F57C5" w:rsidRDefault="009F57C5" w:rsidP="009F57C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C648062" w14:textId="77777777" w:rsidR="009230DF" w:rsidRPr="009F57C5" w:rsidRDefault="009F57C5" w:rsidP="009F57C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D8CA7" w14:textId="77777777" w:rsidR="009F57C5" w:rsidRDefault="009F57C5" w:rsidP="009F57C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B5F68">
      <w:rPr>
        <w:rFonts w:ascii="FrankRuehl" w:hAnsi="FrankRuehl" w:cs="FrankRuehl"/>
        <w:noProof/>
        <w:rtl/>
      </w:rPr>
      <w:t>1</w:t>
    </w:r>
    <w:r>
      <w:rPr>
        <w:rFonts w:ascii="FrankRuehl" w:hAnsi="FrankRuehl" w:cs="FrankRuehl"/>
        <w:rtl/>
      </w:rPr>
      <w:fldChar w:fldCharType="end"/>
    </w:r>
  </w:p>
  <w:p w14:paraId="24D9CC05" w14:textId="77777777" w:rsidR="009230DF" w:rsidRPr="009F57C5" w:rsidRDefault="009F57C5" w:rsidP="009F57C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B8E54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BA46E" w14:textId="77777777" w:rsidR="0020448F" w:rsidRDefault="0020448F" w:rsidP="0070203E">
      <w:r>
        <w:separator/>
      </w:r>
    </w:p>
  </w:footnote>
  <w:footnote w:type="continuationSeparator" w:id="0">
    <w:p w14:paraId="7810F71A" w14:textId="77777777" w:rsidR="0020448F" w:rsidRDefault="0020448F" w:rsidP="00702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8E4FC" w14:textId="77777777" w:rsidR="009F57C5" w:rsidRPr="009F57C5" w:rsidRDefault="009F57C5" w:rsidP="009F57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52219-06-17</w:t>
    </w:r>
    <w:r>
      <w:rPr>
        <w:rFonts w:ascii="David" w:hAnsi="David"/>
        <w:color w:val="000000"/>
        <w:sz w:val="22"/>
        <w:szCs w:val="22"/>
        <w:rtl/>
      </w:rPr>
      <w:tab/>
      <w:t xml:space="preserve"> מדינת ישראל נ' מוסא נורי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666E0" w14:textId="77777777" w:rsidR="009F57C5" w:rsidRPr="009F57C5" w:rsidRDefault="009F57C5" w:rsidP="009F57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52219-06-17</w:t>
    </w:r>
    <w:r>
      <w:rPr>
        <w:rFonts w:ascii="David" w:hAnsi="David"/>
        <w:color w:val="000000"/>
        <w:sz w:val="22"/>
        <w:szCs w:val="22"/>
        <w:rtl/>
      </w:rPr>
      <w:tab/>
      <w:t xml:space="preserve"> מדינת ישראל נ' מוסא נורי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F4047"/>
    <w:rsid w:val="0020448F"/>
    <w:rsid w:val="002D7B2F"/>
    <w:rsid w:val="004F3556"/>
    <w:rsid w:val="005222C5"/>
    <w:rsid w:val="0057743B"/>
    <w:rsid w:val="006C47E3"/>
    <w:rsid w:val="0070203E"/>
    <w:rsid w:val="007E71E6"/>
    <w:rsid w:val="00815DE0"/>
    <w:rsid w:val="009230DF"/>
    <w:rsid w:val="009B5F68"/>
    <w:rsid w:val="009F57C5"/>
    <w:rsid w:val="00BA16A0"/>
    <w:rsid w:val="00BF40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E6B0AFE"/>
  <w15:chartTrackingRefBased/>
  <w15:docId w15:val="{5D3DE785-0036-4AC9-8B31-D92AE723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F404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F4047"/>
    <w:pPr>
      <w:tabs>
        <w:tab w:val="center" w:pos="4153"/>
        <w:tab w:val="right" w:pos="8306"/>
      </w:tabs>
    </w:pPr>
  </w:style>
  <w:style w:type="character" w:customStyle="1" w:styleId="a4">
    <w:name w:val="כותרת עליונה תו"/>
    <w:link w:val="a3"/>
    <w:rsid w:val="00BF4047"/>
    <w:rPr>
      <w:rFonts w:ascii="Times New Roman" w:eastAsia="Times New Roman" w:hAnsi="Times New Roman" w:cs="David"/>
      <w:sz w:val="24"/>
      <w:szCs w:val="24"/>
    </w:rPr>
  </w:style>
  <w:style w:type="paragraph" w:styleId="a5">
    <w:name w:val="footer"/>
    <w:basedOn w:val="a"/>
    <w:link w:val="a6"/>
    <w:rsid w:val="00BF4047"/>
    <w:pPr>
      <w:tabs>
        <w:tab w:val="center" w:pos="4153"/>
        <w:tab w:val="right" w:pos="8306"/>
      </w:tabs>
    </w:pPr>
  </w:style>
  <w:style w:type="character" w:customStyle="1" w:styleId="a6">
    <w:name w:val="כותרת תחתונה תו"/>
    <w:link w:val="a5"/>
    <w:rsid w:val="00BF4047"/>
    <w:rPr>
      <w:rFonts w:ascii="Times New Roman" w:eastAsia="Times New Roman" w:hAnsi="Times New Roman" w:cs="David"/>
      <w:sz w:val="24"/>
      <w:szCs w:val="24"/>
    </w:rPr>
  </w:style>
  <w:style w:type="table" w:styleId="a7">
    <w:name w:val="Table Grid"/>
    <w:basedOn w:val="a1"/>
    <w:rsid w:val="00BF404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F4047"/>
  </w:style>
  <w:style w:type="character" w:styleId="Hyperlink">
    <w:name w:val="Hyperlink"/>
    <w:rsid w:val="00BF4047"/>
    <w:rPr>
      <w:rFonts w:cs="Times New Roman"/>
      <w:color w:val="0000FF"/>
      <w:u w:val="single"/>
    </w:rPr>
  </w:style>
  <w:style w:type="character" w:styleId="a9">
    <w:name w:val="Unresolved Mention"/>
    <w:rsid w:val="009F57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919678" TargetMode="External"/><Relationship Id="rId18" Type="http://schemas.openxmlformats.org/officeDocument/2006/relationships/hyperlink" Target="http://www.nevo.co.il/case/6000182" TargetMode="External"/><Relationship Id="rId26" Type="http://schemas.openxmlformats.org/officeDocument/2006/relationships/hyperlink" Target="http://www.nevo.co.il/case/6949290" TargetMode="External"/><Relationship Id="rId39" Type="http://schemas.openxmlformats.org/officeDocument/2006/relationships/header" Target="header2.xml"/><Relationship Id="rId21" Type="http://schemas.openxmlformats.org/officeDocument/2006/relationships/hyperlink" Target="http://www.nevo.co.il/case/20178885" TargetMode="External"/><Relationship Id="rId34" Type="http://schemas.openxmlformats.org/officeDocument/2006/relationships/hyperlink" Target="http://www.nevo.co.il/law/70301" TargetMode="External"/><Relationship Id="rId42" Type="http://schemas.openxmlformats.org/officeDocument/2006/relationships/fontTable" Target="fontTable.xml"/><Relationship Id="rId7" Type="http://schemas.openxmlformats.org/officeDocument/2006/relationships/hyperlink" Target="http://www.nevo.co.il/law/70301/144" TargetMode="External"/><Relationship Id="rId2" Type="http://schemas.openxmlformats.org/officeDocument/2006/relationships/settings" Target="settings.xml"/><Relationship Id="rId16" Type="http://schemas.openxmlformats.org/officeDocument/2006/relationships/hyperlink" Target="http://www.nevo.co.il/case/5594385" TargetMode="External"/><Relationship Id="rId20" Type="http://schemas.openxmlformats.org/officeDocument/2006/relationships/hyperlink" Target="http://www.nevo.co.il/case/17929065" TargetMode="External"/><Relationship Id="rId29" Type="http://schemas.openxmlformats.org/officeDocument/2006/relationships/hyperlink" Target="http://www.nevo.co.il/case/492472"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4499473" TargetMode="External"/><Relationship Id="rId32" Type="http://schemas.openxmlformats.org/officeDocument/2006/relationships/hyperlink" Target="http://www.nevo.co.il/case/21304291"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6473037" TargetMode="External"/><Relationship Id="rId28" Type="http://schemas.openxmlformats.org/officeDocument/2006/relationships/hyperlink" Target="http://www.nevo.co.il/case/21771409"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40ja" TargetMode="External"/><Relationship Id="rId19" Type="http://schemas.openxmlformats.org/officeDocument/2006/relationships/hyperlink" Target="http://www.nevo.co.il/case/21771409" TargetMode="External"/><Relationship Id="rId3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144.b2" TargetMode="External"/><Relationship Id="rId14" Type="http://schemas.openxmlformats.org/officeDocument/2006/relationships/hyperlink" Target="http://www.nevo.co.il/law/70301/144" TargetMode="External"/><Relationship Id="rId22" Type="http://schemas.openxmlformats.org/officeDocument/2006/relationships/hyperlink" Target="http://www.nevo.co.il/case/492472" TargetMode="External"/><Relationship Id="rId27" Type="http://schemas.openxmlformats.org/officeDocument/2006/relationships/hyperlink" Target="http://www.nevo.co.il/case/5590091" TargetMode="External"/><Relationship Id="rId30" Type="http://schemas.openxmlformats.org/officeDocument/2006/relationships/hyperlink" Target="http://www.nevo.co.il/law/70301/144.b2" TargetMode="External"/><Relationship Id="rId35" Type="http://schemas.openxmlformats.org/officeDocument/2006/relationships/hyperlink" Target="http://www.nevo.co.il/law/70301/144" TargetMode="External"/><Relationship Id="rId43" Type="http://schemas.openxmlformats.org/officeDocument/2006/relationships/theme" Target="theme/theme1.xml"/><Relationship Id="rId8" Type="http://schemas.openxmlformats.org/officeDocument/2006/relationships/hyperlink" Target="http://www.nevo.co.il/law/70301/144.b"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case/17929065" TargetMode="External"/><Relationship Id="rId25" Type="http://schemas.openxmlformats.org/officeDocument/2006/relationships/hyperlink" Target="http://www.nevo.co.il/case/6151556" TargetMode="External"/><Relationship Id="rId33" Type="http://schemas.openxmlformats.org/officeDocument/2006/relationships/hyperlink" Target="http://www.nevo.co.il/law/70301/40ja"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2940</Words>
  <Characters>14700</Characters>
  <Application>Microsoft Office Word</Application>
  <DocSecurity>0</DocSecurity>
  <Lines>122</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17605</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7995492</vt:i4>
      </vt:variant>
      <vt:variant>
        <vt:i4>90</vt:i4>
      </vt:variant>
      <vt:variant>
        <vt:i4>0</vt:i4>
      </vt:variant>
      <vt:variant>
        <vt:i4>5</vt:i4>
      </vt:variant>
      <vt:variant>
        <vt:lpwstr>http://www.nevo.co.il/law/70301</vt:lpwstr>
      </vt:variant>
      <vt:variant>
        <vt:lpwstr/>
      </vt:variant>
      <vt:variant>
        <vt:i4>6357092</vt:i4>
      </vt:variant>
      <vt:variant>
        <vt:i4>87</vt:i4>
      </vt:variant>
      <vt:variant>
        <vt:i4>0</vt:i4>
      </vt:variant>
      <vt:variant>
        <vt:i4>5</vt:i4>
      </vt:variant>
      <vt:variant>
        <vt:lpwstr>http://www.nevo.co.il/law/70301/144</vt:lpwstr>
      </vt:variant>
      <vt:variant>
        <vt:lpwstr/>
      </vt:variant>
      <vt:variant>
        <vt:i4>7995492</vt:i4>
      </vt:variant>
      <vt:variant>
        <vt:i4>84</vt:i4>
      </vt:variant>
      <vt:variant>
        <vt:i4>0</vt:i4>
      </vt:variant>
      <vt:variant>
        <vt:i4>5</vt:i4>
      </vt:variant>
      <vt:variant>
        <vt:lpwstr>http://www.nevo.co.il/law/70301</vt:lpwstr>
      </vt:variant>
      <vt:variant>
        <vt:lpwstr/>
      </vt:variant>
      <vt:variant>
        <vt:i4>262155</vt:i4>
      </vt:variant>
      <vt:variant>
        <vt:i4>81</vt:i4>
      </vt:variant>
      <vt:variant>
        <vt:i4>0</vt:i4>
      </vt:variant>
      <vt:variant>
        <vt:i4>5</vt:i4>
      </vt:variant>
      <vt:variant>
        <vt:lpwstr>http://www.nevo.co.il/law/70301/40ja</vt:lpwstr>
      </vt:variant>
      <vt:variant>
        <vt:lpwstr/>
      </vt:variant>
      <vt:variant>
        <vt:i4>3932279</vt:i4>
      </vt:variant>
      <vt:variant>
        <vt:i4>78</vt:i4>
      </vt:variant>
      <vt:variant>
        <vt:i4>0</vt:i4>
      </vt:variant>
      <vt:variant>
        <vt:i4>5</vt:i4>
      </vt:variant>
      <vt:variant>
        <vt:lpwstr>http://www.nevo.co.il/case/21304291</vt:lpwstr>
      </vt:variant>
      <vt:variant>
        <vt:lpwstr/>
      </vt:variant>
      <vt:variant>
        <vt:i4>7995492</vt:i4>
      </vt:variant>
      <vt:variant>
        <vt:i4>75</vt:i4>
      </vt:variant>
      <vt:variant>
        <vt:i4>0</vt:i4>
      </vt:variant>
      <vt:variant>
        <vt:i4>5</vt:i4>
      </vt:variant>
      <vt:variant>
        <vt:lpwstr>http://www.nevo.co.il/law/70301</vt:lpwstr>
      </vt:variant>
      <vt:variant>
        <vt:lpwstr/>
      </vt:variant>
      <vt:variant>
        <vt:i4>8192050</vt:i4>
      </vt:variant>
      <vt:variant>
        <vt:i4>72</vt:i4>
      </vt:variant>
      <vt:variant>
        <vt:i4>0</vt:i4>
      </vt:variant>
      <vt:variant>
        <vt:i4>5</vt:i4>
      </vt:variant>
      <vt:variant>
        <vt:lpwstr>http://www.nevo.co.il/law/70301/144.b2</vt:lpwstr>
      </vt:variant>
      <vt:variant>
        <vt:lpwstr/>
      </vt:variant>
      <vt:variant>
        <vt:i4>65609</vt:i4>
      </vt:variant>
      <vt:variant>
        <vt:i4>69</vt:i4>
      </vt:variant>
      <vt:variant>
        <vt:i4>0</vt:i4>
      </vt:variant>
      <vt:variant>
        <vt:i4>5</vt:i4>
      </vt:variant>
      <vt:variant>
        <vt:lpwstr>http://www.nevo.co.il/case/492472</vt:lpwstr>
      </vt:variant>
      <vt:variant>
        <vt:lpwstr/>
      </vt:variant>
      <vt:variant>
        <vt:i4>3407990</vt:i4>
      </vt:variant>
      <vt:variant>
        <vt:i4>66</vt:i4>
      </vt:variant>
      <vt:variant>
        <vt:i4>0</vt:i4>
      </vt:variant>
      <vt:variant>
        <vt:i4>5</vt:i4>
      </vt:variant>
      <vt:variant>
        <vt:lpwstr>http://www.nevo.co.il/case/21771409</vt:lpwstr>
      </vt:variant>
      <vt:variant>
        <vt:lpwstr/>
      </vt:variant>
      <vt:variant>
        <vt:i4>3997816</vt:i4>
      </vt:variant>
      <vt:variant>
        <vt:i4>63</vt:i4>
      </vt:variant>
      <vt:variant>
        <vt:i4>0</vt:i4>
      </vt:variant>
      <vt:variant>
        <vt:i4>5</vt:i4>
      </vt:variant>
      <vt:variant>
        <vt:lpwstr>http://www.nevo.co.il/case/5590091</vt:lpwstr>
      </vt:variant>
      <vt:variant>
        <vt:lpwstr/>
      </vt:variant>
      <vt:variant>
        <vt:i4>3145853</vt:i4>
      </vt:variant>
      <vt:variant>
        <vt:i4>60</vt:i4>
      </vt:variant>
      <vt:variant>
        <vt:i4>0</vt:i4>
      </vt:variant>
      <vt:variant>
        <vt:i4>5</vt:i4>
      </vt:variant>
      <vt:variant>
        <vt:lpwstr>http://www.nevo.co.il/case/6949290</vt:lpwstr>
      </vt:variant>
      <vt:variant>
        <vt:lpwstr/>
      </vt:variant>
      <vt:variant>
        <vt:i4>3145841</vt:i4>
      </vt:variant>
      <vt:variant>
        <vt:i4>57</vt:i4>
      </vt:variant>
      <vt:variant>
        <vt:i4>0</vt:i4>
      </vt:variant>
      <vt:variant>
        <vt:i4>5</vt:i4>
      </vt:variant>
      <vt:variant>
        <vt:lpwstr>http://www.nevo.co.il/case/6151556</vt:lpwstr>
      </vt:variant>
      <vt:variant>
        <vt:lpwstr/>
      </vt:variant>
      <vt:variant>
        <vt:i4>3801214</vt:i4>
      </vt:variant>
      <vt:variant>
        <vt:i4>54</vt:i4>
      </vt:variant>
      <vt:variant>
        <vt:i4>0</vt:i4>
      </vt:variant>
      <vt:variant>
        <vt:i4>5</vt:i4>
      </vt:variant>
      <vt:variant>
        <vt:lpwstr>http://www.nevo.co.il/case/4499473</vt:lpwstr>
      </vt:variant>
      <vt:variant>
        <vt:lpwstr/>
      </vt:variant>
      <vt:variant>
        <vt:i4>3539056</vt:i4>
      </vt:variant>
      <vt:variant>
        <vt:i4>51</vt:i4>
      </vt:variant>
      <vt:variant>
        <vt:i4>0</vt:i4>
      </vt:variant>
      <vt:variant>
        <vt:i4>5</vt:i4>
      </vt:variant>
      <vt:variant>
        <vt:lpwstr>http://www.nevo.co.il/case/6473037</vt:lpwstr>
      </vt:variant>
      <vt:variant>
        <vt:lpwstr/>
      </vt:variant>
      <vt:variant>
        <vt:i4>65609</vt:i4>
      </vt:variant>
      <vt:variant>
        <vt:i4>48</vt:i4>
      </vt:variant>
      <vt:variant>
        <vt:i4>0</vt:i4>
      </vt:variant>
      <vt:variant>
        <vt:i4>5</vt:i4>
      </vt:variant>
      <vt:variant>
        <vt:lpwstr>http://www.nevo.co.il/case/492472</vt:lpwstr>
      </vt:variant>
      <vt:variant>
        <vt:lpwstr/>
      </vt:variant>
      <vt:variant>
        <vt:i4>3342459</vt:i4>
      </vt:variant>
      <vt:variant>
        <vt:i4>45</vt:i4>
      </vt:variant>
      <vt:variant>
        <vt:i4>0</vt:i4>
      </vt:variant>
      <vt:variant>
        <vt:i4>5</vt:i4>
      </vt:variant>
      <vt:variant>
        <vt:lpwstr>http://www.nevo.co.il/case/20178885</vt:lpwstr>
      </vt:variant>
      <vt:variant>
        <vt:lpwstr/>
      </vt:variant>
      <vt:variant>
        <vt:i4>3604593</vt:i4>
      </vt:variant>
      <vt:variant>
        <vt:i4>42</vt:i4>
      </vt:variant>
      <vt:variant>
        <vt:i4>0</vt:i4>
      </vt:variant>
      <vt:variant>
        <vt:i4>5</vt:i4>
      </vt:variant>
      <vt:variant>
        <vt:lpwstr>http://www.nevo.co.il/case/17929065</vt:lpwstr>
      </vt:variant>
      <vt:variant>
        <vt:lpwstr/>
      </vt:variant>
      <vt:variant>
        <vt:i4>3407990</vt:i4>
      </vt:variant>
      <vt:variant>
        <vt:i4>39</vt:i4>
      </vt:variant>
      <vt:variant>
        <vt:i4>0</vt:i4>
      </vt:variant>
      <vt:variant>
        <vt:i4>5</vt:i4>
      </vt:variant>
      <vt:variant>
        <vt:lpwstr>http://www.nevo.co.il/case/21771409</vt:lpwstr>
      </vt:variant>
      <vt:variant>
        <vt:lpwstr/>
      </vt:variant>
      <vt:variant>
        <vt:i4>3473532</vt:i4>
      </vt:variant>
      <vt:variant>
        <vt:i4>36</vt:i4>
      </vt:variant>
      <vt:variant>
        <vt:i4>0</vt:i4>
      </vt:variant>
      <vt:variant>
        <vt:i4>5</vt:i4>
      </vt:variant>
      <vt:variant>
        <vt:lpwstr>http://www.nevo.co.il/case/6000182</vt:lpwstr>
      </vt:variant>
      <vt:variant>
        <vt:lpwstr/>
      </vt:variant>
      <vt:variant>
        <vt:i4>3604593</vt:i4>
      </vt:variant>
      <vt:variant>
        <vt:i4>33</vt:i4>
      </vt:variant>
      <vt:variant>
        <vt:i4>0</vt:i4>
      </vt:variant>
      <vt:variant>
        <vt:i4>5</vt:i4>
      </vt:variant>
      <vt:variant>
        <vt:lpwstr>http://www.nevo.co.il/case/17929065</vt:lpwstr>
      </vt:variant>
      <vt:variant>
        <vt:lpwstr/>
      </vt:variant>
      <vt:variant>
        <vt:i4>3801213</vt:i4>
      </vt:variant>
      <vt:variant>
        <vt:i4>30</vt:i4>
      </vt:variant>
      <vt:variant>
        <vt:i4>0</vt:i4>
      </vt:variant>
      <vt:variant>
        <vt:i4>5</vt:i4>
      </vt:variant>
      <vt:variant>
        <vt:lpwstr>http://www.nevo.co.il/case/5594385</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6357092</vt:i4>
      </vt:variant>
      <vt:variant>
        <vt:i4>24</vt:i4>
      </vt:variant>
      <vt:variant>
        <vt:i4>0</vt:i4>
      </vt:variant>
      <vt:variant>
        <vt:i4>5</vt:i4>
      </vt:variant>
      <vt:variant>
        <vt:lpwstr>http://www.nevo.co.il/law/70301/144</vt:lpwstr>
      </vt:variant>
      <vt:variant>
        <vt:lpwstr/>
      </vt:variant>
      <vt:variant>
        <vt:i4>3801203</vt:i4>
      </vt:variant>
      <vt:variant>
        <vt:i4>21</vt:i4>
      </vt:variant>
      <vt:variant>
        <vt:i4>0</vt:i4>
      </vt:variant>
      <vt:variant>
        <vt:i4>5</vt:i4>
      </vt:variant>
      <vt:variant>
        <vt:lpwstr>http://www.nevo.co.il/case/5919678</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2025-01-19T16:17:00Z</dcterms:created>
  <dcterms:modified xsi:type="dcterms:W3CDTF">2025-01-19T16:17:00Z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52219</vt:lpwstr>
  </property>
  <property fmtid="{D5CDD505-2E9C-101B-9397-08002B2CF9AE}" pid="6" name="NEWPARTB">
    <vt:lpwstr>06</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מוסא נורי</vt:lpwstr>
  </property>
  <property fmtid="{D5CDD505-2E9C-101B-9397-08002B2CF9AE}" pid="10" name="JUDGE">
    <vt:lpwstr>אברהם רובין</vt:lpwstr>
  </property>
  <property fmtid="{D5CDD505-2E9C-101B-9397-08002B2CF9AE}" pid="11" name="CITY">
    <vt:lpwstr>י-ם</vt:lpwstr>
  </property>
  <property fmtid="{D5CDD505-2E9C-101B-9397-08002B2CF9AE}" pid="12" name="DATE">
    <vt:lpwstr>20180320</vt:lpwstr>
  </property>
  <property fmtid="{D5CDD505-2E9C-101B-9397-08002B2CF9AE}" pid="13" name="TYPE_N_DATE">
    <vt:lpwstr>39020180320</vt:lpwstr>
  </property>
  <property fmtid="{D5CDD505-2E9C-101B-9397-08002B2CF9AE}" pid="14" name="WORDNUMPAGES">
    <vt:lpwstr>9</vt:lpwstr>
  </property>
  <property fmtid="{D5CDD505-2E9C-101B-9397-08002B2CF9AE}" pid="15" name="TYPE_ABS_DATE">
    <vt:lpwstr>390020180320</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5919678;5594385;17929065:2;6000182;21771409:2;20178885;492472:2;6473037;4499473;6151556;6949290;5590091;21304291</vt:lpwstr>
  </property>
  <property fmtid="{D5CDD505-2E9C-101B-9397-08002B2CF9AE}" pid="36" name="LAWLISTTMP1">
    <vt:lpwstr>70301/144.b;144:2;144.b2;40ja</vt:lpwstr>
  </property>
</Properties>
</file>