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A55EE9" w:rsidRPr="00185623" w14:paraId="7237B008" w14:textId="77777777" w:rsidTr="00373631">
        <w:trPr>
          <w:trHeight w:hRule="exact" w:val="418"/>
          <w:jc w:val="center"/>
        </w:trPr>
        <w:tc>
          <w:tcPr>
            <w:tcW w:w="8861" w:type="dxa"/>
            <w:gridSpan w:val="2"/>
          </w:tcPr>
          <w:p w14:paraId="61ED9345" w14:textId="77777777" w:rsidR="00A55EE9" w:rsidRPr="00185623" w:rsidRDefault="00A55EE9" w:rsidP="00373631">
            <w:pPr>
              <w:pStyle w:val="a3"/>
              <w:jc w:val="center"/>
              <w:rPr>
                <w:rFonts w:ascii="Tahoma" w:hAnsi="Tahoma"/>
                <w:color w:val="000080"/>
                <w:sz w:val="32"/>
                <w:szCs w:val="32"/>
                <w:rtl/>
              </w:rPr>
            </w:pPr>
            <w:r w:rsidRPr="00185623">
              <w:rPr>
                <w:rFonts w:ascii="Tahoma" w:hAnsi="Tahoma"/>
                <w:b/>
                <w:bCs/>
                <w:color w:val="000080"/>
                <w:sz w:val="32"/>
                <w:szCs w:val="32"/>
                <w:rtl/>
              </w:rPr>
              <w:t>בית המשפט המחוזי בתל אביב -יפו</w:t>
            </w:r>
          </w:p>
        </w:tc>
      </w:tr>
      <w:tr w:rsidR="00A55EE9" w:rsidRPr="00185623" w14:paraId="3A25546C" w14:textId="77777777" w:rsidTr="00373631">
        <w:trPr>
          <w:trHeight w:val="337"/>
          <w:jc w:val="center"/>
        </w:trPr>
        <w:tc>
          <w:tcPr>
            <w:tcW w:w="5131" w:type="dxa"/>
          </w:tcPr>
          <w:p w14:paraId="5D69074F" w14:textId="77777777" w:rsidR="00A55EE9" w:rsidRPr="00185623" w:rsidRDefault="00A55EE9" w:rsidP="00373631">
            <w:pPr>
              <w:rPr>
                <w:sz w:val="26"/>
                <w:szCs w:val="26"/>
                <w:rtl/>
              </w:rPr>
            </w:pPr>
            <w:r w:rsidRPr="00185623">
              <w:rPr>
                <w:sz w:val="26"/>
                <w:szCs w:val="26"/>
                <w:rtl/>
              </w:rPr>
              <w:t>תפ"ח</w:t>
            </w:r>
            <w:r w:rsidRPr="00185623">
              <w:rPr>
                <w:rFonts w:hint="cs"/>
                <w:sz w:val="26"/>
                <w:szCs w:val="26"/>
                <w:rtl/>
              </w:rPr>
              <w:t xml:space="preserve"> </w:t>
            </w:r>
            <w:r w:rsidRPr="00185623">
              <w:rPr>
                <w:sz w:val="26"/>
                <w:szCs w:val="26"/>
                <w:rtl/>
              </w:rPr>
              <w:t>66838-06-17</w:t>
            </w:r>
            <w:r w:rsidRPr="00185623">
              <w:rPr>
                <w:rFonts w:hint="cs"/>
                <w:sz w:val="26"/>
                <w:szCs w:val="26"/>
                <w:rtl/>
              </w:rPr>
              <w:t xml:space="preserve"> </w:t>
            </w:r>
            <w:r w:rsidRPr="00185623">
              <w:rPr>
                <w:sz w:val="26"/>
                <w:szCs w:val="26"/>
                <w:rtl/>
              </w:rPr>
              <w:t>מדינת ישראל נ' קטון</w:t>
            </w:r>
            <w:r w:rsidRPr="00185623">
              <w:rPr>
                <w:rFonts w:hint="cs"/>
                <w:sz w:val="26"/>
                <w:szCs w:val="26"/>
                <w:rtl/>
              </w:rPr>
              <w:t xml:space="preserve"> </w:t>
            </w:r>
            <w:r w:rsidRPr="00185623">
              <w:rPr>
                <w:sz w:val="26"/>
                <w:szCs w:val="26"/>
                <w:rtl/>
              </w:rPr>
              <w:t>(עציר)</w:t>
            </w:r>
          </w:p>
        </w:tc>
        <w:tc>
          <w:tcPr>
            <w:tcW w:w="3730" w:type="dxa"/>
          </w:tcPr>
          <w:p w14:paraId="214A4AD3" w14:textId="77777777" w:rsidR="00A55EE9" w:rsidRPr="00185623" w:rsidRDefault="00A55EE9" w:rsidP="00373631">
            <w:pPr>
              <w:pStyle w:val="a3"/>
              <w:jc w:val="right"/>
              <w:rPr>
                <w:sz w:val="26"/>
                <w:szCs w:val="26"/>
                <w:rtl/>
              </w:rPr>
            </w:pPr>
            <w:r w:rsidRPr="00185623">
              <w:rPr>
                <w:rFonts w:hint="cs"/>
                <w:sz w:val="26"/>
                <w:szCs w:val="26"/>
                <w:rtl/>
              </w:rPr>
              <w:t>13 ספטמבר 2023</w:t>
            </w:r>
          </w:p>
        </w:tc>
      </w:tr>
    </w:tbl>
    <w:p w14:paraId="45248FEC" w14:textId="77777777" w:rsidR="00A55EE9" w:rsidRPr="00185623" w:rsidRDefault="00A55EE9" w:rsidP="00A55EE9">
      <w:pPr>
        <w:pStyle w:val="a3"/>
        <w:tabs>
          <w:tab w:val="clear" w:pos="4153"/>
          <w:tab w:val="clear" w:pos="8306"/>
          <w:tab w:val="left" w:pos="1035"/>
        </w:tabs>
        <w:rPr>
          <w:sz w:val="26"/>
          <w:szCs w:val="26"/>
        </w:rPr>
      </w:pPr>
      <w:r w:rsidRPr="00185623">
        <w:rPr>
          <w:sz w:val="26"/>
          <w:szCs w:val="26"/>
          <w:rtl/>
        </w:rPr>
        <w:tab/>
      </w:r>
    </w:p>
    <w:p w14:paraId="26B21EA9" w14:textId="77777777" w:rsidR="00A55EE9" w:rsidRPr="00185623" w:rsidRDefault="00A55EE9" w:rsidP="00A55EE9">
      <w:pPr>
        <w:rPr>
          <w:rtl/>
        </w:rPr>
      </w:pPr>
    </w:p>
    <w:p w14:paraId="1A4F0FA4" w14:textId="77777777" w:rsidR="00A55EE9" w:rsidRPr="00185623" w:rsidRDefault="00A55EE9" w:rsidP="00A55EE9">
      <w:pPr>
        <w:rPr>
          <w:rtl/>
        </w:rPr>
      </w:pPr>
    </w:p>
    <w:tbl>
      <w:tblPr>
        <w:bidiVisual/>
        <w:tblW w:w="8637" w:type="dxa"/>
        <w:jc w:val="center"/>
        <w:tblLook w:val="01E0" w:firstRow="1" w:lastRow="1" w:firstColumn="1" w:lastColumn="1" w:noHBand="0" w:noVBand="0"/>
      </w:tblPr>
      <w:tblGrid>
        <w:gridCol w:w="821"/>
        <w:gridCol w:w="5616"/>
        <w:gridCol w:w="8"/>
        <w:gridCol w:w="2192"/>
      </w:tblGrid>
      <w:tr w:rsidR="00A55EE9" w:rsidRPr="00185623" w14:paraId="106BD906" w14:textId="77777777" w:rsidTr="00A55EE9">
        <w:trPr>
          <w:trHeight w:val="292"/>
          <w:jc w:val="center"/>
        </w:trPr>
        <w:tc>
          <w:tcPr>
            <w:tcW w:w="821" w:type="dxa"/>
            <w:shd w:val="clear" w:color="auto" w:fill="auto"/>
          </w:tcPr>
          <w:p w14:paraId="6617BCAD" w14:textId="77777777" w:rsidR="00A55EE9" w:rsidRPr="00185623" w:rsidRDefault="00A55EE9" w:rsidP="00A55EE9">
            <w:pPr>
              <w:jc w:val="both"/>
              <w:rPr>
                <w:rFonts w:ascii="David" w:hAnsi="David"/>
              </w:rPr>
            </w:pPr>
            <w:r w:rsidRPr="00185623">
              <w:rPr>
                <w:rFonts w:ascii="David" w:hAnsi="David"/>
                <w:rtl/>
              </w:rPr>
              <w:t xml:space="preserve">בפני: </w:t>
            </w:r>
          </w:p>
        </w:tc>
        <w:tc>
          <w:tcPr>
            <w:tcW w:w="7816" w:type="dxa"/>
            <w:gridSpan w:val="3"/>
            <w:shd w:val="clear" w:color="auto" w:fill="auto"/>
          </w:tcPr>
          <w:p w14:paraId="37AE183B" w14:textId="77777777" w:rsidR="00A55EE9" w:rsidRPr="00185623" w:rsidRDefault="00A55EE9" w:rsidP="00A55EE9">
            <w:pPr>
              <w:spacing w:line="360" w:lineRule="auto"/>
              <w:rPr>
                <w:rFonts w:ascii="David" w:hAnsi="David"/>
                <w:b/>
                <w:bCs/>
              </w:rPr>
            </w:pPr>
            <w:r w:rsidRPr="00185623">
              <w:rPr>
                <w:rFonts w:ascii="David" w:hAnsi="David"/>
                <w:b/>
                <w:bCs/>
                <w:rtl/>
              </w:rPr>
              <w:t>כב' השופט גלעד נויטל, נשיא, אב"ד</w:t>
            </w:r>
          </w:p>
          <w:p w14:paraId="2CE4720A" w14:textId="77777777" w:rsidR="00A55EE9" w:rsidRPr="00185623" w:rsidRDefault="00A55EE9" w:rsidP="00A55EE9">
            <w:pPr>
              <w:spacing w:line="360" w:lineRule="auto"/>
              <w:rPr>
                <w:rFonts w:ascii="David" w:hAnsi="David"/>
                <w:b/>
                <w:bCs/>
              </w:rPr>
            </w:pPr>
            <w:r w:rsidRPr="00185623">
              <w:rPr>
                <w:rFonts w:ascii="David" w:hAnsi="David"/>
                <w:b/>
                <w:bCs/>
                <w:rtl/>
              </w:rPr>
              <w:t>כב' השופטת טלי חיימוביץ</w:t>
            </w:r>
          </w:p>
          <w:p w14:paraId="52F7C4F8" w14:textId="77777777" w:rsidR="00A55EE9" w:rsidRPr="00185623" w:rsidRDefault="00A55EE9" w:rsidP="00A55EE9">
            <w:pPr>
              <w:spacing w:line="360" w:lineRule="auto"/>
              <w:rPr>
                <w:rFonts w:ascii="David" w:hAnsi="David"/>
                <w:b/>
                <w:bCs/>
              </w:rPr>
            </w:pPr>
            <w:r w:rsidRPr="00185623">
              <w:rPr>
                <w:rFonts w:ascii="David" w:hAnsi="David"/>
                <w:b/>
                <w:bCs/>
                <w:rtl/>
              </w:rPr>
              <w:t>כב' השופט גרשון גונטובניק</w:t>
            </w:r>
          </w:p>
          <w:p w14:paraId="064C480C" w14:textId="77777777" w:rsidR="00A55EE9" w:rsidRPr="00185623" w:rsidRDefault="00A55EE9" w:rsidP="00A55EE9">
            <w:pPr>
              <w:spacing w:line="360" w:lineRule="auto"/>
              <w:jc w:val="right"/>
              <w:rPr>
                <w:rFonts w:ascii="David" w:hAnsi="David"/>
                <w:b/>
                <w:bCs/>
              </w:rPr>
            </w:pPr>
          </w:p>
          <w:p w14:paraId="3774A1B1" w14:textId="77777777" w:rsidR="00A55EE9" w:rsidRPr="00185623" w:rsidRDefault="00A55EE9" w:rsidP="00A55EE9">
            <w:pPr>
              <w:jc w:val="right"/>
              <w:rPr>
                <w:rFonts w:ascii="David" w:hAnsi="David"/>
              </w:rPr>
            </w:pPr>
          </w:p>
        </w:tc>
      </w:tr>
      <w:tr w:rsidR="00A55EE9" w:rsidRPr="00185623" w14:paraId="0C479845" w14:textId="77777777" w:rsidTr="00A55EE9">
        <w:trPr>
          <w:trHeight w:val="694"/>
          <w:jc w:val="center"/>
        </w:trPr>
        <w:tc>
          <w:tcPr>
            <w:tcW w:w="821" w:type="dxa"/>
            <w:shd w:val="clear" w:color="auto" w:fill="auto"/>
          </w:tcPr>
          <w:p w14:paraId="147166DE" w14:textId="77777777" w:rsidR="00A55EE9" w:rsidRPr="00185623" w:rsidRDefault="00A55EE9" w:rsidP="00A55EE9">
            <w:pPr>
              <w:jc w:val="both"/>
              <w:rPr>
                <w:rFonts w:ascii="David" w:hAnsi="David"/>
              </w:rPr>
            </w:pPr>
            <w:bookmarkStart w:id="0" w:name="FirstAppellant"/>
            <w:bookmarkStart w:id="1" w:name="FirstLawyer"/>
            <w:bookmarkStart w:id="2" w:name="LastJudge"/>
            <w:bookmarkEnd w:id="2"/>
            <w:r w:rsidRPr="00185623">
              <w:rPr>
                <w:rFonts w:ascii="David" w:hAnsi="David"/>
                <w:rtl/>
              </w:rPr>
              <w:t>בעניין:</w:t>
            </w:r>
          </w:p>
        </w:tc>
        <w:tc>
          <w:tcPr>
            <w:tcW w:w="5624" w:type="dxa"/>
            <w:gridSpan w:val="2"/>
            <w:shd w:val="clear" w:color="auto" w:fill="auto"/>
          </w:tcPr>
          <w:p w14:paraId="5D840227" w14:textId="77777777" w:rsidR="00A55EE9" w:rsidRPr="00185623" w:rsidRDefault="00A55EE9" w:rsidP="00A55EE9">
            <w:pPr>
              <w:bidi w:val="0"/>
              <w:spacing w:line="360" w:lineRule="auto"/>
              <w:jc w:val="right"/>
              <w:rPr>
                <w:rFonts w:ascii="David" w:hAnsi="David"/>
                <w:b/>
                <w:bCs/>
              </w:rPr>
            </w:pPr>
            <w:r w:rsidRPr="00185623">
              <w:rPr>
                <w:rFonts w:ascii="David" w:hAnsi="David"/>
                <w:b/>
                <w:bCs/>
                <w:rtl/>
              </w:rPr>
              <w:t>מדינת ישראל - פרקליטות מחוז ת"א (פלילי) -</w:t>
            </w:r>
          </w:p>
          <w:p w14:paraId="2C537227" w14:textId="77777777" w:rsidR="00A55EE9" w:rsidRPr="00185623" w:rsidRDefault="00A55EE9" w:rsidP="00A55EE9">
            <w:pPr>
              <w:jc w:val="both"/>
              <w:rPr>
                <w:rFonts w:ascii="David" w:hAnsi="David"/>
              </w:rPr>
            </w:pPr>
            <w:r w:rsidRPr="00185623">
              <w:rPr>
                <w:rFonts w:ascii="David" w:hAnsi="David"/>
                <w:rtl/>
              </w:rPr>
              <w:t>ע"י ב"כ עו"ד אורן פז</w:t>
            </w:r>
          </w:p>
          <w:p w14:paraId="184F0FCC" w14:textId="77777777" w:rsidR="00A55EE9" w:rsidRPr="00185623" w:rsidRDefault="00A55EE9" w:rsidP="00A55EE9">
            <w:pPr>
              <w:spacing w:line="360" w:lineRule="auto"/>
              <w:jc w:val="both"/>
              <w:rPr>
                <w:rFonts w:ascii="David" w:hAnsi="David"/>
              </w:rPr>
            </w:pPr>
          </w:p>
        </w:tc>
        <w:tc>
          <w:tcPr>
            <w:tcW w:w="2192" w:type="dxa"/>
            <w:shd w:val="clear" w:color="auto" w:fill="auto"/>
          </w:tcPr>
          <w:p w14:paraId="2C1DBF7B" w14:textId="77777777" w:rsidR="00A55EE9" w:rsidRPr="00185623" w:rsidRDefault="00A55EE9" w:rsidP="00A55EE9">
            <w:pPr>
              <w:jc w:val="right"/>
              <w:rPr>
                <w:rFonts w:ascii="David" w:hAnsi="David"/>
                <w:b/>
                <w:bCs/>
              </w:rPr>
            </w:pPr>
            <w:r w:rsidRPr="00185623">
              <w:rPr>
                <w:rFonts w:ascii="David" w:hAnsi="David"/>
                <w:b/>
                <w:bCs/>
                <w:rtl/>
              </w:rPr>
              <w:t>המאשימה</w:t>
            </w:r>
          </w:p>
        </w:tc>
      </w:tr>
      <w:bookmarkEnd w:id="0"/>
      <w:bookmarkEnd w:id="1"/>
      <w:tr w:rsidR="00A55EE9" w:rsidRPr="00185623" w14:paraId="19220B44" w14:textId="77777777" w:rsidTr="00A55EE9">
        <w:trPr>
          <w:trHeight w:val="352"/>
          <w:jc w:val="center"/>
        </w:trPr>
        <w:tc>
          <w:tcPr>
            <w:tcW w:w="821" w:type="dxa"/>
            <w:shd w:val="clear" w:color="auto" w:fill="auto"/>
          </w:tcPr>
          <w:p w14:paraId="31A94697" w14:textId="77777777" w:rsidR="00A55EE9" w:rsidRPr="00185623" w:rsidRDefault="00A55EE9" w:rsidP="00A55EE9">
            <w:pPr>
              <w:jc w:val="both"/>
              <w:rPr>
                <w:rFonts w:ascii="David" w:hAnsi="David"/>
              </w:rPr>
            </w:pPr>
          </w:p>
        </w:tc>
        <w:tc>
          <w:tcPr>
            <w:tcW w:w="7816" w:type="dxa"/>
            <w:gridSpan w:val="3"/>
            <w:shd w:val="clear" w:color="auto" w:fill="auto"/>
          </w:tcPr>
          <w:p w14:paraId="4605D92F" w14:textId="77777777" w:rsidR="00A55EE9" w:rsidRPr="00185623" w:rsidRDefault="00A55EE9" w:rsidP="00A55EE9">
            <w:pPr>
              <w:jc w:val="center"/>
              <w:rPr>
                <w:rFonts w:ascii="David" w:hAnsi="David"/>
                <w:b/>
                <w:bCs/>
                <w:rtl/>
              </w:rPr>
            </w:pPr>
            <w:r w:rsidRPr="00185623">
              <w:rPr>
                <w:rFonts w:ascii="David" w:hAnsi="David"/>
                <w:b/>
                <w:bCs/>
                <w:rtl/>
              </w:rPr>
              <w:t>נגד</w:t>
            </w:r>
          </w:p>
          <w:p w14:paraId="6969C11B" w14:textId="77777777" w:rsidR="00A55EE9" w:rsidRPr="00185623" w:rsidRDefault="00A55EE9" w:rsidP="00A55EE9">
            <w:pPr>
              <w:jc w:val="center"/>
              <w:rPr>
                <w:rFonts w:ascii="David" w:hAnsi="David"/>
                <w:b/>
                <w:bCs/>
              </w:rPr>
            </w:pPr>
          </w:p>
        </w:tc>
      </w:tr>
      <w:tr w:rsidR="00A55EE9" w:rsidRPr="00185623" w14:paraId="14913ECC" w14:textId="77777777" w:rsidTr="00A55EE9">
        <w:trPr>
          <w:trHeight w:val="642"/>
          <w:jc w:val="center"/>
        </w:trPr>
        <w:tc>
          <w:tcPr>
            <w:tcW w:w="821" w:type="dxa"/>
            <w:shd w:val="clear" w:color="auto" w:fill="auto"/>
          </w:tcPr>
          <w:p w14:paraId="4A16FD1B" w14:textId="77777777" w:rsidR="00A55EE9" w:rsidRPr="00185623" w:rsidRDefault="00A55EE9" w:rsidP="00A55EE9">
            <w:pPr>
              <w:jc w:val="both"/>
              <w:rPr>
                <w:rFonts w:ascii="David" w:hAnsi="David"/>
              </w:rPr>
            </w:pPr>
          </w:p>
        </w:tc>
        <w:tc>
          <w:tcPr>
            <w:tcW w:w="5616" w:type="dxa"/>
            <w:shd w:val="clear" w:color="auto" w:fill="auto"/>
          </w:tcPr>
          <w:p w14:paraId="6EF8C0A2" w14:textId="77777777" w:rsidR="00A55EE9" w:rsidRPr="00185623" w:rsidRDefault="00A55EE9" w:rsidP="00A55EE9">
            <w:pPr>
              <w:bidi w:val="0"/>
              <w:spacing w:line="360" w:lineRule="auto"/>
              <w:jc w:val="right"/>
              <w:rPr>
                <w:rFonts w:ascii="David" w:hAnsi="David"/>
                <w:b/>
                <w:bCs/>
              </w:rPr>
            </w:pPr>
            <w:r w:rsidRPr="00185623">
              <w:rPr>
                <w:rFonts w:ascii="David" w:hAnsi="David"/>
                <w:b/>
                <w:bCs/>
                <w:rtl/>
              </w:rPr>
              <w:t>ישראל צבי קטון -</w:t>
            </w:r>
          </w:p>
          <w:p w14:paraId="58030029" w14:textId="77777777" w:rsidR="00A55EE9" w:rsidRPr="00185623" w:rsidRDefault="00A55EE9" w:rsidP="00A55EE9">
            <w:pPr>
              <w:bidi w:val="0"/>
              <w:spacing w:line="360" w:lineRule="auto"/>
              <w:jc w:val="right"/>
              <w:rPr>
                <w:rFonts w:ascii="David" w:hAnsi="David"/>
              </w:rPr>
            </w:pPr>
            <w:r w:rsidRPr="00185623">
              <w:rPr>
                <w:rFonts w:ascii="David" w:hAnsi="David"/>
                <w:rtl/>
              </w:rPr>
              <w:t>ע"י ב"כ עו"ד שי נודל</w:t>
            </w:r>
          </w:p>
        </w:tc>
        <w:tc>
          <w:tcPr>
            <w:tcW w:w="2200" w:type="dxa"/>
            <w:gridSpan w:val="2"/>
            <w:shd w:val="clear" w:color="auto" w:fill="auto"/>
          </w:tcPr>
          <w:p w14:paraId="062A01BC" w14:textId="77777777" w:rsidR="00A55EE9" w:rsidRPr="00185623" w:rsidRDefault="00A55EE9" w:rsidP="00A55EE9">
            <w:pPr>
              <w:jc w:val="right"/>
              <w:rPr>
                <w:rFonts w:ascii="David" w:hAnsi="David"/>
                <w:b/>
                <w:bCs/>
                <w:rtl/>
              </w:rPr>
            </w:pPr>
            <w:r w:rsidRPr="00185623">
              <w:rPr>
                <w:rFonts w:ascii="David" w:hAnsi="David"/>
                <w:b/>
                <w:bCs/>
                <w:rtl/>
              </w:rPr>
              <w:t>הנאשם</w:t>
            </w:r>
          </w:p>
        </w:tc>
      </w:tr>
    </w:tbl>
    <w:p w14:paraId="2322E61D" w14:textId="77777777" w:rsidR="00185623" w:rsidRPr="00185623" w:rsidRDefault="00185623" w:rsidP="00185623">
      <w:pPr>
        <w:spacing w:before="120" w:after="120" w:line="240" w:lineRule="exact"/>
        <w:ind w:left="283" w:hanging="283"/>
        <w:jc w:val="both"/>
        <w:rPr>
          <w:rFonts w:ascii="FrankRuehl" w:hAnsi="FrankRuehl" w:cs="FrankRuehl"/>
          <w:color w:val="0000FF"/>
          <w:rtl/>
        </w:rPr>
      </w:pPr>
    </w:p>
    <w:p w14:paraId="0CE29D63" w14:textId="77777777" w:rsidR="004167C0" w:rsidRPr="004167C0" w:rsidRDefault="004167C0" w:rsidP="004167C0">
      <w:pPr>
        <w:spacing w:before="120" w:after="120" w:line="240" w:lineRule="exact"/>
        <w:ind w:left="283" w:hanging="283"/>
        <w:jc w:val="both"/>
        <w:rPr>
          <w:rFonts w:ascii="FrankRuehl" w:hAnsi="FrankRuehl" w:cs="FrankRuehl"/>
          <w:rtl/>
        </w:rPr>
      </w:pPr>
    </w:p>
    <w:p w14:paraId="6CBC90F1" w14:textId="77777777" w:rsidR="008B30E7" w:rsidRDefault="008B30E7" w:rsidP="008B30E7">
      <w:pPr>
        <w:rPr>
          <w:rtl/>
        </w:rPr>
      </w:pPr>
      <w:bookmarkStart w:id="3" w:name="LawTable"/>
      <w:bookmarkEnd w:id="3"/>
    </w:p>
    <w:p w14:paraId="19114D50" w14:textId="77777777" w:rsidR="008B30E7" w:rsidRPr="008B30E7" w:rsidRDefault="008B30E7" w:rsidP="008B30E7">
      <w:pPr>
        <w:spacing w:before="120" w:after="120" w:line="240" w:lineRule="exact"/>
        <w:ind w:left="283" w:hanging="283"/>
        <w:jc w:val="both"/>
        <w:rPr>
          <w:rFonts w:ascii="FrankRuehl" w:hAnsi="FrankRuehl" w:cs="FrankRuehl"/>
          <w:rtl/>
        </w:rPr>
      </w:pPr>
    </w:p>
    <w:p w14:paraId="47CFAEEF" w14:textId="77777777" w:rsidR="008B30E7" w:rsidRPr="008B30E7" w:rsidRDefault="008B30E7" w:rsidP="008B30E7">
      <w:pPr>
        <w:spacing w:before="120" w:after="120" w:line="240" w:lineRule="exact"/>
        <w:ind w:left="283" w:hanging="283"/>
        <w:jc w:val="both"/>
        <w:rPr>
          <w:rFonts w:ascii="FrankRuehl" w:hAnsi="FrankRuehl" w:cs="FrankRuehl"/>
          <w:rtl/>
        </w:rPr>
      </w:pPr>
    </w:p>
    <w:p w14:paraId="0576DB7F" w14:textId="77777777" w:rsidR="008B30E7" w:rsidRPr="008B30E7" w:rsidRDefault="008B30E7" w:rsidP="008B30E7">
      <w:pPr>
        <w:spacing w:before="120" w:after="120" w:line="240" w:lineRule="exact"/>
        <w:ind w:left="283" w:hanging="283"/>
        <w:jc w:val="both"/>
        <w:rPr>
          <w:rFonts w:ascii="FrankRuehl" w:hAnsi="FrankRuehl" w:cs="FrankRuehl"/>
          <w:rtl/>
        </w:rPr>
      </w:pPr>
      <w:r w:rsidRPr="008B30E7">
        <w:rPr>
          <w:rFonts w:ascii="FrankRuehl" w:hAnsi="FrankRuehl" w:cs="FrankRuehl"/>
          <w:rtl/>
        </w:rPr>
        <w:t xml:space="preserve">חקיקה שאוזכרה: </w:t>
      </w:r>
    </w:p>
    <w:p w14:paraId="3BCF545B" w14:textId="77777777" w:rsidR="008B30E7" w:rsidRPr="008B30E7" w:rsidRDefault="008B30E7" w:rsidP="008B30E7">
      <w:pPr>
        <w:spacing w:before="120" w:after="120" w:line="240" w:lineRule="exact"/>
        <w:ind w:left="283" w:hanging="283"/>
        <w:jc w:val="both"/>
        <w:rPr>
          <w:rFonts w:ascii="FrankRuehl" w:hAnsi="FrankRuehl" w:cs="FrankRuehl"/>
          <w:rtl/>
        </w:rPr>
      </w:pPr>
      <w:hyperlink r:id="rId7" w:history="1">
        <w:r w:rsidRPr="008B30E7">
          <w:rPr>
            <w:rFonts w:ascii="FrankRuehl" w:hAnsi="FrankRuehl" w:cs="FrankRuehl"/>
            <w:color w:val="0000FF"/>
            <w:rtl/>
          </w:rPr>
          <w:t>חוק העונשין, תשל"ז-1977</w:t>
        </w:r>
      </w:hyperlink>
      <w:r w:rsidRPr="008B30E7">
        <w:rPr>
          <w:rFonts w:ascii="FrankRuehl" w:hAnsi="FrankRuehl" w:cs="FrankRuehl"/>
          <w:rtl/>
        </w:rPr>
        <w:t xml:space="preserve">: סע'  </w:t>
      </w:r>
      <w:hyperlink r:id="rId8" w:history="1">
        <w:r w:rsidRPr="008B30E7">
          <w:rPr>
            <w:rFonts w:ascii="FrankRuehl" w:hAnsi="FrankRuehl" w:cs="FrankRuehl"/>
            <w:color w:val="0000FF"/>
            <w:rtl/>
          </w:rPr>
          <w:t>40ט(א)(1))</w:t>
        </w:r>
      </w:hyperlink>
      <w:r w:rsidRPr="008B30E7">
        <w:rPr>
          <w:rFonts w:ascii="FrankRuehl" w:hAnsi="FrankRuehl" w:cs="FrankRuehl"/>
          <w:rtl/>
        </w:rPr>
        <w:t xml:space="preserve">, </w:t>
      </w:r>
      <w:hyperlink r:id="rId9" w:history="1">
        <w:r w:rsidRPr="008B30E7">
          <w:rPr>
            <w:rFonts w:ascii="FrankRuehl" w:hAnsi="FrankRuehl" w:cs="FrankRuehl"/>
            <w:color w:val="0000FF"/>
            <w:rtl/>
          </w:rPr>
          <w:t>40ט(א)(4))</w:t>
        </w:r>
      </w:hyperlink>
      <w:r w:rsidRPr="008B30E7">
        <w:rPr>
          <w:rFonts w:ascii="FrankRuehl" w:hAnsi="FrankRuehl" w:cs="FrankRuehl"/>
          <w:rtl/>
        </w:rPr>
        <w:t xml:space="preserve">, </w:t>
      </w:r>
      <w:hyperlink r:id="rId10" w:history="1">
        <w:r w:rsidRPr="008B30E7">
          <w:rPr>
            <w:rFonts w:ascii="FrankRuehl" w:hAnsi="FrankRuehl" w:cs="FrankRuehl"/>
            <w:color w:val="0000FF"/>
            <w:rtl/>
          </w:rPr>
          <w:t>144(א)</w:t>
        </w:r>
      </w:hyperlink>
      <w:r w:rsidRPr="008B30E7">
        <w:rPr>
          <w:rFonts w:ascii="FrankRuehl" w:hAnsi="FrankRuehl" w:cs="FrankRuehl"/>
          <w:rtl/>
        </w:rPr>
        <w:t xml:space="preserve">, </w:t>
      </w:r>
      <w:hyperlink r:id="rId11" w:history="1">
        <w:r w:rsidRPr="008B30E7">
          <w:rPr>
            <w:rFonts w:ascii="FrankRuehl" w:hAnsi="FrankRuehl" w:cs="FrankRuehl"/>
            <w:color w:val="0000FF"/>
            <w:rtl/>
          </w:rPr>
          <w:t>144(ב)</w:t>
        </w:r>
      </w:hyperlink>
      <w:r w:rsidRPr="008B30E7">
        <w:rPr>
          <w:rFonts w:ascii="FrankRuehl" w:hAnsi="FrankRuehl" w:cs="FrankRuehl"/>
          <w:rtl/>
        </w:rPr>
        <w:t xml:space="preserve">, </w:t>
      </w:r>
      <w:hyperlink r:id="rId12" w:history="1">
        <w:r w:rsidRPr="008B30E7">
          <w:rPr>
            <w:rFonts w:ascii="FrankRuehl" w:hAnsi="FrankRuehl" w:cs="FrankRuehl"/>
            <w:color w:val="0000FF"/>
            <w:rtl/>
          </w:rPr>
          <w:t>300(א)(2)</w:t>
        </w:r>
      </w:hyperlink>
      <w:r w:rsidRPr="008B30E7">
        <w:rPr>
          <w:rFonts w:ascii="FrankRuehl" w:hAnsi="FrankRuehl" w:cs="FrankRuehl"/>
          <w:rtl/>
        </w:rPr>
        <w:t xml:space="preserve">, </w:t>
      </w:r>
      <w:hyperlink r:id="rId13" w:history="1">
        <w:r w:rsidRPr="008B30E7">
          <w:rPr>
            <w:rFonts w:ascii="FrankRuehl" w:hAnsi="FrankRuehl" w:cs="FrankRuehl"/>
            <w:color w:val="0000FF"/>
            <w:rtl/>
          </w:rPr>
          <w:t>301א(א)(7)</w:t>
        </w:r>
      </w:hyperlink>
    </w:p>
    <w:p w14:paraId="1BE3E9E6" w14:textId="77777777" w:rsidR="008B30E7" w:rsidRPr="008B30E7" w:rsidRDefault="008B30E7" w:rsidP="008B30E7">
      <w:pPr>
        <w:rPr>
          <w:rtl/>
        </w:rPr>
      </w:pPr>
      <w:bookmarkStart w:id="4" w:name="LawTable_End"/>
      <w:bookmarkEnd w:id="4"/>
    </w:p>
    <w:p w14:paraId="1190D0EF" w14:textId="77777777" w:rsidR="00A55EE9" w:rsidRPr="004167C0" w:rsidRDefault="00A55EE9" w:rsidP="004167C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5EE9" w14:paraId="4EB34E44" w14:textId="77777777" w:rsidTr="00A55EE9">
        <w:trPr>
          <w:trHeight w:val="355"/>
          <w:jc w:val="center"/>
        </w:trPr>
        <w:tc>
          <w:tcPr>
            <w:tcW w:w="8820" w:type="dxa"/>
            <w:tcBorders>
              <w:top w:val="nil"/>
              <w:left w:val="nil"/>
              <w:bottom w:val="nil"/>
              <w:right w:val="nil"/>
            </w:tcBorders>
            <w:shd w:val="clear" w:color="auto" w:fill="auto"/>
          </w:tcPr>
          <w:p w14:paraId="7BAC1306" w14:textId="77777777" w:rsidR="00185623" w:rsidRPr="00185623" w:rsidRDefault="00185623" w:rsidP="00185623">
            <w:pPr>
              <w:jc w:val="center"/>
              <w:rPr>
                <w:rFonts w:ascii="Arial" w:hAnsi="Arial"/>
                <w:b/>
                <w:bCs/>
                <w:sz w:val="40"/>
                <w:szCs w:val="40"/>
                <w:u w:val="single"/>
                <w:rtl/>
              </w:rPr>
            </w:pPr>
            <w:bookmarkStart w:id="5" w:name="PsakDin" w:colFirst="0" w:colLast="0"/>
            <w:r w:rsidRPr="00185623">
              <w:rPr>
                <w:rFonts w:ascii="Arial" w:hAnsi="Arial"/>
                <w:b/>
                <w:bCs/>
                <w:sz w:val="40"/>
                <w:szCs w:val="40"/>
                <w:u w:val="single"/>
                <w:rtl/>
              </w:rPr>
              <w:t>גזר דין</w:t>
            </w:r>
          </w:p>
          <w:p w14:paraId="1362C1D9" w14:textId="77777777" w:rsidR="00A55EE9" w:rsidRPr="00185623" w:rsidRDefault="00A55EE9" w:rsidP="00185623">
            <w:pPr>
              <w:jc w:val="center"/>
              <w:rPr>
                <w:rFonts w:ascii="Arial" w:hAnsi="Arial"/>
                <w:bCs/>
                <w:sz w:val="40"/>
                <w:szCs w:val="40"/>
                <w:u w:val="single"/>
                <w:rtl/>
              </w:rPr>
            </w:pPr>
          </w:p>
        </w:tc>
      </w:tr>
    </w:tbl>
    <w:bookmarkEnd w:id="5"/>
    <w:p w14:paraId="4FCE5587" w14:textId="77777777" w:rsidR="00A55EE9" w:rsidRDefault="00A55EE9" w:rsidP="00A55EE9">
      <w:pPr>
        <w:widowControl w:val="0"/>
        <w:spacing w:before="240" w:line="360" w:lineRule="auto"/>
        <w:jc w:val="both"/>
        <w:rPr>
          <w:b/>
          <w:bCs/>
          <w:color w:val="000000"/>
          <w:sz w:val="28"/>
          <w:szCs w:val="28"/>
          <w:u w:val="single"/>
          <w:rtl/>
        </w:rPr>
      </w:pPr>
      <w:r>
        <w:rPr>
          <w:b/>
          <w:bCs/>
          <w:color w:val="000000"/>
          <w:sz w:val="28"/>
          <w:szCs w:val="28"/>
          <w:u w:val="single"/>
          <w:rtl/>
        </w:rPr>
        <w:t>השופט גרשון גונטובניק:</w:t>
      </w:r>
    </w:p>
    <w:p w14:paraId="39B3F92E" w14:textId="77777777" w:rsidR="00A55EE9" w:rsidRPr="008506E0" w:rsidRDefault="00A55EE9" w:rsidP="00A55EE9">
      <w:pPr>
        <w:widowControl w:val="0"/>
        <w:tabs>
          <w:tab w:val="left" w:pos="720"/>
        </w:tabs>
        <w:spacing w:before="240" w:line="360" w:lineRule="auto"/>
        <w:ind w:left="454" w:right="454" w:hanging="454"/>
        <w:jc w:val="both"/>
        <w:outlineLvl w:val="0"/>
        <w:rPr>
          <w:b/>
          <w:bCs/>
          <w:color w:val="000000"/>
          <w:kern w:val="28"/>
          <w:rtl/>
        </w:rPr>
      </w:pPr>
      <w:r w:rsidRPr="008506E0">
        <w:rPr>
          <w:b/>
          <w:bCs/>
          <w:color w:val="000000"/>
          <w:kern w:val="28"/>
          <w:rtl/>
        </w:rPr>
        <w:t>רקע</w:t>
      </w:r>
    </w:p>
    <w:p w14:paraId="486B2B15" w14:textId="77777777" w:rsidR="00A55EE9" w:rsidRDefault="00A55EE9" w:rsidP="00A55EE9">
      <w:pPr>
        <w:pStyle w:val="a9"/>
        <w:widowControl w:val="0"/>
        <w:numPr>
          <w:ilvl w:val="0"/>
          <w:numId w:val="1"/>
        </w:numPr>
        <w:tabs>
          <w:tab w:val="num" w:pos="454"/>
        </w:tabs>
        <w:spacing w:before="240" w:line="360" w:lineRule="auto"/>
        <w:ind w:left="454" w:hanging="426"/>
        <w:jc w:val="both"/>
        <w:outlineLvl w:val="0"/>
        <w:rPr>
          <w:color w:val="000000"/>
          <w:kern w:val="28"/>
        </w:rPr>
      </w:pPr>
      <w:bookmarkStart w:id="6" w:name="ABSTRACT_START"/>
      <w:bookmarkEnd w:id="6"/>
      <w:r w:rsidRPr="00710CCE">
        <w:rPr>
          <w:color w:val="000000"/>
          <w:kern w:val="28"/>
          <w:rtl/>
        </w:rPr>
        <w:t xml:space="preserve">ביום 30.3.23 מסרנו את הכרעת הדין בעניינו של הנאשם. מצאנו להרשיעו פה-אחד בגין עבירת הרצח בכוונה תחילה, עבירה לפי </w:t>
      </w:r>
      <w:hyperlink r:id="rId14" w:history="1">
        <w:r w:rsidR="00D25C91" w:rsidRPr="00D25C91">
          <w:rPr>
            <w:rStyle w:val="Hyperlink"/>
            <w:kern w:val="28"/>
            <w:rtl/>
          </w:rPr>
          <w:t>סעיף 300(א)(2)</w:t>
        </w:r>
      </w:hyperlink>
      <w:r w:rsidRPr="00710CCE">
        <w:rPr>
          <w:color w:val="000000"/>
          <w:kern w:val="28"/>
          <w:rtl/>
        </w:rPr>
        <w:t xml:space="preserve"> ל</w:t>
      </w:r>
      <w:hyperlink r:id="rId15" w:history="1">
        <w:r w:rsidR="00185623" w:rsidRPr="00185623">
          <w:rPr>
            <w:rStyle w:val="Hyperlink"/>
            <w:kern w:val="28"/>
            <w:rtl/>
          </w:rPr>
          <w:t>חוק העונשין</w:t>
        </w:r>
      </w:hyperlink>
      <w:r w:rsidRPr="00710CCE">
        <w:rPr>
          <w:color w:val="000000"/>
          <w:kern w:val="28"/>
          <w:rtl/>
        </w:rPr>
        <w:t xml:space="preserve">, התשל"ז-1977 (להלן: </w:t>
      </w:r>
      <w:r w:rsidRPr="00710CCE">
        <w:rPr>
          <w:b/>
          <w:bCs/>
          <w:color w:val="000000"/>
          <w:kern w:val="28"/>
          <w:rtl/>
        </w:rPr>
        <w:t>חוק העונשין</w:t>
      </w:r>
      <w:r w:rsidRPr="00710CCE">
        <w:rPr>
          <w:color w:val="000000"/>
          <w:kern w:val="28"/>
          <w:rtl/>
        </w:rPr>
        <w:t xml:space="preserve"> או </w:t>
      </w:r>
      <w:r w:rsidRPr="00710CCE">
        <w:rPr>
          <w:b/>
          <w:bCs/>
          <w:color w:val="000000"/>
          <w:kern w:val="28"/>
          <w:rtl/>
        </w:rPr>
        <w:t>החוק</w:t>
      </w:r>
      <w:r w:rsidRPr="00710CCE">
        <w:rPr>
          <w:color w:val="000000"/>
          <w:kern w:val="28"/>
          <w:rtl/>
        </w:rPr>
        <w:t xml:space="preserve">). </w:t>
      </w:r>
      <w:r w:rsidRPr="00710CCE">
        <w:rPr>
          <w:color w:val="000000"/>
          <w:kern w:val="28"/>
          <w:rtl/>
        </w:rPr>
        <w:softHyphen/>
        <w:t xml:space="preserve">עוד מצאנו להרשיעו בעבירות של החזקת נשק שלא כדין, לפי </w:t>
      </w:r>
      <w:hyperlink r:id="rId16" w:history="1">
        <w:r w:rsidR="00D25C91" w:rsidRPr="00D25C91">
          <w:rPr>
            <w:rStyle w:val="Hyperlink"/>
            <w:kern w:val="28"/>
            <w:rtl/>
          </w:rPr>
          <w:t>סעיף 144(א)</w:t>
        </w:r>
      </w:hyperlink>
      <w:r w:rsidRPr="00710CCE">
        <w:rPr>
          <w:color w:val="000000"/>
          <w:kern w:val="28"/>
          <w:rtl/>
        </w:rPr>
        <w:t xml:space="preserve"> רישא לחוק, ונשיאת נשק שלא כדין לפי </w:t>
      </w:r>
      <w:hyperlink r:id="rId17" w:history="1">
        <w:r w:rsidR="00D25C91" w:rsidRPr="00D25C91">
          <w:rPr>
            <w:rStyle w:val="Hyperlink"/>
            <w:kern w:val="28"/>
            <w:rtl/>
          </w:rPr>
          <w:t>סעיף 144(ב)</w:t>
        </w:r>
      </w:hyperlink>
      <w:r w:rsidRPr="00710CCE">
        <w:rPr>
          <w:color w:val="000000"/>
          <w:kern w:val="28"/>
          <w:rtl/>
        </w:rPr>
        <w:t xml:space="preserve"> רישא. </w:t>
      </w:r>
    </w:p>
    <w:p w14:paraId="5260A882" w14:textId="77777777" w:rsidR="00A55EE9" w:rsidRDefault="00A55EE9" w:rsidP="00A55EE9">
      <w:pPr>
        <w:pStyle w:val="a9"/>
        <w:widowControl w:val="0"/>
        <w:spacing w:before="240" w:line="360" w:lineRule="auto"/>
        <w:ind w:left="454"/>
        <w:jc w:val="both"/>
        <w:outlineLvl w:val="0"/>
        <w:rPr>
          <w:color w:val="000000"/>
          <w:kern w:val="28"/>
          <w:rtl/>
        </w:rPr>
      </w:pPr>
      <w:bookmarkStart w:id="7" w:name="ABSTRACT_END"/>
      <w:bookmarkEnd w:id="7"/>
    </w:p>
    <w:p w14:paraId="612D61EF" w14:textId="77777777" w:rsidR="00A55EE9" w:rsidRPr="00710CCE" w:rsidRDefault="00A55EE9" w:rsidP="00A55EE9">
      <w:pPr>
        <w:pStyle w:val="a9"/>
        <w:widowControl w:val="0"/>
        <w:spacing w:before="240" w:line="360" w:lineRule="auto"/>
        <w:ind w:left="454"/>
        <w:jc w:val="both"/>
        <w:outlineLvl w:val="0"/>
        <w:rPr>
          <w:color w:val="000000"/>
          <w:kern w:val="28"/>
          <w:rtl/>
        </w:rPr>
      </w:pPr>
      <w:r w:rsidRPr="00710CCE">
        <w:rPr>
          <w:color w:val="000000"/>
          <w:rtl/>
        </w:rPr>
        <w:t xml:space="preserve">בקצירת האומר אלה מעשי הנאשם בהתאם להכרעת הדין: הנאשם והמנוחה היו בני זוג. המנוחה, שמצאה את מותה בגיל ארבעים לערך הייתה הרה מזרעו. הנאשם, מר קטון, טען כי נכפה, נוכח מצבו הנפשי, להקריב את היקר לו מכול, את המנוחה. לשם כך החליט להמיתה כשבועיים עובר לרצח. הוא העביר לדירת </w:t>
      </w:r>
      <w:r w:rsidRPr="00710CCE">
        <w:rPr>
          <w:color w:val="000000"/>
          <w:rtl/>
        </w:rPr>
        <w:lastRenderedPageBreak/>
        <w:t xml:space="preserve">המנוחה אקדח שהחזיק ברשותו בדירת אביו בלא רשות על פי דין. בליל הרצח הוא הגיע לדירה שבה נמצאה המנוחה, והגיע למסקנה כי פרשנותם של אותות שונים מחייבים את המתתה. המנוחה הלכה לישון, והנאשם כיסה פניה בשמיכה קירב את האקדח לראשה וירה בה ירייה אחת. אלא שהמנוחה לא נהרגה, קמה בבהלה ממיטתה והחלה לנוע בדירה. או אז החל לכרסם ספק בליבו של הנאשם שמא טעה בצורך "להקריב" את המנוחה. המנוחה ניסתה להזעיק את מגן דוד אדום, והנאשם יצא לדירת השכנים כדי לקרוא לעזרה, אך ללא הועיל. בשלב זה חזר הנאשם לדירה וירה במנוחה שני כדורים נוספים, ולאחר מכן וידא את המתתה באמצעות סכין מטבח וסכין יפנית. דחינו את טענותיו של מר קטון בעניין סייג אי השפיות, ובעניין אחריות בגין עבירת ההמתה בנסיבות של אחריות מופחתת. </w:t>
      </w:r>
    </w:p>
    <w:p w14:paraId="2512FE72" w14:textId="77777777" w:rsidR="00A55EE9" w:rsidRPr="008506E0" w:rsidRDefault="00A55EE9" w:rsidP="00A55EE9">
      <w:pPr>
        <w:keepNext/>
        <w:widowControl w:val="0"/>
        <w:spacing w:before="240" w:line="360" w:lineRule="auto"/>
        <w:ind w:left="454"/>
        <w:jc w:val="both"/>
        <w:rPr>
          <w:color w:val="000000"/>
          <w:rtl/>
        </w:rPr>
      </w:pPr>
      <w:r w:rsidRPr="008506E0">
        <w:rPr>
          <w:color w:val="000000"/>
          <w:rtl/>
        </w:rPr>
        <w:t>פ</w:t>
      </w:r>
      <w:r w:rsidRPr="008506E0">
        <w:rPr>
          <w:rFonts w:ascii="David" w:hAnsi="David"/>
          <w:color w:val="000000"/>
          <w:rtl/>
        </w:rPr>
        <w:t xml:space="preserve">סקנו כי הדין החדש בעניין עבירות ההמתה אינו מסייע לנאשם, שכן אם הוא היה חל בענייננו היינו מוצאים כי התמלאו הוראות </w:t>
      </w:r>
      <w:hyperlink r:id="rId18" w:history="1">
        <w:r w:rsidR="00D25C91" w:rsidRPr="00D25C91">
          <w:rPr>
            <w:rStyle w:val="Hyperlink"/>
            <w:rFonts w:ascii="David" w:hAnsi="David"/>
            <w:rtl/>
          </w:rPr>
          <w:t>סעיף 301א(א)(7)</w:t>
        </w:r>
      </w:hyperlink>
      <w:r w:rsidRPr="008506E0">
        <w:rPr>
          <w:rFonts w:ascii="David" w:hAnsi="David"/>
          <w:color w:val="000000"/>
          <w:rtl/>
        </w:rPr>
        <w:t xml:space="preserve"> לחוק, כלומר שהוא ביצע רצח בנסיבות מחמירות ("</w:t>
      </w:r>
      <w:r w:rsidRPr="000B7FD0">
        <w:rPr>
          <w:rFonts w:ascii="David" w:hAnsi="David"/>
          <w:b/>
          <w:bCs/>
          <w:color w:val="000000"/>
          <w:rtl/>
        </w:rPr>
        <w:t>המעשה נעשה באכזריות מיוחדת, או תוך התעללות גופנית או נפשית בקורבן</w:t>
      </w:r>
      <w:r w:rsidRPr="008506E0">
        <w:rPr>
          <w:rFonts w:ascii="David" w:hAnsi="David"/>
          <w:color w:val="000000"/>
          <w:rtl/>
        </w:rPr>
        <w:t>"), והכול – כמפורט בהכרעת הדין.</w:t>
      </w:r>
      <w:r w:rsidRPr="008506E0">
        <w:rPr>
          <w:color w:val="000000"/>
          <w:sz w:val="22"/>
          <w:szCs w:val="22"/>
          <w:rtl/>
        </w:rPr>
        <w:t xml:space="preserve"> </w:t>
      </w:r>
    </w:p>
    <w:p w14:paraId="64B80F1D" w14:textId="77777777" w:rsidR="00A55EE9" w:rsidRPr="00916ADE"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tl/>
        </w:rPr>
      </w:pPr>
      <w:r w:rsidRPr="00916ADE">
        <w:rPr>
          <w:color w:val="000000"/>
          <w:kern w:val="28"/>
          <w:rtl/>
        </w:rPr>
        <w:t xml:space="preserve">הגיעה שעת גזר הדין. </w:t>
      </w:r>
    </w:p>
    <w:p w14:paraId="0428B21E" w14:textId="77777777" w:rsidR="00A55EE9" w:rsidRPr="00916ADE" w:rsidRDefault="00A55EE9" w:rsidP="00A55EE9">
      <w:pPr>
        <w:keepNext/>
        <w:widowControl w:val="0"/>
        <w:spacing w:before="240" w:line="360" w:lineRule="auto"/>
        <w:jc w:val="both"/>
        <w:rPr>
          <w:b/>
          <w:bCs/>
          <w:color w:val="000000"/>
          <w:rtl/>
        </w:rPr>
      </w:pPr>
      <w:r w:rsidRPr="00916ADE">
        <w:rPr>
          <w:b/>
          <w:bCs/>
          <w:color w:val="000000"/>
          <w:rtl/>
        </w:rPr>
        <w:t>הטיעונים לעונש</w:t>
      </w:r>
    </w:p>
    <w:p w14:paraId="2845CF90" w14:textId="77777777" w:rsidR="00A55EE9" w:rsidRPr="00916ADE"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tl/>
        </w:rPr>
      </w:pPr>
      <w:r w:rsidRPr="00916ADE">
        <w:rPr>
          <w:color w:val="000000"/>
          <w:kern w:val="28"/>
          <w:rtl/>
        </w:rPr>
        <w:t>עובר לדיון בעניין גזר הדין הועבר אלינו תסקיר נפגעי העבירה, שמפאת רגישות המידע שבו אציג את עיקריו בקווים כלליים בלבד. שירות המבחן התרשם מתמונת נזק חמורה ביו</w:t>
      </w:r>
      <w:r>
        <w:rPr>
          <w:color w:val="000000"/>
          <w:kern w:val="28"/>
          <w:rtl/>
        </w:rPr>
        <w:t>תר, בכל הנוגע במשפחתה של המנוחה</w:t>
      </w:r>
      <w:r w:rsidRPr="00916ADE">
        <w:rPr>
          <w:color w:val="000000"/>
          <w:kern w:val="28"/>
          <w:rtl/>
        </w:rPr>
        <w:t xml:space="preserve">– שני הוריה ואחותה. נזק זה קשור, בין השאר, לפתאומיות הרצח, לעובדה כי אירע ללא סיבה מובנת, לגילה הצעיר של המנוחה, להיותה בהיריון, ולתחושות אישיות של בני משפחתה וחבריה. בני המשפחה ביטאו זעם רב כלפי הנאשם. </w:t>
      </w:r>
    </w:p>
    <w:p w14:paraId="193896AA" w14:textId="77777777" w:rsidR="00A55EE9" w:rsidRPr="008506E0" w:rsidRDefault="00A55EE9" w:rsidP="00A55EE9">
      <w:pPr>
        <w:keepNext/>
        <w:widowControl w:val="0"/>
        <w:spacing w:before="240" w:line="360" w:lineRule="auto"/>
        <w:ind w:left="454"/>
        <w:jc w:val="both"/>
        <w:rPr>
          <w:color w:val="000000"/>
        </w:rPr>
      </w:pPr>
      <w:r w:rsidRPr="008506E0">
        <w:rPr>
          <w:color w:val="000000"/>
          <w:rtl/>
        </w:rPr>
        <w:t>התסקיר מפרט את הפגיעה שהותיר אחריו האובדן, וכאמור לא נרחיב. הפגיעה היא קשה. האובדן מורגש וכואב גם בחלוף השנים. השלכות הרצח באות לידי ביטוי במובנים רבים ושונים. בסוף התסקיר נכתב כי "</w:t>
      </w:r>
      <w:r w:rsidRPr="008506E0">
        <w:rPr>
          <w:b/>
          <w:bCs/>
          <w:color w:val="000000"/>
          <w:rtl/>
        </w:rPr>
        <w:t>בני המשפחה מאמינים כי אין עונש שיוכל לפצותם על האובדן הקשה, אולם סבורים כי ענישה מחמירה של הנאשם עשויה להחזיר להם, ולו במעט, תחושת ביטחון וצדק, תיתן להם תחושה של הכרה מסוימת בסבלם</w:t>
      </w:r>
      <w:r>
        <w:rPr>
          <w:color w:val="000000"/>
          <w:rtl/>
        </w:rPr>
        <w:t xml:space="preserve">" (עמ' 9). </w:t>
      </w:r>
      <w:r w:rsidRPr="008506E0">
        <w:rPr>
          <w:color w:val="000000"/>
          <w:rtl/>
        </w:rPr>
        <w:t xml:space="preserve">על רקע זה התסקיר ממליץ על מתן פיצוי כספי משמעותי למשפחת המנוחה. </w:t>
      </w:r>
    </w:p>
    <w:p w14:paraId="2AF8B8F2" w14:textId="77777777" w:rsidR="00A55EE9" w:rsidRPr="00D421FE"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tl/>
        </w:rPr>
      </w:pPr>
      <w:r w:rsidRPr="00D421FE">
        <w:rPr>
          <w:color w:val="000000"/>
          <w:kern w:val="28"/>
          <w:rtl/>
        </w:rPr>
        <w:t xml:space="preserve">את טיעוני הצדדים שמענו ביום 10.8.23. </w:t>
      </w:r>
    </w:p>
    <w:p w14:paraId="22DBF6CE" w14:textId="77777777" w:rsidR="00A55EE9" w:rsidRPr="008506E0" w:rsidRDefault="00A55EE9" w:rsidP="00A55EE9">
      <w:pPr>
        <w:keepNext/>
        <w:widowControl w:val="0"/>
        <w:spacing w:before="240" w:line="360" w:lineRule="auto"/>
        <w:ind w:left="454"/>
        <w:jc w:val="both"/>
        <w:rPr>
          <w:color w:val="000000"/>
          <w:rtl/>
        </w:rPr>
      </w:pPr>
      <w:r w:rsidRPr="008506E0">
        <w:rPr>
          <w:color w:val="000000"/>
          <w:rtl/>
        </w:rPr>
        <w:lastRenderedPageBreak/>
        <w:t>ב"כ הצדדים לא הגישו ראיות לעניין העונש. ובני המשפחה של המנוחה מצאו למסור לעיוננו במהלך הדיון את ספר השירים של מיה גורן ז"ל, הנושא את הכותרת המצמררת "</w:t>
      </w:r>
      <w:r w:rsidRPr="008506E0">
        <w:rPr>
          <w:b/>
          <w:bCs/>
          <w:color w:val="000000"/>
          <w:rtl/>
        </w:rPr>
        <w:t>איכשהו היה אצלנו בבית אקדח</w:t>
      </w:r>
      <w:r w:rsidRPr="008506E0">
        <w:rPr>
          <w:color w:val="000000"/>
          <w:rtl/>
        </w:rPr>
        <w:t xml:space="preserve">". וניתן רק לשער לאילו פסגות ספרותיות הייתה עוד מגיעה המנוחה אלמלא נקטע סיפור חייה באופן כה חד ואלים.  </w:t>
      </w:r>
    </w:p>
    <w:p w14:paraId="6B97FCF9" w14:textId="77777777" w:rsidR="00A55EE9" w:rsidRPr="008506E0" w:rsidRDefault="00A55EE9" w:rsidP="00A55EE9">
      <w:pPr>
        <w:keepNext/>
        <w:widowControl w:val="0"/>
        <w:spacing w:before="240" w:line="360" w:lineRule="auto"/>
        <w:ind w:left="454"/>
        <w:jc w:val="both"/>
        <w:rPr>
          <w:color w:val="000000"/>
          <w:rtl/>
        </w:rPr>
      </w:pPr>
      <w:r w:rsidRPr="008506E0">
        <w:rPr>
          <w:color w:val="000000"/>
          <w:rtl/>
        </w:rPr>
        <w:t xml:space="preserve">ב"כ המאשימה, עו"ד פז, ציין כי יש להטיל על הנאשם את עונש החובה של מאסר עולם נוכח האמור בהכרעת הדין. אשר לעבירות הנשק שבהן הורשע הנאשם, יש לייחס להן חומרה ניכרת, ומתחם הענישה הראוי עומד על תקופה בת 42-30 חודשים. המאשימה עתרה לעונש של 40 חודשים, שירוצה במצטבר לעונש מאסר העולם, וזה גם המסר העונשי הנכון, לשיטתה, בנסיבות העניין. עוד עתרה המאשימה להטיל את הפיצוי המקסימלי לקורבנות העבירה בסך 258,000 ₪, כך שכל אחד מהוריה של המנוחה יפוצה במאה אלף ₪ ואחותה ב-58 אלף ₪. </w:t>
      </w:r>
    </w:p>
    <w:p w14:paraId="40D0C8E1" w14:textId="77777777" w:rsidR="00A55EE9" w:rsidRPr="008506E0" w:rsidRDefault="00A55EE9" w:rsidP="00A55EE9">
      <w:pPr>
        <w:keepNext/>
        <w:widowControl w:val="0"/>
        <w:spacing w:before="240" w:line="360" w:lineRule="auto"/>
        <w:ind w:left="454"/>
        <w:jc w:val="both"/>
        <w:rPr>
          <w:color w:val="000000"/>
          <w:rtl/>
        </w:rPr>
      </w:pPr>
      <w:r w:rsidRPr="008506E0">
        <w:rPr>
          <w:color w:val="000000"/>
          <w:rtl/>
        </w:rPr>
        <w:t xml:space="preserve">ב"כ הנאשם, עו"ד נודל, ציין כי מר קטון לא חלק על העובדות שבכתב האישום ובכך חסך זמן דיוני ניכר. ההליך התנהל במישור כשירותו הנפשית, וזאת נוכח מיקוד ההגנה את המחלוקת בעיקר. ובכל הנוגע בעבירות הנשק, מתחם הענישה הנוהג הוא נמוך בהרבה מהנטען על ידי המאשימה, ויש לחפוף את הענישה בגינן עם עונש מאסר העולם החובה. אשר לפיצוי הכספי, ההגנה ציינה את מצבו הכספי של הנאשם שאינו מן המשופרים. </w:t>
      </w:r>
    </w:p>
    <w:p w14:paraId="24B73349" w14:textId="77777777" w:rsidR="00A55EE9" w:rsidRPr="008506E0" w:rsidRDefault="00A55EE9" w:rsidP="00A55EE9">
      <w:pPr>
        <w:keepNext/>
        <w:widowControl w:val="0"/>
        <w:spacing w:before="240" w:line="360" w:lineRule="auto"/>
        <w:ind w:left="454"/>
        <w:jc w:val="both"/>
        <w:rPr>
          <w:color w:val="000000"/>
          <w:rtl/>
        </w:rPr>
      </w:pPr>
      <w:r w:rsidRPr="008506E0">
        <w:rPr>
          <w:color w:val="000000"/>
          <w:rtl/>
        </w:rPr>
        <w:t xml:space="preserve">ב"כ שני הצדדים הביעו השתתפות בצער המשפחה, והנאשם עצמו בחר שלא לומר דברים במעמד הטיעונים לעונש. </w:t>
      </w:r>
    </w:p>
    <w:p w14:paraId="23373F4E" w14:textId="77777777" w:rsidR="00A55EE9" w:rsidRPr="00D421FE"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tl/>
        </w:rPr>
      </w:pPr>
      <w:r w:rsidRPr="00D421FE">
        <w:rPr>
          <w:color w:val="000000"/>
          <w:kern w:val="28"/>
          <w:rtl/>
        </w:rPr>
        <w:t>אפנה אפוא למלאכת גזירת הדין.</w:t>
      </w:r>
    </w:p>
    <w:p w14:paraId="19844744" w14:textId="77777777" w:rsidR="00A55EE9" w:rsidRDefault="00A55EE9" w:rsidP="00A55EE9">
      <w:pPr>
        <w:widowControl w:val="0"/>
        <w:tabs>
          <w:tab w:val="left" w:pos="720"/>
        </w:tabs>
        <w:spacing w:before="240" w:line="360" w:lineRule="auto"/>
        <w:ind w:right="454"/>
        <w:jc w:val="both"/>
        <w:outlineLvl w:val="0"/>
        <w:rPr>
          <w:b/>
          <w:bCs/>
          <w:color w:val="000000"/>
          <w:kern w:val="28"/>
          <w:rtl/>
        </w:rPr>
      </w:pPr>
      <w:r w:rsidRPr="008506E0">
        <w:rPr>
          <w:b/>
          <w:bCs/>
          <w:color w:val="000000"/>
          <w:kern w:val="28"/>
          <w:rtl/>
        </w:rPr>
        <w:t>עבירת הרצח</w:t>
      </w:r>
    </w:p>
    <w:p w14:paraId="02AEAA76" w14:textId="77777777" w:rsidR="00A55EE9" w:rsidRPr="000362B2" w:rsidRDefault="00A55EE9" w:rsidP="00A55EE9">
      <w:pPr>
        <w:pStyle w:val="a9"/>
        <w:widowControl w:val="0"/>
        <w:numPr>
          <w:ilvl w:val="0"/>
          <w:numId w:val="1"/>
        </w:numPr>
        <w:tabs>
          <w:tab w:val="left" w:pos="425"/>
        </w:tabs>
        <w:spacing w:before="240" w:line="360" w:lineRule="auto"/>
        <w:ind w:left="425" w:right="454" w:hanging="425"/>
        <w:jc w:val="both"/>
        <w:outlineLvl w:val="0"/>
        <w:rPr>
          <w:b/>
          <w:bCs/>
          <w:color w:val="000000"/>
          <w:kern w:val="28"/>
          <w:rtl/>
        </w:rPr>
      </w:pPr>
      <w:r w:rsidRPr="000362B2">
        <w:rPr>
          <w:color w:val="000000"/>
          <w:kern w:val="28"/>
          <w:rtl/>
        </w:rPr>
        <w:t xml:space="preserve">הנאשם הורשע בעבירת הרצח בכוונה תחילה, לפי </w:t>
      </w:r>
      <w:hyperlink r:id="rId19" w:history="1">
        <w:r w:rsidR="00D25C91" w:rsidRPr="00D25C91">
          <w:rPr>
            <w:rStyle w:val="Hyperlink"/>
            <w:kern w:val="28"/>
            <w:rtl/>
          </w:rPr>
          <w:t>סעיף 300(א)(2)</w:t>
        </w:r>
      </w:hyperlink>
      <w:r w:rsidRPr="000362B2">
        <w:rPr>
          <w:color w:val="000000"/>
          <w:kern w:val="28"/>
          <w:rtl/>
        </w:rPr>
        <w:t xml:space="preserve"> ל</w:t>
      </w:r>
      <w:hyperlink r:id="rId20" w:history="1">
        <w:r w:rsidR="00185623" w:rsidRPr="00185623">
          <w:rPr>
            <w:rStyle w:val="Hyperlink"/>
            <w:kern w:val="28"/>
            <w:rtl/>
          </w:rPr>
          <w:t>חוק העונשין</w:t>
        </w:r>
      </w:hyperlink>
      <w:r w:rsidRPr="000362B2">
        <w:rPr>
          <w:color w:val="000000"/>
          <w:kern w:val="28"/>
          <w:rtl/>
        </w:rPr>
        <w:t xml:space="preserve"> כנוסחו בעת הרלוונטית, ולא נמצא שיש ברפורמה בדיני ההמתה כדי לסייע לו. מכאן שכמצוות המחוקק, יוטל על מר קטון </w:t>
      </w:r>
      <w:r w:rsidRPr="000362B2">
        <w:rPr>
          <w:b/>
          <w:bCs/>
          <w:color w:val="000000"/>
          <w:kern w:val="28"/>
          <w:rtl/>
        </w:rPr>
        <w:t>עונש מאסר עולם חובה</w:t>
      </w:r>
      <w:r w:rsidRPr="000362B2">
        <w:rPr>
          <w:color w:val="000000"/>
          <w:kern w:val="28"/>
          <w:rtl/>
        </w:rPr>
        <w:t xml:space="preserve">. </w:t>
      </w:r>
    </w:p>
    <w:p w14:paraId="01CE3189" w14:textId="77777777" w:rsidR="00A55EE9" w:rsidRPr="008506E0" w:rsidRDefault="00A55EE9" w:rsidP="00A55EE9">
      <w:pPr>
        <w:widowControl w:val="0"/>
        <w:tabs>
          <w:tab w:val="left" w:pos="720"/>
        </w:tabs>
        <w:spacing w:before="240" w:line="360" w:lineRule="auto"/>
        <w:ind w:right="454"/>
        <w:jc w:val="both"/>
        <w:outlineLvl w:val="0"/>
        <w:rPr>
          <w:b/>
          <w:bCs/>
          <w:color w:val="000000"/>
          <w:kern w:val="28"/>
          <w:rtl/>
        </w:rPr>
      </w:pPr>
      <w:r w:rsidRPr="008506E0">
        <w:rPr>
          <w:b/>
          <w:bCs/>
          <w:color w:val="000000"/>
          <w:kern w:val="28"/>
          <w:rtl/>
        </w:rPr>
        <w:t>עבירות הנשק</w:t>
      </w:r>
    </w:p>
    <w:p w14:paraId="5E4EFEE1" w14:textId="77777777" w:rsidR="00A55EE9"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Pr>
      </w:pPr>
      <w:r w:rsidRPr="000362B2">
        <w:rPr>
          <w:color w:val="000000"/>
          <w:kern w:val="28"/>
          <w:rtl/>
        </w:rPr>
        <w:t>בכל הנוגע בעבירות החזקת הנשק ונשיאתו בהן הורשע הנאשם אתייחס תחילה לפסיקה רלוונטית:</w:t>
      </w:r>
    </w:p>
    <w:p w14:paraId="1794F1BA" w14:textId="77777777" w:rsidR="00A55EE9" w:rsidRPr="000362B2" w:rsidRDefault="00A55EE9" w:rsidP="00A55EE9">
      <w:pPr>
        <w:pStyle w:val="a9"/>
        <w:widowControl w:val="0"/>
        <w:tabs>
          <w:tab w:val="num" w:pos="454"/>
        </w:tabs>
        <w:spacing w:before="240" w:line="360" w:lineRule="auto"/>
        <w:ind w:left="425"/>
        <w:jc w:val="both"/>
        <w:outlineLvl w:val="0"/>
        <w:rPr>
          <w:color w:val="000000"/>
          <w:kern w:val="28"/>
          <w:rtl/>
        </w:rPr>
      </w:pPr>
    </w:p>
    <w:p w14:paraId="480A1F4C" w14:textId="77777777" w:rsidR="00A55EE9" w:rsidRDefault="00A55EE9" w:rsidP="00A55EE9">
      <w:pPr>
        <w:pStyle w:val="a9"/>
        <w:keepNext/>
        <w:widowControl w:val="0"/>
        <w:numPr>
          <w:ilvl w:val="0"/>
          <w:numId w:val="2"/>
        </w:numPr>
        <w:tabs>
          <w:tab w:val="num" w:pos="907"/>
        </w:tabs>
        <w:spacing w:before="240" w:line="360" w:lineRule="auto"/>
        <w:jc w:val="both"/>
        <w:outlineLvl w:val="1"/>
        <w:rPr>
          <w:color w:val="000000"/>
        </w:rPr>
      </w:pPr>
      <w:r w:rsidRPr="000362B2">
        <w:rPr>
          <w:color w:val="000000"/>
          <w:rtl/>
        </w:rPr>
        <w:t>המאשימה הפנתה אותנו ל</w:t>
      </w:r>
      <w:hyperlink r:id="rId21" w:history="1">
        <w:r w:rsidR="00185623" w:rsidRPr="00185623">
          <w:rPr>
            <w:rStyle w:val="Hyperlink"/>
            <w:rtl/>
          </w:rPr>
          <w:t>ע"פ 5602/22</w:t>
        </w:r>
      </w:hyperlink>
      <w:r w:rsidRPr="000362B2">
        <w:rPr>
          <w:color w:val="000000"/>
          <w:rtl/>
        </w:rPr>
        <w:t xml:space="preserve"> </w:t>
      </w:r>
      <w:r w:rsidRPr="000362B2">
        <w:rPr>
          <w:b/>
          <w:bCs/>
          <w:color w:val="000000"/>
          <w:rtl/>
        </w:rPr>
        <w:t>מדינת ישראל נ' פלוני</w:t>
      </w:r>
      <w:r w:rsidRPr="000362B2">
        <w:rPr>
          <w:color w:val="000000"/>
          <w:rtl/>
        </w:rPr>
        <w:t xml:space="preserve"> (פורסם במאגרים; 2022). באותו המקרה הנאשם שהיה תושב ג'נין, ושלא הורשה להיכנס לארץ, נתפס באום אל פאחם כשהוא נושא אקדח וכדורים, וניסה להימלט מהשוטרים שביקשו לבדוק אותו. כב' השופט שטיין קבע באותה הפרשה כי "</w:t>
      </w:r>
      <w:r w:rsidRPr="000362B2">
        <w:rPr>
          <w:b/>
          <w:bCs/>
          <w:color w:val="000000"/>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w:t>
      </w:r>
      <w:r w:rsidRPr="000362B2">
        <w:rPr>
          <w:color w:val="000000"/>
          <w:rtl/>
        </w:rPr>
        <w:t xml:space="preserve">" (שם בפסקה 16). </w:t>
      </w:r>
    </w:p>
    <w:p w14:paraId="475F7F53" w14:textId="77777777" w:rsidR="00A55EE9" w:rsidRDefault="00A55EE9" w:rsidP="00A55EE9">
      <w:pPr>
        <w:pStyle w:val="a9"/>
        <w:keepNext/>
        <w:widowControl w:val="0"/>
        <w:spacing w:before="240" w:line="360" w:lineRule="auto"/>
        <w:ind w:left="814"/>
        <w:jc w:val="both"/>
        <w:outlineLvl w:val="1"/>
        <w:rPr>
          <w:color w:val="000000"/>
          <w:rtl/>
        </w:rPr>
      </w:pPr>
    </w:p>
    <w:p w14:paraId="35A46F64" w14:textId="77777777" w:rsidR="00A55EE9" w:rsidRDefault="00A55EE9" w:rsidP="00A55EE9">
      <w:pPr>
        <w:pStyle w:val="a9"/>
        <w:keepNext/>
        <w:widowControl w:val="0"/>
        <w:spacing w:before="240" w:line="360" w:lineRule="auto"/>
        <w:ind w:left="814"/>
        <w:jc w:val="both"/>
        <w:outlineLvl w:val="1"/>
        <w:rPr>
          <w:color w:val="000000"/>
          <w:rtl/>
        </w:rPr>
      </w:pPr>
      <w:r w:rsidRPr="008F63BB">
        <w:rPr>
          <w:color w:val="000000"/>
          <w:rtl/>
        </w:rPr>
        <w:t xml:space="preserve">בנסיבות המקרה שם הוטלו בסופו של יום על הנאשם 28 חודשי מאסר חלף 18 החודשים שהוטלו על ידי בית המשפט המחוזי, וזאת נוכח אי מיצוי הדין בערכאת הערעור. </w:t>
      </w:r>
    </w:p>
    <w:p w14:paraId="005219D0" w14:textId="77777777" w:rsidR="00A55EE9" w:rsidRPr="008F63BB" w:rsidRDefault="00A55EE9" w:rsidP="00A55EE9">
      <w:pPr>
        <w:pStyle w:val="a9"/>
        <w:keepNext/>
        <w:widowControl w:val="0"/>
        <w:spacing w:before="240" w:line="360" w:lineRule="auto"/>
        <w:ind w:left="814"/>
        <w:jc w:val="both"/>
        <w:outlineLvl w:val="1"/>
        <w:rPr>
          <w:color w:val="000000"/>
          <w:rtl/>
        </w:rPr>
      </w:pPr>
    </w:p>
    <w:p w14:paraId="68B4E2CD" w14:textId="77777777" w:rsidR="00A55EE9" w:rsidRDefault="00A55EE9" w:rsidP="00A55EE9">
      <w:pPr>
        <w:pStyle w:val="a9"/>
        <w:keepNext/>
        <w:widowControl w:val="0"/>
        <w:numPr>
          <w:ilvl w:val="0"/>
          <w:numId w:val="2"/>
        </w:numPr>
        <w:tabs>
          <w:tab w:val="num" w:pos="907"/>
        </w:tabs>
        <w:spacing w:before="240" w:line="360" w:lineRule="auto"/>
        <w:jc w:val="both"/>
        <w:outlineLvl w:val="1"/>
        <w:rPr>
          <w:color w:val="000000"/>
        </w:rPr>
      </w:pPr>
      <w:r w:rsidRPr="008F63BB">
        <w:rPr>
          <w:color w:val="000000"/>
          <w:rtl/>
        </w:rPr>
        <w:t>ב</w:t>
      </w:r>
      <w:hyperlink r:id="rId22" w:history="1">
        <w:r w:rsidR="00185623" w:rsidRPr="00185623">
          <w:rPr>
            <w:rStyle w:val="Hyperlink"/>
            <w:rtl/>
          </w:rPr>
          <w:t>ע"פ 4439/19</w:t>
        </w:r>
      </w:hyperlink>
      <w:r w:rsidRPr="008F63BB">
        <w:rPr>
          <w:color w:val="000000"/>
          <w:rtl/>
        </w:rPr>
        <w:t xml:space="preserve"> </w:t>
      </w:r>
      <w:r w:rsidRPr="008F63BB">
        <w:rPr>
          <w:b/>
          <w:bCs/>
          <w:color w:val="000000"/>
          <w:rtl/>
        </w:rPr>
        <w:t>מדינת ישראל נ' סובח</w:t>
      </w:r>
      <w:r w:rsidRPr="008F63BB">
        <w:rPr>
          <w:color w:val="000000"/>
          <w:rtl/>
        </w:rPr>
        <w:t xml:space="preserve"> (פורסם במאגרים; 2019) נדון סכסוך בין משפחות שבמהלכו נעשה שימוש בנשק, שהוביל לפציעת הקורבן בבטנו, ולאירועי ירי חמורים נוספים. הנאשמים הורשעו בעבירה של גרימת חבלה חמורה בנסיבות מחמירות. כב' השופט אלרון ציין באותה הפרשה כי "</w:t>
      </w:r>
      <w:r w:rsidRPr="008F63BB">
        <w:rPr>
          <w:b/>
          <w:bCs/>
          <w:color w:val="000000"/>
          <w:rtl/>
        </w:rPr>
        <w:t>הצורך במדיניות ענישה מחמירה נחוץ במיוחד כאשר השימוש בנשק גורר פגיעה בגוף ובנפש, וכאשר מבצעי העבירות אינם מוסרים את כלי הנשק לידי רשויות החוק</w:t>
      </w:r>
      <w:r w:rsidRPr="008F63BB">
        <w:rPr>
          <w:color w:val="000000"/>
          <w:rtl/>
        </w:rPr>
        <w:t xml:space="preserve">" (פסקה 17 לחוות דעתו). באותו המקרה הוטלו עונשים ללא הבחנה בין גרימת החבלה החמורה לעבירות הנשק, אך ערעור המדינה התקבל, אות לחומרה בה משקיף בית המשפט העליון על עבירות אלה. </w:t>
      </w:r>
    </w:p>
    <w:p w14:paraId="7E6DD30C" w14:textId="77777777" w:rsidR="00A55EE9" w:rsidRPr="008F63BB" w:rsidRDefault="00A55EE9" w:rsidP="00A55EE9">
      <w:pPr>
        <w:pStyle w:val="a9"/>
        <w:keepNext/>
        <w:widowControl w:val="0"/>
        <w:tabs>
          <w:tab w:val="num" w:pos="907"/>
        </w:tabs>
        <w:spacing w:before="240" w:line="360" w:lineRule="auto"/>
        <w:ind w:left="814"/>
        <w:jc w:val="both"/>
        <w:outlineLvl w:val="1"/>
        <w:rPr>
          <w:color w:val="000000"/>
          <w:rtl/>
        </w:rPr>
      </w:pPr>
    </w:p>
    <w:p w14:paraId="56467642" w14:textId="77777777" w:rsidR="00A55EE9" w:rsidRPr="0083534E" w:rsidRDefault="00A55EE9" w:rsidP="00A55EE9">
      <w:pPr>
        <w:pStyle w:val="a9"/>
        <w:keepNext/>
        <w:widowControl w:val="0"/>
        <w:numPr>
          <w:ilvl w:val="0"/>
          <w:numId w:val="2"/>
        </w:numPr>
        <w:tabs>
          <w:tab w:val="num" w:pos="907"/>
        </w:tabs>
        <w:spacing w:before="240" w:line="360" w:lineRule="auto"/>
        <w:jc w:val="both"/>
        <w:outlineLvl w:val="1"/>
        <w:rPr>
          <w:color w:val="000000"/>
          <w:rtl/>
        </w:rPr>
      </w:pPr>
      <w:r w:rsidRPr="0083534E">
        <w:rPr>
          <w:color w:val="000000"/>
          <w:rtl/>
        </w:rPr>
        <w:t>ההגנה הפנתה אותנו ל</w:t>
      </w:r>
      <w:hyperlink r:id="rId23" w:history="1">
        <w:r w:rsidR="00185623" w:rsidRPr="00185623">
          <w:rPr>
            <w:rStyle w:val="Hyperlink"/>
            <w:rtl/>
          </w:rPr>
          <w:t>ע"פ 5765/20</w:t>
        </w:r>
      </w:hyperlink>
      <w:r w:rsidRPr="0083534E">
        <w:rPr>
          <w:color w:val="000000"/>
          <w:rtl/>
        </w:rPr>
        <w:t xml:space="preserve"> </w:t>
      </w:r>
      <w:r w:rsidRPr="0083534E">
        <w:rPr>
          <w:b/>
          <w:bCs/>
          <w:color w:val="000000"/>
          <w:rtl/>
        </w:rPr>
        <w:t>אבו בכר נ' מדינת ישראל</w:t>
      </w:r>
      <w:r w:rsidRPr="0083534E">
        <w:rPr>
          <w:color w:val="000000"/>
          <w:rtl/>
        </w:rPr>
        <w:t xml:space="preserve"> (פורסם במאגרים; 2020) שם נתפסו הנאשמים כשהם מובילים עמם שני אקדחים. הצדדים הגיעו להסדר טיעון לאחר שנשמעו ראיות התביעה, ובית המשפט המחוזי הטיל עליהם 18 חודשי מאסר בפועל. ערעורם נדחה. </w:t>
      </w:r>
    </w:p>
    <w:p w14:paraId="6833A867" w14:textId="77777777" w:rsidR="00A55EE9" w:rsidRPr="0083534E" w:rsidRDefault="00A55EE9" w:rsidP="00A55EE9">
      <w:pPr>
        <w:pStyle w:val="a9"/>
        <w:keepNext/>
        <w:widowControl w:val="0"/>
        <w:tabs>
          <w:tab w:val="num" w:pos="907"/>
        </w:tabs>
        <w:spacing w:before="240" w:line="360" w:lineRule="auto"/>
        <w:ind w:left="814"/>
        <w:jc w:val="both"/>
        <w:outlineLvl w:val="1"/>
        <w:rPr>
          <w:color w:val="000000"/>
          <w:rtl/>
        </w:rPr>
      </w:pPr>
    </w:p>
    <w:p w14:paraId="20D05CE0" w14:textId="77777777" w:rsidR="00A55EE9" w:rsidRDefault="00A55EE9" w:rsidP="00A55EE9">
      <w:pPr>
        <w:pStyle w:val="a9"/>
        <w:keepNext/>
        <w:widowControl w:val="0"/>
        <w:numPr>
          <w:ilvl w:val="0"/>
          <w:numId w:val="2"/>
        </w:numPr>
        <w:tabs>
          <w:tab w:val="num" w:pos="907"/>
        </w:tabs>
        <w:spacing w:before="240" w:line="360" w:lineRule="auto"/>
        <w:jc w:val="both"/>
        <w:outlineLvl w:val="1"/>
        <w:rPr>
          <w:color w:val="000000"/>
        </w:rPr>
      </w:pPr>
      <w:r w:rsidRPr="0083534E">
        <w:rPr>
          <w:color w:val="000000"/>
          <w:rtl/>
        </w:rPr>
        <w:t>ב</w:t>
      </w:r>
      <w:hyperlink r:id="rId24" w:history="1">
        <w:r w:rsidR="00185623" w:rsidRPr="00185623">
          <w:rPr>
            <w:rStyle w:val="Hyperlink"/>
            <w:rtl/>
          </w:rPr>
          <w:t>ע"פ 4215/18</w:t>
        </w:r>
      </w:hyperlink>
      <w:r w:rsidRPr="0083534E">
        <w:rPr>
          <w:color w:val="000000"/>
          <w:rtl/>
        </w:rPr>
        <w:t xml:space="preserve"> </w:t>
      </w:r>
      <w:r w:rsidRPr="0083534E">
        <w:rPr>
          <w:b/>
          <w:bCs/>
          <w:color w:val="000000"/>
          <w:rtl/>
        </w:rPr>
        <w:t>ח'טיב נ' מדינת ישראל</w:t>
      </w:r>
      <w:r w:rsidRPr="0083534E">
        <w:rPr>
          <w:color w:val="000000"/>
          <w:rtl/>
        </w:rPr>
        <w:t xml:space="preserve"> (פורסם במאגרים; 2018)</w:t>
      </w:r>
      <w:r>
        <w:rPr>
          <w:rFonts w:hint="cs"/>
          <w:color w:val="000000"/>
          <w:rtl/>
        </w:rPr>
        <w:t xml:space="preserve"> </w:t>
      </w:r>
      <w:r w:rsidRPr="0083534E">
        <w:rPr>
          <w:color w:val="000000"/>
          <w:rtl/>
        </w:rPr>
        <w:t xml:space="preserve">(להלן: עניין </w:t>
      </w:r>
      <w:r w:rsidRPr="0083534E">
        <w:rPr>
          <w:b/>
          <w:bCs/>
          <w:color w:val="000000"/>
          <w:rtl/>
        </w:rPr>
        <w:t>ח'טיב</w:t>
      </w:r>
      <w:r w:rsidRPr="0083534E">
        <w:rPr>
          <w:color w:val="000000"/>
          <w:rtl/>
        </w:rPr>
        <w:t>) הורשע המערער בהסדר טיעון בביצוע עבירה של נשיאת נשק ותחמושת. הוא נתפס בשעת ליל כשהוא נושא עמו אקדח טעון. בית המשפט המחוזי קבע את המתחם ההולם כנע בין 15 ל-36 חודשי מאסר בפועל, והטיל על המערער 15 חודשי מאסר לאחר שצורפו לכתב האישום אישומים נוספים בעניין סמים, וזאת נוכח גילו הצעיר בעת ביצוע עבירת הנשק, והיותו קטין בעת ביצוע עבירות הסמים. גזר הדין אושר בבית המשפט העליון.</w:t>
      </w:r>
    </w:p>
    <w:p w14:paraId="7487AE9A" w14:textId="77777777" w:rsidR="00A55EE9" w:rsidRPr="00D63B30" w:rsidRDefault="00A55EE9" w:rsidP="00A55EE9">
      <w:pPr>
        <w:pStyle w:val="a9"/>
        <w:keepNext/>
        <w:widowControl w:val="0"/>
        <w:tabs>
          <w:tab w:val="num" w:pos="907"/>
        </w:tabs>
        <w:spacing w:before="240" w:line="360" w:lineRule="auto"/>
        <w:ind w:left="814"/>
        <w:jc w:val="both"/>
        <w:outlineLvl w:val="1"/>
        <w:rPr>
          <w:color w:val="000000"/>
          <w:rtl/>
        </w:rPr>
      </w:pPr>
    </w:p>
    <w:p w14:paraId="144230C0" w14:textId="77777777" w:rsidR="00A55EE9" w:rsidRPr="00C157B7" w:rsidRDefault="00A55EE9" w:rsidP="00A55EE9">
      <w:pPr>
        <w:pStyle w:val="a9"/>
        <w:keepNext/>
        <w:widowControl w:val="0"/>
        <w:numPr>
          <w:ilvl w:val="0"/>
          <w:numId w:val="2"/>
        </w:numPr>
        <w:tabs>
          <w:tab w:val="num" w:pos="907"/>
        </w:tabs>
        <w:spacing w:before="240" w:line="360" w:lineRule="auto"/>
        <w:jc w:val="both"/>
        <w:outlineLvl w:val="1"/>
        <w:rPr>
          <w:color w:val="000000"/>
          <w:rtl/>
        </w:rPr>
      </w:pPr>
      <w:r w:rsidRPr="00D63B30">
        <w:rPr>
          <w:color w:val="000000"/>
          <w:rtl/>
        </w:rPr>
        <w:t>ב</w:t>
      </w:r>
      <w:hyperlink r:id="rId25" w:history="1">
        <w:r w:rsidR="00185623" w:rsidRPr="00185623">
          <w:rPr>
            <w:rStyle w:val="Hyperlink"/>
            <w:rtl/>
          </w:rPr>
          <w:t>ע"פ 2564/19</w:t>
        </w:r>
      </w:hyperlink>
      <w:r w:rsidRPr="00D63B30">
        <w:rPr>
          <w:color w:val="000000"/>
          <w:rtl/>
        </w:rPr>
        <w:t xml:space="preserve"> </w:t>
      </w:r>
      <w:r w:rsidRPr="00D63B30">
        <w:rPr>
          <w:b/>
          <w:bCs/>
          <w:color w:val="000000"/>
          <w:rtl/>
        </w:rPr>
        <w:t>אזברגה נ' מדינת ישראל</w:t>
      </w:r>
      <w:r w:rsidRPr="00D63B30">
        <w:rPr>
          <w:color w:val="000000"/>
          <w:rtl/>
        </w:rPr>
        <w:t xml:space="preserve"> (פורסם במאגרים; 2019) קשר המערער קשר עם אחרים, וניהל עמם מו"מ לרכישת אקדח כדי שיוכל לסחור בו. לכן הגיע למחנה הפליטים שועפאט בירושלים שם קיבל את האקדח. המערער הודה במיוחס לו בכתב האישום המתוקן. בית המשפט המחוזי קבע את המתחם כנע בין 12 ל-40 חודשי מאסר בפועל, ומצא לגזור עליו 16 חודשי מאסר בפועל. גזר הדין אושר בבית המשפט העליון. </w:t>
      </w:r>
    </w:p>
    <w:p w14:paraId="4A54F151" w14:textId="77777777" w:rsidR="00A55EE9" w:rsidRPr="00D63B30" w:rsidRDefault="00A55EE9" w:rsidP="00A55EE9">
      <w:pPr>
        <w:pStyle w:val="a9"/>
        <w:keepNext/>
        <w:widowControl w:val="0"/>
        <w:tabs>
          <w:tab w:val="num" w:pos="907"/>
        </w:tabs>
        <w:spacing w:before="240" w:line="360" w:lineRule="auto"/>
        <w:ind w:left="814"/>
        <w:jc w:val="both"/>
        <w:outlineLvl w:val="1"/>
        <w:rPr>
          <w:color w:val="000000"/>
          <w:rtl/>
        </w:rPr>
      </w:pPr>
    </w:p>
    <w:p w14:paraId="37BA99C7" w14:textId="77777777" w:rsidR="00A55EE9" w:rsidRPr="00C157B7" w:rsidRDefault="00A55EE9" w:rsidP="00A55EE9">
      <w:pPr>
        <w:pStyle w:val="a9"/>
        <w:keepNext/>
        <w:widowControl w:val="0"/>
        <w:numPr>
          <w:ilvl w:val="0"/>
          <w:numId w:val="2"/>
        </w:numPr>
        <w:tabs>
          <w:tab w:val="num" w:pos="907"/>
        </w:tabs>
        <w:spacing w:before="240" w:line="360" w:lineRule="auto"/>
        <w:jc w:val="both"/>
        <w:outlineLvl w:val="1"/>
        <w:rPr>
          <w:color w:val="000000"/>
          <w:rtl/>
        </w:rPr>
      </w:pPr>
      <w:r w:rsidRPr="00C157B7">
        <w:rPr>
          <w:color w:val="000000"/>
          <w:rtl/>
        </w:rPr>
        <w:t>ב</w:t>
      </w:r>
      <w:hyperlink r:id="rId26" w:history="1">
        <w:r w:rsidR="00185623" w:rsidRPr="00185623">
          <w:rPr>
            <w:rStyle w:val="Hyperlink"/>
            <w:rtl/>
          </w:rPr>
          <w:t>ע"פ 78/21</w:t>
        </w:r>
      </w:hyperlink>
      <w:r w:rsidRPr="00C157B7">
        <w:rPr>
          <w:color w:val="000000"/>
          <w:rtl/>
        </w:rPr>
        <w:t xml:space="preserve"> </w:t>
      </w:r>
      <w:r w:rsidRPr="00C157B7">
        <w:rPr>
          <w:b/>
          <w:bCs/>
          <w:color w:val="000000"/>
          <w:rtl/>
        </w:rPr>
        <w:t>פלוני נ' מדינת ישראל</w:t>
      </w:r>
      <w:r w:rsidRPr="00C157B7">
        <w:rPr>
          <w:color w:val="000000"/>
          <w:rtl/>
        </w:rPr>
        <w:t xml:space="preserve"> (פורסם במאגרים; 2022) נדון עניינו של המערער שקשר קשר לביצוע עסקת נשק. המערער קיבל לרשותו אקדח במסגרת זו. בית המשפט המחוזי קבע את מתחם הענישה בעניינו של המערער כנע בין 16 ל-36 חודשי מאסר בפועל, וגזר עליו 16 חודשי מאסר. גזר הדין אושר בבית המשפט העליון. </w:t>
      </w:r>
    </w:p>
    <w:p w14:paraId="0CAA299C" w14:textId="77777777" w:rsidR="00A55EE9" w:rsidRPr="00C157B7" w:rsidRDefault="00A55EE9" w:rsidP="00A55EE9">
      <w:pPr>
        <w:pStyle w:val="a9"/>
        <w:keepNext/>
        <w:widowControl w:val="0"/>
        <w:tabs>
          <w:tab w:val="num" w:pos="907"/>
        </w:tabs>
        <w:spacing w:before="240" w:line="360" w:lineRule="auto"/>
        <w:ind w:left="814"/>
        <w:jc w:val="both"/>
        <w:outlineLvl w:val="1"/>
        <w:rPr>
          <w:color w:val="000000"/>
          <w:rtl/>
        </w:rPr>
      </w:pPr>
    </w:p>
    <w:p w14:paraId="770AEFA1" w14:textId="77777777" w:rsidR="00A55EE9" w:rsidRPr="00CC6CE4" w:rsidRDefault="00A55EE9" w:rsidP="00A55EE9">
      <w:pPr>
        <w:pStyle w:val="a9"/>
        <w:keepNext/>
        <w:widowControl w:val="0"/>
        <w:numPr>
          <w:ilvl w:val="0"/>
          <w:numId w:val="2"/>
        </w:numPr>
        <w:tabs>
          <w:tab w:val="num" w:pos="907"/>
        </w:tabs>
        <w:spacing w:before="240" w:line="360" w:lineRule="auto"/>
        <w:jc w:val="both"/>
        <w:outlineLvl w:val="1"/>
        <w:rPr>
          <w:color w:val="000000"/>
          <w:rtl/>
        </w:rPr>
      </w:pPr>
      <w:r w:rsidRPr="00C157B7">
        <w:rPr>
          <w:color w:val="000000"/>
          <w:rtl/>
        </w:rPr>
        <w:t>ב</w:t>
      </w:r>
      <w:hyperlink r:id="rId27" w:history="1">
        <w:r w:rsidR="00185623" w:rsidRPr="00185623">
          <w:rPr>
            <w:rStyle w:val="Hyperlink"/>
            <w:rtl/>
          </w:rPr>
          <w:t>ע"פ 545/20</w:t>
        </w:r>
      </w:hyperlink>
      <w:r w:rsidRPr="00C157B7">
        <w:rPr>
          <w:color w:val="000000"/>
          <w:rtl/>
        </w:rPr>
        <w:t xml:space="preserve"> </w:t>
      </w:r>
      <w:r w:rsidRPr="00C157B7">
        <w:rPr>
          <w:b/>
          <w:bCs/>
          <w:color w:val="000000"/>
          <w:rtl/>
        </w:rPr>
        <w:t>פלוני נ' מדינת ישראל</w:t>
      </w:r>
      <w:r w:rsidRPr="00C157B7">
        <w:rPr>
          <w:color w:val="000000"/>
          <w:rtl/>
        </w:rPr>
        <w:t xml:space="preserve"> (פורסם במאגרים; 2021) נתפס המערער כשברכבו אקדח חצי אוטומטי. האקדח היה ללא תחמושת ולא היה תקין במועד תפיסתו. מתחם העונש הועמד על 24-10 חודשי מאסר בפועל, וגזר דינו של המערער נגזר ל-12 חודשים. בית המשפט העליון דחה את הערעור תוך שציין שעונשו של המערער נגזר על הצד המקל. </w:t>
      </w:r>
    </w:p>
    <w:p w14:paraId="7997E8E6" w14:textId="77777777" w:rsidR="00A55EE9" w:rsidRPr="00CC6CE4" w:rsidRDefault="00A55EE9" w:rsidP="00A55EE9">
      <w:pPr>
        <w:pStyle w:val="a9"/>
        <w:keepNext/>
        <w:widowControl w:val="0"/>
        <w:tabs>
          <w:tab w:val="num" w:pos="907"/>
        </w:tabs>
        <w:spacing w:before="240" w:line="360" w:lineRule="auto"/>
        <w:ind w:left="814"/>
        <w:jc w:val="both"/>
        <w:outlineLvl w:val="1"/>
        <w:rPr>
          <w:color w:val="000000"/>
          <w:rtl/>
        </w:rPr>
      </w:pPr>
      <w:r w:rsidRPr="00CC6CE4">
        <w:rPr>
          <w:color w:val="000000"/>
          <w:rtl/>
        </w:rPr>
        <w:t xml:space="preserve"> </w:t>
      </w:r>
    </w:p>
    <w:p w14:paraId="53CEB1AB" w14:textId="77777777" w:rsidR="00A55EE9" w:rsidRPr="00CC6CE4"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tl/>
        </w:rPr>
      </w:pPr>
      <w:r w:rsidRPr="00CC6CE4">
        <w:rPr>
          <w:color w:val="000000"/>
          <w:kern w:val="28"/>
          <w:rtl/>
        </w:rPr>
        <w:t>מהו מתחם הענישה שיש לקבוע בנסיבות העניין? נקודת המוצא היא מחמירה. הפסיקה העדכנית משווה משנה חומרה לעבירות נשיאת והחזקת נשק. בית המשפט העליון עמד על המסוכנות הרבה הטמונה בעבירות אלה. במעשה נשיאת נשק טעון "</w:t>
      </w:r>
      <w:r w:rsidRPr="00CC6CE4">
        <w:rPr>
          <w:b/>
          <w:bCs/>
          <w:color w:val="000000"/>
          <w:kern w:val="28"/>
          <w:rtl/>
        </w:rPr>
        <w:t>גלומה מסוכנות רבה, שכן אין להמעיט בחומרתן של עבירות הנשק, בסכנה הנשקפת מהן לחיי אדם, ופגיעתן החמורה בשלום הציבור וביטחונו המחייבות כולן הטלת ענישה משמעותית, גם על נאשם הנעדר עבר פליל</w:t>
      </w:r>
      <w:r w:rsidRPr="00C16D8F">
        <w:rPr>
          <w:b/>
          <w:bCs/>
          <w:color w:val="000000"/>
          <w:kern w:val="28"/>
          <w:rtl/>
        </w:rPr>
        <w:t>י</w:t>
      </w:r>
      <w:r w:rsidRPr="00CC6CE4">
        <w:rPr>
          <w:color w:val="000000"/>
          <w:kern w:val="28"/>
          <w:rtl/>
        </w:rPr>
        <w:t xml:space="preserve">" (עניין ח'טיב, בפסקה פסקה 12 לחוות דעתו של כב' השופט אלרון). מידת הפגיעה בערכים המוגנים בענייננו היא קשה. זאת שכן הנאשם החליט לנצל את הנשק ואת התחמושת שעמדו לרשותו לשם קטילת חיי אדם. ולאחר שירה את הירייה הראשונה, וכבר לא פעל תחת הדחף שהוביל אותו, הוא יצא לקרוא לעזרה, וכשחזר החליט לעשות שימוש באותו נשק לשם רציחת המנוחה.  </w:t>
      </w:r>
    </w:p>
    <w:p w14:paraId="3B82DF8A" w14:textId="77777777" w:rsidR="00A55EE9" w:rsidRPr="008506E0" w:rsidRDefault="00A55EE9" w:rsidP="00A55EE9">
      <w:pPr>
        <w:keepNext/>
        <w:widowControl w:val="0"/>
        <w:spacing w:before="240" w:line="360" w:lineRule="auto"/>
        <w:ind w:left="454"/>
        <w:jc w:val="both"/>
        <w:rPr>
          <w:color w:val="000000"/>
        </w:rPr>
      </w:pPr>
      <w:r w:rsidRPr="008506E0">
        <w:rPr>
          <w:color w:val="000000"/>
          <w:rtl/>
        </w:rPr>
        <w:t>במסגרת קביעת המתחם יש לקחת בחשבון את הנזק שנגרם (</w:t>
      </w:r>
      <w:hyperlink r:id="rId28" w:history="1">
        <w:r w:rsidR="00D25C91" w:rsidRPr="00D25C91">
          <w:rPr>
            <w:rStyle w:val="Hyperlink"/>
            <w:rtl/>
          </w:rPr>
          <w:t>סעיף 40ט(א)(4))</w:t>
        </w:r>
      </w:hyperlink>
      <w:r w:rsidRPr="008506E0">
        <w:rPr>
          <w:color w:val="000000"/>
          <w:rtl/>
        </w:rPr>
        <w:t>, ובנסיבות העניין שימוש בנשק למטרות המתה; אשר לרכיב התכנון (</w:t>
      </w:r>
      <w:hyperlink r:id="rId29" w:history="1">
        <w:r w:rsidR="00D25C91" w:rsidRPr="00D25C91">
          <w:rPr>
            <w:rStyle w:val="Hyperlink"/>
            <w:rtl/>
          </w:rPr>
          <w:t>סעיף 40ט(א)(1))</w:t>
        </w:r>
      </w:hyperlink>
      <w:r w:rsidRPr="008506E0">
        <w:rPr>
          <w:color w:val="000000"/>
          <w:rtl/>
        </w:rPr>
        <w:t xml:space="preserve"> הרי שיש לו משקל מוגבל בנסיבות העניין. גם המדינה מודה שמצבו הנפשי של הנאשם היה כשל מי שסבל מהפרעה נפשית חמורה, בתקופה שעובר לרצח, כמובנה של עבירת ההמתה בנסיבות של אחריות מופחתת. ועדיין יכול היה לשלוט בהתנהלותו במידה מספקת. בעניין זה יש לזכור כי עצם השליטה בנשק ובתחמושת הקטלנית והאפשרות לעשות בהם שימוש התקיימו עוד לפני מצבו הנפשי של הנאשם, ונתון זה משווה לדברים משנה חומרה. </w:t>
      </w:r>
    </w:p>
    <w:p w14:paraId="26C6729F" w14:textId="77777777" w:rsidR="00A55EE9" w:rsidRPr="00C16D8F"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tl/>
        </w:rPr>
      </w:pPr>
      <w:r w:rsidRPr="00C16D8F">
        <w:rPr>
          <w:color w:val="000000"/>
          <w:kern w:val="28"/>
          <w:rtl/>
        </w:rPr>
        <w:t xml:space="preserve">על רקע זה לא אוכל לקבל את המתחם המוצע על ידי המאשימה. מתחם זה משקף פעילות היכולה להיות קשורה להתנהלות חבלנית, ואין היא לוקחת בחשבון את נסיבותיו המיוחדות של מקרה זה, ובכלל זה את מצבו הנפשי המיוחד של הנאשם. מנגד, יש לשוות לנגד עיננו בקביעת המתחם, את מגמת ההחמרה הקיימת בפסיקה.  </w:t>
      </w:r>
    </w:p>
    <w:p w14:paraId="26280E29" w14:textId="77777777" w:rsidR="00A55EE9" w:rsidRPr="008506E0" w:rsidRDefault="00A55EE9" w:rsidP="00A55EE9">
      <w:pPr>
        <w:keepNext/>
        <w:widowControl w:val="0"/>
        <w:spacing w:before="240" w:line="360" w:lineRule="auto"/>
        <w:ind w:left="454"/>
        <w:jc w:val="both"/>
        <w:rPr>
          <w:color w:val="000000"/>
        </w:rPr>
      </w:pPr>
      <w:r w:rsidRPr="008506E0">
        <w:rPr>
          <w:color w:val="000000"/>
          <w:rtl/>
        </w:rPr>
        <w:t>אציע לחברי לקבוע את המתחם כנע בין 36-16 חודשי מאסר.</w:t>
      </w:r>
    </w:p>
    <w:p w14:paraId="69B410E9" w14:textId="77777777" w:rsidR="00A55EE9"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Pr>
      </w:pPr>
      <w:r w:rsidRPr="00C16D8F">
        <w:rPr>
          <w:color w:val="000000"/>
          <w:kern w:val="28"/>
          <w:rtl/>
        </w:rPr>
        <w:t xml:space="preserve">אשר לקביעת העונש בתוך המתחם, יש לקחת בחשבון את היעדר העבר הפלילי של הנאשם, את העובדה כי הנאשם לא התכחש למעשיו, ולמעשה הודה בעבירות הנשק, אך מנגד את נכונותו לעשות שימוש בנשק שעמד לרשותו לשם המתת אחר. לא מצאתי כי נסיבות המקרה מצדיקות סטייה ממתחם הענישה לקולא או לחומרא, וגם לא נטען לפנינו כי כך ראוי לעשות. </w:t>
      </w:r>
    </w:p>
    <w:p w14:paraId="3BF9A891" w14:textId="77777777" w:rsidR="00A55EE9" w:rsidRPr="00C16D8F" w:rsidRDefault="00A55EE9" w:rsidP="00A55EE9">
      <w:pPr>
        <w:pStyle w:val="a9"/>
        <w:widowControl w:val="0"/>
        <w:tabs>
          <w:tab w:val="num" w:pos="454"/>
        </w:tabs>
        <w:spacing w:before="240" w:line="360" w:lineRule="auto"/>
        <w:ind w:left="425"/>
        <w:jc w:val="both"/>
        <w:outlineLvl w:val="0"/>
        <w:rPr>
          <w:color w:val="000000"/>
          <w:kern w:val="28"/>
        </w:rPr>
      </w:pPr>
    </w:p>
    <w:p w14:paraId="73C4880E" w14:textId="77777777" w:rsidR="00A55EE9" w:rsidRPr="00764D08"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Pr>
      </w:pPr>
      <w:r w:rsidRPr="00764D08">
        <w:rPr>
          <w:color w:val="000000"/>
          <w:kern w:val="28"/>
          <w:rtl/>
        </w:rPr>
        <w:t xml:space="preserve">אציע לחברי לגזור את עונשו של הנאשם כך שיחול בחלקו התחתון של המתחם, ולהעמידו על 20 חודשי מאסר בפועל.  </w:t>
      </w:r>
    </w:p>
    <w:p w14:paraId="55A488EE" w14:textId="77777777" w:rsidR="00A55EE9" w:rsidRPr="008506E0" w:rsidRDefault="00A55EE9" w:rsidP="00A55EE9">
      <w:pPr>
        <w:keepNext/>
        <w:widowControl w:val="0"/>
        <w:spacing w:before="240" w:line="360" w:lineRule="auto"/>
        <w:ind w:left="454"/>
        <w:jc w:val="both"/>
        <w:rPr>
          <w:color w:val="000000"/>
        </w:rPr>
      </w:pPr>
      <w:r w:rsidRPr="008506E0">
        <w:rPr>
          <w:color w:val="000000"/>
          <w:rtl/>
        </w:rPr>
        <w:t xml:space="preserve">ועוד אציע לחברי כי בנסיבות העניין עונש זה ירוצה כך שעשרה חודשים יחפפו לעונש מאסר העולם, ועשרה חודשים ירוצו במצטבר. במסגרת זו יש לזכור כי עבירות הנשק עומדות על רגליהן שלהן. הנאשם היה מודע לעובדה כי נשק זה מוחזק, ולמקום החזקתו, וזאת במשך תקופה ארוכה וללא קשר למצבו הנפשי. לבסוף, הוא מצא לעשות בו שימוש. נשק זה היה אפוא בשליטתו, והוא גם נשא אותו לבית המנוחה והחזיק בו תקופה קצרה שם. מנגד, יש לזכור כי נשיאת הנשק הושפעה ממצבו הנפשי של הנאשם. החפיפה החלקית האמורה מבטאת איזון נאות בין עצמאות עבירות הנשק בהן הורשע מחד גיסא, ובין השתלבות חלק מנסיבותיהן באירועים שקדמו לרצח.   </w:t>
      </w:r>
    </w:p>
    <w:p w14:paraId="2425F871" w14:textId="77777777" w:rsidR="00A55EE9" w:rsidRPr="008506E0" w:rsidRDefault="00A55EE9" w:rsidP="00A55EE9">
      <w:pPr>
        <w:widowControl w:val="0"/>
        <w:tabs>
          <w:tab w:val="left" w:pos="720"/>
        </w:tabs>
        <w:spacing w:before="240" w:line="360" w:lineRule="auto"/>
        <w:ind w:right="454"/>
        <w:jc w:val="both"/>
        <w:outlineLvl w:val="0"/>
        <w:rPr>
          <w:b/>
          <w:bCs/>
          <w:color w:val="000000"/>
          <w:kern w:val="28"/>
          <w:rtl/>
        </w:rPr>
      </w:pPr>
      <w:r w:rsidRPr="008506E0">
        <w:rPr>
          <w:b/>
          <w:bCs/>
          <w:color w:val="000000"/>
          <w:kern w:val="28"/>
          <w:rtl/>
        </w:rPr>
        <w:t>הפיצוי לנפגעי העבירה</w:t>
      </w:r>
    </w:p>
    <w:p w14:paraId="5FB8C2B1" w14:textId="77777777" w:rsidR="00A55EE9" w:rsidRPr="003F6C2F"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tl/>
        </w:rPr>
      </w:pPr>
      <w:r w:rsidRPr="003F6C2F">
        <w:rPr>
          <w:color w:val="000000"/>
          <w:kern w:val="28"/>
          <w:rtl/>
        </w:rPr>
        <w:t xml:space="preserve">בכל הנוגע בפיצוי למשפחת המנוחה, מקובלת עלי עמדת המאשימה כי יש לקבוע כאן את הפיצוי המקסימלי האפשרי, קרי 258,000 ₪. הנאשם הורשע בחמורה שבעבירות. הרצח בוצע בנסיבות מחמירות ואכזריות גם בהתאם לדין החדש החל בעבירות ההמתה. אמנע מתיאור הדברים ואפנה את הקוראים לאמור בפסקאות 153 ואילך להכרעת הדין. </w:t>
      </w:r>
    </w:p>
    <w:p w14:paraId="4E11F09E" w14:textId="77777777" w:rsidR="00A55EE9" w:rsidRPr="008506E0" w:rsidRDefault="00A55EE9" w:rsidP="00A55EE9">
      <w:pPr>
        <w:keepNext/>
        <w:widowControl w:val="0"/>
        <w:spacing w:before="240" w:line="360" w:lineRule="auto"/>
        <w:ind w:left="454"/>
        <w:jc w:val="both"/>
        <w:rPr>
          <w:color w:val="000000"/>
          <w:rtl/>
        </w:rPr>
      </w:pPr>
      <w:r w:rsidRPr="008506E0">
        <w:rPr>
          <w:color w:val="000000"/>
          <w:rtl/>
        </w:rPr>
        <w:t xml:space="preserve">כך מזווית הראיה של המעשה. ומזווית הראיה של השלכותיו על נפגעי העבירה הרי שהתסקיר בעניינם מדבר בעדו. הפגיעה היא קשה. וההתמודדות של בני המשפחה צפויה להימשך על פני שנים רבות. </w:t>
      </w:r>
    </w:p>
    <w:p w14:paraId="2148C1F4" w14:textId="77777777" w:rsidR="00A55EE9" w:rsidRPr="008506E0" w:rsidRDefault="00A55EE9" w:rsidP="00A55EE9">
      <w:pPr>
        <w:keepNext/>
        <w:widowControl w:val="0"/>
        <w:spacing w:before="240" w:line="360" w:lineRule="auto"/>
        <w:ind w:left="454"/>
        <w:jc w:val="both"/>
        <w:rPr>
          <w:color w:val="000000"/>
          <w:rtl/>
        </w:rPr>
      </w:pPr>
      <w:r w:rsidRPr="008506E0">
        <w:rPr>
          <w:color w:val="000000"/>
          <w:rtl/>
        </w:rPr>
        <w:t>ובכל הנוגע לטיעון ב"כ הנאשם ביחס למצבו הכלכלי של מר קטון, הרי שכידוע, שיעור הפיצוי הנקבע אינו אמור להיות מושפע מיכולתו הכלכלית של הנאשם. אין הוא "</w:t>
      </w:r>
      <w:r w:rsidRPr="008506E0">
        <w:rPr>
          <w:b/>
          <w:bCs/>
          <w:color w:val="000000"/>
          <w:rtl/>
        </w:rPr>
        <w:t>כרוך ביכולת החייב – אלא בעיצומו של המעשה</w:t>
      </w:r>
      <w:r w:rsidRPr="008506E0">
        <w:rPr>
          <w:color w:val="000000"/>
          <w:rtl/>
        </w:rPr>
        <w:t>" (</w:t>
      </w:r>
      <w:hyperlink r:id="rId30" w:history="1">
        <w:r w:rsidR="00185623" w:rsidRPr="00185623">
          <w:rPr>
            <w:rStyle w:val="Hyperlink"/>
            <w:rtl/>
          </w:rPr>
          <w:t>ע"פ 5761/05</w:t>
        </w:r>
      </w:hyperlink>
      <w:r w:rsidRPr="008506E0">
        <w:rPr>
          <w:color w:val="000000"/>
          <w:rtl/>
        </w:rPr>
        <w:t xml:space="preserve"> </w:t>
      </w:r>
      <w:r w:rsidRPr="008506E0">
        <w:rPr>
          <w:b/>
          <w:bCs/>
          <w:color w:val="000000"/>
          <w:rtl/>
        </w:rPr>
        <w:t>מג'דלאוי נ' מדינת ישראל</w:t>
      </w:r>
      <w:r w:rsidRPr="008506E0">
        <w:rPr>
          <w:color w:val="000000"/>
          <w:rtl/>
        </w:rPr>
        <w:t xml:space="preserve"> (פורסם במאגרים; 2006; בפסקה י' לפסק דינו של כב' השופט, כתוארו אז, רובינשטיין). </w:t>
      </w:r>
    </w:p>
    <w:p w14:paraId="7F457E56" w14:textId="77777777" w:rsidR="00A55EE9" w:rsidRPr="008506E0" w:rsidRDefault="00A55EE9" w:rsidP="00A55EE9">
      <w:pPr>
        <w:keepNext/>
        <w:widowControl w:val="0"/>
        <w:spacing w:before="240" w:line="360" w:lineRule="auto"/>
        <w:ind w:left="454"/>
        <w:jc w:val="both"/>
        <w:rPr>
          <w:color w:val="000000"/>
          <w:rtl/>
        </w:rPr>
      </w:pPr>
      <w:r w:rsidRPr="008506E0">
        <w:rPr>
          <w:color w:val="000000"/>
          <w:rtl/>
        </w:rPr>
        <w:t xml:space="preserve">מקובלת עלי גם חלוקת הפיצוי כמוצע על ידי המאשימה, כך שמאה אלף ₪ ישולמו לכול אחד מהורי המנוחה, ויתרת הסכום תשולם לאחותה. </w:t>
      </w:r>
    </w:p>
    <w:p w14:paraId="280C9B23" w14:textId="77777777" w:rsidR="00A55EE9" w:rsidRPr="008506E0" w:rsidRDefault="00A55EE9" w:rsidP="00A55EE9">
      <w:pPr>
        <w:widowControl w:val="0"/>
        <w:tabs>
          <w:tab w:val="left" w:pos="720"/>
        </w:tabs>
        <w:spacing w:before="240" w:line="360" w:lineRule="auto"/>
        <w:ind w:left="454" w:right="454" w:hanging="454"/>
        <w:jc w:val="both"/>
        <w:outlineLvl w:val="0"/>
        <w:rPr>
          <w:b/>
          <w:bCs/>
          <w:color w:val="000000"/>
          <w:kern w:val="28"/>
          <w:rtl/>
        </w:rPr>
      </w:pPr>
      <w:r w:rsidRPr="008506E0">
        <w:rPr>
          <w:b/>
          <w:bCs/>
          <w:color w:val="000000"/>
          <w:kern w:val="28"/>
          <w:rtl/>
        </w:rPr>
        <w:t>גזר הדין</w:t>
      </w:r>
    </w:p>
    <w:p w14:paraId="06A844CA" w14:textId="77777777" w:rsidR="00A55EE9" w:rsidRDefault="00A55EE9" w:rsidP="00A55EE9">
      <w:pPr>
        <w:pStyle w:val="a9"/>
        <w:widowControl w:val="0"/>
        <w:numPr>
          <w:ilvl w:val="0"/>
          <w:numId w:val="1"/>
        </w:numPr>
        <w:tabs>
          <w:tab w:val="num" w:pos="454"/>
        </w:tabs>
        <w:spacing w:before="240" w:line="360" w:lineRule="auto"/>
        <w:ind w:left="425" w:hanging="425"/>
        <w:jc w:val="both"/>
        <w:outlineLvl w:val="0"/>
        <w:rPr>
          <w:color w:val="000000"/>
          <w:kern w:val="28"/>
        </w:rPr>
      </w:pPr>
      <w:r>
        <w:rPr>
          <w:color w:val="000000"/>
          <w:kern w:val="28"/>
          <w:rtl/>
        </w:rPr>
        <w:t>לאור כ</w:t>
      </w:r>
      <w:r w:rsidRPr="003F6C2F">
        <w:rPr>
          <w:color w:val="000000"/>
          <w:kern w:val="28"/>
          <w:rtl/>
        </w:rPr>
        <w:t>ל האמור אציע לחברי</w:t>
      </w:r>
      <w:r>
        <w:rPr>
          <w:rFonts w:hint="cs"/>
          <w:color w:val="000000"/>
          <w:kern w:val="28"/>
          <w:rtl/>
        </w:rPr>
        <w:t>י</w:t>
      </w:r>
      <w:r w:rsidRPr="003F6C2F">
        <w:rPr>
          <w:color w:val="000000"/>
          <w:kern w:val="28"/>
          <w:rtl/>
        </w:rPr>
        <w:t xml:space="preserve"> לגזור את דינו של הנאשם כדלקמן</w:t>
      </w:r>
      <w:r w:rsidRPr="003F6C2F">
        <w:rPr>
          <w:color w:val="000000"/>
          <w:kern w:val="28"/>
        </w:rPr>
        <w:t>:</w:t>
      </w:r>
    </w:p>
    <w:p w14:paraId="0063C045" w14:textId="77777777" w:rsidR="00A55EE9" w:rsidRPr="007714E6" w:rsidRDefault="00A55EE9" w:rsidP="00A55EE9">
      <w:pPr>
        <w:pStyle w:val="a9"/>
        <w:widowControl w:val="0"/>
        <w:tabs>
          <w:tab w:val="num" w:pos="454"/>
        </w:tabs>
        <w:spacing w:before="240" w:line="360" w:lineRule="auto"/>
        <w:ind w:left="425"/>
        <w:jc w:val="both"/>
        <w:outlineLvl w:val="0"/>
        <w:rPr>
          <w:color w:val="000000"/>
          <w:kern w:val="28"/>
          <w:rtl/>
        </w:rPr>
      </w:pPr>
    </w:p>
    <w:p w14:paraId="0DD3C41A" w14:textId="77777777" w:rsidR="00A55EE9" w:rsidRDefault="00A55EE9" w:rsidP="00A55EE9">
      <w:pPr>
        <w:pStyle w:val="a9"/>
        <w:keepNext/>
        <w:widowControl w:val="0"/>
        <w:numPr>
          <w:ilvl w:val="0"/>
          <w:numId w:val="3"/>
        </w:numPr>
        <w:tabs>
          <w:tab w:val="num" w:pos="850"/>
        </w:tabs>
        <w:spacing w:before="240" w:line="360" w:lineRule="auto"/>
        <w:ind w:left="850" w:hanging="425"/>
        <w:jc w:val="both"/>
        <w:outlineLvl w:val="1"/>
        <w:rPr>
          <w:color w:val="000000"/>
        </w:rPr>
      </w:pPr>
      <w:r w:rsidRPr="003F6C2F">
        <w:rPr>
          <w:color w:val="000000"/>
          <w:rtl/>
        </w:rPr>
        <w:t xml:space="preserve">מאסר עולם חובה. </w:t>
      </w:r>
    </w:p>
    <w:p w14:paraId="1016D34B" w14:textId="77777777" w:rsidR="00A55EE9" w:rsidRDefault="00A55EE9" w:rsidP="00A55EE9">
      <w:pPr>
        <w:pStyle w:val="a9"/>
        <w:keepNext/>
        <w:widowControl w:val="0"/>
        <w:spacing w:before="240" w:line="360" w:lineRule="auto"/>
        <w:ind w:left="850"/>
        <w:jc w:val="both"/>
        <w:outlineLvl w:val="1"/>
        <w:rPr>
          <w:color w:val="000000"/>
        </w:rPr>
      </w:pPr>
    </w:p>
    <w:p w14:paraId="56B4AEC8" w14:textId="77777777" w:rsidR="00A55EE9" w:rsidRDefault="00A55EE9" w:rsidP="00A55EE9">
      <w:pPr>
        <w:pStyle w:val="a9"/>
        <w:keepNext/>
        <w:widowControl w:val="0"/>
        <w:numPr>
          <w:ilvl w:val="0"/>
          <w:numId w:val="3"/>
        </w:numPr>
        <w:tabs>
          <w:tab w:val="num" w:pos="850"/>
        </w:tabs>
        <w:spacing w:before="240" w:line="360" w:lineRule="auto"/>
        <w:ind w:left="850" w:hanging="425"/>
        <w:jc w:val="both"/>
        <w:outlineLvl w:val="1"/>
        <w:rPr>
          <w:color w:val="000000"/>
        </w:rPr>
      </w:pPr>
      <w:r w:rsidRPr="003F6C2F">
        <w:rPr>
          <w:color w:val="000000"/>
          <w:rtl/>
        </w:rPr>
        <w:softHyphen/>
        <w:t xml:space="preserve">20 חודשי מאסר </w:t>
      </w:r>
      <w:r>
        <w:rPr>
          <w:rFonts w:hint="cs"/>
          <w:color w:val="000000"/>
          <w:rtl/>
        </w:rPr>
        <w:t xml:space="preserve">בפועל </w:t>
      </w:r>
      <w:r w:rsidRPr="003F6C2F">
        <w:rPr>
          <w:color w:val="000000"/>
          <w:rtl/>
        </w:rPr>
        <w:t xml:space="preserve">בגין עבירות החזקת נשק שלא כדין, לפי </w:t>
      </w:r>
      <w:hyperlink r:id="rId31" w:history="1">
        <w:r w:rsidR="00D25C91" w:rsidRPr="00D25C91">
          <w:rPr>
            <w:rStyle w:val="Hyperlink"/>
            <w:rtl/>
          </w:rPr>
          <w:t>סעיף 144(א)</w:t>
        </w:r>
      </w:hyperlink>
      <w:r w:rsidRPr="003F6C2F">
        <w:rPr>
          <w:color w:val="000000"/>
          <w:rtl/>
        </w:rPr>
        <w:t xml:space="preserve"> רישא לחוק, ונשיאת נשק שלא כדין לפי </w:t>
      </w:r>
      <w:hyperlink r:id="rId32" w:history="1">
        <w:r w:rsidR="00D25C91" w:rsidRPr="00D25C91">
          <w:rPr>
            <w:rStyle w:val="Hyperlink"/>
            <w:rtl/>
          </w:rPr>
          <w:t>סעיף 144(ב)</w:t>
        </w:r>
      </w:hyperlink>
      <w:r w:rsidRPr="003F6C2F">
        <w:rPr>
          <w:color w:val="000000"/>
          <w:rtl/>
        </w:rPr>
        <w:t xml:space="preserve"> רישא. 10 חודשים מתוכם ירוצו בחופף לעונש מאסר עולם החובה, ו-10 חודשים מתוכם </w:t>
      </w:r>
      <w:r>
        <w:rPr>
          <w:rFonts w:hint="cs"/>
          <w:color w:val="000000"/>
          <w:rtl/>
        </w:rPr>
        <w:t xml:space="preserve">ירוצו </w:t>
      </w:r>
      <w:r w:rsidRPr="003F6C2F">
        <w:rPr>
          <w:color w:val="000000"/>
          <w:rtl/>
        </w:rPr>
        <w:t>במצטבר</w:t>
      </w:r>
      <w:r>
        <w:rPr>
          <w:rFonts w:hint="cs"/>
          <w:color w:val="000000"/>
          <w:rtl/>
        </w:rPr>
        <w:t xml:space="preserve"> לו</w:t>
      </w:r>
      <w:r w:rsidRPr="003F6C2F">
        <w:rPr>
          <w:color w:val="000000"/>
          <w:rtl/>
        </w:rPr>
        <w:t xml:space="preserve">.  </w:t>
      </w:r>
    </w:p>
    <w:p w14:paraId="6CA20614" w14:textId="77777777" w:rsidR="00A55EE9" w:rsidRPr="003F6C2F" w:rsidRDefault="00A55EE9" w:rsidP="00A55EE9">
      <w:pPr>
        <w:pStyle w:val="a9"/>
        <w:rPr>
          <w:color w:val="000000"/>
          <w:rtl/>
        </w:rPr>
      </w:pPr>
    </w:p>
    <w:p w14:paraId="1ED00E00" w14:textId="77777777" w:rsidR="00A55EE9" w:rsidRDefault="00A55EE9" w:rsidP="00A55EE9">
      <w:pPr>
        <w:pStyle w:val="a9"/>
        <w:keepNext/>
        <w:widowControl w:val="0"/>
        <w:numPr>
          <w:ilvl w:val="0"/>
          <w:numId w:val="3"/>
        </w:numPr>
        <w:tabs>
          <w:tab w:val="num" w:pos="850"/>
        </w:tabs>
        <w:spacing w:before="240" w:line="360" w:lineRule="auto"/>
        <w:ind w:left="850" w:hanging="425"/>
        <w:jc w:val="both"/>
        <w:outlineLvl w:val="1"/>
        <w:rPr>
          <w:color w:val="000000"/>
        </w:rPr>
      </w:pPr>
      <w:r w:rsidRPr="003F6C2F">
        <w:rPr>
          <w:color w:val="000000"/>
          <w:rtl/>
        </w:rPr>
        <w:t>12 חודשי מאסר על תנאי שלא יעבור הנאשם במשך 3 שנים מיום שחרורו ממאסרו עבירת נשק ולרבות ניסיון.</w:t>
      </w:r>
    </w:p>
    <w:p w14:paraId="2EB5DCA9" w14:textId="77777777" w:rsidR="00A55EE9" w:rsidRPr="00FE7574" w:rsidRDefault="00A55EE9" w:rsidP="00A55EE9">
      <w:pPr>
        <w:pStyle w:val="a9"/>
        <w:rPr>
          <w:color w:val="000000"/>
          <w:rtl/>
        </w:rPr>
      </w:pPr>
    </w:p>
    <w:p w14:paraId="11DEFDE3" w14:textId="77777777" w:rsidR="00A55EE9" w:rsidRDefault="00A55EE9" w:rsidP="00A55EE9">
      <w:pPr>
        <w:pStyle w:val="a9"/>
        <w:keepNext/>
        <w:widowControl w:val="0"/>
        <w:numPr>
          <w:ilvl w:val="0"/>
          <w:numId w:val="3"/>
        </w:numPr>
        <w:tabs>
          <w:tab w:val="num" w:pos="850"/>
        </w:tabs>
        <w:spacing w:before="240" w:line="360" w:lineRule="auto"/>
        <w:ind w:left="850" w:hanging="425"/>
        <w:jc w:val="both"/>
        <w:outlineLvl w:val="1"/>
        <w:rPr>
          <w:color w:val="000000"/>
        </w:rPr>
      </w:pPr>
      <w:r w:rsidRPr="00FA66B2">
        <w:rPr>
          <w:color w:val="000000"/>
          <w:rtl/>
        </w:rPr>
        <w:t xml:space="preserve">הנאשם ישלם פיצוי בסך של 258,000 ₪ למשפחת המנוחה. 100 אלף ₪ לכל אחד מהוריה והיתרה לאחותה. </w:t>
      </w:r>
    </w:p>
    <w:p w14:paraId="32BEB3AC" w14:textId="77777777" w:rsidR="00A55EE9" w:rsidRPr="00FA66B2" w:rsidRDefault="00A55EE9" w:rsidP="00A55EE9">
      <w:pPr>
        <w:pStyle w:val="a9"/>
        <w:rPr>
          <w:color w:val="000000"/>
          <w:rtl/>
        </w:rPr>
      </w:pPr>
    </w:p>
    <w:p w14:paraId="58FFAEE4" w14:textId="77777777" w:rsidR="00A55EE9" w:rsidRPr="00FA66B2" w:rsidRDefault="00A55EE9" w:rsidP="00A55EE9">
      <w:pPr>
        <w:pStyle w:val="a9"/>
        <w:keepNext/>
        <w:widowControl w:val="0"/>
        <w:spacing w:before="240" w:line="360" w:lineRule="auto"/>
        <w:ind w:left="850"/>
        <w:jc w:val="both"/>
        <w:outlineLvl w:val="1"/>
        <w:rPr>
          <w:color w:val="000000"/>
          <w:rtl/>
        </w:rPr>
      </w:pPr>
      <w:r w:rsidRPr="00FA66B2">
        <w:rPr>
          <w:color w:val="000000"/>
          <w:rtl/>
        </w:rPr>
        <w:t xml:space="preserve">הפיצוי האמור יופקד בקופת בית המשפט ב- 20 תשלומים חודשיים, רצופים ושווים, החל מיום 1.1.24 ובכל ראשון לחודש שלאחר מכן. לא יופקד כל תשלום מסכום הפיצוי האמור במלואו ובמועדו, הרי שמלוא סכום הפיצוי יעמוד לפרעון מיידי ויישא הפרשי הצמדה וריבית כחוק מהיום שבו אמור היה הנאשם לשלמו, ועד למועד התשלום בפועל. </w:t>
      </w:r>
    </w:p>
    <w:p w14:paraId="63E53FC3" w14:textId="77777777" w:rsidR="00A55EE9" w:rsidRDefault="00A55EE9" w:rsidP="00A55EE9">
      <w:pPr>
        <w:keepNext/>
        <w:widowControl w:val="0"/>
        <w:spacing w:before="240" w:line="360" w:lineRule="auto"/>
        <w:jc w:val="both"/>
        <w:outlineLvl w:val="0"/>
        <w:rPr>
          <w:color w:val="000000"/>
          <w:kern w:val="28"/>
        </w:rPr>
      </w:pPr>
    </w:p>
    <w:tbl>
      <w:tblPr>
        <w:bidiVisual/>
        <w:tblW w:w="0" w:type="auto"/>
        <w:jc w:val="right"/>
        <w:tblBorders>
          <w:insideH w:val="single" w:sz="4" w:space="0" w:color="auto"/>
        </w:tblBorders>
        <w:tblLayout w:type="fixed"/>
        <w:tblLook w:val="01E0" w:firstRow="1" w:lastRow="1" w:firstColumn="1" w:lastColumn="1" w:noHBand="0" w:noVBand="0"/>
      </w:tblPr>
      <w:tblGrid>
        <w:gridCol w:w="2512"/>
      </w:tblGrid>
      <w:tr w:rsidR="00A55EE9" w14:paraId="5EB01644" w14:textId="77777777" w:rsidTr="00A55EE9">
        <w:trPr>
          <w:trHeight w:val="836"/>
          <w:jc w:val="right"/>
        </w:trPr>
        <w:tc>
          <w:tcPr>
            <w:tcW w:w="2512" w:type="dxa"/>
            <w:tcBorders>
              <w:top w:val="nil"/>
              <w:left w:val="nil"/>
              <w:bottom w:val="single" w:sz="4" w:space="0" w:color="auto"/>
              <w:right w:val="nil"/>
            </w:tcBorders>
            <w:shd w:val="clear" w:color="auto" w:fill="auto"/>
          </w:tcPr>
          <w:p w14:paraId="6CCBFAFF" w14:textId="77777777" w:rsidR="00A55EE9" w:rsidRPr="00A55EE9" w:rsidRDefault="00A55EE9" w:rsidP="00A55EE9">
            <w:pPr>
              <w:tabs>
                <w:tab w:val="left" w:pos="5426"/>
              </w:tabs>
              <w:jc w:val="center"/>
              <w:rPr>
                <w:rFonts w:ascii="David" w:eastAsia="David" w:hAnsi="David"/>
                <w:rtl/>
              </w:rPr>
            </w:pPr>
          </w:p>
          <w:p w14:paraId="6868FCB3" w14:textId="77777777" w:rsidR="00A55EE9" w:rsidRPr="00A55EE9" w:rsidRDefault="00A55EE9" w:rsidP="00A55EE9">
            <w:pPr>
              <w:tabs>
                <w:tab w:val="left" w:pos="5426"/>
              </w:tabs>
              <w:jc w:val="center"/>
              <w:rPr>
                <w:rFonts w:ascii="David" w:eastAsia="David" w:hAnsi="David"/>
                <w:rtl/>
              </w:rPr>
            </w:pPr>
          </w:p>
          <w:p w14:paraId="1EB346CE" w14:textId="77777777" w:rsidR="00A55EE9" w:rsidRPr="00A55EE9" w:rsidRDefault="000B0891" w:rsidP="00A55EE9">
            <w:pPr>
              <w:tabs>
                <w:tab w:val="left" w:pos="5426"/>
              </w:tabs>
              <w:jc w:val="center"/>
              <w:rPr>
                <w:rFonts w:ascii="David" w:eastAsia="David" w:hAnsi="David"/>
                <w:rtl/>
              </w:rPr>
            </w:pPr>
            <w:r w:rsidRPr="000B0891">
              <w:rPr>
                <w:noProof/>
                <w:rtl/>
              </w:rPr>
              <w:pict w14:anchorId="6B25A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6" o:spid="_x0000_s1031" type="#_x0000_t75" alt="גרשון גונטובניק" style="position:absolute;left:0;text-align:left;margin-left:12.6pt;margin-top:-.15pt;width:90.15pt;height:36.55pt;z-index:-251659776;visibility:visible;mso-width-relative:margin;mso-height-relative:margin">
                  <v:imagedata r:id="rId33" o:title="גרשון גונטובניק"/>
                </v:shape>
              </w:pict>
            </w:r>
          </w:p>
        </w:tc>
      </w:tr>
      <w:tr w:rsidR="00A55EE9" w14:paraId="20870DA7" w14:textId="77777777" w:rsidTr="00A55EE9">
        <w:trPr>
          <w:trHeight w:val="473"/>
          <w:jc w:val="right"/>
        </w:trPr>
        <w:tc>
          <w:tcPr>
            <w:tcW w:w="2512" w:type="dxa"/>
            <w:tcBorders>
              <w:top w:val="single" w:sz="4" w:space="0" w:color="auto"/>
              <w:left w:val="nil"/>
              <w:bottom w:val="nil"/>
              <w:right w:val="nil"/>
            </w:tcBorders>
            <w:shd w:val="clear" w:color="auto" w:fill="auto"/>
          </w:tcPr>
          <w:p w14:paraId="245308D8" w14:textId="77777777" w:rsidR="00A55EE9" w:rsidRPr="00A55EE9" w:rsidRDefault="00A55EE9" w:rsidP="00A55EE9">
            <w:pPr>
              <w:jc w:val="center"/>
              <w:rPr>
                <w:rFonts w:ascii="Courier New" w:eastAsia="David" w:hAnsi="Courier New"/>
                <w:b/>
                <w:bCs/>
                <w:rtl/>
              </w:rPr>
            </w:pPr>
            <w:r w:rsidRPr="00A55EE9">
              <w:rPr>
                <w:rFonts w:ascii="Courier New" w:eastAsia="David" w:hAnsi="Courier New"/>
                <w:b/>
                <w:bCs/>
                <w:rtl/>
              </w:rPr>
              <w:t xml:space="preserve">גרשון גונטובניק, שופט </w:t>
            </w:r>
          </w:p>
        </w:tc>
      </w:tr>
    </w:tbl>
    <w:p w14:paraId="78238892" w14:textId="77777777" w:rsidR="00A55EE9" w:rsidRDefault="00A55EE9" w:rsidP="00A55EE9">
      <w:pPr>
        <w:widowControl w:val="0"/>
        <w:spacing w:before="240" w:line="360" w:lineRule="auto"/>
        <w:ind w:right="454"/>
        <w:jc w:val="both"/>
        <w:outlineLvl w:val="0"/>
        <w:rPr>
          <w:color w:val="000000"/>
          <w:kern w:val="28"/>
          <w:rtl/>
        </w:rPr>
      </w:pPr>
    </w:p>
    <w:p w14:paraId="063B3F21" w14:textId="77777777" w:rsidR="00A55EE9" w:rsidRPr="00A55EE9" w:rsidRDefault="00A55EE9" w:rsidP="00A55EE9">
      <w:pPr>
        <w:spacing w:line="360" w:lineRule="auto"/>
        <w:rPr>
          <w:rFonts w:ascii="David" w:hAnsi="David"/>
          <w:b/>
          <w:bCs/>
          <w:color w:val="000000"/>
          <w:sz w:val="28"/>
          <w:szCs w:val="28"/>
          <w:u w:val="single"/>
          <w:rtl/>
        </w:rPr>
      </w:pPr>
      <w:r w:rsidRPr="00A55EE9">
        <w:rPr>
          <w:rFonts w:ascii="David" w:hAnsi="David"/>
          <w:b/>
          <w:bCs/>
          <w:color w:val="000000"/>
          <w:sz w:val="28"/>
          <w:szCs w:val="28"/>
          <w:u w:val="single"/>
          <w:rtl/>
        </w:rPr>
        <w:t>השופט גלעד נויטל, נשיא, אב"ד:</w:t>
      </w:r>
      <w:r w:rsidRPr="00A55EE9">
        <w:rPr>
          <w:rFonts w:ascii="David" w:hAnsi="David"/>
          <w:b/>
          <w:bCs/>
          <w:color w:val="000000"/>
          <w:sz w:val="28"/>
          <w:szCs w:val="28"/>
          <w:rtl/>
        </w:rPr>
        <w:t xml:space="preserve"> </w:t>
      </w:r>
      <w:r w:rsidRPr="00A55EE9">
        <w:rPr>
          <w:rFonts w:ascii="David" w:hAnsi="David"/>
          <w:color w:val="000000"/>
          <w:sz w:val="28"/>
          <w:szCs w:val="28"/>
          <w:rtl/>
        </w:rPr>
        <w:t xml:space="preserve"> </w:t>
      </w:r>
    </w:p>
    <w:p w14:paraId="29F192A8" w14:textId="77777777" w:rsidR="00A55EE9" w:rsidRDefault="00A55EE9" w:rsidP="00A55EE9">
      <w:pPr>
        <w:keepNext/>
        <w:widowControl w:val="0"/>
        <w:spacing w:line="360" w:lineRule="auto"/>
        <w:jc w:val="both"/>
        <w:rPr>
          <w:color w:val="000000"/>
        </w:rPr>
      </w:pPr>
    </w:p>
    <w:p w14:paraId="3393FD51" w14:textId="77777777" w:rsidR="00A55EE9" w:rsidRDefault="00A55EE9" w:rsidP="00A55EE9">
      <w:pPr>
        <w:spacing w:line="360" w:lineRule="auto"/>
        <w:jc w:val="both"/>
        <w:rPr>
          <w:rFonts w:ascii="David" w:hAnsi="David"/>
          <w:rtl/>
        </w:rPr>
      </w:pPr>
      <w:r>
        <w:rPr>
          <w:rFonts w:ascii="David" w:hAnsi="David"/>
          <w:rtl/>
        </w:rPr>
        <w:t>אני מסכים.</w:t>
      </w:r>
    </w:p>
    <w:p w14:paraId="4F69CE70" w14:textId="77777777" w:rsidR="00A55EE9" w:rsidRDefault="00A55EE9" w:rsidP="00A55EE9">
      <w:pPr>
        <w:spacing w:line="360" w:lineRule="auto"/>
        <w:jc w:val="both"/>
        <w:rPr>
          <w:rFonts w:ascii="David" w:hAnsi="David"/>
          <w:rtl/>
        </w:rPr>
      </w:pPr>
    </w:p>
    <w:p w14:paraId="29217981" w14:textId="77777777" w:rsidR="00A55EE9" w:rsidRDefault="00A55EE9" w:rsidP="00A55EE9">
      <w:pPr>
        <w:keepNext/>
        <w:widowControl w:val="0"/>
        <w:spacing w:line="360" w:lineRule="auto"/>
        <w:jc w:val="both"/>
        <w:rPr>
          <w:color w:val="000000"/>
        </w:rPr>
      </w:pPr>
    </w:p>
    <w:tbl>
      <w:tblPr>
        <w:bidiVisual/>
        <w:tblW w:w="0" w:type="auto"/>
        <w:jc w:val="right"/>
        <w:tblLook w:val="01E0" w:firstRow="1" w:lastRow="1" w:firstColumn="1" w:lastColumn="1" w:noHBand="0" w:noVBand="0"/>
      </w:tblPr>
      <w:tblGrid>
        <w:gridCol w:w="2298"/>
      </w:tblGrid>
      <w:tr w:rsidR="00A55EE9" w14:paraId="00643A74" w14:textId="77777777" w:rsidTr="00A55EE9">
        <w:trPr>
          <w:trHeight w:val="806"/>
          <w:jc w:val="right"/>
        </w:trPr>
        <w:tc>
          <w:tcPr>
            <w:tcW w:w="2298" w:type="dxa"/>
            <w:tcBorders>
              <w:top w:val="nil"/>
              <w:left w:val="nil"/>
              <w:bottom w:val="single" w:sz="4" w:space="0" w:color="auto"/>
              <w:right w:val="nil"/>
            </w:tcBorders>
            <w:shd w:val="clear" w:color="auto" w:fill="auto"/>
            <w:vAlign w:val="center"/>
          </w:tcPr>
          <w:p w14:paraId="043F030A" w14:textId="77777777" w:rsidR="00A55EE9" w:rsidRPr="00A55EE9" w:rsidRDefault="000B0891" w:rsidP="00A55EE9">
            <w:pPr>
              <w:jc w:val="center"/>
              <w:rPr>
                <w:rFonts w:ascii="Courier New" w:hAnsi="Courier New"/>
                <w:b/>
                <w:bCs/>
                <w:rtl/>
              </w:rPr>
            </w:pPr>
            <w:r w:rsidRPr="000B0891">
              <w:rPr>
                <w:noProof/>
                <w:rtl/>
              </w:rPr>
              <w:pict w14:anchorId="1F71C303">
                <v:shape id="תמונה 5" o:spid="_x0000_s1030" type="#_x0000_t75" style="position:absolute;left:0;text-align:left;margin-left:21.45pt;margin-top:.8pt;width:61.25pt;height:54.7pt;z-index:-251658752;visibility:visible;mso-width-relative:margin;mso-height-relative:margin">
                  <v:imagedata r:id="rId34" o:title=""/>
                </v:shape>
              </w:pict>
            </w:r>
          </w:p>
        </w:tc>
      </w:tr>
      <w:tr w:rsidR="00A55EE9" w14:paraId="65CF2227" w14:textId="77777777" w:rsidTr="00A55EE9">
        <w:trPr>
          <w:trHeight w:val="384"/>
          <w:jc w:val="right"/>
        </w:trPr>
        <w:tc>
          <w:tcPr>
            <w:tcW w:w="2298" w:type="dxa"/>
            <w:tcBorders>
              <w:top w:val="single" w:sz="4" w:space="0" w:color="auto"/>
              <w:left w:val="nil"/>
              <w:bottom w:val="nil"/>
              <w:right w:val="nil"/>
            </w:tcBorders>
            <w:shd w:val="clear" w:color="auto" w:fill="auto"/>
            <w:vAlign w:val="bottom"/>
          </w:tcPr>
          <w:p w14:paraId="202320E0" w14:textId="77777777" w:rsidR="00A55EE9" w:rsidRPr="00A55EE9" w:rsidRDefault="00A55EE9" w:rsidP="00A55EE9">
            <w:pPr>
              <w:jc w:val="center"/>
              <w:rPr>
                <w:rFonts w:ascii="Calibri" w:hAnsi="Calibri"/>
                <w:b/>
                <w:bCs/>
              </w:rPr>
            </w:pPr>
            <w:r w:rsidRPr="00A55EE9">
              <w:rPr>
                <w:rFonts w:ascii="Calibri" w:hAnsi="Calibri"/>
                <w:b/>
                <w:bCs/>
                <w:rtl/>
              </w:rPr>
              <w:t xml:space="preserve">השופט גלעד נויטל, </w:t>
            </w:r>
          </w:p>
          <w:p w14:paraId="7EB0F5B5" w14:textId="77777777" w:rsidR="00A55EE9" w:rsidRPr="00A55EE9" w:rsidRDefault="00A55EE9" w:rsidP="00A55EE9">
            <w:pPr>
              <w:jc w:val="center"/>
              <w:rPr>
                <w:b/>
                <w:bCs/>
                <w:rtl/>
              </w:rPr>
            </w:pPr>
            <w:r w:rsidRPr="00A55EE9">
              <w:rPr>
                <w:rFonts w:ascii="Calibri" w:hAnsi="Calibri"/>
                <w:b/>
                <w:bCs/>
                <w:rtl/>
              </w:rPr>
              <w:t>נשיא, אב"ד</w:t>
            </w:r>
          </w:p>
        </w:tc>
      </w:tr>
    </w:tbl>
    <w:p w14:paraId="565E26AE" w14:textId="77777777" w:rsidR="00A55EE9" w:rsidRDefault="00A55EE9" w:rsidP="00A55EE9">
      <w:pPr>
        <w:keepNext/>
        <w:widowControl w:val="0"/>
        <w:spacing w:line="360" w:lineRule="auto"/>
        <w:jc w:val="both"/>
        <w:rPr>
          <w:color w:val="000000"/>
        </w:rPr>
      </w:pPr>
    </w:p>
    <w:p w14:paraId="74FECC5B" w14:textId="77777777" w:rsidR="00A55EE9" w:rsidRDefault="00A55EE9" w:rsidP="00A55EE9">
      <w:pPr>
        <w:rPr>
          <w:rFonts w:ascii="Arial (W1)" w:hAnsi="Arial (W1)"/>
          <w:rtl/>
        </w:rPr>
      </w:pPr>
    </w:p>
    <w:p w14:paraId="6DF2B585" w14:textId="77777777" w:rsidR="00A55EE9" w:rsidRDefault="00A55EE9" w:rsidP="00A55EE9">
      <w:pPr>
        <w:rPr>
          <w:rtl/>
        </w:rPr>
      </w:pPr>
    </w:p>
    <w:p w14:paraId="132A8FE7" w14:textId="77777777" w:rsidR="00A55EE9" w:rsidRDefault="00A55EE9" w:rsidP="00A55EE9">
      <w:pPr>
        <w:spacing w:line="360" w:lineRule="auto"/>
        <w:rPr>
          <w:b/>
          <w:bCs/>
          <w:sz w:val="28"/>
          <w:szCs w:val="28"/>
          <w:u w:val="single"/>
          <w:rtl/>
        </w:rPr>
      </w:pPr>
    </w:p>
    <w:p w14:paraId="62DF49A3" w14:textId="77777777" w:rsidR="00A55EE9" w:rsidRDefault="00A55EE9" w:rsidP="00A55EE9">
      <w:pPr>
        <w:spacing w:line="360" w:lineRule="auto"/>
        <w:rPr>
          <w:b/>
          <w:bCs/>
          <w:sz w:val="28"/>
          <w:szCs w:val="28"/>
          <w:u w:val="single"/>
          <w:rtl/>
        </w:rPr>
      </w:pPr>
      <w:r>
        <w:rPr>
          <w:b/>
          <w:bCs/>
          <w:sz w:val="28"/>
          <w:szCs w:val="28"/>
          <w:u w:val="single"/>
          <w:rtl/>
        </w:rPr>
        <w:t>השופטת טלי חיימוביץ:</w:t>
      </w:r>
    </w:p>
    <w:p w14:paraId="2B18DF50" w14:textId="77777777" w:rsidR="00A55EE9" w:rsidRDefault="00A55EE9" w:rsidP="00A55EE9">
      <w:pPr>
        <w:spacing w:line="360" w:lineRule="auto"/>
        <w:rPr>
          <w:rFonts w:ascii="Arial (W1)" w:hAnsi="Arial (W1)"/>
        </w:rPr>
      </w:pPr>
    </w:p>
    <w:p w14:paraId="743BC585" w14:textId="77777777" w:rsidR="00A55EE9" w:rsidRDefault="00A55EE9" w:rsidP="00A55EE9">
      <w:pPr>
        <w:spacing w:line="360" w:lineRule="auto"/>
        <w:rPr>
          <w:rtl/>
        </w:rPr>
      </w:pPr>
      <w:r>
        <w:rPr>
          <w:rtl/>
        </w:rPr>
        <w:t>אני מסכימה.</w:t>
      </w:r>
    </w:p>
    <w:p w14:paraId="341567C4" w14:textId="77777777" w:rsidR="00A55EE9" w:rsidRDefault="00A55EE9" w:rsidP="00A55EE9">
      <w:pPr>
        <w:spacing w:line="360" w:lineRule="auto"/>
        <w:rPr>
          <w:rtl/>
        </w:rPr>
      </w:pPr>
    </w:p>
    <w:p w14:paraId="343AAC23" w14:textId="77777777" w:rsidR="00A55EE9" w:rsidRPr="00A55EE9" w:rsidRDefault="000B0891" w:rsidP="00A55EE9">
      <w:pPr>
        <w:spacing w:after="160" w:line="252" w:lineRule="auto"/>
        <w:rPr>
          <w:rFonts w:ascii="Calibri" w:hAnsi="Calibri" w:cs="Arial"/>
          <w:sz w:val="22"/>
          <w:szCs w:val="22"/>
          <w:rtl/>
        </w:rPr>
      </w:pPr>
      <w:r w:rsidRPr="000B0891">
        <w:rPr>
          <w:noProof/>
          <w:rtl/>
        </w:rPr>
        <w:pict w14:anchorId="6A5302F5">
          <v:shape id="תמונה 7" o:spid="_x0000_s1029" type="#_x0000_t75" alt="057268427" style="position:absolute;left:0;text-align:left;margin-left:9.15pt;margin-top:10.6pt;width:95.25pt;height:25.5pt;z-index:-251660800;visibility:visible">
            <v:imagedata r:id="rId35" o:title="057268427"/>
          </v:shape>
        </w:pict>
      </w:r>
    </w:p>
    <w:tbl>
      <w:tblPr>
        <w:bidiVisual/>
        <w:tblW w:w="0" w:type="auto"/>
        <w:jc w:val="right"/>
        <w:tblLook w:val="01E0" w:firstRow="1" w:lastRow="1" w:firstColumn="1" w:lastColumn="1" w:noHBand="0" w:noVBand="0"/>
      </w:tblPr>
      <w:tblGrid>
        <w:gridCol w:w="2162"/>
      </w:tblGrid>
      <w:tr w:rsidR="00A55EE9" w14:paraId="43E524B4" w14:textId="77777777" w:rsidTr="00A55EE9">
        <w:trPr>
          <w:trHeight w:val="74"/>
          <w:jc w:val="right"/>
        </w:trPr>
        <w:tc>
          <w:tcPr>
            <w:tcW w:w="0" w:type="auto"/>
            <w:tcBorders>
              <w:top w:val="nil"/>
              <w:left w:val="nil"/>
              <w:bottom w:val="single" w:sz="4" w:space="0" w:color="auto"/>
              <w:right w:val="nil"/>
            </w:tcBorders>
            <w:shd w:val="clear" w:color="auto" w:fill="auto"/>
            <w:vAlign w:val="center"/>
          </w:tcPr>
          <w:p w14:paraId="49EA7DB3" w14:textId="77777777" w:rsidR="00A55EE9" w:rsidRPr="00A55EE9" w:rsidRDefault="00A55EE9" w:rsidP="00373631">
            <w:pPr>
              <w:rPr>
                <w:rFonts w:ascii="Courier New" w:hAnsi="Courier New"/>
                <w:b/>
                <w:bCs/>
                <w:sz w:val="20"/>
                <w:szCs w:val="20"/>
                <w:lang w:eastAsia="he-IL"/>
              </w:rPr>
            </w:pPr>
          </w:p>
        </w:tc>
      </w:tr>
      <w:tr w:rsidR="00A55EE9" w14:paraId="36EF8488" w14:textId="77777777" w:rsidTr="00A55EE9">
        <w:trPr>
          <w:jc w:val="right"/>
        </w:trPr>
        <w:tc>
          <w:tcPr>
            <w:tcW w:w="0" w:type="auto"/>
            <w:tcBorders>
              <w:top w:val="single" w:sz="4" w:space="0" w:color="auto"/>
              <w:left w:val="nil"/>
              <w:bottom w:val="nil"/>
              <w:right w:val="nil"/>
            </w:tcBorders>
            <w:shd w:val="clear" w:color="auto" w:fill="auto"/>
          </w:tcPr>
          <w:p w14:paraId="48BDDDB7" w14:textId="77777777" w:rsidR="00A55EE9" w:rsidRPr="00A55EE9" w:rsidRDefault="00A55EE9" w:rsidP="00A55EE9">
            <w:pPr>
              <w:jc w:val="center"/>
              <w:rPr>
                <w:rFonts w:ascii="Courier New" w:hAnsi="Courier New"/>
                <w:b/>
                <w:bCs/>
                <w:rtl/>
                <w:lang w:eastAsia="he-IL"/>
              </w:rPr>
            </w:pPr>
            <w:r w:rsidRPr="00A55EE9">
              <w:rPr>
                <w:rFonts w:ascii="Courier New" w:hAnsi="Courier New"/>
                <w:b/>
                <w:bCs/>
                <w:rtl/>
                <w:lang w:eastAsia="he-IL"/>
              </w:rPr>
              <w:t>טלי חיימוביץ, שופטת</w:t>
            </w:r>
          </w:p>
        </w:tc>
      </w:tr>
    </w:tbl>
    <w:p w14:paraId="1DBC2116" w14:textId="77777777" w:rsidR="00A55EE9" w:rsidRPr="007B3DC8" w:rsidRDefault="00A55EE9" w:rsidP="00A55EE9">
      <w:pPr>
        <w:bidi w:val="0"/>
        <w:rPr>
          <w:b/>
          <w:bCs/>
          <w:sz w:val="28"/>
          <w:szCs w:val="28"/>
        </w:rPr>
      </w:pPr>
      <w:r w:rsidRPr="007B3DC8">
        <w:rPr>
          <w:b/>
          <w:bCs/>
          <w:sz w:val="28"/>
          <w:szCs w:val="28"/>
          <w:rtl/>
        </w:rPr>
        <w:br w:type="page"/>
      </w:r>
    </w:p>
    <w:p w14:paraId="554E0E00" w14:textId="77777777" w:rsidR="00A55EE9" w:rsidRDefault="00A55EE9" w:rsidP="00A55EE9">
      <w:pPr>
        <w:spacing w:line="360" w:lineRule="auto"/>
        <w:rPr>
          <w:b/>
          <w:bCs/>
          <w:noProof/>
          <w:sz w:val="28"/>
          <w:szCs w:val="28"/>
          <w:u w:val="single"/>
          <w:rtl/>
        </w:rPr>
      </w:pPr>
      <w:r>
        <w:rPr>
          <w:b/>
          <w:bCs/>
          <w:sz w:val="28"/>
          <w:szCs w:val="28"/>
          <w:u w:val="single"/>
          <w:rtl/>
        </w:rPr>
        <w:t>סוף דבר:</w:t>
      </w:r>
    </w:p>
    <w:p w14:paraId="2E7BFB01" w14:textId="77777777" w:rsidR="00A55EE9" w:rsidRDefault="00A55EE9" w:rsidP="00A55EE9">
      <w:pPr>
        <w:spacing w:before="120" w:after="120" w:line="360" w:lineRule="auto"/>
        <w:jc w:val="both"/>
        <w:rPr>
          <w:rFonts w:ascii="Calibri" w:hAnsi="Calibri"/>
        </w:rPr>
      </w:pPr>
      <w:r>
        <w:rPr>
          <w:rFonts w:ascii="Calibri" w:hAnsi="Calibri"/>
          <w:b/>
          <w:bCs/>
          <w:rtl/>
        </w:rPr>
        <w:t xml:space="preserve">אנו מטילים אפוא, פה אחד, על הנאשם, </w:t>
      </w:r>
      <w:r>
        <w:rPr>
          <w:rFonts w:ascii="Calibri" w:hAnsi="Calibri" w:hint="cs"/>
          <w:b/>
          <w:bCs/>
          <w:rtl/>
        </w:rPr>
        <w:t>ישראל קטון</w:t>
      </w:r>
      <w:r>
        <w:rPr>
          <w:rFonts w:ascii="Calibri" w:hAnsi="Calibri"/>
          <w:b/>
          <w:bCs/>
          <w:rtl/>
        </w:rPr>
        <w:t>, את העונשים כמפורט בחוות דעתו של</w:t>
      </w:r>
      <w:r>
        <w:rPr>
          <w:rFonts w:ascii="Calibri" w:hAnsi="Calibri" w:hint="cs"/>
          <w:b/>
          <w:bCs/>
          <w:rtl/>
        </w:rPr>
        <w:t xml:space="preserve"> </w:t>
      </w:r>
      <w:r>
        <w:rPr>
          <w:rFonts w:ascii="Calibri" w:hAnsi="Calibri"/>
          <w:b/>
          <w:bCs/>
          <w:rtl/>
        </w:rPr>
        <w:t>השופט ג</w:t>
      </w:r>
      <w:r>
        <w:rPr>
          <w:rFonts w:ascii="Calibri" w:hAnsi="Calibri" w:hint="cs"/>
          <w:b/>
          <w:bCs/>
          <w:rtl/>
        </w:rPr>
        <w:t>רשון גונטובניק.</w:t>
      </w:r>
    </w:p>
    <w:p w14:paraId="65592981" w14:textId="77777777" w:rsidR="00A55EE9" w:rsidRPr="00315A91" w:rsidRDefault="00A55EE9" w:rsidP="00A55EE9">
      <w:pPr>
        <w:spacing w:line="360" w:lineRule="auto"/>
        <w:jc w:val="both"/>
        <w:rPr>
          <w:rFonts w:ascii="David" w:hAnsi="David"/>
          <w:rtl/>
        </w:rPr>
      </w:pPr>
    </w:p>
    <w:p w14:paraId="289A3965" w14:textId="77777777" w:rsidR="00A55EE9" w:rsidRDefault="00A55EE9" w:rsidP="00A55EE9">
      <w:pPr>
        <w:spacing w:line="360" w:lineRule="auto"/>
        <w:jc w:val="both"/>
        <w:rPr>
          <w:rFonts w:ascii="David" w:hAnsi="David"/>
          <w:rtl/>
        </w:rPr>
      </w:pPr>
      <w:r>
        <w:rPr>
          <w:rFonts w:ascii="David" w:hAnsi="David"/>
          <w:rtl/>
        </w:rPr>
        <w:t>התביעה תעביר למזכירות בית המשפט תוך 7 ימים מהיום את פרטיה</w:t>
      </w:r>
      <w:r>
        <w:rPr>
          <w:rFonts w:ascii="David" w:hAnsi="David" w:hint="cs"/>
          <w:rtl/>
        </w:rPr>
        <w:t xml:space="preserve">ם של משפחת המנוחה </w:t>
      </w:r>
      <w:r>
        <w:rPr>
          <w:rFonts w:ascii="David" w:hAnsi="David"/>
          <w:rtl/>
        </w:rPr>
        <w:t>–</w:t>
      </w:r>
      <w:r>
        <w:rPr>
          <w:rFonts w:ascii="David" w:hAnsi="David" w:hint="cs"/>
          <w:rtl/>
        </w:rPr>
        <w:t xml:space="preserve"> הוריה ואחותה, </w:t>
      </w:r>
      <w:r>
        <w:rPr>
          <w:rFonts w:ascii="David" w:hAnsi="David"/>
          <w:rtl/>
        </w:rPr>
        <w:t>לצורך העברת הפיצוי דלעיל אליה</w:t>
      </w:r>
      <w:r>
        <w:rPr>
          <w:rFonts w:ascii="David" w:hAnsi="David" w:hint="cs"/>
          <w:rtl/>
        </w:rPr>
        <w:t>ם</w:t>
      </w:r>
      <w:r>
        <w:rPr>
          <w:rFonts w:ascii="David" w:hAnsi="David"/>
          <w:rtl/>
        </w:rPr>
        <w:t>.</w:t>
      </w:r>
    </w:p>
    <w:p w14:paraId="3F989103" w14:textId="77777777" w:rsidR="00A55EE9" w:rsidRDefault="00A55EE9" w:rsidP="00A55EE9">
      <w:pPr>
        <w:spacing w:line="360" w:lineRule="auto"/>
        <w:jc w:val="both"/>
        <w:rPr>
          <w:rFonts w:ascii="David" w:hAnsi="David"/>
          <w:rtl/>
        </w:rPr>
      </w:pPr>
    </w:p>
    <w:p w14:paraId="5AFFF834" w14:textId="77777777" w:rsidR="00A55EE9" w:rsidRDefault="00A55EE9" w:rsidP="00A55EE9">
      <w:pPr>
        <w:spacing w:line="360" w:lineRule="auto"/>
        <w:jc w:val="both"/>
        <w:rPr>
          <w:rFonts w:ascii="David" w:hAnsi="David"/>
          <w:rtl/>
        </w:rPr>
      </w:pPr>
    </w:p>
    <w:p w14:paraId="28E1D41C" w14:textId="77777777" w:rsidR="00A55EE9" w:rsidRDefault="00A55EE9" w:rsidP="00A55EE9">
      <w:pPr>
        <w:spacing w:line="360" w:lineRule="auto"/>
        <w:jc w:val="both"/>
        <w:rPr>
          <w:rFonts w:ascii="David" w:hAnsi="David"/>
          <w:rtl/>
        </w:rPr>
      </w:pPr>
      <w:r>
        <w:rPr>
          <w:rFonts w:ascii="David" w:hAnsi="David"/>
          <w:rtl/>
        </w:rPr>
        <w:t>הוסברה לנאשם זכותו לערער על פסק הדין תוך 45 ימים מהיום.</w:t>
      </w:r>
    </w:p>
    <w:p w14:paraId="7A92FB41" w14:textId="77777777" w:rsidR="00A55EE9" w:rsidRDefault="00A55EE9" w:rsidP="00A55EE9">
      <w:pPr>
        <w:spacing w:line="360" w:lineRule="auto"/>
        <w:rPr>
          <w:rtl/>
        </w:rPr>
      </w:pPr>
    </w:p>
    <w:p w14:paraId="73BDD895" w14:textId="77777777" w:rsidR="00A55EE9" w:rsidRDefault="00A55EE9" w:rsidP="00A55EE9">
      <w:pPr>
        <w:rPr>
          <w:b/>
          <w:bCs/>
          <w:noProof/>
          <w:sz w:val="28"/>
          <w:szCs w:val="28"/>
          <w:u w:val="single"/>
          <w:rtl/>
        </w:rPr>
      </w:pPr>
    </w:p>
    <w:p w14:paraId="552AC297" w14:textId="77777777" w:rsidR="00A55EE9" w:rsidRDefault="00A55EE9" w:rsidP="00A55EE9">
      <w:pPr>
        <w:rPr>
          <w:rFonts w:ascii="Arial" w:hAnsi="Arial"/>
        </w:rPr>
      </w:pPr>
    </w:p>
    <w:tbl>
      <w:tblPr>
        <w:bidiVisual/>
        <w:tblW w:w="0" w:type="auto"/>
        <w:jc w:val="center"/>
        <w:tblLayout w:type="fixed"/>
        <w:tblLook w:val="01E0" w:firstRow="1" w:lastRow="1" w:firstColumn="1" w:lastColumn="1" w:noHBand="0" w:noVBand="0"/>
      </w:tblPr>
      <w:tblGrid>
        <w:gridCol w:w="2400"/>
        <w:gridCol w:w="1134"/>
        <w:gridCol w:w="2268"/>
        <w:gridCol w:w="1281"/>
        <w:gridCol w:w="2270"/>
      </w:tblGrid>
      <w:tr w:rsidR="00A55EE9" w14:paraId="5ACCF929" w14:textId="77777777" w:rsidTr="00A55EE9">
        <w:trPr>
          <w:trHeight w:val="663"/>
          <w:jc w:val="center"/>
        </w:trPr>
        <w:tc>
          <w:tcPr>
            <w:tcW w:w="2400" w:type="dxa"/>
            <w:tcBorders>
              <w:top w:val="nil"/>
              <w:left w:val="nil"/>
              <w:bottom w:val="single" w:sz="4" w:space="0" w:color="auto"/>
              <w:right w:val="nil"/>
            </w:tcBorders>
            <w:shd w:val="clear" w:color="auto" w:fill="auto"/>
            <w:vAlign w:val="center"/>
          </w:tcPr>
          <w:p w14:paraId="6477FB70" w14:textId="77777777" w:rsidR="00A55EE9" w:rsidRPr="00A55EE9" w:rsidRDefault="00185623" w:rsidP="00373631">
            <w:pPr>
              <w:rPr>
                <w:rFonts w:ascii="Arial" w:hAnsi="Arial"/>
                <w:rtl/>
              </w:rPr>
            </w:pPr>
            <w:bookmarkStart w:id="8" w:name="Nitan"/>
            <w:r>
              <w:rPr>
                <w:noProof/>
                <w:rtl/>
              </w:rPr>
              <w:t xml:space="preserve">ניתן היום, כ"ז באלול תשפ"ג (13 בספטמבר 2023), במעמד הצדדים. </w:t>
            </w:r>
            <w:bookmarkEnd w:id="8"/>
          </w:p>
        </w:tc>
        <w:tc>
          <w:tcPr>
            <w:tcW w:w="1134" w:type="dxa"/>
            <w:shd w:val="clear" w:color="auto" w:fill="auto"/>
          </w:tcPr>
          <w:p w14:paraId="69F5D6B2" w14:textId="77777777" w:rsidR="00A55EE9" w:rsidRPr="00A55EE9" w:rsidRDefault="00A55EE9" w:rsidP="00A55EE9">
            <w:pPr>
              <w:tabs>
                <w:tab w:val="left" w:pos="5426"/>
              </w:tabs>
              <w:jc w:val="right"/>
              <w:rPr>
                <w:rFonts w:ascii="David" w:eastAsia="David" w:hAnsi="David"/>
              </w:rPr>
            </w:pPr>
          </w:p>
        </w:tc>
        <w:tc>
          <w:tcPr>
            <w:tcW w:w="2268" w:type="dxa"/>
            <w:tcBorders>
              <w:top w:val="nil"/>
              <w:left w:val="nil"/>
              <w:bottom w:val="single" w:sz="4" w:space="0" w:color="auto"/>
              <w:right w:val="nil"/>
            </w:tcBorders>
            <w:shd w:val="clear" w:color="auto" w:fill="auto"/>
            <w:vAlign w:val="center"/>
          </w:tcPr>
          <w:p w14:paraId="173A50CB" w14:textId="77777777" w:rsidR="00A55EE9" w:rsidRPr="00A55EE9" w:rsidRDefault="000B0891" w:rsidP="00373631">
            <w:pPr>
              <w:rPr>
                <w:rFonts w:ascii="David" w:eastAsia="David" w:hAnsi="David"/>
                <w:rtl/>
              </w:rPr>
            </w:pPr>
            <w:r w:rsidRPr="000B0891">
              <w:rPr>
                <w:noProof/>
                <w:rtl/>
              </w:rPr>
              <w:pict w14:anchorId="0DA56C0A">
                <v:shape id="תמונה 9" o:spid="_x0000_s1027" type="#_x0000_t75" alt="057268427" style="position:absolute;left:0;text-align:left;margin-left:-10.15pt;margin-top:5.9pt;width:121.6pt;height:36.85pt;z-index:-251657728;visibility:visible;mso-position-horizontal-relative:text;mso-position-vertical-relative:text;mso-width-relative:margin;mso-height-relative:margin">
                  <v:imagedata r:id="rId36" o:title="057268427"/>
                </v:shape>
              </w:pict>
            </w:r>
          </w:p>
        </w:tc>
        <w:tc>
          <w:tcPr>
            <w:tcW w:w="1281" w:type="dxa"/>
            <w:shd w:val="clear" w:color="auto" w:fill="auto"/>
          </w:tcPr>
          <w:p w14:paraId="333A4554" w14:textId="77777777" w:rsidR="00A55EE9" w:rsidRPr="00A55EE9" w:rsidRDefault="00A55EE9" w:rsidP="00A55EE9">
            <w:pPr>
              <w:tabs>
                <w:tab w:val="left" w:pos="5426"/>
              </w:tabs>
              <w:jc w:val="right"/>
              <w:rPr>
                <w:rFonts w:ascii="David" w:eastAsia="David" w:hAnsi="David"/>
              </w:rPr>
            </w:pPr>
          </w:p>
        </w:tc>
        <w:tc>
          <w:tcPr>
            <w:tcW w:w="2270" w:type="dxa"/>
            <w:tcBorders>
              <w:top w:val="nil"/>
              <w:left w:val="nil"/>
              <w:bottom w:val="single" w:sz="4" w:space="0" w:color="auto"/>
              <w:right w:val="nil"/>
            </w:tcBorders>
            <w:shd w:val="clear" w:color="auto" w:fill="auto"/>
          </w:tcPr>
          <w:p w14:paraId="5D82693A" w14:textId="77777777" w:rsidR="00A55EE9" w:rsidRPr="00A55EE9" w:rsidRDefault="000B0891" w:rsidP="00A55EE9">
            <w:pPr>
              <w:tabs>
                <w:tab w:val="left" w:pos="5426"/>
              </w:tabs>
              <w:jc w:val="center"/>
              <w:rPr>
                <w:rFonts w:ascii="David" w:eastAsia="David" w:hAnsi="David"/>
              </w:rPr>
            </w:pPr>
            <w:r w:rsidRPr="000B0891">
              <w:rPr>
                <w:noProof/>
              </w:rPr>
              <w:pict w14:anchorId="1E2E78DA">
                <v:shape id="תמונה 8" o:spid="_x0000_s1026" type="#_x0000_t75" alt="גרשון גונטובניק" style="position:absolute;left:0;text-align:left;margin-left:7.05pt;margin-top:6.35pt;width:90.45pt;height:36.85pt;z-index:-251656704;visibility:visible;mso-position-horizontal-relative:text;mso-position-vertical-relative:text;mso-width-relative:margin;mso-height-relative:margin">
                  <v:imagedata r:id="rId33" o:title="גרשון גונטובניק"/>
                </v:shape>
              </w:pict>
            </w:r>
          </w:p>
          <w:p w14:paraId="6F0BBB5F" w14:textId="77777777" w:rsidR="00A55EE9" w:rsidRPr="00A55EE9" w:rsidRDefault="00A55EE9" w:rsidP="00A55EE9">
            <w:pPr>
              <w:tabs>
                <w:tab w:val="left" w:pos="5426"/>
              </w:tabs>
              <w:jc w:val="center"/>
              <w:rPr>
                <w:rFonts w:ascii="David" w:eastAsia="David" w:hAnsi="David"/>
                <w:rtl/>
              </w:rPr>
            </w:pPr>
          </w:p>
          <w:p w14:paraId="30201B88" w14:textId="77777777" w:rsidR="00A55EE9" w:rsidRPr="00A55EE9" w:rsidRDefault="00A55EE9" w:rsidP="00A55EE9">
            <w:pPr>
              <w:tabs>
                <w:tab w:val="left" w:pos="5426"/>
              </w:tabs>
              <w:jc w:val="center"/>
              <w:rPr>
                <w:rFonts w:ascii="David" w:eastAsia="David" w:hAnsi="David"/>
                <w:rtl/>
              </w:rPr>
            </w:pPr>
          </w:p>
        </w:tc>
      </w:tr>
      <w:tr w:rsidR="00A55EE9" w14:paraId="07D09404" w14:textId="77777777" w:rsidTr="00A55EE9">
        <w:trPr>
          <w:trHeight w:val="473"/>
          <w:jc w:val="center"/>
        </w:trPr>
        <w:tc>
          <w:tcPr>
            <w:tcW w:w="2400" w:type="dxa"/>
            <w:tcBorders>
              <w:top w:val="single" w:sz="4" w:space="0" w:color="auto"/>
              <w:left w:val="nil"/>
              <w:bottom w:val="nil"/>
              <w:right w:val="nil"/>
            </w:tcBorders>
            <w:shd w:val="clear" w:color="auto" w:fill="auto"/>
          </w:tcPr>
          <w:p w14:paraId="047F820C" w14:textId="77777777" w:rsidR="00A55EE9" w:rsidRPr="00A55EE9" w:rsidRDefault="00A55EE9" w:rsidP="00A55EE9">
            <w:pPr>
              <w:jc w:val="center"/>
              <w:rPr>
                <w:rFonts w:ascii="Courier New" w:eastAsia="David" w:hAnsi="Courier New"/>
                <w:b/>
                <w:bCs/>
                <w:rtl/>
              </w:rPr>
            </w:pPr>
            <w:r w:rsidRPr="00A55EE9">
              <w:rPr>
                <w:rFonts w:ascii="Courier New" w:eastAsia="David" w:hAnsi="Courier New" w:hint="cs"/>
                <w:b/>
                <w:bCs/>
                <w:rtl/>
              </w:rPr>
              <w:t>גלעד נויטל, שופט, אב"ד</w:t>
            </w:r>
          </w:p>
          <w:p w14:paraId="2AACCC45" w14:textId="77777777" w:rsidR="00A55EE9" w:rsidRPr="00A55EE9" w:rsidRDefault="00A55EE9" w:rsidP="00A55EE9">
            <w:pPr>
              <w:jc w:val="center"/>
              <w:rPr>
                <w:rFonts w:ascii="Courier New" w:eastAsia="David" w:hAnsi="Courier New"/>
                <w:b/>
                <w:bCs/>
                <w:rtl/>
              </w:rPr>
            </w:pPr>
            <w:r w:rsidRPr="00A55EE9">
              <w:rPr>
                <w:rFonts w:ascii="Courier New" w:eastAsia="David" w:hAnsi="Courier New" w:hint="cs"/>
                <w:b/>
                <w:bCs/>
                <w:rtl/>
              </w:rPr>
              <w:t xml:space="preserve">נשיא </w:t>
            </w:r>
          </w:p>
        </w:tc>
        <w:tc>
          <w:tcPr>
            <w:tcW w:w="1134" w:type="dxa"/>
            <w:shd w:val="clear" w:color="auto" w:fill="auto"/>
          </w:tcPr>
          <w:p w14:paraId="4225389A" w14:textId="77777777" w:rsidR="00A55EE9" w:rsidRPr="00A55EE9" w:rsidRDefault="00A55EE9" w:rsidP="00A55EE9">
            <w:pPr>
              <w:tabs>
                <w:tab w:val="left" w:pos="5426"/>
              </w:tabs>
              <w:jc w:val="right"/>
              <w:rPr>
                <w:rFonts w:ascii="Arial (W1)" w:eastAsia="David" w:hAnsi="Arial (W1)"/>
                <w:rtl/>
              </w:rPr>
            </w:pPr>
          </w:p>
        </w:tc>
        <w:tc>
          <w:tcPr>
            <w:tcW w:w="2268" w:type="dxa"/>
            <w:tcBorders>
              <w:top w:val="single" w:sz="4" w:space="0" w:color="auto"/>
              <w:left w:val="nil"/>
              <w:bottom w:val="nil"/>
              <w:right w:val="nil"/>
            </w:tcBorders>
            <w:shd w:val="clear" w:color="auto" w:fill="auto"/>
          </w:tcPr>
          <w:p w14:paraId="28F93501" w14:textId="77777777" w:rsidR="00A55EE9" w:rsidRPr="00A55EE9" w:rsidRDefault="00A55EE9" w:rsidP="00A55EE9">
            <w:pPr>
              <w:jc w:val="center"/>
              <w:rPr>
                <w:rFonts w:ascii="Courier New" w:eastAsia="David" w:hAnsi="Courier New"/>
                <w:b/>
                <w:bCs/>
                <w:rtl/>
              </w:rPr>
            </w:pPr>
            <w:r w:rsidRPr="00A55EE9">
              <w:rPr>
                <w:rFonts w:ascii="Courier New" w:eastAsia="David" w:hAnsi="Courier New" w:hint="cs"/>
                <w:b/>
                <w:bCs/>
                <w:rtl/>
              </w:rPr>
              <w:t>טלי חיימוביץ, שופטת</w:t>
            </w:r>
          </w:p>
        </w:tc>
        <w:tc>
          <w:tcPr>
            <w:tcW w:w="1281" w:type="dxa"/>
            <w:shd w:val="clear" w:color="auto" w:fill="auto"/>
          </w:tcPr>
          <w:p w14:paraId="7B731EA8" w14:textId="77777777" w:rsidR="00A55EE9" w:rsidRPr="00A55EE9" w:rsidRDefault="00A55EE9" w:rsidP="00A55EE9">
            <w:pPr>
              <w:tabs>
                <w:tab w:val="left" w:pos="5426"/>
              </w:tabs>
              <w:jc w:val="right"/>
              <w:rPr>
                <w:rFonts w:ascii="Arial (W1)" w:eastAsia="David" w:hAnsi="Arial (W1)"/>
                <w:rtl/>
              </w:rPr>
            </w:pPr>
          </w:p>
        </w:tc>
        <w:tc>
          <w:tcPr>
            <w:tcW w:w="2270" w:type="dxa"/>
            <w:tcBorders>
              <w:top w:val="single" w:sz="4" w:space="0" w:color="auto"/>
              <w:left w:val="nil"/>
              <w:bottom w:val="nil"/>
              <w:right w:val="nil"/>
            </w:tcBorders>
            <w:shd w:val="clear" w:color="auto" w:fill="auto"/>
          </w:tcPr>
          <w:p w14:paraId="0A6C152F" w14:textId="77777777" w:rsidR="00185623" w:rsidRDefault="00A55EE9" w:rsidP="00A55EE9">
            <w:pPr>
              <w:jc w:val="center"/>
              <w:rPr>
                <w:rFonts w:ascii="Courier New" w:eastAsia="David" w:hAnsi="Courier New"/>
                <w:b/>
                <w:bCs/>
                <w:rtl/>
              </w:rPr>
            </w:pPr>
            <w:r w:rsidRPr="00A55EE9">
              <w:rPr>
                <w:rFonts w:ascii="Courier New" w:eastAsia="David" w:hAnsi="Courier New" w:hint="cs"/>
                <w:b/>
                <w:bCs/>
                <w:rtl/>
              </w:rPr>
              <w:t xml:space="preserve">גרשון גונטובניק, שופט </w:t>
            </w:r>
          </w:p>
          <w:p w14:paraId="6F75732E" w14:textId="77777777" w:rsidR="00A55EE9" w:rsidRPr="00A55EE9" w:rsidRDefault="00A55EE9" w:rsidP="00A55EE9">
            <w:pPr>
              <w:jc w:val="center"/>
              <w:rPr>
                <w:rFonts w:ascii="Courier New" w:eastAsia="David" w:hAnsi="Courier New"/>
                <w:b/>
                <w:bCs/>
                <w:rtl/>
              </w:rPr>
            </w:pPr>
          </w:p>
        </w:tc>
      </w:tr>
    </w:tbl>
    <w:p w14:paraId="67CB0AEF" w14:textId="77777777" w:rsidR="00A55EE9" w:rsidRPr="00185623" w:rsidRDefault="00D25C91" w:rsidP="00A55EE9">
      <w:pPr>
        <w:rPr>
          <w:rFonts w:ascii="Arial" w:hAnsi="Arial"/>
          <w:color w:val="FFFFFF"/>
          <w:sz w:val="2"/>
          <w:szCs w:val="2"/>
          <w:rtl/>
        </w:rPr>
      </w:pPr>
      <w:r w:rsidRPr="00D25C91">
        <w:rPr>
          <w:rFonts w:ascii="Arial" w:hAnsi="Arial"/>
          <w:color w:val="FFFFFF"/>
          <w:sz w:val="2"/>
          <w:szCs w:val="2"/>
          <w:rtl/>
        </w:rPr>
        <w:t>5129371</w:t>
      </w:r>
      <w:r w:rsidR="00185623" w:rsidRPr="00185623">
        <w:rPr>
          <w:rFonts w:ascii="Arial" w:hAnsi="Arial"/>
          <w:color w:val="FFFFFF"/>
          <w:sz w:val="2"/>
          <w:szCs w:val="2"/>
          <w:rtl/>
        </w:rPr>
        <w:t>5129371</w:t>
      </w:r>
    </w:p>
    <w:p w14:paraId="736F567A" w14:textId="77777777" w:rsidR="00C17F94" w:rsidRPr="00185623" w:rsidRDefault="00D25C91" w:rsidP="00185623">
      <w:pPr>
        <w:keepNext/>
        <w:rPr>
          <w:rFonts w:ascii="David" w:hAnsi="David"/>
          <w:color w:val="000000"/>
          <w:sz w:val="22"/>
          <w:szCs w:val="22"/>
        </w:rPr>
      </w:pPr>
      <w:r w:rsidRPr="00D25C91">
        <w:rPr>
          <w:color w:val="FFFFFF"/>
          <w:sz w:val="2"/>
          <w:szCs w:val="2"/>
          <w:rtl/>
        </w:rPr>
        <w:t>54678313</w:t>
      </w:r>
      <w:r w:rsidR="00185623" w:rsidRPr="00185623">
        <w:rPr>
          <w:color w:val="FFFFFF"/>
          <w:sz w:val="2"/>
          <w:szCs w:val="2"/>
          <w:rtl/>
        </w:rPr>
        <w:t>54678313</w:t>
      </w:r>
    </w:p>
    <w:p w14:paraId="1155767E" w14:textId="77777777" w:rsidR="00185623" w:rsidRDefault="00185623" w:rsidP="00185623">
      <w:pPr>
        <w:rPr>
          <w:color w:val="FFFFFF"/>
          <w:sz w:val="2"/>
          <w:szCs w:val="2"/>
        </w:rPr>
      </w:pPr>
      <w:r w:rsidRPr="00185623">
        <w:rPr>
          <w:color w:val="000000"/>
          <w:sz w:val="2"/>
          <w:szCs w:val="2"/>
          <w:rtl/>
        </w:rPr>
        <w:t>נוסח מסמך זה כפוף לשינויי ניסוח ועריכה</w:t>
      </w:r>
    </w:p>
    <w:p w14:paraId="16AF701B" w14:textId="77777777" w:rsidR="00185623" w:rsidRDefault="00185623" w:rsidP="00185623">
      <w:pPr>
        <w:rPr>
          <w:color w:val="FFFFFF"/>
          <w:sz w:val="2"/>
          <w:szCs w:val="2"/>
          <w:rtl/>
        </w:rPr>
      </w:pPr>
    </w:p>
    <w:p w14:paraId="636C755A" w14:textId="77777777" w:rsidR="00185623" w:rsidRDefault="00185623" w:rsidP="00185623">
      <w:pPr>
        <w:jc w:val="center"/>
        <w:rPr>
          <w:color w:val="0000FF"/>
          <w:sz w:val="2"/>
          <w:u w:val="single"/>
        </w:rPr>
      </w:pPr>
      <w:hyperlink r:id="rId37" w:history="1">
        <w:r>
          <w:rPr>
            <w:color w:val="0000FF"/>
            <w:sz w:val="2"/>
            <w:u w:val="single"/>
            <w:rtl/>
          </w:rPr>
          <w:t>בעניין עריכה ושינויים במסמכי פסיקה, חקיקה ועוד באתר נבו – הקש כאן</w:t>
        </w:r>
      </w:hyperlink>
    </w:p>
    <w:p w14:paraId="52DEEAB7" w14:textId="77777777" w:rsidR="00D25C91" w:rsidRPr="00D25C91" w:rsidRDefault="00D25C91" w:rsidP="00D25C91">
      <w:pPr>
        <w:keepNext/>
        <w:rPr>
          <w:rFonts w:ascii="David" w:hAnsi="David"/>
          <w:color w:val="000000"/>
          <w:sz w:val="22"/>
          <w:szCs w:val="22"/>
          <w:rtl/>
        </w:rPr>
      </w:pPr>
    </w:p>
    <w:p w14:paraId="4CDF5355" w14:textId="77777777" w:rsidR="00D25C91" w:rsidRPr="00D25C91" w:rsidRDefault="00D25C91" w:rsidP="00D25C91">
      <w:pPr>
        <w:keepNext/>
        <w:rPr>
          <w:rFonts w:ascii="David" w:hAnsi="David"/>
          <w:color w:val="000000"/>
          <w:sz w:val="22"/>
          <w:szCs w:val="22"/>
          <w:rtl/>
        </w:rPr>
      </w:pPr>
      <w:r w:rsidRPr="00D25C91">
        <w:rPr>
          <w:rFonts w:ascii="David" w:hAnsi="David"/>
          <w:color w:val="000000"/>
          <w:sz w:val="22"/>
          <w:szCs w:val="22"/>
          <w:rtl/>
        </w:rPr>
        <w:t>גלעד נויטל 54678313-/</w:t>
      </w:r>
    </w:p>
    <w:p w14:paraId="2E8CD074" w14:textId="77777777" w:rsidR="00185623" w:rsidRPr="00185623" w:rsidRDefault="00D25C91" w:rsidP="00D25C91">
      <w:pPr>
        <w:rPr>
          <w:color w:val="0000FF"/>
          <w:sz w:val="2"/>
          <w:u w:val="single"/>
        </w:rPr>
      </w:pPr>
      <w:r w:rsidRPr="00D25C91">
        <w:rPr>
          <w:color w:val="000000"/>
          <w:sz w:val="2"/>
          <w:u w:val="single"/>
          <w:rtl/>
        </w:rPr>
        <w:t>נוסח מסמך זה כפוף לשינויי ניסוח ועריכה</w:t>
      </w:r>
    </w:p>
    <w:sectPr w:rsidR="00185623" w:rsidRPr="00185623" w:rsidSect="00D25C91">
      <w:headerReference w:type="even" r:id="rId38"/>
      <w:headerReference w:type="default" r:id="rId39"/>
      <w:footerReference w:type="even" r:id="rId40"/>
      <w:footerReference w:type="default" r:id="rId41"/>
      <w:pgSz w:w="11907" w:h="16840" w:code="9"/>
      <w:pgMar w:top="1701" w:right="1134" w:bottom="397" w:left="113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48643" w14:textId="77777777" w:rsidR="001F7D60" w:rsidRDefault="001F7D60" w:rsidP="000B0891">
      <w:r>
        <w:separator/>
      </w:r>
    </w:p>
  </w:endnote>
  <w:endnote w:type="continuationSeparator" w:id="0">
    <w:p w14:paraId="434D39A8" w14:textId="77777777" w:rsidR="001F7D60" w:rsidRDefault="001F7D60" w:rsidP="000B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B970" w14:textId="77777777" w:rsidR="00D25C91" w:rsidRDefault="00D25C91" w:rsidP="00D25C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D5FEDE" w14:textId="77777777" w:rsidR="00373631" w:rsidRPr="00D25C91" w:rsidRDefault="00D25C91" w:rsidP="00D25C91">
    <w:pPr>
      <w:pStyle w:val="a5"/>
      <w:pBdr>
        <w:top w:val="single" w:sz="4" w:space="1" w:color="auto"/>
        <w:between w:val="single" w:sz="4" w:space="0" w:color="auto"/>
      </w:pBdr>
      <w:spacing w:after="60"/>
      <w:jc w:val="center"/>
      <w:rPr>
        <w:rFonts w:ascii="FrankRuehl" w:hAnsi="FrankRuehl" w:cs="FrankRuehl"/>
        <w:color w:val="000000"/>
      </w:rPr>
    </w:pPr>
    <w:r w:rsidRPr="00D25C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99979" w14:textId="77777777" w:rsidR="00D25C91" w:rsidRDefault="00D25C91" w:rsidP="00D25C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6E00">
      <w:rPr>
        <w:rFonts w:ascii="FrankRuehl" w:hAnsi="FrankRuehl" w:cs="FrankRuehl"/>
        <w:noProof/>
        <w:rtl/>
      </w:rPr>
      <w:t>1</w:t>
    </w:r>
    <w:r>
      <w:rPr>
        <w:rFonts w:ascii="FrankRuehl" w:hAnsi="FrankRuehl" w:cs="FrankRuehl"/>
        <w:rtl/>
      </w:rPr>
      <w:fldChar w:fldCharType="end"/>
    </w:r>
  </w:p>
  <w:p w14:paraId="2B817AAF" w14:textId="77777777" w:rsidR="00373631" w:rsidRPr="00D25C91" w:rsidRDefault="00D25C91" w:rsidP="00D25C91">
    <w:pPr>
      <w:pStyle w:val="a5"/>
      <w:pBdr>
        <w:top w:val="single" w:sz="4" w:space="1" w:color="auto"/>
        <w:between w:val="single" w:sz="4" w:space="0" w:color="auto"/>
      </w:pBdr>
      <w:spacing w:after="60"/>
      <w:jc w:val="center"/>
      <w:rPr>
        <w:rFonts w:ascii="FrankRuehl" w:hAnsi="FrankRuehl" w:cs="FrankRuehl"/>
        <w:color w:val="000000"/>
      </w:rPr>
    </w:pPr>
    <w:r w:rsidRPr="00D25C91">
      <w:rPr>
        <w:rFonts w:ascii="FrankRuehl" w:hAnsi="FrankRuehl" w:cs="FrankRuehl"/>
        <w:color w:val="000000"/>
      </w:rPr>
      <w:pict w14:anchorId="0A441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73BA5" w14:textId="77777777" w:rsidR="001F7D60" w:rsidRDefault="001F7D60" w:rsidP="000B0891">
      <w:r>
        <w:separator/>
      </w:r>
    </w:p>
  </w:footnote>
  <w:footnote w:type="continuationSeparator" w:id="0">
    <w:p w14:paraId="62218665" w14:textId="77777777" w:rsidR="001F7D60" w:rsidRDefault="001F7D60" w:rsidP="000B0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9510C" w14:textId="77777777" w:rsidR="00185623" w:rsidRPr="00D25C91" w:rsidRDefault="00D25C91" w:rsidP="00D25C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66838-06-17</w:t>
    </w:r>
    <w:r>
      <w:rPr>
        <w:rFonts w:ascii="David" w:hAnsi="David"/>
        <w:color w:val="000000"/>
        <w:sz w:val="22"/>
        <w:szCs w:val="22"/>
        <w:rtl/>
      </w:rPr>
      <w:tab/>
      <w:t xml:space="preserve"> מדינת ישראל  נ' ישראל צבי קטון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A8B9" w14:textId="77777777" w:rsidR="00185623" w:rsidRPr="00D25C91" w:rsidRDefault="00D25C91" w:rsidP="00D25C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66838-06-17</w:t>
    </w:r>
    <w:r>
      <w:rPr>
        <w:rFonts w:ascii="David" w:hAnsi="David"/>
        <w:color w:val="000000"/>
        <w:sz w:val="22"/>
        <w:szCs w:val="22"/>
        <w:rtl/>
      </w:rPr>
      <w:tab/>
      <w:t xml:space="preserve"> מדינת ישראל  נ' ישראל צבי קטון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F1541"/>
    <w:multiLevelType w:val="hybridMultilevel"/>
    <w:tmpl w:val="C06EC7FE"/>
    <w:lvl w:ilvl="0" w:tplc="DECA8B34">
      <w:start w:val="1"/>
      <w:numFmt w:val="hebrew1"/>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 w15:restartNumberingAfterBreak="0">
    <w:nsid w:val="53355AF1"/>
    <w:multiLevelType w:val="hybridMultilevel"/>
    <w:tmpl w:val="EB7EFAEC"/>
    <w:lvl w:ilvl="0" w:tplc="BD8E992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64854"/>
    <w:multiLevelType w:val="hybridMultilevel"/>
    <w:tmpl w:val="4EFC8A1E"/>
    <w:lvl w:ilvl="0" w:tplc="A9220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776516">
    <w:abstractNumId w:val="1"/>
  </w:num>
  <w:num w:numId="2" w16cid:durableId="765224598">
    <w:abstractNumId w:val="0"/>
  </w:num>
  <w:num w:numId="3" w16cid:durableId="1376198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5EE9"/>
    <w:rsid w:val="00042D6E"/>
    <w:rsid w:val="000B0891"/>
    <w:rsid w:val="000B661E"/>
    <w:rsid w:val="00185623"/>
    <w:rsid w:val="001B5A3B"/>
    <w:rsid w:val="001F7D60"/>
    <w:rsid w:val="00286E00"/>
    <w:rsid w:val="002A2B5D"/>
    <w:rsid w:val="00373631"/>
    <w:rsid w:val="004167C0"/>
    <w:rsid w:val="008B30E7"/>
    <w:rsid w:val="00A06478"/>
    <w:rsid w:val="00A55EE9"/>
    <w:rsid w:val="00B60FC6"/>
    <w:rsid w:val="00C17F94"/>
    <w:rsid w:val="00D25C91"/>
    <w:rsid w:val="00E118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EC9F56"/>
  <w15:chartTrackingRefBased/>
  <w15:docId w15:val="{1E3E2C34-92DD-41A3-86BA-8EE908C4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5E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5EE9"/>
    <w:pPr>
      <w:tabs>
        <w:tab w:val="center" w:pos="4153"/>
        <w:tab w:val="right" w:pos="8306"/>
      </w:tabs>
    </w:pPr>
  </w:style>
  <w:style w:type="character" w:customStyle="1" w:styleId="a4">
    <w:name w:val="כותרת עליונה תו"/>
    <w:link w:val="a3"/>
    <w:rsid w:val="00A55EE9"/>
    <w:rPr>
      <w:rFonts w:ascii="Times New Roman" w:eastAsia="Times New Roman" w:hAnsi="Times New Roman" w:cs="David"/>
      <w:sz w:val="24"/>
      <w:szCs w:val="24"/>
    </w:rPr>
  </w:style>
  <w:style w:type="paragraph" w:styleId="a5">
    <w:name w:val="footer"/>
    <w:basedOn w:val="a"/>
    <w:link w:val="a6"/>
    <w:rsid w:val="00A55EE9"/>
    <w:pPr>
      <w:tabs>
        <w:tab w:val="center" w:pos="4153"/>
        <w:tab w:val="right" w:pos="8306"/>
      </w:tabs>
    </w:pPr>
  </w:style>
  <w:style w:type="character" w:customStyle="1" w:styleId="a6">
    <w:name w:val="כותרת תחתונה תו"/>
    <w:link w:val="a5"/>
    <w:rsid w:val="00A55EE9"/>
    <w:rPr>
      <w:rFonts w:ascii="Times New Roman" w:eastAsia="Times New Roman" w:hAnsi="Times New Roman" w:cs="David"/>
      <w:sz w:val="24"/>
      <w:szCs w:val="24"/>
    </w:rPr>
  </w:style>
  <w:style w:type="table" w:styleId="a7">
    <w:name w:val="Table Grid"/>
    <w:basedOn w:val="a1"/>
    <w:rsid w:val="00A55E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55EE9"/>
  </w:style>
  <w:style w:type="paragraph" w:styleId="a9">
    <w:name w:val="List Paragraph"/>
    <w:basedOn w:val="a"/>
    <w:qFormat/>
    <w:rsid w:val="00A55EE9"/>
    <w:pPr>
      <w:ind w:left="720"/>
      <w:contextualSpacing/>
    </w:pPr>
  </w:style>
  <w:style w:type="character" w:styleId="Hyperlink">
    <w:name w:val="Hyperlink"/>
    <w:rsid w:val="00185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01a.a.7" TargetMode="External"/><Relationship Id="rId18" Type="http://schemas.openxmlformats.org/officeDocument/2006/relationships/hyperlink" Target="http://www.nevo.co.il/law/70301/301a.a.7" TargetMode="External"/><Relationship Id="rId26" Type="http://schemas.openxmlformats.org/officeDocument/2006/relationships/hyperlink" Target="http://www.nevo.co.il/case/27305799" TargetMode="External"/><Relationship Id="rId39" Type="http://schemas.openxmlformats.org/officeDocument/2006/relationships/header" Target="header2.xml"/><Relationship Id="rId21" Type="http://schemas.openxmlformats.org/officeDocument/2006/relationships/hyperlink" Target="http://www.nevo.co.il/case/28883087" TargetMode="External"/><Relationship Id="rId34" Type="http://schemas.openxmlformats.org/officeDocument/2006/relationships/image" Target="media/image2.emf"/><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i.a.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4263578"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931111" TargetMode="External"/><Relationship Id="rId28" Type="http://schemas.openxmlformats.org/officeDocument/2006/relationships/hyperlink" Target="http://www.nevo.co.il/law/70301/40i.a.4" TargetMode="External"/><Relationship Id="rId36" Type="http://schemas.openxmlformats.org/officeDocument/2006/relationships/image" Target="media/image4.png"/><Relationship Id="rId10" Type="http://schemas.openxmlformats.org/officeDocument/2006/relationships/hyperlink" Target="http://www.nevo.co.il/law/70301/144.a" TargetMode="External"/><Relationship Id="rId19" Type="http://schemas.openxmlformats.org/officeDocument/2006/relationships/hyperlink" Target="http://www.nevo.co.il/law/70301/300.a.2" TargetMode="External"/><Relationship Id="rId31" Type="http://schemas.openxmlformats.org/officeDocument/2006/relationships/hyperlink" Target="http://www.nevo.co.il/law/70301/144.a" TargetMode="External"/><Relationship Id="rId4" Type="http://schemas.openxmlformats.org/officeDocument/2006/relationships/webSettings" Target="webSettings.xml"/><Relationship Id="rId9" Type="http://schemas.openxmlformats.org/officeDocument/2006/relationships/hyperlink" Target="http://www.nevo.co.il/law/70301/40i.a.4" TargetMode="External"/><Relationship Id="rId14" Type="http://schemas.openxmlformats.org/officeDocument/2006/relationships/hyperlink" Target="http://www.nevo.co.il/law/70301/300.a.2" TargetMode="External"/><Relationship Id="rId22" Type="http://schemas.openxmlformats.org/officeDocument/2006/relationships/hyperlink" Target="http://www.nevo.co.il/case/25824897" TargetMode="External"/><Relationship Id="rId27" Type="http://schemas.openxmlformats.org/officeDocument/2006/relationships/hyperlink" Target="http://www.nevo.co.il/case/26383419" TargetMode="External"/><Relationship Id="rId30" Type="http://schemas.openxmlformats.org/officeDocument/2006/relationships/hyperlink" Target="http://www.nevo.co.il/case/6031891" TargetMode="Externa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hyperlink" Target="http://www.nevo.co.il/law/70301/40i.a.1" TargetMode="External"/><Relationship Id="rId3" Type="http://schemas.openxmlformats.org/officeDocument/2006/relationships/settings" Target="settings.xml"/><Relationship Id="rId12" Type="http://schemas.openxmlformats.org/officeDocument/2006/relationships/hyperlink" Target="http://www.nevo.co.il/law/70301/300.a.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5612982" TargetMode="External"/><Relationship Id="rId33" Type="http://schemas.openxmlformats.org/officeDocument/2006/relationships/image" Target="media/image1.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2290</Words>
  <Characters>11455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13718</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3932284</vt:i4>
      </vt:variant>
      <vt:variant>
        <vt:i4>69</vt:i4>
      </vt:variant>
      <vt:variant>
        <vt:i4>0</vt:i4>
      </vt:variant>
      <vt:variant>
        <vt:i4>5</vt:i4>
      </vt:variant>
      <vt:variant>
        <vt:lpwstr>http://www.nevo.co.il/case/6031891</vt:lpwstr>
      </vt:variant>
      <vt:variant>
        <vt:lpwstr/>
      </vt:variant>
      <vt:variant>
        <vt:i4>6619241</vt:i4>
      </vt:variant>
      <vt:variant>
        <vt:i4>66</vt:i4>
      </vt:variant>
      <vt:variant>
        <vt:i4>0</vt:i4>
      </vt:variant>
      <vt:variant>
        <vt:i4>5</vt:i4>
      </vt:variant>
      <vt:variant>
        <vt:lpwstr>http://www.nevo.co.il/law/70301/40i.a.1</vt:lpwstr>
      </vt:variant>
      <vt:variant>
        <vt:lpwstr/>
      </vt:variant>
      <vt:variant>
        <vt:i4>6619241</vt:i4>
      </vt:variant>
      <vt:variant>
        <vt:i4>63</vt:i4>
      </vt:variant>
      <vt:variant>
        <vt:i4>0</vt:i4>
      </vt:variant>
      <vt:variant>
        <vt:i4>5</vt:i4>
      </vt:variant>
      <vt:variant>
        <vt:lpwstr>http://www.nevo.co.il/law/70301/40i.a.4</vt:lpwstr>
      </vt:variant>
      <vt:variant>
        <vt:lpwstr/>
      </vt:variant>
      <vt:variant>
        <vt:i4>3342462</vt:i4>
      </vt:variant>
      <vt:variant>
        <vt:i4>60</vt:i4>
      </vt:variant>
      <vt:variant>
        <vt:i4>0</vt:i4>
      </vt:variant>
      <vt:variant>
        <vt:i4>5</vt:i4>
      </vt:variant>
      <vt:variant>
        <vt:lpwstr>http://www.nevo.co.il/case/26383419</vt:lpwstr>
      </vt:variant>
      <vt:variant>
        <vt:lpwstr/>
      </vt:variant>
      <vt:variant>
        <vt:i4>3997812</vt:i4>
      </vt:variant>
      <vt:variant>
        <vt:i4>57</vt:i4>
      </vt:variant>
      <vt:variant>
        <vt:i4>0</vt:i4>
      </vt:variant>
      <vt:variant>
        <vt:i4>5</vt:i4>
      </vt:variant>
      <vt:variant>
        <vt:lpwstr>http://www.nevo.co.il/case/27305799</vt:lpwstr>
      </vt:variant>
      <vt:variant>
        <vt:lpwstr/>
      </vt:variant>
      <vt:variant>
        <vt:i4>4063353</vt:i4>
      </vt:variant>
      <vt:variant>
        <vt:i4>54</vt:i4>
      </vt:variant>
      <vt:variant>
        <vt:i4>0</vt:i4>
      </vt:variant>
      <vt:variant>
        <vt:i4>5</vt:i4>
      </vt:variant>
      <vt:variant>
        <vt:lpwstr>http://www.nevo.co.il/case/25612982</vt:lpwstr>
      </vt:variant>
      <vt:variant>
        <vt:lpwstr/>
      </vt:variant>
      <vt:variant>
        <vt:i4>3407987</vt:i4>
      </vt:variant>
      <vt:variant>
        <vt:i4>51</vt:i4>
      </vt:variant>
      <vt:variant>
        <vt:i4>0</vt:i4>
      </vt:variant>
      <vt:variant>
        <vt:i4>5</vt:i4>
      </vt:variant>
      <vt:variant>
        <vt:lpwstr>http://www.nevo.co.il/case/24263578</vt:lpwstr>
      </vt:variant>
      <vt:variant>
        <vt:lpwstr/>
      </vt:variant>
      <vt:variant>
        <vt:i4>3866736</vt:i4>
      </vt:variant>
      <vt:variant>
        <vt:i4>48</vt:i4>
      </vt:variant>
      <vt:variant>
        <vt:i4>0</vt:i4>
      </vt:variant>
      <vt:variant>
        <vt:i4>5</vt:i4>
      </vt:variant>
      <vt:variant>
        <vt:lpwstr>http://www.nevo.co.il/case/26931111</vt:lpwstr>
      </vt:variant>
      <vt:variant>
        <vt:lpwstr/>
      </vt:variant>
      <vt:variant>
        <vt:i4>3604603</vt:i4>
      </vt:variant>
      <vt:variant>
        <vt:i4>45</vt:i4>
      </vt:variant>
      <vt:variant>
        <vt:i4>0</vt:i4>
      </vt:variant>
      <vt:variant>
        <vt:i4>5</vt:i4>
      </vt:variant>
      <vt:variant>
        <vt:lpwstr>http://www.nevo.co.il/case/25824897</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6619191</vt:i4>
      </vt:variant>
      <vt:variant>
        <vt:i4>36</vt:i4>
      </vt:variant>
      <vt:variant>
        <vt:i4>0</vt:i4>
      </vt:variant>
      <vt:variant>
        <vt:i4>5</vt:i4>
      </vt:variant>
      <vt:variant>
        <vt:lpwstr>http://www.nevo.co.il/law/70301/300.a.2</vt:lpwstr>
      </vt:variant>
      <vt:variant>
        <vt:lpwstr/>
      </vt:variant>
      <vt:variant>
        <vt:i4>5374039</vt:i4>
      </vt:variant>
      <vt:variant>
        <vt:i4>33</vt:i4>
      </vt:variant>
      <vt:variant>
        <vt:i4>0</vt:i4>
      </vt:variant>
      <vt:variant>
        <vt:i4>5</vt:i4>
      </vt:variant>
      <vt:variant>
        <vt:lpwstr>http://www.nevo.co.il/law/70301/301a.a.7</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6619191</vt:i4>
      </vt:variant>
      <vt:variant>
        <vt:i4>21</vt:i4>
      </vt:variant>
      <vt:variant>
        <vt:i4>0</vt:i4>
      </vt:variant>
      <vt:variant>
        <vt:i4>5</vt:i4>
      </vt:variant>
      <vt:variant>
        <vt:lpwstr>http://www.nevo.co.il/law/70301/300.a.2</vt:lpwstr>
      </vt:variant>
      <vt:variant>
        <vt:lpwstr/>
      </vt:variant>
      <vt:variant>
        <vt:i4>5374039</vt:i4>
      </vt:variant>
      <vt:variant>
        <vt:i4>18</vt:i4>
      </vt:variant>
      <vt:variant>
        <vt:i4>0</vt:i4>
      </vt:variant>
      <vt:variant>
        <vt:i4>5</vt:i4>
      </vt:variant>
      <vt:variant>
        <vt:lpwstr>http://www.nevo.co.il/law/70301/301a.a.7</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6619241</vt:i4>
      </vt:variant>
      <vt:variant>
        <vt:i4>6</vt:i4>
      </vt:variant>
      <vt:variant>
        <vt:i4>0</vt:i4>
      </vt:variant>
      <vt:variant>
        <vt:i4>5</vt:i4>
      </vt:variant>
      <vt:variant>
        <vt:lpwstr>http://www.nevo.co.il/law/70301/40i.a.4</vt:lpwstr>
      </vt:variant>
      <vt:variant>
        <vt:lpwstr/>
      </vt:variant>
      <vt:variant>
        <vt:i4>6619241</vt:i4>
      </vt:variant>
      <vt:variant>
        <vt:i4>3</vt:i4>
      </vt:variant>
      <vt:variant>
        <vt:i4>0</vt:i4>
      </vt:variant>
      <vt:variant>
        <vt:i4>5</vt:i4>
      </vt:variant>
      <vt:variant>
        <vt:lpwstr>http://www.nevo.co.il/law/70301/40i.a.1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66838</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ישראל צבי קטון</vt:lpwstr>
  </property>
  <property fmtid="{D5CDD505-2E9C-101B-9397-08002B2CF9AE}" pid="10" name="LAWYER">
    <vt:lpwstr>אורן פז;שי נודל</vt:lpwstr>
  </property>
  <property fmtid="{D5CDD505-2E9C-101B-9397-08002B2CF9AE}" pid="11" name="JUDGE">
    <vt:lpwstr>גלעד נויטל;טלי חיימוביץ;גרשון גונטובניק</vt:lpwstr>
  </property>
  <property fmtid="{D5CDD505-2E9C-101B-9397-08002B2CF9AE}" pid="12" name="CITY">
    <vt:lpwstr>ת"א</vt:lpwstr>
  </property>
  <property fmtid="{D5CDD505-2E9C-101B-9397-08002B2CF9AE}" pid="13" name="DATE">
    <vt:lpwstr>20230913</vt:lpwstr>
  </property>
  <property fmtid="{D5CDD505-2E9C-101B-9397-08002B2CF9AE}" pid="14" name="TYPE_N_DATE">
    <vt:lpwstr>39020230913</vt:lpwstr>
  </property>
  <property fmtid="{D5CDD505-2E9C-101B-9397-08002B2CF9AE}" pid="15" name="WORDNUMPAGES">
    <vt:lpwstr>9</vt:lpwstr>
  </property>
  <property fmtid="{D5CDD505-2E9C-101B-9397-08002B2CF9AE}" pid="16" name="TYPE_ABS_DATE">
    <vt:lpwstr>390020230913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28883087;25824897;26931111;24263578;25612982;27305799;26383419;6031891</vt:lpwstr>
  </property>
  <property fmtid="{D5CDD505-2E9C-101B-9397-08002B2CF9AE}" pid="36" name="LAWLISTTMP1">
    <vt:lpwstr>70301/300.a.2:2;144.a:2;144.b:2;301a.a.7;040i.a.4;040i.a.1</vt:lpwstr>
  </property>
</Properties>
</file>