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E3D9B" w:rsidRPr="00F66D0A" w14:paraId="2ED8D9BB" w14:textId="77777777" w:rsidTr="007C3590">
        <w:trPr>
          <w:trHeight w:hRule="exact" w:val="418"/>
          <w:jc w:val="center"/>
        </w:trPr>
        <w:tc>
          <w:tcPr>
            <w:tcW w:w="8721" w:type="dxa"/>
            <w:gridSpan w:val="2"/>
          </w:tcPr>
          <w:p w14:paraId="16DCC75C" w14:textId="77777777" w:rsidR="006E3D9B" w:rsidRPr="00F66D0A" w:rsidRDefault="006E3D9B" w:rsidP="00693675">
            <w:pPr>
              <w:pStyle w:val="a3"/>
              <w:jc w:val="center"/>
              <w:rPr>
                <w:rFonts w:ascii="Tahoma" w:hAnsi="Tahoma" w:cs="Tahoma"/>
                <w:color w:val="000080"/>
                <w:rtl/>
              </w:rPr>
            </w:pPr>
            <w:r w:rsidRPr="00F66D0A">
              <w:rPr>
                <w:rFonts w:ascii="Tahoma" w:hAnsi="Tahoma" w:cs="Tahoma"/>
                <w:b/>
                <w:bCs/>
                <w:color w:val="000080"/>
                <w:rtl/>
              </w:rPr>
              <w:t>בית המשפט המחוזי בבאר שבע</w:t>
            </w:r>
          </w:p>
        </w:tc>
      </w:tr>
      <w:tr w:rsidR="006E3D9B" w:rsidRPr="00F66D0A" w14:paraId="4105454B" w14:textId="77777777" w:rsidTr="007C3590">
        <w:trPr>
          <w:trHeight w:val="337"/>
          <w:jc w:val="center"/>
        </w:trPr>
        <w:tc>
          <w:tcPr>
            <w:tcW w:w="5058" w:type="dxa"/>
          </w:tcPr>
          <w:p w14:paraId="5025B572" w14:textId="77777777" w:rsidR="006E3D9B" w:rsidRPr="00F66D0A" w:rsidRDefault="006E3D9B" w:rsidP="00693675">
            <w:pPr>
              <w:rPr>
                <w:rFonts w:cs="FrankRuehl"/>
                <w:sz w:val="28"/>
                <w:szCs w:val="28"/>
                <w:rtl/>
              </w:rPr>
            </w:pPr>
            <w:r w:rsidRPr="00F66D0A">
              <w:rPr>
                <w:rFonts w:cs="FrankRuehl"/>
                <w:sz w:val="28"/>
                <w:szCs w:val="28"/>
                <w:rtl/>
              </w:rPr>
              <w:t>ת"פ</w:t>
            </w:r>
            <w:r w:rsidRPr="00F66D0A">
              <w:rPr>
                <w:rFonts w:cs="FrankRuehl" w:hint="cs"/>
                <w:sz w:val="28"/>
                <w:szCs w:val="28"/>
                <w:rtl/>
              </w:rPr>
              <w:t xml:space="preserve"> </w:t>
            </w:r>
            <w:r w:rsidRPr="00F66D0A">
              <w:rPr>
                <w:rFonts w:cs="FrankRuehl"/>
                <w:sz w:val="28"/>
                <w:szCs w:val="28"/>
                <w:rtl/>
              </w:rPr>
              <w:t>53772-07-17</w:t>
            </w:r>
            <w:r w:rsidRPr="00F66D0A">
              <w:rPr>
                <w:rFonts w:cs="FrankRuehl" w:hint="cs"/>
                <w:sz w:val="28"/>
                <w:szCs w:val="28"/>
                <w:rtl/>
              </w:rPr>
              <w:t xml:space="preserve"> </w:t>
            </w:r>
            <w:r w:rsidRPr="00F66D0A">
              <w:rPr>
                <w:rFonts w:cs="FrankRuehl"/>
                <w:sz w:val="28"/>
                <w:szCs w:val="28"/>
                <w:rtl/>
              </w:rPr>
              <w:t>מדינת ישראל נ' מלכה(עציר)</w:t>
            </w:r>
          </w:p>
          <w:p w14:paraId="51AEC070" w14:textId="77777777" w:rsidR="006E3D9B" w:rsidRPr="00F66D0A" w:rsidRDefault="006E3D9B" w:rsidP="00693675">
            <w:pPr>
              <w:pStyle w:val="a3"/>
              <w:rPr>
                <w:rFonts w:cs="FrankRuehl"/>
                <w:sz w:val="28"/>
                <w:szCs w:val="28"/>
                <w:rtl/>
              </w:rPr>
            </w:pPr>
          </w:p>
        </w:tc>
        <w:tc>
          <w:tcPr>
            <w:tcW w:w="3663" w:type="dxa"/>
          </w:tcPr>
          <w:p w14:paraId="3819635A" w14:textId="77777777" w:rsidR="006E3D9B" w:rsidRPr="00F66D0A" w:rsidRDefault="006E3D9B" w:rsidP="00693675">
            <w:pPr>
              <w:pStyle w:val="a3"/>
              <w:jc w:val="right"/>
              <w:rPr>
                <w:rFonts w:cs="FrankRuehl"/>
                <w:sz w:val="28"/>
                <w:szCs w:val="28"/>
                <w:rtl/>
              </w:rPr>
            </w:pPr>
          </w:p>
        </w:tc>
      </w:tr>
    </w:tbl>
    <w:p w14:paraId="024020AC" w14:textId="77777777" w:rsidR="006E3D9B" w:rsidRPr="00F66D0A" w:rsidRDefault="006E3D9B" w:rsidP="006E3D9B">
      <w:pPr>
        <w:pStyle w:val="a3"/>
        <w:rPr>
          <w:rtl/>
        </w:rPr>
      </w:pPr>
      <w:r w:rsidRPr="00F66D0A">
        <w:rPr>
          <w:rFonts w:hint="cs"/>
          <w:rtl/>
        </w:rPr>
        <w:t xml:space="preserve"> </w:t>
      </w:r>
    </w:p>
    <w:p w14:paraId="71321277" w14:textId="77777777" w:rsidR="006E3D9B" w:rsidRPr="00F66D0A" w:rsidRDefault="006E3D9B" w:rsidP="006E3D9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898"/>
        <w:gridCol w:w="2719"/>
        <w:gridCol w:w="871"/>
      </w:tblGrid>
      <w:tr w:rsidR="00693675" w:rsidRPr="00F66D0A" w14:paraId="57D7F14B" w14:textId="77777777" w:rsidTr="006E3D9B">
        <w:trPr>
          <w:gridAfter w:val="1"/>
          <w:wAfter w:w="871" w:type="dxa"/>
          <w:trHeight w:val="295"/>
          <w:jc w:val="center"/>
        </w:trPr>
        <w:tc>
          <w:tcPr>
            <w:tcW w:w="7949" w:type="dxa"/>
            <w:gridSpan w:val="3"/>
            <w:tcBorders>
              <w:top w:val="nil"/>
              <w:left w:val="nil"/>
              <w:bottom w:val="nil"/>
              <w:right w:val="nil"/>
            </w:tcBorders>
            <w:shd w:val="clear" w:color="auto" w:fill="auto"/>
          </w:tcPr>
          <w:p w14:paraId="28FB50FA" w14:textId="77777777" w:rsidR="006E3D9B" w:rsidRPr="00F66D0A" w:rsidRDefault="006E3D9B" w:rsidP="00693675">
            <w:pPr>
              <w:rPr>
                <w:rFonts w:ascii="Arial" w:hAnsi="Arial"/>
                <w:b/>
                <w:bCs/>
                <w:sz w:val="26"/>
                <w:szCs w:val="26"/>
                <w:rtl/>
              </w:rPr>
            </w:pPr>
            <w:r w:rsidRPr="00F66D0A">
              <w:rPr>
                <w:rFonts w:ascii="Arial" w:hAnsi="Arial" w:hint="cs"/>
                <w:b/>
                <w:bCs/>
                <w:sz w:val="26"/>
                <w:szCs w:val="26"/>
                <w:rtl/>
              </w:rPr>
              <w:t>בפני כב' סגן הנשיאה, השופט אליהו ביתן</w:t>
            </w:r>
          </w:p>
          <w:p w14:paraId="4C5E4709" w14:textId="77777777" w:rsidR="006E3D9B" w:rsidRPr="00F66D0A" w:rsidRDefault="006E3D9B" w:rsidP="00693675">
            <w:pPr>
              <w:rPr>
                <w:rFonts w:ascii="Arial" w:hAnsi="Arial"/>
                <w:b/>
                <w:bCs/>
                <w:sz w:val="26"/>
                <w:szCs w:val="26"/>
              </w:rPr>
            </w:pPr>
          </w:p>
        </w:tc>
      </w:tr>
      <w:tr w:rsidR="00693675" w:rsidRPr="00F66D0A" w14:paraId="42F82B76" w14:textId="77777777" w:rsidTr="006E3D9B">
        <w:trPr>
          <w:trHeight w:val="355"/>
          <w:jc w:val="center"/>
        </w:trPr>
        <w:tc>
          <w:tcPr>
            <w:tcW w:w="1332" w:type="dxa"/>
            <w:tcBorders>
              <w:top w:val="nil"/>
              <w:left w:val="nil"/>
              <w:bottom w:val="nil"/>
              <w:right w:val="nil"/>
            </w:tcBorders>
            <w:shd w:val="clear" w:color="auto" w:fill="auto"/>
          </w:tcPr>
          <w:p w14:paraId="1250BFF6" w14:textId="77777777" w:rsidR="006E3D9B" w:rsidRPr="00F66D0A" w:rsidRDefault="006E3D9B" w:rsidP="006E3D9B">
            <w:pPr>
              <w:jc w:val="both"/>
              <w:rPr>
                <w:rFonts w:ascii="Arial" w:hAnsi="Arial"/>
                <w:b/>
                <w:bCs/>
                <w:sz w:val="26"/>
                <w:szCs w:val="26"/>
              </w:rPr>
            </w:pPr>
            <w:bookmarkStart w:id="0" w:name="LastJudge"/>
            <w:bookmarkEnd w:id="0"/>
            <w:r w:rsidRPr="00F66D0A">
              <w:rPr>
                <w:rFonts w:ascii="Arial" w:hAnsi="Arial" w:hint="cs"/>
                <w:b/>
                <w:bCs/>
                <w:sz w:val="26"/>
                <w:szCs w:val="26"/>
                <w:rtl/>
              </w:rPr>
              <w:t>בעניין:</w:t>
            </w:r>
          </w:p>
        </w:tc>
        <w:tc>
          <w:tcPr>
            <w:tcW w:w="3898" w:type="dxa"/>
            <w:tcBorders>
              <w:top w:val="nil"/>
              <w:left w:val="nil"/>
              <w:bottom w:val="nil"/>
              <w:right w:val="nil"/>
            </w:tcBorders>
            <w:shd w:val="clear" w:color="auto" w:fill="auto"/>
          </w:tcPr>
          <w:p w14:paraId="3EE1018E" w14:textId="77777777" w:rsidR="006E3D9B" w:rsidRPr="00F66D0A" w:rsidRDefault="006E3D9B" w:rsidP="00693675">
            <w:pPr>
              <w:rPr>
                <w:rFonts w:ascii="Arial" w:hAnsi="Arial"/>
                <w:b/>
                <w:bCs/>
                <w:sz w:val="26"/>
                <w:szCs w:val="26"/>
              </w:rPr>
            </w:pPr>
            <w:r w:rsidRPr="00F66D0A">
              <w:rPr>
                <w:rFonts w:ascii="Arial" w:hAnsi="Arial"/>
                <w:b/>
                <w:bCs/>
                <w:sz w:val="26"/>
                <w:szCs w:val="26"/>
                <w:rtl/>
              </w:rPr>
              <w:t xml:space="preserve">     </w:t>
            </w:r>
          </w:p>
        </w:tc>
        <w:tc>
          <w:tcPr>
            <w:tcW w:w="3590" w:type="dxa"/>
            <w:gridSpan w:val="2"/>
            <w:tcBorders>
              <w:top w:val="nil"/>
              <w:left w:val="nil"/>
              <w:bottom w:val="nil"/>
              <w:right w:val="nil"/>
            </w:tcBorders>
            <w:shd w:val="clear" w:color="auto" w:fill="auto"/>
          </w:tcPr>
          <w:p w14:paraId="59057F79" w14:textId="77777777" w:rsidR="006E3D9B" w:rsidRPr="00F66D0A" w:rsidRDefault="006E3D9B" w:rsidP="006E3D9B">
            <w:pPr>
              <w:jc w:val="both"/>
              <w:rPr>
                <w:rFonts w:ascii="Arial" w:hAnsi="Arial"/>
                <w:b/>
                <w:bCs/>
                <w:sz w:val="26"/>
                <w:szCs w:val="26"/>
              </w:rPr>
            </w:pPr>
          </w:p>
        </w:tc>
      </w:tr>
      <w:tr w:rsidR="00693675" w:rsidRPr="00F66D0A" w14:paraId="60F7B49A" w14:textId="77777777" w:rsidTr="006E3D9B">
        <w:trPr>
          <w:trHeight w:val="355"/>
          <w:jc w:val="center"/>
        </w:trPr>
        <w:tc>
          <w:tcPr>
            <w:tcW w:w="1332" w:type="dxa"/>
            <w:tcBorders>
              <w:top w:val="nil"/>
              <w:left w:val="nil"/>
              <w:bottom w:val="nil"/>
              <w:right w:val="nil"/>
            </w:tcBorders>
            <w:shd w:val="clear" w:color="auto" w:fill="auto"/>
          </w:tcPr>
          <w:p w14:paraId="45A813ED" w14:textId="77777777" w:rsidR="006E3D9B" w:rsidRPr="00F66D0A" w:rsidRDefault="006E3D9B" w:rsidP="006E3D9B">
            <w:pPr>
              <w:jc w:val="both"/>
              <w:rPr>
                <w:rFonts w:ascii="Arial" w:hAnsi="Arial"/>
                <w:b/>
                <w:bCs/>
                <w:sz w:val="26"/>
                <w:szCs w:val="26"/>
                <w:rtl/>
              </w:rPr>
            </w:pPr>
            <w:bookmarkStart w:id="1" w:name="FirstAppellant"/>
            <w:r w:rsidRPr="00F66D0A">
              <w:rPr>
                <w:rFonts w:ascii="Arial" w:hAnsi="Arial" w:hint="cs"/>
                <w:b/>
                <w:bCs/>
                <w:sz w:val="26"/>
                <w:szCs w:val="26"/>
                <w:rtl/>
              </w:rPr>
              <w:t>המאשימה:</w:t>
            </w:r>
          </w:p>
        </w:tc>
        <w:tc>
          <w:tcPr>
            <w:tcW w:w="3898" w:type="dxa"/>
            <w:tcBorders>
              <w:top w:val="nil"/>
              <w:left w:val="nil"/>
              <w:bottom w:val="nil"/>
              <w:right w:val="nil"/>
            </w:tcBorders>
            <w:shd w:val="clear" w:color="auto" w:fill="auto"/>
          </w:tcPr>
          <w:p w14:paraId="5C113E91" w14:textId="77777777" w:rsidR="006E3D9B" w:rsidRPr="00F66D0A" w:rsidRDefault="006E3D9B" w:rsidP="006E3D9B">
            <w:pPr>
              <w:jc w:val="both"/>
              <w:rPr>
                <w:rFonts w:ascii="Arial" w:hAnsi="Arial"/>
                <w:b/>
                <w:bCs/>
                <w:sz w:val="26"/>
                <w:szCs w:val="26"/>
                <w:rtl/>
              </w:rPr>
            </w:pPr>
            <w:r w:rsidRPr="00F66D0A">
              <w:rPr>
                <w:rFonts w:ascii="Arial" w:hAnsi="Arial" w:hint="cs"/>
                <w:b/>
                <w:bCs/>
                <w:sz w:val="26"/>
                <w:szCs w:val="26"/>
                <w:rtl/>
              </w:rPr>
              <w:t xml:space="preserve">מדינת ישראל </w:t>
            </w:r>
          </w:p>
        </w:tc>
        <w:tc>
          <w:tcPr>
            <w:tcW w:w="3590" w:type="dxa"/>
            <w:gridSpan w:val="2"/>
            <w:tcBorders>
              <w:top w:val="nil"/>
              <w:left w:val="nil"/>
              <w:bottom w:val="nil"/>
              <w:right w:val="nil"/>
            </w:tcBorders>
            <w:shd w:val="clear" w:color="auto" w:fill="auto"/>
          </w:tcPr>
          <w:p w14:paraId="1C9A27DB" w14:textId="77777777" w:rsidR="006E3D9B" w:rsidRPr="00F66D0A" w:rsidRDefault="006E3D9B" w:rsidP="006E3D9B">
            <w:pPr>
              <w:jc w:val="right"/>
              <w:rPr>
                <w:rFonts w:ascii="Arial" w:hAnsi="Arial"/>
                <w:b/>
                <w:bCs/>
                <w:sz w:val="26"/>
                <w:szCs w:val="26"/>
                <w:rtl/>
              </w:rPr>
            </w:pPr>
          </w:p>
        </w:tc>
      </w:tr>
      <w:bookmarkEnd w:id="1"/>
      <w:tr w:rsidR="00693675" w:rsidRPr="00F66D0A" w14:paraId="0924D026" w14:textId="77777777" w:rsidTr="006E3D9B">
        <w:trPr>
          <w:trHeight w:val="355"/>
          <w:jc w:val="center"/>
        </w:trPr>
        <w:tc>
          <w:tcPr>
            <w:tcW w:w="1332" w:type="dxa"/>
            <w:tcBorders>
              <w:top w:val="nil"/>
              <w:left w:val="nil"/>
              <w:bottom w:val="nil"/>
              <w:right w:val="nil"/>
            </w:tcBorders>
            <w:shd w:val="clear" w:color="auto" w:fill="auto"/>
          </w:tcPr>
          <w:p w14:paraId="19D8730E" w14:textId="77777777" w:rsidR="006E3D9B" w:rsidRPr="00F66D0A" w:rsidRDefault="006E3D9B" w:rsidP="006E3D9B">
            <w:pPr>
              <w:jc w:val="both"/>
              <w:rPr>
                <w:rFonts w:ascii="Arial" w:hAnsi="Arial"/>
                <w:b/>
                <w:bCs/>
                <w:sz w:val="26"/>
                <w:szCs w:val="26"/>
                <w:rtl/>
              </w:rPr>
            </w:pPr>
          </w:p>
        </w:tc>
        <w:tc>
          <w:tcPr>
            <w:tcW w:w="7488" w:type="dxa"/>
            <w:gridSpan w:val="3"/>
            <w:tcBorders>
              <w:top w:val="nil"/>
              <w:left w:val="nil"/>
              <w:bottom w:val="nil"/>
              <w:right w:val="nil"/>
            </w:tcBorders>
            <w:shd w:val="clear" w:color="auto" w:fill="auto"/>
          </w:tcPr>
          <w:p w14:paraId="1FC2A446" w14:textId="77777777" w:rsidR="006E3D9B" w:rsidRPr="00F66D0A" w:rsidRDefault="006E3D9B" w:rsidP="006E3D9B">
            <w:pPr>
              <w:jc w:val="center"/>
              <w:rPr>
                <w:rFonts w:ascii="Arial" w:hAnsi="Arial"/>
                <w:b/>
                <w:bCs/>
                <w:sz w:val="26"/>
                <w:szCs w:val="26"/>
              </w:rPr>
            </w:pPr>
            <w:r w:rsidRPr="00F66D0A">
              <w:rPr>
                <w:rFonts w:ascii="Arial" w:hAnsi="Arial"/>
                <w:b/>
                <w:bCs/>
                <w:sz w:val="30"/>
                <w:szCs w:val="30"/>
                <w:rtl/>
              </w:rPr>
              <w:t>נגד</w:t>
            </w:r>
          </w:p>
        </w:tc>
      </w:tr>
      <w:tr w:rsidR="00693675" w:rsidRPr="00F66D0A" w14:paraId="15D09975" w14:textId="77777777" w:rsidTr="006E3D9B">
        <w:trPr>
          <w:trHeight w:val="355"/>
          <w:jc w:val="center"/>
        </w:trPr>
        <w:tc>
          <w:tcPr>
            <w:tcW w:w="1332" w:type="dxa"/>
            <w:tcBorders>
              <w:top w:val="nil"/>
              <w:left w:val="nil"/>
              <w:bottom w:val="nil"/>
              <w:right w:val="nil"/>
            </w:tcBorders>
            <w:shd w:val="clear" w:color="auto" w:fill="auto"/>
          </w:tcPr>
          <w:p w14:paraId="6451F68D" w14:textId="77777777" w:rsidR="006E3D9B" w:rsidRPr="00F66D0A" w:rsidRDefault="006E3D9B" w:rsidP="00693675">
            <w:pPr>
              <w:rPr>
                <w:rFonts w:ascii="Arial" w:hAnsi="Arial"/>
                <w:b/>
                <w:bCs/>
                <w:sz w:val="26"/>
                <w:szCs w:val="26"/>
                <w:rtl/>
              </w:rPr>
            </w:pPr>
            <w:r w:rsidRPr="00F66D0A">
              <w:rPr>
                <w:rFonts w:ascii="Arial" w:hAnsi="Arial" w:hint="cs"/>
                <w:b/>
                <w:bCs/>
                <w:sz w:val="26"/>
                <w:szCs w:val="26"/>
                <w:rtl/>
              </w:rPr>
              <w:t>הנאשם:</w:t>
            </w:r>
          </w:p>
        </w:tc>
        <w:tc>
          <w:tcPr>
            <w:tcW w:w="3898" w:type="dxa"/>
            <w:tcBorders>
              <w:top w:val="nil"/>
              <w:left w:val="nil"/>
              <w:bottom w:val="nil"/>
              <w:right w:val="nil"/>
            </w:tcBorders>
            <w:shd w:val="clear" w:color="auto" w:fill="auto"/>
          </w:tcPr>
          <w:p w14:paraId="376C7AA1" w14:textId="77777777" w:rsidR="006E3D9B" w:rsidRPr="00F66D0A" w:rsidRDefault="006E3D9B" w:rsidP="00693675">
            <w:pPr>
              <w:rPr>
                <w:rFonts w:ascii="Arial" w:hAnsi="Arial"/>
                <w:b/>
                <w:bCs/>
                <w:sz w:val="26"/>
                <w:szCs w:val="26"/>
                <w:rtl/>
              </w:rPr>
            </w:pPr>
            <w:r w:rsidRPr="00F66D0A">
              <w:rPr>
                <w:rFonts w:ascii="Arial" w:hAnsi="Arial"/>
                <w:b/>
                <w:bCs/>
                <w:sz w:val="26"/>
                <w:szCs w:val="26"/>
                <w:rtl/>
              </w:rPr>
              <w:t>רועי מלכה (עציר)</w:t>
            </w:r>
          </w:p>
        </w:tc>
        <w:tc>
          <w:tcPr>
            <w:tcW w:w="3590" w:type="dxa"/>
            <w:gridSpan w:val="2"/>
            <w:tcBorders>
              <w:top w:val="nil"/>
              <w:left w:val="nil"/>
              <w:bottom w:val="nil"/>
              <w:right w:val="nil"/>
            </w:tcBorders>
            <w:shd w:val="clear" w:color="auto" w:fill="auto"/>
          </w:tcPr>
          <w:p w14:paraId="57A9528C" w14:textId="77777777" w:rsidR="006E3D9B" w:rsidRPr="00F66D0A" w:rsidRDefault="006E3D9B" w:rsidP="006E3D9B">
            <w:pPr>
              <w:jc w:val="right"/>
              <w:rPr>
                <w:rFonts w:ascii="Arial" w:hAnsi="Arial"/>
                <w:b/>
                <w:bCs/>
                <w:sz w:val="26"/>
                <w:szCs w:val="26"/>
              </w:rPr>
            </w:pPr>
          </w:p>
        </w:tc>
      </w:tr>
    </w:tbl>
    <w:p w14:paraId="7E9BD3C0" w14:textId="77777777" w:rsidR="007C3590" w:rsidRDefault="007C3590" w:rsidP="006E3D9B">
      <w:pPr>
        <w:rPr>
          <w:rFonts w:ascii="Arial" w:hAnsi="Arial"/>
          <w:sz w:val="26"/>
          <w:szCs w:val="26"/>
          <w:rtl/>
        </w:rPr>
      </w:pPr>
      <w:bookmarkStart w:id="2" w:name="LawTable"/>
      <w:bookmarkEnd w:id="2"/>
    </w:p>
    <w:p w14:paraId="3B175A12" w14:textId="77777777" w:rsidR="007C3590" w:rsidRPr="007C3590" w:rsidRDefault="007C3590" w:rsidP="007C3590">
      <w:pPr>
        <w:spacing w:after="120" w:line="240" w:lineRule="exact"/>
        <w:ind w:left="283" w:hanging="283"/>
        <w:jc w:val="both"/>
        <w:rPr>
          <w:rFonts w:ascii="FrankRuehl" w:hAnsi="FrankRuehl" w:cs="FrankRuehl"/>
          <w:rtl/>
        </w:rPr>
      </w:pPr>
    </w:p>
    <w:p w14:paraId="09E73EFB" w14:textId="77777777" w:rsidR="007C3590" w:rsidRPr="007C3590" w:rsidRDefault="007C3590" w:rsidP="007C3590">
      <w:pPr>
        <w:spacing w:after="120" w:line="240" w:lineRule="exact"/>
        <w:ind w:left="283" w:hanging="283"/>
        <w:jc w:val="both"/>
        <w:rPr>
          <w:rFonts w:ascii="FrankRuehl" w:hAnsi="FrankRuehl" w:cs="FrankRuehl"/>
          <w:rtl/>
        </w:rPr>
      </w:pPr>
      <w:r w:rsidRPr="007C3590">
        <w:rPr>
          <w:rFonts w:ascii="FrankRuehl" w:hAnsi="FrankRuehl" w:cs="FrankRuehl"/>
          <w:rtl/>
        </w:rPr>
        <w:t xml:space="preserve">חקיקה שאוזכרה: </w:t>
      </w:r>
    </w:p>
    <w:p w14:paraId="0767DFE1" w14:textId="77777777" w:rsidR="007C3590" w:rsidRPr="007C3590" w:rsidRDefault="007C3590" w:rsidP="007C3590">
      <w:pPr>
        <w:spacing w:after="120" w:line="240" w:lineRule="exact"/>
        <w:ind w:left="283" w:hanging="283"/>
        <w:jc w:val="both"/>
        <w:rPr>
          <w:rFonts w:ascii="FrankRuehl" w:hAnsi="FrankRuehl" w:cs="FrankRuehl"/>
          <w:rtl/>
        </w:rPr>
      </w:pPr>
      <w:hyperlink r:id="rId7" w:history="1">
        <w:r w:rsidRPr="007C3590">
          <w:rPr>
            <w:rFonts w:ascii="FrankRuehl" w:hAnsi="FrankRuehl" w:cs="FrankRuehl"/>
            <w:color w:val="0000FF"/>
            <w:u w:val="single"/>
            <w:rtl/>
          </w:rPr>
          <w:t>חוק העונשין, תשל"ז-1977</w:t>
        </w:r>
      </w:hyperlink>
      <w:r w:rsidRPr="007C3590">
        <w:rPr>
          <w:rFonts w:ascii="FrankRuehl" w:hAnsi="FrankRuehl" w:cs="FrankRuehl"/>
          <w:rtl/>
        </w:rPr>
        <w:t xml:space="preserve">: סע'  </w:t>
      </w:r>
      <w:hyperlink r:id="rId8" w:history="1">
        <w:r w:rsidRPr="007C3590">
          <w:rPr>
            <w:rFonts w:ascii="FrankRuehl" w:hAnsi="FrankRuehl" w:cs="FrankRuehl"/>
            <w:color w:val="0000FF"/>
            <w:u w:val="single"/>
            <w:rtl/>
          </w:rPr>
          <w:t>144(א)</w:t>
        </w:r>
      </w:hyperlink>
    </w:p>
    <w:p w14:paraId="37047329" w14:textId="77777777" w:rsidR="006E3D9B" w:rsidRPr="00F66D0A" w:rsidRDefault="006E3D9B" w:rsidP="006E3D9B">
      <w:pPr>
        <w:rPr>
          <w:rFonts w:ascii="Arial" w:hAnsi="Arial" w:hint="cs"/>
          <w:b/>
          <w:bCs/>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93675" w:rsidRPr="004C04B9" w14:paraId="2460080F" w14:textId="77777777" w:rsidTr="006E3D9B">
        <w:trPr>
          <w:trHeight w:val="355"/>
          <w:jc w:val="center"/>
        </w:trPr>
        <w:tc>
          <w:tcPr>
            <w:tcW w:w="8820" w:type="dxa"/>
            <w:tcBorders>
              <w:top w:val="nil"/>
              <w:left w:val="nil"/>
              <w:bottom w:val="nil"/>
              <w:right w:val="nil"/>
            </w:tcBorders>
            <w:shd w:val="clear" w:color="auto" w:fill="auto"/>
          </w:tcPr>
          <w:p w14:paraId="40C2BD1E" w14:textId="77777777" w:rsidR="00F66D0A" w:rsidRPr="00F66D0A" w:rsidRDefault="00F66D0A" w:rsidP="00F66D0A">
            <w:pPr>
              <w:jc w:val="center"/>
              <w:rPr>
                <w:rFonts w:ascii="Arial" w:hAnsi="Arial"/>
                <w:b/>
                <w:bCs/>
                <w:sz w:val="30"/>
                <w:szCs w:val="30"/>
                <w:u w:val="single"/>
                <w:rtl/>
              </w:rPr>
            </w:pPr>
            <w:bookmarkStart w:id="4" w:name="PsakDin" w:colFirst="0" w:colLast="0"/>
            <w:r w:rsidRPr="00F66D0A">
              <w:rPr>
                <w:rFonts w:ascii="Arial" w:hAnsi="Arial"/>
                <w:b/>
                <w:bCs/>
                <w:sz w:val="30"/>
                <w:szCs w:val="30"/>
                <w:u w:val="single"/>
                <w:rtl/>
              </w:rPr>
              <w:t>גזר דין</w:t>
            </w:r>
          </w:p>
          <w:p w14:paraId="09DDFDD8" w14:textId="77777777" w:rsidR="006E3D9B" w:rsidRPr="00F66D0A" w:rsidRDefault="006E3D9B" w:rsidP="00F66D0A">
            <w:pPr>
              <w:jc w:val="center"/>
              <w:rPr>
                <w:rFonts w:ascii="Arial" w:hAnsi="Arial"/>
                <w:b/>
                <w:bCs/>
                <w:sz w:val="26"/>
                <w:szCs w:val="26"/>
                <w:u w:val="single"/>
                <w:rtl/>
              </w:rPr>
            </w:pPr>
          </w:p>
        </w:tc>
      </w:tr>
      <w:bookmarkEnd w:id="4"/>
    </w:tbl>
    <w:p w14:paraId="1321F0F5" w14:textId="77777777" w:rsidR="006E3D9B" w:rsidRPr="00B05847" w:rsidRDefault="006E3D9B" w:rsidP="006E3D9B">
      <w:pPr>
        <w:rPr>
          <w:rFonts w:ascii="Arial" w:hAnsi="Arial"/>
          <w:rtl/>
        </w:rPr>
      </w:pPr>
    </w:p>
    <w:p w14:paraId="1825A1C0" w14:textId="77777777" w:rsidR="006E3D9B" w:rsidRPr="00B05847" w:rsidRDefault="006E3D9B" w:rsidP="006E3D9B">
      <w:pPr>
        <w:rPr>
          <w:rFonts w:ascii="Arial" w:hAnsi="Arial"/>
          <w:rtl/>
        </w:rPr>
      </w:pPr>
    </w:p>
    <w:p w14:paraId="76BB05CF" w14:textId="77777777" w:rsidR="006E3D9B" w:rsidRDefault="006E3D9B" w:rsidP="006E3D9B">
      <w:pPr>
        <w:spacing w:line="360" w:lineRule="auto"/>
        <w:ind w:left="720" w:hanging="720"/>
        <w:jc w:val="both"/>
        <w:rPr>
          <w:rtl/>
        </w:rPr>
      </w:pPr>
      <w:r>
        <w:rPr>
          <w:rFonts w:hint="cs"/>
          <w:rtl/>
        </w:rPr>
        <w:t>1.</w:t>
      </w:r>
      <w:r>
        <w:rPr>
          <w:rFonts w:hint="cs"/>
          <w:rtl/>
        </w:rPr>
        <w:tab/>
      </w:r>
      <w:bookmarkStart w:id="5" w:name="ABSTRACT_START"/>
      <w:bookmarkEnd w:id="5"/>
      <w:r>
        <w:rPr>
          <w:rFonts w:hint="cs"/>
          <w:rtl/>
        </w:rPr>
        <w:t>בטרם שמיעת הראיות, הגיעו הצדדים להסדר טיעון במסגרתו כתב האישום המקורי שהוגש נגד הנאשם תוקן והנאשם הודה בעובדות כתב האישום המתוקן, שאלה עיקריהן:</w:t>
      </w:r>
    </w:p>
    <w:p w14:paraId="7FDAC5D7" w14:textId="77777777" w:rsidR="006E3D9B" w:rsidRDefault="006E3D9B" w:rsidP="006E3D9B">
      <w:pPr>
        <w:spacing w:line="360" w:lineRule="auto"/>
        <w:ind w:left="720" w:hanging="720"/>
        <w:jc w:val="both"/>
        <w:rPr>
          <w:rtl/>
        </w:rPr>
      </w:pPr>
      <w:r>
        <w:rPr>
          <w:rFonts w:hint="cs"/>
          <w:rtl/>
        </w:rPr>
        <w:tab/>
        <w:t xml:space="preserve">ביום 13.07.17 בסמוך לשעה 13:30 החזיק הנאשם ברכב מסוג "ב.מ.וו" מ.ר. 5596716 (להלן: "הרכב") את הפריטים הבאים- </w:t>
      </w:r>
    </w:p>
    <w:p w14:paraId="06E4BBD3" w14:textId="77777777" w:rsidR="006E3D9B" w:rsidRDefault="006E3D9B" w:rsidP="006E3D9B">
      <w:pPr>
        <w:spacing w:line="360" w:lineRule="auto"/>
        <w:ind w:left="720" w:hanging="720"/>
        <w:jc w:val="both"/>
        <w:rPr>
          <w:rtl/>
        </w:rPr>
      </w:pPr>
    </w:p>
    <w:p w14:paraId="100644BA" w14:textId="77777777" w:rsidR="006E3D9B" w:rsidRDefault="006E3D9B" w:rsidP="006E3D9B">
      <w:pPr>
        <w:spacing w:line="360" w:lineRule="auto"/>
        <w:ind w:left="1440" w:hanging="720"/>
        <w:jc w:val="both"/>
        <w:rPr>
          <w:rtl/>
        </w:rPr>
      </w:pPr>
      <w:r>
        <w:rPr>
          <w:rFonts w:hint="cs"/>
          <w:rtl/>
        </w:rPr>
        <w:t>א.</w:t>
      </w:r>
      <w:r>
        <w:rPr>
          <w:rFonts w:hint="cs"/>
          <w:rtl/>
        </w:rPr>
        <w:tab/>
        <w:t xml:space="preserve">בתא נסתר תחת ההגה- אקדח חצי אוטומטי סמית אנד ווסון תוצרת ארה"ב, קליבר 9 מ"מ פאראבלום מס' סידורי </w:t>
      </w:r>
      <w:r>
        <w:t>A273500</w:t>
      </w:r>
      <w:r>
        <w:rPr>
          <w:rFonts w:hint="cs"/>
          <w:rtl/>
        </w:rPr>
        <w:t>, שבכוחו להמית אדם, ובו מחסנית תואמת טעונה בשמונה כדורים.</w:t>
      </w:r>
    </w:p>
    <w:p w14:paraId="5B875A73" w14:textId="77777777" w:rsidR="006E3D9B" w:rsidRDefault="006E3D9B" w:rsidP="006E3D9B">
      <w:pPr>
        <w:spacing w:line="360" w:lineRule="auto"/>
        <w:jc w:val="both"/>
        <w:rPr>
          <w:rtl/>
        </w:rPr>
      </w:pPr>
      <w:bookmarkStart w:id="6" w:name="ABSTRACT_END"/>
      <w:bookmarkEnd w:id="6"/>
    </w:p>
    <w:p w14:paraId="72A5E788" w14:textId="77777777" w:rsidR="006E3D9B" w:rsidRDefault="006E3D9B" w:rsidP="006E3D9B">
      <w:pPr>
        <w:spacing w:line="360" w:lineRule="auto"/>
        <w:jc w:val="both"/>
        <w:rPr>
          <w:rtl/>
        </w:rPr>
      </w:pPr>
      <w:r>
        <w:rPr>
          <w:rFonts w:hint="cs"/>
          <w:rtl/>
        </w:rPr>
        <w:tab/>
        <w:t>ב.</w:t>
      </w:r>
      <w:r>
        <w:rPr>
          <w:rFonts w:hint="cs"/>
          <w:rtl/>
        </w:rPr>
        <w:tab/>
        <w:t>על המושב האחורי ברכב- אקדח אויר קליבר 6 מ"מ ומחסנית תואמת, ריקה.</w:t>
      </w:r>
    </w:p>
    <w:p w14:paraId="61B052FA" w14:textId="77777777" w:rsidR="006E3D9B" w:rsidRDefault="006E3D9B" w:rsidP="006E3D9B">
      <w:pPr>
        <w:spacing w:line="360" w:lineRule="auto"/>
        <w:jc w:val="both"/>
        <w:rPr>
          <w:rtl/>
        </w:rPr>
      </w:pPr>
    </w:p>
    <w:p w14:paraId="446C235A" w14:textId="77777777" w:rsidR="006E3D9B" w:rsidRDefault="006E3D9B" w:rsidP="006E3D9B">
      <w:pPr>
        <w:spacing w:line="360" w:lineRule="auto"/>
        <w:jc w:val="both"/>
        <w:rPr>
          <w:rtl/>
        </w:rPr>
      </w:pPr>
      <w:r>
        <w:rPr>
          <w:rFonts w:hint="cs"/>
          <w:rtl/>
        </w:rPr>
        <w:tab/>
        <w:t>ג.</w:t>
      </w:r>
      <w:r>
        <w:rPr>
          <w:rFonts w:hint="cs"/>
          <w:rtl/>
        </w:rPr>
        <w:tab/>
        <w:t xml:space="preserve">תחת כסא הנוסע הקדמי ברכב- אקדח אויר </w:t>
      </w:r>
      <w:r>
        <w:t>"Crosman"</w:t>
      </w:r>
      <w:r>
        <w:rPr>
          <w:rFonts w:hint="cs"/>
          <w:rtl/>
        </w:rPr>
        <w:t xml:space="preserve"> קליבר 4.5 מ"מ </w:t>
      </w:r>
    </w:p>
    <w:p w14:paraId="03950812" w14:textId="77777777" w:rsidR="006E3D9B" w:rsidRDefault="006E3D9B" w:rsidP="006E3D9B">
      <w:pPr>
        <w:spacing w:line="360" w:lineRule="auto"/>
        <w:ind w:left="720" w:firstLine="720"/>
        <w:jc w:val="both"/>
        <w:rPr>
          <w:rtl/>
        </w:rPr>
      </w:pPr>
      <w:r>
        <w:rPr>
          <w:rFonts w:hint="cs"/>
          <w:rtl/>
        </w:rPr>
        <w:t>ומחסנית תואמת טעונה ב-9 כדורונים.</w:t>
      </w:r>
    </w:p>
    <w:p w14:paraId="07633BE3" w14:textId="77777777" w:rsidR="006E3D9B" w:rsidRDefault="006E3D9B" w:rsidP="006E3D9B">
      <w:pPr>
        <w:spacing w:line="360" w:lineRule="auto"/>
        <w:ind w:left="1440" w:hanging="720"/>
        <w:jc w:val="both"/>
        <w:rPr>
          <w:rtl/>
        </w:rPr>
      </w:pPr>
    </w:p>
    <w:p w14:paraId="04FD206D" w14:textId="77777777" w:rsidR="006E3D9B" w:rsidRDefault="006E3D9B" w:rsidP="006E3D9B">
      <w:pPr>
        <w:spacing w:line="360" w:lineRule="auto"/>
        <w:ind w:left="1440" w:hanging="720"/>
        <w:jc w:val="both"/>
        <w:rPr>
          <w:rtl/>
        </w:rPr>
      </w:pPr>
      <w:r>
        <w:rPr>
          <w:rFonts w:hint="cs"/>
          <w:rtl/>
        </w:rPr>
        <w:t>ד.</w:t>
      </w:r>
      <w:r>
        <w:rPr>
          <w:rFonts w:hint="cs"/>
          <w:rtl/>
        </w:rPr>
        <w:tab/>
        <w:t>על רצפת הרכב מאחורי מושב הנהג ותחת כסא הנהג- 135 כדורי נשק מסוגים שונים, נרתיק לכלי ניקוי לנשק, רימון יד מס' 4 ריק (ללא חומר נפץ) שבתוכו 17 כדורים, כדור זיקוקין מיועד לירי באקדחון זיקוקין "0.5 לסימון, נרתיק לאקדח, וכיפה מתכתית זהובה לצינור "0.5.</w:t>
      </w:r>
    </w:p>
    <w:p w14:paraId="7DD1A878" w14:textId="77777777" w:rsidR="006E3D9B" w:rsidRDefault="006E3D9B" w:rsidP="006E3D9B">
      <w:pPr>
        <w:spacing w:line="360" w:lineRule="auto"/>
        <w:ind w:left="1440" w:hanging="720"/>
        <w:jc w:val="both"/>
        <w:rPr>
          <w:rtl/>
        </w:rPr>
      </w:pPr>
    </w:p>
    <w:p w14:paraId="6F39109B" w14:textId="77777777" w:rsidR="006E3D9B" w:rsidRDefault="006E3D9B" w:rsidP="006E3D9B">
      <w:pPr>
        <w:spacing w:line="360" w:lineRule="auto"/>
        <w:ind w:left="1440" w:hanging="720"/>
        <w:jc w:val="both"/>
        <w:rPr>
          <w:rtl/>
        </w:rPr>
      </w:pPr>
      <w:r>
        <w:rPr>
          <w:rFonts w:hint="cs"/>
          <w:rtl/>
        </w:rPr>
        <w:t>ה.</w:t>
      </w:r>
      <w:r>
        <w:rPr>
          <w:rFonts w:hint="cs"/>
          <w:rtl/>
        </w:rPr>
        <w:tab/>
        <w:t xml:space="preserve">בתא המטען – אקדח פלסטיק. </w:t>
      </w:r>
    </w:p>
    <w:p w14:paraId="7B3F04D0" w14:textId="77777777" w:rsidR="006E3D9B" w:rsidRDefault="006E3D9B" w:rsidP="006E3D9B">
      <w:pPr>
        <w:spacing w:line="360" w:lineRule="auto"/>
        <w:ind w:left="1440" w:hanging="720"/>
        <w:jc w:val="both"/>
        <w:rPr>
          <w:rtl/>
        </w:rPr>
      </w:pPr>
    </w:p>
    <w:p w14:paraId="3BA89F2A" w14:textId="77777777" w:rsidR="006E3D9B" w:rsidRDefault="006E3D9B" w:rsidP="006E3D9B">
      <w:pPr>
        <w:spacing w:line="360" w:lineRule="auto"/>
        <w:ind w:left="1440" w:hanging="720"/>
        <w:jc w:val="both"/>
        <w:rPr>
          <w:rtl/>
        </w:rPr>
      </w:pPr>
    </w:p>
    <w:p w14:paraId="4EEEF4FC" w14:textId="77777777" w:rsidR="006E3D9B" w:rsidRDefault="006E3D9B" w:rsidP="006E3D9B">
      <w:pPr>
        <w:spacing w:line="360" w:lineRule="auto"/>
        <w:ind w:left="1440" w:hanging="720"/>
        <w:jc w:val="both"/>
        <w:rPr>
          <w:rtl/>
        </w:rPr>
      </w:pPr>
    </w:p>
    <w:p w14:paraId="40394283" w14:textId="77777777" w:rsidR="006E3D9B" w:rsidRDefault="006E3D9B" w:rsidP="006E3D9B">
      <w:pPr>
        <w:spacing w:line="360" w:lineRule="auto"/>
        <w:ind w:left="1440" w:hanging="720"/>
        <w:jc w:val="both"/>
        <w:rPr>
          <w:rtl/>
        </w:rPr>
      </w:pPr>
    </w:p>
    <w:p w14:paraId="6FB962B2" w14:textId="77777777" w:rsidR="006E3D9B" w:rsidRDefault="006E3D9B" w:rsidP="006E3D9B">
      <w:pPr>
        <w:spacing w:line="360" w:lineRule="auto"/>
        <w:ind w:left="1440" w:hanging="720"/>
        <w:jc w:val="both"/>
        <w:rPr>
          <w:rtl/>
        </w:rPr>
      </w:pPr>
    </w:p>
    <w:p w14:paraId="360C2EF7" w14:textId="77777777" w:rsidR="006E3D9B" w:rsidRDefault="006E3D9B" w:rsidP="006E3D9B">
      <w:pPr>
        <w:spacing w:line="360" w:lineRule="auto"/>
        <w:ind w:left="1440" w:hanging="720"/>
        <w:jc w:val="both"/>
        <w:rPr>
          <w:rtl/>
        </w:rPr>
      </w:pPr>
      <w:r>
        <w:rPr>
          <w:rFonts w:hint="cs"/>
          <w:rtl/>
        </w:rPr>
        <w:t xml:space="preserve">בהמשך לאמור, בוצע חיפוש על פי צו, בבית הנאשם במושב שדה דוד, ובתוך כספת </w:t>
      </w:r>
    </w:p>
    <w:p w14:paraId="0C728D94" w14:textId="77777777" w:rsidR="006E3D9B" w:rsidRDefault="006E3D9B" w:rsidP="006E3D9B">
      <w:pPr>
        <w:spacing w:line="360" w:lineRule="auto"/>
        <w:ind w:left="1440" w:hanging="720"/>
        <w:jc w:val="both"/>
        <w:rPr>
          <w:rtl/>
        </w:rPr>
      </w:pPr>
      <w:r>
        <w:rPr>
          <w:rFonts w:hint="cs"/>
          <w:rtl/>
        </w:rPr>
        <w:t>שהחזיק הנאשם נתפסו נשק, תחמושת, אביזרים וציוד נוסף כמפורט להלן:</w:t>
      </w:r>
    </w:p>
    <w:p w14:paraId="21AE240F" w14:textId="77777777" w:rsidR="006E3D9B" w:rsidRDefault="006E3D9B" w:rsidP="006E3D9B">
      <w:pPr>
        <w:spacing w:line="360" w:lineRule="auto"/>
        <w:ind w:left="1440" w:hanging="720"/>
        <w:jc w:val="both"/>
        <w:rPr>
          <w:rtl/>
        </w:rPr>
      </w:pPr>
    </w:p>
    <w:p w14:paraId="30AA1D41" w14:textId="77777777" w:rsidR="006E3D9B" w:rsidRDefault="006E3D9B" w:rsidP="006E3D9B">
      <w:pPr>
        <w:numPr>
          <w:ilvl w:val="0"/>
          <w:numId w:val="1"/>
        </w:numPr>
        <w:spacing w:line="360" w:lineRule="auto"/>
        <w:jc w:val="both"/>
        <w:rPr>
          <w:rtl/>
        </w:rPr>
      </w:pPr>
      <w:r>
        <w:rPr>
          <w:rFonts w:hint="cs"/>
          <w:rtl/>
        </w:rPr>
        <w:t xml:space="preserve">אקדח חצי אוטומטי ברנדלי תוצרת איטליה, קליבר 6.35 מ"מ, מס' סידורי 22962, שבכוחו להמית אדם, ושתי מחסניות תואמות. האקדח נבדק ונמצא שאינו תקין. </w:t>
      </w:r>
    </w:p>
    <w:p w14:paraId="09311D3C" w14:textId="77777777" w:rsidR="006E3D9B" w:rsidRDefault="006E3D9B" w:rsidP="006E3D9B">
      <w:pPr>
        <w:numPr>
          <w:ilvl w:val="0"/>
          <w:numId w:val="1"/>
        </w:numPr>
        <w:spacing w:line="360" w:lineRule="auto"/>
        <w:jc w:val="both"/>
      </w:pPr>
      <w:r>
        <w:rPr>
          <w:rFonts w:hint="cs"/>
          <w:rtl/>
        </w:rPr>
        <w:t xml:space="preserve">אקדח עט מאולתר בקליבר 22, שבכוחו להמית אדם. </w:t>
      </w:r>
    </w:p>
    <w:p w14:paraId="3C3B3960" w14:textId="77777777" w:rsidR="006E3D9B" w:rsidRDefault="006E3D9B" w:rsidP="006E3D9B">
      <w:pPr>
        <w:numPr>
          <w:ilvl w:val="0"/>
          <w:numId w:val="1"/>
        </w:numPr>
        <w:spacing w:line="360" w:lineRule="auto"/>
        <w:jc w:val="both"/>
      </w:pPr>
      <w:r>
        <w:rPr>
          <w:rFonts w:hint="cs"/>
          <w:rtl/>
        </w:rPr>
        <w:t xml:space="preserve">אקדחון זיקוקין צה"לי בתוכו כדור בקליבר </w:t>
      </w:r>
      <w:r>
        <w:t>Magnum375</w:t>
      </w:r>
      <w:r>
        <w:rPr>
          <w:rFonts w:hint="cs"/>
          <w:rtl/>
        </w:rPr>
        <w:t xml:space="preserve">. </w:t>
      </w:r>
    </w:p>
    <w:p w14:paraId="4714E2A7" w14:textId="77777777" w:rsidR="006E3D9B" w:rsidRDefault="006E3D9B" w:rsidP="006E3D9B">
      <w:pPr>
        <w:numPr>
          <w:ilvl w:val="0"/>
          <w:numId w:val="1"/>
        </w:numPr>
        <w:spacing w:line="360" w:lineRule="auto"/>
        <w:jc w:val="both"/>
      </w:pPr>
      <w:r>
        <w:rPr>
          <w:rFonts w:hint="cs"/>
          <w:rtl/>
        </w:rPr>
        <w:t>שקית עור שחורה ובה כדורי עופרת וחפץ מתכת נוסף, הנראה כחלק לאקדח עט מאולתר.</w:t>
      </w:r>
    </w:p>
    <w:p w14:paraId="07480527" w14:textId="77777777" w:rsidR="006E3D9B" w:rsidRDefault="006E3D9B" w:rsidP="006E3D9B">
      <w:pPr>
        <w:spacing w:line="360" w:lineRule="auto"/>
        <w:ind w:left="720"/>
        <w:jc w:val="both"/>
      </w:pPr>
    </w:p>
    <w:p w14:paraId="70FA4C88" w14:textId="77777777" w:rsidR="006E3D9B" w:rsidRDefault="006E3D9B" w:rsidP="006E3D9B">
      <w:pPr>
        <w:spacing w:line="360" w:lineRule="auto"/>
        <w:ind w:left="720"/>
        <w:jc w:val="both"/>
        <w:rPr>
          <w:rtl/>
        </w:rPr>
      </w:pPr>
    </w:p>
    <w:p w14:paraId="4D56F36B" w14:textId="77777777" w:rsidR="006E3D9B" w:rsidRDefault="006E3D9B" w:rsidP="006E3D9B">
      <w:pPr>
        <w:spacing w:line="360" w:lineRule="auto"/>
        <w:ind w:left="720"/>
        <w:jc w:val="both"/>
        <w:rPr>
          <w:rtl/>
        </w:rPr>
      </w:pPr>
    </w:p>
    <w:p w14:paraId="1BC52D02" w14:textId="77777777" w:rsidR="006E3D9B" w:rsidRDefault="006E3D9B" w:rsidP="006E3D9B">
      <w:pPr>
        <w:spacing w:line="360" w:lineRule="auto"/>
        <w:ind w:left="720"/>
        <w:jc w:val="both"/>
        <w:rPr>
          <w:rtl/>
        </w:rPr>
      </w:pPr>
      <w:r>
        <w:rPr>
          <w:rFonts w:hint="cs"/>
          <w:rtl/>
        </w:rPr>
        <w:t>בחיפוש בחדרו של הנאשם נתפסו תחמושת, אביזרים וציוד כמפורט להלן:</w:t>
      </w:r>
    </w:p>
    <w:p w14:paraId="765C7718" w14:textId="77777777" w:rsidR="006E3D9B" w:rsidRDefault="006E3D9B" w:rsidP="006E3D9B">
      <w:pPr>
        <w:spacing w:line="360" w:lineRule="auto"/>
        <w:ind w:left="720"/>
        <w:jc w:val="both"/>
        <w:rPr>
          <w:rtl/>
        </w:rPr>
      </w:pPr>
    </w:p>
    <w:p w14:paraId="5451DDF6" w14:textId="77777777" w:rsidR="006E3D9B" w:rsidRDefault="006E3D9B" w:rsidP="006E3D9B">
      <w:pPr>
        <w:numPr>
          <w:ilvl w:val="0"/>
          <w:numId w:val="2"/>
        </w:numPr>
        <w:spacing w:line="360" w:lineRule="auto"/>
        <w:jc w:val="both"/>
        <w:rPr>
          <w:rtl/>
        </w:rPr>
      </w:pPr>
      <w:r>
        <w:rPr>
          <w:rFonts w:hint="cs"/>
          <w:rtl/>
        </w:rPr>
        <w:t>72 כדורי נשק מסוגים שונים, מספר תרמילים.</w:t>
      </w:r>
    </w:p>
    <w:p w14:paraId="63BD0526" w14:textId="77777777" w:rsidR="006E3D9B" w:rsidRDefault="006E3D9B" w:rsidP="006E3D9B">
      <w:pPr>
        <w:numPr>
          <w:ilvl w:val="0"/>
          <w:numId w:val="2"/>
        </w:numPr>
        <w:spacing w:line="360" w:lineRule="auto"/>
        <w:jc w:val="both"/>
        <w:rPr>
          <w:rtl/>
        </w:rPr>
      </w:pPr>
      <w:r>
        <w:rPr>
          <w:rFonts w:hint="cs"/>
          <w:rtl/>
        </w:rPr>
        <w:t>כוונת אופטית.</w:t>
      </w:r>
    </w:p>
    <w:p w14:paraId="657B7A63" w14:textId="77777777" w:rsidR="006E3D9B" w:rsidRDefault="006E3D9B" w:rsidP="006E3D9B">
      <w:pPr>
        <w:numPr>
          <w:ilvl w:val="0"/>
          <w:numId w:val="2"/>
        </w:numPr>
        <w:spacing w:line="360" w:lineRule="auto"/>
        <w:jc w:val="both"/>
      </w:pPr>
      <w:r>
        <w:rPr>
          <w:rFonts w:hint="cs"/>
          <w:rtl/>
        </w:rPr>
        <w:t>2 מחסניות לרובה אויר.</w:t>
      </w:r>
    </w:p>
    <w:p w14:paraId="4D132445" w14:textId="77777777" w:rsidR="006E3D9B" w:rsidRDefault="006E3D9B" w:rsidP="006E3D9B">
      <w:pPr>
        <w:numPr>
          <w:ilvl w:val="0"/>
          <w:numId w:val="2"/>
        </w:numPr>
        <w:spacing w:line="360" w:lineRule="auto"/>
        <w:jc w:val="both"/>
      </w:pPr>
      <w:r>
        <w:rPr>
          <w:rFonts w:hint="cs"/>
          <w:rtl/>
        </w:rPr>
        <w:t>חלקים של אקדחי אויר שונים.</w:t>
      </w:r>
    </w:p>
    <w:p w14:paraId="72635204" w14:textId="77777777" w:rsidR="006E3D9B" w:rsidRDefault="006E3D9B" w:rsidP="006E3D9B">
      <w:pPr>
        <w:numPr>
          <w:ilvl w:val="0"/>
          <w:numId w:val="2"/>
        </w:numPr>
        <w:spacing w:line="360" w:lineRule="auto"/>
        <w:jc w:val="both"/>
      </w:pPr>
      <w:r>
        <w:rPr>
          <w:rFonts w:hint="cs"/>
          <w:rtl/>
        </w:rPr>
        <w:t>קופסת מתכת ובה עשרות כדורונים בקליבר 4.5 מ"מ.</w:t>
      </w:r>
    </w:p>
    <w:p w14:paraId="674E5352" w14:textId="77777777" w:rsidR="006E3D9B" w:rsidRDefault="006E3D9B" w:rsidP="006E3D9B">
      <w:pPr>
        <w:numPr>
          <w:ilvl w:val="0"/>
          <w:numId w:val="2"/>
        </w:numPr>
        <w:spacing w:line="360" w:lineRule="auto"/>
        <w:jc w:val="both"/>
      </w:pPr>
      <w:r>
        <w:rPr>
          <w:rFonts w:hint="cs"/>
          <w:rtl/>
        </w:rPr>
        <w:t>6 זיקוקי מזרקה משני סוגים שונים ומארז זיקוקי ניצוצות, המוחזק ביד (מכיל</w:t>
      </w:r>
    </w:p>
    <w:p w14:paraId="42DF51F9" w14:textId="77777777" w:rsidR="006E3D9B" w:rsidRDefault="006E3D9B" w:rsidP="006E3D9B">
      <w:pPr>
        <w:spacing w:line="360" w:lineRule="auto"/>
        <w:ind w:left="1440"/>
        <w:jc w:val="both"/>
      </w:pPr>
      <w:r>
        <w:rPr>
          <w:rFonts w:hint="cs"/>
          <w:rtl/>
        </w:rPr>
        <w:t xml:space="preserve">במקור 10 יחידות), היכולים להזיק לאדם בעת פעולתם ומכילים, כחומר עיקרי, תערובת נפץ פירוטכנית. תערובת זו משמשת חומר עיקרי במטעני חבלה מאולתרים. </w:t>
      </w:r>
    </w:p>
    <w:p w14:paraId="0C58877D" w14:textId="77777777" w:rsidR="006E3D9B" w:rsidRDefault="006E3D9B" w:rsidP="006E3D9B">
      <w:pPr>
        <w:numPr>
          <w:ilvl w:val="0"/>
          <w:numId w:val="2"/>
        </w:numPr>
        <w:spacing w:line="360" w:lineRule="auto"/>
        <w:jc w:val="both"/>
      </w:pPr>
      <w:r>
        <w:rPr>
          <w:rFonts w:hint="cs"/>
          <w:rtl/>
        </w:rPr>
        <w:t>צינורות מתכת בקטרים ובאורכים שונים (ביניהם "0.5 ו "0.75) ומספר פקקי</w:t>
      </w:r>
    </w:p>
    <w:p w14:paraId="3B528B92" w14:textId="77777777" w:rsidR="006E3D9B" w:rsidRDefault="006E3D9B" w:rsidP="006E3D9B">
      <w:pPr>
        <w:spacing w:line="360" w:lineRule="auto"/>
        <w:ind w:left="720" w:firstLine="720"/>
        <w:jc w:val="both"/>
      </w:pPr>
      <w:r>
        <w:rPr>
          <w:rFonts w:hint="cs"/>
          <w:rtl/>
        </w:rPr>
        <w:t xml:space="preserve">מתכת תואמים, מסוג המשמש במטעני חבלה מאולתרים (מטעני צינור). </w:t>
      </w:r>
    </w:p>
    <w:p w14:paraId="68C12C9D" w14:textId="77777777" w:rsidR="006E3D9B" w:rsidRDefault="006E3D9B" w:rsidP="006E3D9B">
      <w:pPr>
        <w:numPr>
          <w:ilvl w:val="0"/>
          <w:numId w:val="2"/>
        </w:numPr>
        <w:spacing w:line="360" w:lineRule="auto"/>
        <w:jc w:val="both"/>
        <w:rPr>
          <w:rtl/>
        </w:rPr>
      </w:pPr>
      <w:r>
        <w:rPr>
          <w:rFonts w:hint="cs"/>
          <w:rtl/>
        </w:rPr>
        <w:t>חוטרים.</w:t>
      </w:r>
    </w:p>
    <w:p w14:paraId="55D9754D" w14:textId="77777777" w:rsidR="006E3D9B" w:rsidRDefault="006E3D9B" w:rsidP="006E3D9B">
      <w:pPr>
        <w:numPr>
          <w:ilvl w:val="0"/>
          <w:numId w:val="2"/>
        </w:numPr>
        <w:spacing w:line="360" w:lineRule="auto"/>
        <w:jc w:val="both"/>
        <w:rPr>
          <w:rtl/>
        </w:rPr>
      </w:pPr>
      <w:r>
        <w:rPr>
          <w:rFonts w:hint="cs"/>
          <w:rtl/>
        </w:rPr>
        <w:lastRenderedPageBreak/>
        <w:t xml:space="preserve">שתי מקדחות. </w:t>
      </w:r>
    </w:p>
    <w:p w14:paraId="1275E4E4" w14:textId="77777777" w:rsidR="006E3D9B" w:rsidRDefault="006E3D9B" w:rsidP="006E3D9B">
      <w:pPr>
        <w:spacing w:line="360" w:lineRule="auto"/>
        <w:ind w:left="720"/>
        <w:jc w:val="both"/>
      </w:pPr>
    </w:p>
    <w:p w14:paraId="4FDAB11B" w14:textId="77777777" w:rsidR="006E3D9B" w:rsidRDefault="006E3D9B" w:rsidP="006E3D9B">
      <w:pPr>
        <w:spacing w:line="360" w:lineRule="auto"/>
        <w:ind w:left="720"/>
        <w:jc w:val="both"/>
        <w:rPr>
          <w:rtl/>
        </w:rPr>
      </w:pPr>
    </w:p>
    <w:p w14:paraId="13C92E14" w14:textId="77777777" w:rsidR="006E3D9B" w:rsidRDefault="006E3D9B" w:rsidP="006E3D9B">
      <w:pPr>
        <w:spacing w:line="360" w:lineRule="auto"/>
        <w:ind w:left="720"/>
        <w:jc w:val="both"/>
        <w:rPr>
          <w:rtl/>
        </w:rPr>
      </w:pPr>
    </w:p>
    <w:p w14:paraId="27F983DE" w14:textId="77777777" w:rsidR="006E3D9B" w:rsidRDefault="006E3D9B" w:rsidP="006E3D9B">
      <w:pPr>
        <w:spacing w:line="360" w:lineRule="auto"/>
        <w:ind w:left="720"/>
        <w:jc w:val="both"/>
        <w:rPr>
          <w:rtl/>
        </w:rPr>
      </w:pPr>
    </w:p>
    <w:p w14:paraId="2A44A3E2" w14:textId="77777777" w:rsidR="006E3D9B" w:rsidRDefault="006E3D9B" w:rsidP="006E3D9B">
      <w:pPr>
        <w:spacing w:line="360" w:lineRule="auto"/>
        <w:ind w:left="720"/>
        <w:jc w:val="both"/>
        <w:rPr>
          <w:rtl/>
        </w:rPr>
      </w:pPr>
    </w:p>
    <w:p w14:paraId="264FCC7A" w14:textId="77777777" w:rsidR="006E3D9B" w:rsidRDefault="006E3D9B" w:rsidP="006E3D9B">
      <w:pPr>
        <w:spacing w:line="360" w:lineRule="auto"/>
        <w:ind w:left="720" w:hanging="720"/>
        <w:jc w:val="both"/>
        <w:rPr>
          <w:rtl/>
        </w:rPr>
      </w:pPr>
      <w:r>
        <w:rPr>
          <w:rFonts w:hint="cs"/>
          <w:rtl/>
        </w:rPr>
        <w:t>2.</w:t>
      </w:r>
      <w:r>
        <w:rPr>
          <w:rFonts w:hint="cs"/>
          <w:rtl/>
        </w:rPr>
        <w:tab/>
        <w:t xml:space="preserve">על יסוד הודאת הנאשם בעובדות, כאמור, הוא הורשע בהחזקת נשק ובהחזקת תחמושת, עבירות לפי </w:t>
      </w:r>
      <w:hyperlink r:id="rId9" w:history="1">
        <w:r w:rsidR="007C3590" w:rsidRPr="007C3590">
          <w:rPr>
            <w:color w:val="0000FF"/>
            <w:u w:val="single"/>
            <w:rtl/>
          </w:rPr>
          <w:t>סעיף 144(א)</w:t>
        </w:r>
      </w:hyperlink>
      <w:r>
        <w:rPr>
          <w:rFonts w:hint="cs"/>
          <w:rtl/>
        </w:rPr>
        <w:t xml:space="preserve"> רישא וסיפא ל</w:t>
      </w:r>
      <w:hyperlink r:id="rId10" w:history="1">
        <w:r w:rsidR="00F66D0A" w:rsidRPr="00F66D0A">
          <w:rPr>
            <w:rStyle w:val="Hyperlink"/>
            <w:rFonts w:hint="eastAsia"/>
            <w:color w:val="0000FF"/>
            <w:rtl/>
          </w:rPr>
          <w:t>חוק</w:t>
        </w:r>
        <w:r w:rsidR="00F66D0A" w:rsidRPr="00F66D0A">
          <w:rPr>
            <w:rStyle w:val="Hyperlink"/>
            <w:color w:val="0000FF"/>
            <w:rtl/>
          </w:rPr>
          <w:t xml:space="preserve"> העונשין</w:t>
        </w:r>
      </w:hyperlink>
      <w:r>
        <w:rPr>
          <w:rFonts w:hint="cs"/>
          <w:rtl/>
        </w:rPr>
        <w:t xml:space="preserve"> תשל"ז-1977.</w:t>
      </w:r>
    </w:p>
    <w:p w14:paraId="5E6420B6" w14:textId="77777777" w:rsidR="006E3D9B" w:rsidRDefault="006E3D9B" w:rsidP="006E3D9B">
      <w:pPr>
        <w:spacing w:line="360" w:lineRule="auto"/>
        <w:jc w:val="both"/>
      </w:pPr>
    </w:p>
    <w:p w14:paraId="4247CF64" w14:textId="77777777" w:rsidR="006E3D9B" w:rsidRDefault="006E3D9B" w:rsidP="006E3D9B">
      <w:pPr>
        <w:spacing w:line="360" w:lineRule="auto"/>
        <w:ind w:left="720" w:hanging="720"/>
        <w:jc w:val="both"/>
        <w:rPr>
          <w:rtl/>
        </w:rPr>
      </w:pPr>
      <w:r>
        <w:rPr>
          <w:rFonts w:hint="cs"/>
          <w:rtl/>
        </w:rPr>
        <w:t>3.</w:t>
      </w:r>
      <w:r>
        <w:rPr>
          <w:rFonts w:hint="cs"/>
          <w:rtl/>
        </w:rPr>
        <w:tab/>
        <w:t xml:space="preserve">במסגרת הסדר הטיעון, המליצו הצדדים לבית המשפט להטיל על הנאשם 33 חודשי מאסר בפועל מיום מעצרו, מאסר על תנאי, חילוט הרכב בו נמצא הנשק, וקנס בסך 10,000 ₪. </w:t>
      </w:r>
    </w:p>
    <w:p w14:paraId="57EC1109" w14:textId="77777777" w:rsidR="006E3D9B" w:rsidRDefault="006E3D9B" w:rsidP="006E3D9B">
      <w:pPr>
        <w:spacing w:line="360" w:lineRule="auto"/>
        <w:ind w:left="720"/>
        <w:jc w:val="both"/>
        <w:rPr>
          <w:rtl/>
        </w:rPr>
      </w:pPr>
    </w:p>
    <w:p w14:paraId="16565AB7" w14:textId="77777777" w:rsidR="006E3D9B" w:rsidRDefault="006E3D9B" w:rsidP="006E3D9B">
      <w:pPr>
        <w:spacing w:line="360" w:lineRule="auto"/>
        <w:ind w:left="720" w:hanging="720"/>
        <w:jc w:val="both"/>
        <w:rPr>
          <w:rtl/>
        </w:rPr>
      </w:pPr>
      <w:r>
        <w:rPr>
          <w:rFonts w:hint="cs"/>
          <w:rtl/>
        </w:rPr>
        <w:t>4.</w:t>
      </w:r>
      <w:r>
        <w:rPr>
          <w:rFonts w:hint="cs"/>
          <w:rtl/>
        </w:rPr>
        <w:tab/>
        <w:t xml:space="preserve">ב"כ התביעה ציינה כי הסדר הטיעון הושג במסגרת הליך גישור וטענה כי הוא משקלל נסיבה מסוימת הקשורה לנאשם, שלא ניתן לומר לפרוטוקול. הוסיפה, כי לנאשם נקבעו 48% נכות על ידי המל"ל עקב פגיעת ראש בעקבות נפילה. וטענה, כי בנוסף נלקחו בחשבון הודאת הנאשם והחיסכון בזמן שיפוטי וכי העונש המוצע בהסדר הטיעון מאזן כראוי בין האינטרסים הנוגעים לענין. הגישה את המרשם הפלילי של הנאשם, ועתרה לכבד את הסדר הטיעון. </w:t>
      </w:r>
    </w:p>
    <w:p w14:paraId="09E2ED29" w14:textId="77777777" w:rsidR="006E3D9B" w:rsidRDefault="006E3D9B" w:rsidP="006E3D9B">
      <w:pPr>
        <w:spacing w:line="360" w:lineRule="auto"/>
        <w:ind w:left="720" w:hanging="720"/>
        <w:jc w:val="both"/>
        <w:rPr>
          <w:rtl/>
        </w:rPr>
      </w:pPr>
    </w:p>
    <w:p w14:paraId="61B0E6BB" w14:textId="77777777" w:rsidR="006E3D9B" w:rsidRDefault="006E3D9B" w:rsidP="006E3D9B">
      <w:pPr>
        <w:spacing w:line="360" w:lineRule="auto"/>
        <w:ind w:left="720" w:hanging="720"/>
        <w:jc w:val="both"/>
        <w:rPr>
          <w:rtl/>
        </w:rPr>
      </w:pPr>
      <w:r>
        <w:rPr>
          <w:rFonts w:hint="cs"/>
          <w:rtl/>
        </w:rPr>
        <w:tab/>
        <w:t xml:space="preserve">ב"כ הנאשם הצטרפה לדברי ב"כ התביעה בעתירה לכבד את הסדר הטיעון. ציינה, כי סעיף האישום שונה מנשיאת נשק להחזקת נשק. טענה, כי במסגרת הסדר הטיעון הוצגו מסמכים וראיות הנוגעים לעניינים מודיעיניים שהובאו בחשבון במסגרת ההסדר. הוסיפה, כי הנאשם יליד 1986. הוא סובל מסכיזופרניה. במהלך מעצרו הוא אושפז. עברו הפלילי אינו מכביד. והעונש בכללו, כולל רכיבי הענישה הכספיים, מתאים לנסיבות. </w:t>
      </w:r>
    </w:p>
    <w:p w14:paraId="5A906D8C" w14:textId="77777777" w:rsidR="006E3D9B" w:rsidRDefault="006E3D9B" w:rsidP="006E3D9B">
      <w:pPr>
        <w:spacing w:line="360" w:lineRule="auto"/>
        <w:ind w:left="720" w:hanging="720"/>
        <w:jc w:val="both"/>
        <w:rPr>
          <w:rtl/>
        </w:rPr>
      </w:pPr>
    </w:p>
    <w:p w14:paraId="71C776FD" w14:textId="77777777" w:rsidR="006E3D9B" w:rsidRDefault="006E3D9B" w:rsidP="006E3D9B">
      <w:pPr>
        <w:spacing w:line="360" w:lineRule="auto"/>
        <w:ind w:left="720" w:hanging="720"/>
        <w:jc w:val="both"/>
        <w:rPr>
          <w:rtl/>
        </w:rPr>
      </w:pPr>
      <w:r>
        <w:rPr>
          <w:rFonts w:hint="cs"/>
          <w:rtl/>
        </w:rPr>
        <w:tab/>
        <w:t xml:space="preserve">הנאשם סיפר כי ברצונו להתחתן ולהתחיל חיים חדשים. ציין כי הוא מתקיים מקצבת נכות של המל"ל. והביע צער על מעשיו. </w:t>
      </w:r>
    </w:p>
    <w:p w14:paraId="0C2CADAB" w14:textId="77777777" w:rsidR="006E3D9B" w:rsidRDefault="006E3D9B" w:rsidP="006E3D9B">
      <w:pPr>
        <w:spacing w:line="360" w:lineRule="auto"/>
        <w:ind w:left="720"/>
        <w:jc w:val="both"/>
        <w:rPr>
          <w:rtl/>
        </w:rPr>
      </w:pPr>
    </w:p>
    <w:p w14:paraId="290F2003" w14:textId="77777777" w:rsidR="006E3D9B" w:rsidRDefault="006E3D9B" w:rsidP="006E3D9B">
      <w:pPr>
        <w:spacing w:line="360" w:lineRule="auto"/>
        <w:ind w:left="720" w:hanging="720"/>
        <w:jc w:val="both"/>
      </w:pPr>
      <w:r>
        <w:rPr>
          <w:rFonts w:hint="cs"/>
          <w:rtl/>
        </w:rPr>
        <w:t>5.</w:t>
      </w:r>
      <w:r>
        <w:rPr>
          <w:rFonts w:hint="cs"/>
          <w:rtl/>
        </w:rPr>
        <w:tab/>
        <w:t xml:space="preserve">מגוון וכמות כלי הנשק, התחמושת והאביזרים הקשורים לנשק ולמטעני חבלה, שהנאשם החזיק, ברכבו ובביתו, תומכים בהנחה שאין המדובר בהחזקת נשק רגילה, "לשימוש עצמי", שגם בחומרתה אין לזלזל, אלא בהחזקה שחומרתה, מבחינת הסכנות הטמונות בשימושים האפשריים שלה, רבה יותר. </w:t>
      </w:r>
    </w:p>
    <w:p w14:paraId="444BD0FB" w14:textId="77777777" w:rsidR="006E3D9B" w:rsidRDefault="006E3D9B" w:rsidP="006E3D9B">
      <w:pPr>
        <w:spacing w:line="360" w:lineRule="auto"/>
        <w:ind w:left="720" w:hanging="720"/>
        <w:jc w:val="both"/>
        <w:rPr>
          <w:rtl/>
        </w:rPr>
      </w:pPr>
    </w:p>
    <w:p w14:paraId="2B9D085F" w14:textId="77777777" w:rsidR="006E3D9B" w:rsidRDefault="006E3D9B" w:rsidP="006E3D9B">
      <w:pPr>
        <w:spacing w:line="360" w:lineRule="auto"/>
        <w:ind w:left="720" w:hanging="720"/>
        <w:jc w:val="both"/>
        <w:rPr>
          <w:rtl/>
        </w:rPr>
      </w:pPr>
      <w:r>
        <w:rPr>
          <w:rFonts w:hint="cs"/>
          <w:rtl/>
        </w:rPr>
        <w:t>6.</w:t>
      </w:r>
      <w:r>
        <w:rPr>
          <w:rFonts w:hint="cs"/>
          <w:rtl/>
        </w:rPr>
        <w:tab/>
        <w:t xml:space="preserve">החזקה כזו, אינה עולה בקנה אחד עם הטענה הנרמזת במידע שהצדדים מסרו לבית המשפט, הנוגע לנאשם. היא מתאימה יותר לשימוש "מסחרי" ולעשייה עבריינית מובהקת. מצבור פריטים כמו זה שנמצא ברשות הנאשם, הכולל בין היתר "אקדח עט" מאולתר שבכוחו להמית אדם, תערובת נפץ המשמשת לייצור מטעני חבלה מאולתרים, צינורות מתכת ופקקי מתכת, המשמשים במטעני צינור, מצביע לעבר קיומה של זיקה לייצור כלי נשק ומטעני חבלה. </w:t>
      </w:r>
    </w:p>
    <w:p w14:paraId="42570086" w14:textId="77777777" w:rsidR="006E3D9B" w:rsidRDefault="006E3D9B" w:rsidP="006E3D9B">
      <w:pPr>
        <w:spacing w:line="360" w:lineRule="auto"/>
        <w:ind w:left="720" w:hanging="720"/>
        <w:jc w:val="both"/>
        <w:rPr>
          <w:rtl/>
        </w:rPr>
      </w:pPr>
    </w:p>
    <w:p w14:paraId="1EBBF09E" w14:textId="77777777" w:rsidR="006E3D9B" w:rsidRDefault="006E3D9B" w:rsidP="006E3D9B">
      <w:pPr>
        <w:spacing w:line="360" w:lineRule="auto"/>
        <w:ind w:left="720" w:hanging="720"/>
        <w:jc w:val="both"/>
        <w:rPr>
          <w:rtl/>
        </w:rPr>
      </w:pPr>
    </w:p>
    <w:p w14:paraId="2B0AB25E" w14:textId="77777777" w:rsidR="006E3D9B" w:rsidRDefault="006E3D9B" w:rsidP="006E3D9B">
      <w:pPr>
        <w:spacing w:line="360" w:lineRule="auto"/>
        <w:ind w:left="720" w:hanging="720"/>
        <w:jc w:val="both"/>
        <w:rPr>
          <w:rtl/>
        </w:rPr>
      </w:pPr>
      <w:r>
        <w:rPr>
          <w:rFonts w:hint="cs"/>
          <w:rtl/>
        </w:rPr>
        <w:t>7.</w:t>
      </w:r>
      <w:r>
        <w:rPr>
          <w:rFonts w:hint="cs"/>
          <w:rtl/>
        </w:rPr>
        <w:tab/>
        <w:t xml:space="preserve">ניסיון החיים מלמד, כי החזקת פריטים כאלה על ידי מי שאינו מורשה לכך, מיועדת להוצאה לפועל של עבירות חמורות אחרות. ניתן לומר בהשאלה, כי נשק או כלי משחית אחר המוחזקים שלא כדין במערכה הראשונה, יופעלו בדרך פוגענית כזו או אחרת במערכה הבאה. </w:t>
      </w:r>
    </w:p>
    <w:p w14:paraId="5469993D" w14:textId="77777777" w:rsidR="006E3D9B" w:rsidRDefault="006E3D9B" w:rsidP="006E3D9B">
      <w:pPr>
        <w:spacing w:line="360" w:lineRule="auto"/>
        <w:ind w:left="720" w:hanging="720"/>
        <w:jc w:val="both"/>
        <w:rPr>
          <w:rtl/>
        </w:rPr>
      </w:pPr>
    </w:p>
    <w:p w14:paraId="722891DF" w14:textId="77777777" w:rsidR="006E3D9B" w:rsidRDefault="006E3D9B" w:rsidP="006E3D9B">
      <w:pPr>
        <w:spacing w:line="360" w:lineRule="auto"/>
        <w:ind w:left="720" w:hanging="720"/>
        <w:jc w:val="both"/>
        <w:rPr>
          <w:rtl/>
        </w:rPr>
      </w:pPr>
      <w:r>
        <w:rPr>
          <w:rFonts w:hint="cs"/>
          <w:rtl/>
        </w:rPr>
        <w:t>8.</w:t>
      </w:r>
      <w:r>
        <w:rPr>
          <w:rFonts w:hint="cs"/>
          <w:rtl/>
        </w:rPr>
        <w:tab/>
        <w:t xml:space="preserve">מגמת הפסיקה בשנים האחרונות היא של החמרה ממשית בענישת עבירות הנשק. </w:t>
      </w:r>
    </w:p>
    <w:p w14:paraId="19711A9D" w14:textId="77777777" w:rsidR="006E3D9B" w:rsidRDefault="006E3D9B" w:rsidP="006E3D9B">
      <w:pPr>
        <w:spacing w:line="360" w:lineRule="auto"/>
        <w:jc w:val="both"/>
        <w:rPr>
          <w:rtl/>
        </w:rPr>
      </w:pPr>
    </w:p>
    <w:p w14:paraId="2316C397" w14:textId="77777777" w:rsidR="006E3D9B" w:rsidRDefault="006E3D9B" w:rsidP="006E3D9B">
      <w:pPr>
        <w:spacing w:line="360" w:lineRule="auto"/>
        <w:jc w:val="both"/>
        <w:rPr>
          <w:rtl/>
        </w:rPr>
      </w:pPr>
      <w:r>
        <w:rPr>
          <w:rFonts w:hint="cs"/>
          <w:rtl/>
        </w:rPr>
        <w:t>9.</w:t>
      </w:r>
      <w:r>
        <w:rPr>
          <w:rFonts w:hint="cs"/>
          <w:rtl/>
        </w:rPr>
        <w:tab/>
        <w:t>לנאשם עבר פלילי בעבירות רכוש ואלימות והוא ריצה עונשי מאסר.</w:t>
      </w:r>
    </w:p>
    <w:p w14:paraId="3B5A476E" w14:textId="77777777" w:rsidR="006E3D9B" w:rsidRDefault="006E3D9B" w:rsidP="006E3D9B">
      <w:pPr>
        <w:spacing w:line="360" w:lineRule="auto"/>
        <w:jc w:val="both"/>
        <w:rPr>
          <w:rtl/>
        </w:rPr>
      </w:pPr>
    </w:p>
    <w:p w14:paraId="11731D0F" w14:textId="77777777" w:rsidR="006E3D9B" w:rsidRDefault="006E3D9B" w:rsidP="006E3D9B">
      <w:pPr>
        <w:spacing w:line="360" w:lineRule="auto"/>
        <w:ind w:left="720" w:hanging="720"/>
        <w:jc w:val="both"/>
        <w:rPr>
          <w:rtl/>
        </w:rPr>
      </w:pPr>
      <w:r>
        <w:rPr>
          <w:rFonts w:hint="cs"/>
          <w:rtl/>
        </w:rPr>
        <w:t>10.</w:t>
      </w:r>
      <w:r>
        <w:rPr>
          <w:rFonts w:hint="cs"/>
          <w:rtl/>
        </w:rPr>
        <w:tab/>
        <w:t xml:space="preserve">בנסיבות, עונש המאסר שראוי היה להטיל על הנאשם על מעשיו, חמור מזה המוצע בהסדר הטיעון. </w:t>
      </w:r>
    </w:p>
    <w:p w14:paraId="082E709D" w14:textId="77777777" w:rsidR="006E3D9B" w:rsidRDefault="006E3D9B" w:rsidP="006E3D9B">
      <w:pPr>
        <w:spacing w:line="360" w:lineRule="auto"/>
        <w:ind w:left="720" w:hanging="720"/>
        <w:jc w:val="both"/>
        <w:rPr>
          <w:rtl/>
        </w:rPr>
      </w:pPr>
      <w:r>
        <w:rPr>
          <w:rFonts w:hint="cs"/>
          <w:rtl/>
        </w:rPr>
        <w:tab/>
      </w:r>
    </w:p>
    <w:p w14:paraId="78A2F84B" w14:textId="77777777" w:rsidR="006E3D9B" w:rsidRDefault="006E3D9B" w:rsidP="006E3D9B">
      <w:pPr>
        <w:spacing w:line="360" w:lineRule="auto"/>
        <w:ind w:left="720" w:hanging="720"/>
        <w:jc w:val="both"/>
        <w:rPr>
          <w:rtl/>
        </w:rPr>
      </w:pPr>
      <w:r>
        <w:rPr>
          <w:rFonts w:hint="cs"/>
          <w:rtl/>
        </w:rPr>
        <w:t>11.</w:t>
      </w:r>
      <w:r>
        <w:rPr>
          <w:rFonts w:hint="cs"/>
          <w:rtl/>
        </w:rPr>
        <w:tab/>
        <w:t xml:space="preserve">כאן, כאמור, הודאת הנאשם באה במסגרת הסדר טיעון הכולל הסכמה לענין העונש. נתון זה הוא בעל משמעות בקביעת העונש, שכן, הסדר טיעון הוא שיקול מרכזי בגזירת הדין ועל פי הכללים הנוהגים, ככלל, על בית המשפט לכבדו. </w:t>
      </w:r>
    </w:p>
    <w:p w14:paraId="1F1C5D78" w14:textId="77777777" w:rsidR="006E3D9B" w:rsidRDefault="006E3D9B" w:rsidP="006E3D9B">
      <w:pPr>
        <w:spacing w:line="360" w:lineRule="auto"/>
        <w:ind w:left="720" w:hanging="720"/>
        <w:jc w:val="both"/>
        <w:rPr>
          <w:rtl/>
        </w:rPr>
      </w:pPr>
    </w:p>
    <w:p w14:paraId="1E3A80C3" w14:textId="77777777" w:rsidR="006E3D9B" w:rsidRDefault="006E3D9B" w:rsidP="006E3D9B">
      <w:pPr>
        <w:spacing w:line="360" w:lineRule="auto"/>
        <w:ind w:left="720" w:hanging="720"/>
        <w:jc w:val="both"/>
        <w:rPr>
          <w:rtl/>
        </w:rPr>
      </w:pPr>
      <w:r>
        <w:rPr>
          <w:rFonts w:hint="cs"/>
          <w:rtl/>
        </w:rPr>
        <w:t>12.</w:t>
      </w:r>
      <w:r>
        <w:rPr>
          <w:rFonts w:hint="cs"/>
          <w:rtl/>
        </w:rPr>
        <w:tab/>
        <w:t xml:space="preserve">השיקולים  שעמדו ביסוד הסכמת התביעה להסדר הטיעון - שפורטו בטיעוני התביעה לעונש - ענייניים ומקובלים, וההקלה העונשית הגלומה בהסדר, הגם שהיא משמעותית, איננה הופכת את ההסדר לבלתי סביר במידה המצדיקה את דחייתו. </w:t>
      </w:r>
    </w:p>
    <w:p w14:paraId="456A8D36" w14:textId="77777777" w:rsidR="006E3D9B" w:rsidRDefault="006E3D9B" w:rsidP="006E3D9B">
      <w:pPr>
        <w:spacing w:line="360" w:lineRule="auto"/>
        <w:ind w:left="720" w:hanging="720"/>
        <w:jc w:val="both"/>
        <w:rPr>
          <w:rtl/>
        </w:rPr>
      </w:pPr>
    </w:p>
    <w:p w14:paraId="23B81853" w14:textId="77777777" w:rsidR="006E3D9B" w:rsidRDefault="006E3D9B" w:rsidP="006E3D9B">
      <w:pPr>
        <w:spacing w:line="360" w:lineRule="auto"/>
        <w:ind w:left="720" w:hanging="720"/>
        <w:jc w:val="both"/>
        <w:rPr>
          <w:rtl/>
        </w:rPr>
      </w:pPr>
      <w:r>
        <w:rPr>
          <w:rFonts w:hint="cs"/>
          <w:rtl/>
        </w:rPr>
        <w:t>13.</w:t>
      </w:r>
      <w:r>
        <w:rPr>
          <w:rFonts w:hint="cs"/>
          <w:rtl/>
        </w:rPr>
        <w:tab/>
        <w:t xml:space="preserve">נוכח האמור, אני מקבל את הסדר הטיעון וגוזר על הנאשם את העונשים הבאים – </w:t>
      </w:r>
    </w:p>
    <w:p w14:paraId="6889FB78" w14:textId="77777777" w:rsidR="006E3D9B" w:rsidRDefault="006E3D9B" w:rsidP="006E3D9B">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1.</w:t>
      </w:r>
      <w:r>
        <w:rPr>
          <w:rFonts w:ascii="FrankRuehl" w:hAnsi="FrankRuehl" w:hint="cs"/>
          <w:color w:val="000000"/>
          <w:rtl/>
          <w:lang w:eastAsia="he-IL"/>
        </w:rPr>
        <w:tab/>
        <w:t>33 חודשי מאסר בפועל, מיום מעצרו.</w:t>
      </w:r>
    </w:p>
    <w:p w14:paraId="10812A33" w14:textId="77777777" w:rsidR="006E3D9B" w:rsidRDefault="006E3D9B" w:rsidP="006E3D9B">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2.</w:t>
      </w:r>
      <w:r>
        <w:rPr>
          <w:rFonts w:ascii="FrankRuehl" w:hAnsi="FrankRuehl" w:hint="cs"/>
          <w:color w:val="000000"/>
          <w:rtl/>
          <w:lang w:eastAsia="he-IL"/>
        </w:rPr>
        <w:tab/>
        <w:t>12 חודשי מאסר על תנאי למשך 3 שנים מיום שחרורו מהמאסר, שלא יעבור עבירת נשק המוגדרת כפשע.</w:t>
      </w:r>
    </w:p>
    <w:p w14:paraId="463CA6D1" w14:textId="77777777" w:rsidR="006E3D9B" w:rsidRDefault="006E3D9B" w:rsidP="006E3D9B">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 xml:space="preserve"> 3.</w:t>
      </w:r>
      <w:r>
        <w:rPr>
          <w:rFonts w:ascii="FrankRuehl" w:hAnsi="FrankRuehl" w:hint="cs"/>
          <w:color w:val="000000"/>
          <w:rtl/>
          <w:lang w:eastAsia="he-IL"/>
        </w:rPr>
        <w:tab/>
        <w:t xml:space="preserve">קנס בסך 10,000 ₪ או 45 ימי מאסר תחתיו. הקנס ישולם ב- 5 תשלומים חודשיים שווים ורצופים, החל מיום 01.01.18  . תשלום שלא ישולם במועדו יעמיד את כל יתרת הקנס לפרעון מיידי. </w:t>
      </w:r>
    </w:p>
    <w:p w14:paraId="1FD873EC" w14:textId="77777777" w:rsidR="006E3D9B" w:rsidRDefault="006E3D9B" w:rsidP="006E3D9B">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4.</w:t>
      </w:r>
      <w:r>
        <w:rPr>
          <w:rFonts w:ascii="FrankRuehl" w:hAnsi="FrankRuehl" w:hint="cs"/>
          <w:color w:val="000000"/>
          <w:rtl/>
          <w:lang w:eastAsia="he-IL"/>
        </w:rPr>
        <w:tab/>
        <w:t xml:space="preserve">רכב הב.מ.וו. בעל מ.ר. 55-967-16, השייך לנאשם, יחולט לטובת אוצר המדינה. </w:t>
      </w:r>
    </w:p>
    <w:p w14:paraId="4DE3EFF6" w14:textId="77777777" w:rsidR="006E3D9B" w:rsidRDefault="006E3D9B" w:rsidP="006E3D9B">
      <w:pPr>
        <w:spacing w:line="360" w:lineRule="auto"/>
        <w:ind w:left="720"/>
        <w:jc w:val="both"/>
        <w:rPr>
          <w:rFonts w:ascii="FrankRuehl" w:hAnsi="FrankRuehl"/>
          <w:b/>
          <w:bCs/>
          <w:color w:val="000000"/>
          <w:rtl/>
          <w:lang w:eastAsia="he-IL"/>
        </w:rPr>
      </w:pPr>
    </w:p>
    <w:p w14:paraId="3C79984B" w14:textId="77777777" w:rsidR="006E3D9B" w:rsidRPr="00B05847" w:rsidRDefault="00F66D0A" w:rsidP="006E3D9B">
      <w:pPr>
        <w:spacing w:line="360" w:lineRule="auto"/>
        <w:ind w:left="720"/>
        <w:jc w:val="both"/>
        <w:rPr>
          <w:rtl/>
        </w:rPr>
      </w:pPr>
      <w:r w:rsidRPr="00F66D0A">
        <w:rPr>
          <w:rFonts w:ascii="FrankRuehl" w:hAnsi="FrankRuehl"/>
          <w:b/>
          <w:bCs/>
          <w:color w:val="FFFFFF"/>
          <w:sz w:val="2"/>
          <w:szCs w:val="2"/>
          <w:rtl/>
          <w:lang w:eastAsia="he-IL"/>
        </w:rPr>
        <w:t>5129371</w:t>
      </w:r>
      <w:r w:rsidR="006E3D9B">
        <w:rPr>
          <w:rFonts w:ascii="FrankRuehl" w:hAnsi="FrankRuehl" w:hint="cs"/>
          <w:b/>
          <w:bCs/>
          <w:color w:val="000000"/>
          <w:rtl/>
          <w:lang w:eastAsia="he-IL"/>
        </w:rPr>
        <w:t>זכות ערעור תוך 45 יום.</w:t>
      </w:r>
    </w:p>
    <w:p w14:paraId="1FD44C9D" w14:textId="77777777" w:rsidR="006E3D9B" w:rsidRPr="00F66D0A" w:rsidRDefault="00F66D0A" w:rsidP="006E3D9B">
      <w:pPr>
        <w:spacing w:line="360" w:lineRule="auto"/>
        <w:jc w:val="both"/>
        <w:rPr>
          <w:rFonts w:ascii="Arial" w:hAnsi="Arial"/>
          <w:color w:val="FFFFFF"/>
          <w:sz w:val="2"/>
          <w:szCs w:val="2"/>
          <w:rtl/>
        </w:rPr>
      </w:pPr>
      <w:r w:rsidRPr="00F66D0A">
        <w:rPr>
          <w:rFonts w:ascii="Arial" w:hAnsi="Arial"/>
          <w:color w:val="FFFFFF"/>
          <w:sz w:val="2"/>
          <w:szCs w:val="2"/>
          <w:rtl/>
        </w:rPr>
        <w:t>54678313</w:t>
      </w:r>
    </w:p>
    <w:p w14:paraId="2E8BF4EF" w14:textId="77777777" w:rsidR="006E3D9B" w:rsidRDefault="00F66D0A" w:rsidP="006E3D9B">
      <w:pPr>
        <w:jc w:val="center"/>
      </w:pPr>
      <w:r>
        <w:rPr>
          <w:rFonts w:ascii="Arial" w:hAnsi="Arial"/>
          <w:rtl/>
        </w:rPr>
        <w:t xml:space="preserve">ניתן היום,  ה' כסלו תשע"ח, 23 נובמבר 2017, בהעדר הצדדים. </w:t>
      </w:r>
      <w:r w:rsidR="006E3D9B">
        <w:rPr>
          <w:rFonts w:hint="cs"/>
          <w:rtl/>
        </w:rPr>
        <w:t xml:space="preserve">   </w:t>
      </w:r>
      <w:r w:rsidR="006E3D9B">
        <w:rPr>
          <w:rFonts w:hint="cs"/>
          <w:rtl/>
        </w:rPr>
        <w:tab/>
      </w:r>
      <w:r w:rsidR="006E3D9B">
        <w:rPr>
          <w:rFonts w:hint="cs"/>
          <w:rtl/>
        </w:rPr>
        <w:tab/>
      </w:r>
      <w:r w:rsidR="006E3D9B">
        <w:rPr>
          <w:rFonts w:hint="cs"/>
          <w:rtl/>
        </w:rPr>
        <w:tab/>
      </w:r>
      <w:r w:rsidR="006E3D9B">
        <w:rPr>
          <w:rFonts w:hint="cs"/>
          <w:rtl/>
        </w:rPr>
        <w:tab/>
      </w:r>
      <w:r w:rsidR="006E3D9B">
        <w:rPr>
          <w:rFonts w:hint="cs"/>
          <w:rtl/>
        </w:rPr>
        <w:tab/>
      </w:r>
      <w:r w:rsidR="006E3D9B">
        <w:rPr>
          <w:rtl/>
        </w:rPr>
        <w:t xml:space="preserve">     </w:t>
      </w:r>
    </w:p>
    <w:p w14:paraId="4A403CC1" w14:textId="77777777" w:rsidR="006E3D9B" w:rsidRDefault="006E3D9B" w:rsidP="006E3D9B">
      <w:pPr>
        <w:jc w:val="center"/>
        <w:rPr>
          <w:rFonts w:ascii="Arial" w:hAnsi="Arial" w:cs="FrankRuehl"/>
          <w:sz w:val="28"/>
          <w:szCs w:val="28"/>
          <w:rtl/>
        </w:rPr>
      </w:pPr>
    </w:p>
    <w:p w14:paraId="1D67A057" w14:textId="77777777" w:rsidR="006E3D9B" w:rsidRDefault="006E3D9B" w:rsidP="006E3D9B">
      <w:pPr>
        <w:rPr>
          <w:rFonts w:cs="FrankRuehl"/>
          <w:sz w:val="28"/>
          <w:szCs w:val="28"/>
          <w:rtl/>
        </w:rPr>
      </w:pPr>
    </w:p>
    <w:p w14:paraId="2B7EF67C" w14:textId="77777777" w:rsidR="006E3D9B" w:rsidRPr="007C3590" w:rsidRDefault="007C3590" w:rsidP="006E3D9B">
      <w:pPr>
        <w:pStyle w:val="a3"/>
        <w:jc w:val="center"/>
        <w:rPr>
          <w:color w:val="FFFFFF"/>
          <w:sz w:val="2"/>
          <w:szCs w:val="2"/>
          <w:rtl/>
        </w:rPr>
      </w:pPr>
      <w:r w:rsidRPr="007C3590">
        <w:rPr>
          <w:color w:val="FFFFFF"/>
          <w:sz w:val="2"/>
          <w:szCs w:val="2"/>
          <w:rtl/>
        </w:rPr>
        <w:t>5129371</w:t>
      </w:r>
    </w:p>
    <w:p w14:paraId="40C2B476" w14:textId="77777777" w:rsidR="002D7B2F" w:rsidRPr="007C3590" w:rsidRDefault="007C3590" w:rsidP="00F66D0A">
      <w:pPr>
        <w:keepNext/>
        <w:rPr>
          <w:rFonts w:ascii="David" w:hAnsi="David"/>
          <w:color w:val="FFFFFF"/>
          <w:sz w:val="2"/>
          <w:szCs w:val="2"/>
          <w:rtl/>
        </w:rPr>
      </w:pPr>
      <w:r w:rsidRPr="007C3590">
        <w:rPr>
          <w:rFonts w:ascii="David" w:hAnsi="David"/>
          <w:color w:val="FFFFFF"/>
          <w:sz w:val="2"/>
          <w:szCs w:val="2"/>
          <w:rtl/>
        </w:rPr>
        <w:t>54678313</w:t>
      </w:r>
    </w:p>
    <w:p w14:paraId="0891DC4D" w14:textId="77777777" w:rsidR="00F66D0A" w:rsidRPr="00F66D0A" w:rsidRDefault="00F66D0A" w:rsidP="00F66D0A">
      <w:pPr>
        <w:keepNext/>
        <w:rPr>
          <w:rFonts w:ascii="David" w:hAnsi="David"/>
          <w:color w:val="000000"/>
          <w:sz w:val="22"/>
          <w:szCs w:val="22"/>
          <w:rtl/>
        </w:rPr>
      </w:pPr>
      <w:r w:rsidRPr="00F66D0A">
        <w:rPr>
          <w:rFonts w:ascii="David" w:hAnsi="David"/>
          <w:color w:val="000000"/>
          <w:sz w:val="22"/>
          <w:szCs w:val="22"/>
          <w:rtl/>
        </w:rPr>
        <w:t>אליהו ביתן 54678313</w:t>
      </w:r>
    </w:p>
    <w:p w14:paraId="5EBD29BF" w14:textId="77777777" w:rsidR="00F66D0A" w:rsidRDefault="00F66D0A" w:rsidP="00F66D0A">
      <w:r w:rsidRPr="00F66D0A">
        <w:rPr>
          <w:color w:val="000000"/>
          <w:rtl/>
        </w:rPr>
        <w:t>נוסח מסמך זה כפוף לשינויי ניסוח ועריכה</w:t>
      </w:r>
    </w:p>
    <w:p w14:paraId="19F771EF" w14:textId="77777777" w:rsidR="00F66D0A" w:rsidRDefault="00F66D0A" w:rsidP="00F66D0A">
      <w:pPr>
        <w:rPr>
          <w:rtl/>
        </w:rPr>
      </w:pPr>
    </w:p>
    <w:p w14:paraId="44DAA6BB" w14:textId="77777777" w:rsidR="00F66D0A" w:rsidRDefault="00F66D0A" w:rsidP="00F66D0A">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133B23A9" w14:textId="77777777" w:rsidR="00F66D0A" w:rsidRPr="00F66D0A" w:rsidRDefault="00F66D0A" w:rsidP="007C3590">
      <w:pPr>
        <w:rPr>
          <w:color w:val="0000FF"/>
          <w:u w:val="single"/>
        </w:rPr>
      </w:pPr>
    </w:p>
    <w:sectPr w:rsidR="00F66D0A" w:rsidRPr="00F66D0A" w:rsidSect="007C3590">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E759F" w14:textId="77777777" w:rsidR="002E6AF1" w:rsidRDefault="002E6AF1" w:rsidP="00366D27">
      <w:r>
        <w:separator/>
      </w:r>
    </w:p>
  </w:endnote>
  <w:endnote w:type="continuationSeparator" w:id="0">
    <w:p w14:paraId="065B469D" w14:textId="77777777" w:rsidR="002E6AF1" w:rsidRDefault="002E6AF1" w:rsidP="00366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2ECBE" w14:textId="77777777" w:rsidR="002E6AF1" w:rsidRDefault="002E6AF1" w:rsidP="007C359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613634" w14:textId="77777777" w:rsidR="002E6AF1" w:rsidRPr="007C3590" w:rsidRDefault="002E6AF1" w:rsidP="007C3590">
    <w:pPr>
      <w:pStyle w:val="a5"/>
      <w:pBdr>
        <w:top w:val="single" w:sz="4" w:space="1" w:color="auto"/>
        <w:between w:val="single" w:sz="4" w:space="0" w:color="auto"/>
      </w:pBdr>
      <w:spacing w:after="60"/>
      <w:jc w:val="center"/>
      <w:rPr>
        <w:rFonts w:ascii="FrankRuehl" w:hAnsi="FrankRuehl" w:cs="FrankRuehl"/>
        <w:color w:val="000000"/>
      </w:rPr>
    </w:pPr>
    <w:r w:rsidRPr="007C35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C89FE" w14:textId="77777777" w:rsidR="002E6AF1" w:rsidRDefault="002E6AF1" w:rsidP="007C359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43AAE">
      <w:rPr>
        <w:rFonts w:ascii="FrankRuehl" w:hAnsi="FrankRuehl" w:cs="FrankRuehl"/>
        <w:noProof/>
        <w:rtl/>
      </w:rPr>
      <w:t>1</w:t>
    </w:r>
    <w:r>
      <w:rPr>
        <w:rFonts w:ascii="FrankRuehl" w:hAnsi="FrankRuehl" w:cs="FrankRuehl"/>
        <w:rtl/>
      </w:rPr>
      <w:fldChar w:fldCharType="end"/>
    </w:r>
  </w:p>
  <w:p w14:paraId="1C56A85F" w14:textId="77777777" w:rsidR="002E6AF1" w:rsidRPr="007C3590" w:rsidRDefault="002E6AF1" w:rsidP="007C3590">
    <w:pPr>
      <w:pStyle w:val="a5"/>
      <w:pBdr>
        <w:top w:val="single" w:sz="4" w:space="1" w:color="auto"/>
        <w:between w:val="single" w:sz="4" w:space="0" w:color="auto"/>
      </w:pBdr>
      <w:spacing w:after="60"/>
      <w:jc w:val="center"/>
      <w:rPr>
        <w:rFonts w:ascii="FrankRuehl" w:hAnsi="FrankRuehl" w:cs="FrankRuehl"/>
        <w:color w:val="000000"/>
      </w:rPr>
    </w:pPr>
    <w:r w:rsidRPr="007C3590">
      <w:rPr>
        <w:rFonts w:ascii="FrankRuehl" w:hAnsi="FrankRuehl" w:cs="FrankRuehl"/>
        <w:color w:val="000000"/>
      </w:rPr>
      <w:pict w14:anchorId="24C01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ED418" w14:textId="77777777" w:rsidR="002E6AF1" w:rsidRDefault="002E6AF1" w:rsidP="00366D27">
      <w:r>
        <w:separator/>
      </w:r>
    </w:p>
  </w:footnote>
  <w:footnote w:type="continuationSeparator" w:id="0">
    <w:p w14:paraId="4FFDC49B" w14:textId="77777777" w:rsidR="002E6AF1" w:rsidRDefault="002E6AF1" w:rsidP="00366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CD35F" w14:textId="77777777" w:rsidR="002E6AF1" w:rsidRPr="007C3590" w:rsidRDefault="002E6AF1" w:rsidP="007C35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53772-07-17</w:t>
    </w:r>
    <w:r>
      <w:rPr>
        <w:rFonts w:ascii="David" w:hAnsi="David"/>
        <w:color w:val="000000"/>
        <w:sz w:val="22"/>
        <w:szCs w:val="22"/>
        <w:rtl/>
      </w:rPr>
      <w:tab/>
      <w:t xml:space="preserve"> מדינת ישראל נ' רועי מלכה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1DA78" w14:textId="77777777" w:rsidR="002E6AF1" w:rsidRPr="007C3590" w:rsidRDefault="002E6AF1" w:rsidP="007C35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53772-07-17</w:t>
    </w:r>
    <w:r>
      <w:rPr>
        <w:rFonts w:ascii="David" w:hAnsi="David"/>
        <w:color w:val="000000"/>
        <w:sz w:val="22"/>
        <w:szCs w:val="22"/>
        <w:rtl/>
      </w:rPr>
      <w:tab/>
      <w:t xml:space="preserve"> מדינת ישראל נ' רועי מלכה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45766"/>
    <w:multiLevelType w:val="hybridMultilevel"/>
    <w:tmpl w:val="4CD04554"/>
    <w:lvl w:ilvl="0" w:tplc="E2A0C45A">
      <w:start w:val="1"/>
      <w:numFmt w:val="hebrew1"/>
      <w:lvlText w:val="%1."/>
      <w:lvlJc w:val="left"/>
      <w:pPr>
        <w:ind w:left="1635" w:hanging="915"/>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5F0F15EF"/>
    <w:multiLevelType w:val="hybridMultilevel"/>
    <w:tmpl w:val="F86ABD2A"/>
    <w:lvl w:ilvl="0" w:tplc="A060E926">
      <w:start w:val="1"/>
      <w:numFmt w:val="hebrew1"/>
      <w:lvlText w:val="%1."/>
      <w:lvlJc w:val="left"/>
      <w:pPr>
        <w:ind w:left="1440" w:hanging="72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3644753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52407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3D9B"/>
    <w:rsid w:val="00243AAE"/>
    <w:rsid w:val="002D7B2F"/>
    <w:rsid w:val="002E6AF1"/>
    <w:rsid w:val="00366D27"/>
    <w:rsid w:val="005F34AA"/>
    <w:rsid w:val="00631358"/>
    <w:rsid w:val="00693675"/>
    <w:rsid w:val="006E3D9B"/>
    <w:rsid w:val="007C3590"/>
    <w:rsid w:val="00A7300B"/>
    <w:rsid w:val="00AB511E"/>
    <w:rsid w:val="00BA16A0"/>
    <w:rsid w:val="00F66D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0F7D946"/>
  <w15:chartTrackingRefBased/>
  <w15:docId w15:val="{D4F04F2F-D728-43E5-A92D-B4928261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3D9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E3D9B"/>
    <w:pPr>
      <w:tabs>
        <w:tab w:val="center" w:pos="4153"/>
        <w:tab w:val="right" w:pos="8306"/>
      </w:tabs>
    </w:pPr>
  </w:style>
  <w:style w:type="character" w:customStyle="1" w:styleId="a4">
    <w:name w:val="כותרת עליונה תו"/>
    <w:link w:val="a3"/>
    <w:rsid w:val="006E3D9B"/>
    <w:rPr>
      <w:rFonts w:ascii="Times New Roman" w:eastAsia="Times New Roman" w:hAnsi="Times New Roman" w:cs="David"/>
      <w:sz w:val="24"/>
      <w:szCs w:val="24"/>
    </w:rPr>
  </w:style>
  <w:style w:type="paragraph" w:styleId="a5">
    <w:name w:val="footer"/>
    <w:basedOn w:val="a"/>
    <w:link w:val="a6"/>
    <w:rsid w:val="006E3D9B"/>
    <w:pPr>
      <w:tabs>
        <w:tab w:val="center" w:pos="4153"/>
        <w:tab w:val="right" w:pos="8306"/>
      </w:tabs>
    </w:pPr>
  </w:style>
  <w:style w:type="character" w:customStyle="1" w:styleId="a6">
    <w:name w:val="כותרת תחתונה תו"/>
    <w:link w:val="a5"/>
    <w:rsid w:val="006E3D9B"/>
    <w:rPr>
      <w:rFonts w:ascii="Times New Roman" w:eastAsia="Times New Roman" w:hAnsi="Times New Roman" w:cs="David"/>
      <w:sz w:val="24"/>
      <w:szCs w:val="24"/>
    </w:rPr>
  </w:style>
  <w:style w:type="table" w:styleId="a7">
    <w:name w:val="Table Grid"/>
    <w:basedOn w:val="a1"/>
    <w:rsid w:val="006E3D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E3D9B"/>
  </w:style>
  <w:style w:type="character" w:styleId="Hyperlink">
    <w:name w:val="Hyperlink"/>
    <w:rsid w:val="00F66D0A"/>
    <w:rPr>
      <w:color w:val="0563C1"/>
      <w:u w:val="single"/>
    </w:rPr>
  </w:style>
  <w:style w:type="character" w:styleId="a9">
    <w:name w:val="Unresolved Mention"/>
    <w:rsid w:val="00F66D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5825</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2025-01-19T16:17:00Z</dcterms:created>
  <dcterms:modified xsi:type="dcterms:W3CDTF">2025-01-19T16:17:00Z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53772</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רועי מלכה</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20171123</vt:lpwstr>
  </property>
  <property fmtid="{D5CDD505-2E9C-101B-9397-08002B2CF9AE}" pid="13" name="TYPE_N_DATE">
    <vt:lpwstr>39020171123</vt:lpwstr>
  </property>
  <property fmtid="{D5CDD505-2E9C-101B-9397-08002B2CF9AE}" pid="14" name="WORDNUMPAGES">
    <vt:lpwstr>5</vt:lpwstr>
  </property>
  <property fmtid="{D5CDD505-2E9C-101B-9397-08002B2CF9AE}" pid="15" name="TYPE_ABS_DATE">
    <vt:lpwstr>390020171123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70301/144.a</vt:lpwstr>
  </property>
</Properties>
</file>