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224" w:type="dxa"/>
        <w:jc w:val="center"/>
        <w:tblLook w:val="0000" w:firstRow="0" w:lastRow="0" w:firstColumn="0" w:lastColumn="0" w:noHBand="0" w:noVBand="0"/>
      </w:tblPr>
      <w:tblGrid>
        <w:gridCol w:w="3671"/>
        <w:gridCol w:w="1256"/>
        <w:gridCol w:w="4297"/>
      </w:tblGrid>
      <w:tr w:rsidR="004E7D73" w:rsidRPr="007301B3" w14:paraId="219AAA7A" w14:textId="77777777" w:rsidTr="008B21A7">
        <w:trPr>
          <w:trHeight w:hRule="exact" w:val="339"/>
          <w:jc w:val="center"/>
        </w:trPr>
        <w:tc>
          <w:tcPr>
            <w:tcW w:w="9224" w:type="dxa"/>
            <w:gridSpan w:val="3"/>
          </w:tcPr>
          <w:p w14:paraId="6E2BCE6A" w14:textId="77777777" w:rsidR="004E7D73" w:rsidRPr="007301B3" w:rsidRDefault="004E7D73" w:rsidP="008B21A7">
            <w:pPr>
              <w:pStyle w:val="a3"/>
              <w:jc w:val="center"/>
              <w:rPr>
                <w:rFonts w:ascii="Tahoma" w:hAnsi="Tahoma"/>
                <w:rtl/>
              </w:rPr>
            </w:pPr>
            <w:bookmarkStart w:id="0" w:name="LastJudge"/>
            <w:r w:rsidRPr="007301B3">
              <w:rPr>
                <w:rFonts w:ascii="Tahoma" w:hAnsi="Tahoma" w:hint="cs"/>
                <w:b/>
                <w:bCs/>
                <w:rtl/>
              </w:rPr>
              <w:t>בתי המשפט</w:t>
            </w:r>
          </w:p>
        </w:tc>
      </w:tr>
      <w:tr w:rsidR="004E7D73" w:rsidRPr="007301B3" w14:paraId="05D70179" w14:textId="77777777" w:rsidTr="008B21A7">
        <w:trPr>
          <w:trHeight w:val="337"/>
          <w:jc w:val="center"/>
        </w:trPr>
        <w:tc>
          <w:tcPr>
            <w:tcW w:w="4927" w:type="dxa"/>
            <w:gridSpan w:val="2"/>
          </w:tcPr>
          <w:p w14:paraId="458AC870" w14:textId="77777777" w:rsidR="004E7D73" w:rsidRPr="007301B3" w:rsidRDefault="004E7D73" w:rsidP="008B21A7">
            <w:pPr>
              <w:pStyle w:val="a3"/>
              <w:rPr>
                <w:b/>
                <w:bCs/>
                <w:sz w:val="32"/>
                <w:szCs w:val="32"/>
                <w:rtl/>
              </w:rPr>
            </w:pPr>
            <w:r w:rsidRPr="007301B3">
              <w:rPr>
                <w:rFonts w:hint="cs"/>
                <w:b/>
                <w:bCs/>
                <w:sz w:val="32"/>
                <w:szCs w:val="32"/>
                <w:rtl/>
              </w:rPr>
              <w:t>בבית המשפט המחוזי</w:t>
            </w:r>
          </w:p>
          <w:p w14:paraId="78383A6A" w14:textId="77777777" w:rsidR="004E7D73" w:rsidRPr="007301B3" w:rsidRDefault="004E7D73" w:rsidP="008B21A7">
            <w:pPr>
              <w:pStyle w:val="a3"/>
              <w:rPr>
                <w:sz w:val="28"/>
                <w:szCs w:val="28"/>
                <w:rtl/>
              </w:rPr>
            </w:pPr>
            <w:r w:rsidRPr="007301B3">
              <w:rPr>
                <w:rFonts w:hint="cs"/>
                <w:b/>
                <w:bCs/>
                <w:sz w:val="32"/>
                <w:szCs w:val="32"/>
                <w:rtl/>
              </w:rPr>
              <w:t>בירושלים</w:t>
            </w:r>
          </w:p>
        </w:tc>
        <w:tc>
          <w:tcPr>
            <w:tcW w:w="4297" w:type="dxa"/>
          </w:tcPr>
          <w:p w14:paraId="2025EA86" w14:textId="77777777" w:rsidR="004E7D73" w:rsidRPr="007301B3" w:rsidRDefault="004E7D73" w:rsidP="008B21A7">
            <w:pPr>
              <w:jc w:val="right"/>
              <w:rPr>
                <w:b/>
                <w:bCs/>
                <w:sz w:val="32"/>
                <w:szCs w:val="32"/>
                <w:rtl/>
              </w:rPr>
            </w:pPr>
            <w:r w:rsidRPr="007301B3">
              <w:rPr>
                <w:b/>
                <w:bCs/>
                <w:sz w:val="32"/>
                <w:szCs w:val="32"/>
                <w:rtl/>
              </w:rPr>
              <w:t>ת"פ</w:t>
            </w:r>
            <w:r w:rsidRPr="007301B3">
              <w:rPr>
                <w:rFonts w:hint="cs"/>
                <w:b/>
                <w:bCs/>
                <w:sz w:val="32"/>
                <w:szCs w:val="32"/>
                <w:rtl/>
              </w:rPr>
              <w:t xml:space="preserve"> </w:t>
            </w:r>
            <w:r w:rsidRPr="007301B3">
              <w:rPr>
                <w:b/>
                <w:bCs/>
                <w:sz w:val="32"/>
                <w:szCs w:val="32"/>
                <w:rtl/>
              </w:rPr>
              <w:t>63206-07-17</w:t>
            </w:r>
            <w:r w:rsidRPr="007301B3">
              <w:rPr>
                <w:rFonts w:hint="cs"/>
                <w:b/>
                <w:bCs/>
                <w:sz w:val="32"/>
                <w:szCs w:val="32"/>
                <w:rtl/>
              </w:rPr>
              <w:t xml:space="preserve"> </w:t>
            </w:r>
          </w:p>
          <w:p w14:paraId="69A2CD73" w14:textId="77777777" w:rsidR="004E7D73" w:rsidRPr="007301B3" w:rsidRDefault="004E7D73" w:rsidP="008B21A7">
            <w:pPr>
              <w:pStyle w:val="a3"/>
              <w:jc w:val="right"/>
              <w:rPr>
                <w:rtl/>
              </w:rPr>
            </w:pPr>
          </w:p>
          <w:p w14:paraId="25B0AC84" w14:textId="77777777" w:rsidR="004E7D73" w:rsidRPr="007301B3" w:rsidRDefault="004E7D73" w:rsidP="008B21A7">
            <w:pPr>
              <w:pStyle w:val="a3"/>
              <w:jc w:val="right"/>
              <w:rPr>
                <w:b/>
                <w:bCs/>
                <w:sz w:val="32"/>
                <w:szCs w:val="32"/>
                <w:rtl/>
              </w:rPr>
            </w:pPr>
          </w:p>
        </w:tc>
      </w:tr>
      <w:tr w:rsidR="004E7D73" w:rsidRPr="007301B3" w14:paraId="07DD26B0" w14:textId="77777777" w:rsidTr="008B21A7">
        <w:trPr>
          <w:trHeight w:val="337"/>
          <w:jc w:val="center"/>
        </w:trPr>
        <w:tc>
          <w:tcPr>
            <w:tcW w:w="3671" w:type="dxa"/>
          </w:tcPr>
          <w:p w14:paraId="2460374E" w14:textId="77777777" w:rsidR="004E7D73" w:rsidRPr="007301B3" w:rsidRDefault="004E7D73" w:rsidP="008B21A7">
            <w:pPr>
              <w:rPr>
                <w:rFonts w:ascii="Arial" w:hAnsi="Arial"/>
                <w:b/>
                <w:bCs/>
                <w:sz w:val="28"/>
                <w:szCs w:val="28"/>
                <w:rtl/>
              </w:rPr>
            </w:pPr>
          </w:p>
          <w:p w14:paraId="1A367598" w14:textId="77777777" w:rsidR="004E7D73" w:rsidRPr="007301B3" w:rsidRDefault="004E7D73" w:rsidP="008B21A7">
            <w:r w:rsidRPr="007301B3">
              <w:rPr>
                <w:rFonts w:ascii="Arial" w:hAnsi="Arial" w:hint="cs"/>
                <w:b/>
                <w:bCs/>
                <w:sz w:val="28"/>
                <w:szCs w:val="28"/>
                <w:rtl/>
              </w:rPr>
              <w:t>ב</w:t>
            </w:r>
            <w:r w:rsidRPr="007301B3">
              <w:rPr>
                <w:rFonts w:ascii="Arial" w:hAnsi="Arial"/>
                <w:b/>
                <w:bCs/>
                <w:sz w:val="28"/>
                <w:szCs w:val="28"/>
                <w:rtl/>
              </w:rPr>
              <w:t>פני</w:t>
            </w:r>
            <w:r w:rsidRPr="007301B3">
              <w:rPr>
                <w:rFonts w:ascii="Arial" w:hAnsi="Arial" w:hint="cs"/>
                <w:b/>
                <w:bCs/>
                <w:sz w:val="28"/>
                <w:szCs w:val="28"/>
                <w:rtl/>
              </w:rPr>
              <w:t>: כב' ה</w:t>
            </w:r>
            <w:r w:rsidRPr="007301B3">
              <w:rPr>
                <w:rFonts w:ascii="Arial" w:hAnsi="Arial"/>
                <w:b/>
                <w:bCs/>
                <w:sz w:val="28"/>
                <w:szCs w:val="28"/>
                <w:rtl/>
              </w:rPr>
              <w:t>שופט</w:t>
            </w:r>
            <w:r w:rsidRPr="007301B3">
              <w:rPr>
                <w:rFonts w:ascii="Arial" w:hAnsi="Arial" w:hint="cs"/>
                <w:b/>
                <w:bCs/>
                <w:sz w:val="28"/>
                <w:szCs w:val="28"/>
                <w:rtl/>
              </w:rPr>
              <w:t xml:space="preserve"> </w:t>
            </w:r>
            <w:r w:rsidRPr="007301B3">
              <w:rPr>
                <w:rFonts w:ascii="Arial" w:hAnsi="Arial"/>
                <w:b/>
                <w:bCs/>
                <w:sz w:val="28"/>
                <w:szCs w:val="28"/>
                <w:rtl/>
              </w:rPr>
              <w:t>אלכסנדר רון</w:t>
            </w:r>
          </w:p>
          <w:p w14:paraId="3649FBEC" w14:textId="77777777" w:rsidR="004E7D73" w:rsidRPr="007301B3" w:rsidRDefault="004E7D73" w:rsidP="008B21A7">
            <w:pPr>
              <w:jc w:val="right"/>
              <w:rPr>
                <w:b/>
                <w:bCs/>
                <w:sz w:val="32"/>
                <w:szCs w:val="32"/>
              </w:rPr>
            </w:pPr>
          </w:p>
        </w:tc>
        <w:tc>
          <w:tcPr>
            <w:tcW w:w="5553" w:type="dxa"/>
            <w:gridSpan w:val="2"/>
          </w:tcPr>
          <w:p w14:paraId="4F524CF3" w14:textId="77777777" w:rsidR="004E7D73" w:rsidRPr="007301B3" w:rsidRDefault="004E7D73" w:rsidP="008B21A7">
            <w:pPr>
              <w:jc w:val="right"/>
              <w:rPr>
                <w:b/>
                <w:bCs/>
                <w:sz w:val="28"/>
                <w:szCs w:val="28"/>
                <w:rtl/>
              </w:rPr>
            </w:pPr>
          </w:p>
          <w:p w14:paraId="235ED34E" w14:textId="77777777" w:rsidR="004E7D73" w:rsidRPr="007301B3" w:rsidRDefault="004E7D73" w:rsidP="008B21A7">
            <w:pPr>
              <w:jc w:val="right"/>
              <w:rPr>
                <w:b/>
                <w:bCs/>
                <w:sz w:val="32"/>
                <w:szCs w:val="32"/>
                <w:rtl/>
              </w:rPr>
            </w:pPr>
            <w:r w:rsidRPr="007301B3">
              <w:rPr>
                <w:rFonts w:hint="cs"/>
                <w:b/>
                <w:bCs/>
                <w:sz w:val="28"/>
                <w:szCs w:val="28"/>
                <w:rtl/>
              </w:rPr>
              <w:t>תאריך: ג' ניסן תשע"ט, 08 אפריל 2019</w:t>
            </w:r>
          </w:p>
        </w:tc>
      </w:tr>
    </w:tbl>
    <w:p w14:paraId="4A21EF20" w14:textId="77777777" w:rsidR="004E7D73" w:rsidRPr="007301B3" w:rsidRDefault="004E7D73" w:rsidP="004E7D73">
      <w:pPr>
        <w:pStyle w:val="a3"/>
        <w:rPr>
          <w:rtl/>
        </w:rPr>
      </w:pPr>
      <w:r w:rsidRPr="007301B3">
        <w:rPr>
          <w:rFonts w:hint="cs"/>
          <w:rtl/>
        </w:rPr>
        <w:t xml:space="preserve"> </w:t>
      </w:r>
    </w:p>
    <w:p w14:paraId="12DF7984" w14:textId="77777777" w:rsidR="004E7D73" w:rsidRPr="007301B3" w:rsidRDefault="004E7D73" w:rsidP="004E7D73">
      <w:pPr>
        <w:spacing w:line="480" w:lineRule="auto"/>
        <w:rPr>
          <w:rFonts w:ascii="Arial" w:hAnsi="Arial"/>
          <w:b/>
          <w:bCs/>
          <w:sz w:val="36"/>
          <w:szCs w:val="36"/>
          <w:rtl/>
        </w:rPr>
      </w:pPr>
    </w:p>
    <w:tbl>
      <w:tblPr>
        <w:bidiVisual/>
        <w:tblW w:w="8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
        <w:gridCol w:w="3705"/>
        <w:gridCol w:w="4321"/>
      </w:tblGrid>
      <w:tr w:rsidR="004E7D73" w:rsidRPr="007301B3" w14:paraId="5EDCC7C6" w14:textId="77777777" w:rsidTr="004E7D73">
        <w:trPr>
          <w:trHeight w:val="395"/>
          <w:jc w:val="center"/>
        </w:trPr>
        <w:tc>
          <w:tcPr>
            <w:tcW w:w="8867" w:type="dxa"/>
            <w:gridSpan w:val="3"/>
            <w:tcBorders>
              <w:top w:val="nil"/>
              <w:left w:val="nil"/>
              <w:bottom w:val="nil"/>
              <w:right w:val="nil"/>
            </w:tcBorders>
            <w:shd w:val="clear" w:color="auto" w:fill="auto"/>
          </w:tcPr>
          <w:p w14:paraId="22457D18" w14:textId="77777777" w:rsidR="004E7D73" w:rsidRPr="007301B3" w:rsidRDefault="004E7D73" w:rsidP="004E7D73">
            <w:pPr>
              <w:jc w:val="right"/>
              <w:rPr>
                <w:rFonts w:ascii="Arial" w:hAnsi="Arial"/>
                <w:b/>
                <w:bCs/>
                <w:rtl/>
              </w:rPr>
            </w:pPr>
          </w:p>
        </w:tc>
      </w:tr>
      <w:tr w:rsidR="004E7D73" w:rsidRPr="007301B3" w14:paraId="3A7BFE08" w14:textId="77777777" w:rsidTr="004E7D73">
        <w:trPr>
          <w:trHeight w:val="355"/>
          <w:jc w:val="center"/>
        </w:trPr>
        <w:tc>
          <w:tcPr>
            <w:tcW w:w="841" w:type="dxa"/>
            <w:tcBorders>
              <w:top w:val="nil"/>
              <w:left w:val="nil"/>
              <w:bottom w:val="nil"/>
              <w:right w:val="nil"/>
            </w:tcBorders>
            <w:shd w:val="clear" w:color="auto" w:fill="auto"/>
          </w:tcPr>
          <w:p w14:paraId="56E8F0C3" w14:textId="77777777" w:rsidR="004E7D73" w:rsidRPr="007301B3" w:rsidRDefault="004E7D73" w:rsidP="004E7D73">
            <w:pPr>
              <w:jc w:val="both"/>
              <w:rPr>
                <w:rFonts w:ascii="Arial" w:hAnsi="Arial"/>
                <w:b/>
                <w:bCs/>
              </w:rPr>
            </w:pPr>
            <w:bookmarkStart w:id="1" w:name="FirstAppellant"/>
            <w:r w:rsidRPr="007301B3">
              <w:rPr>
                <w:rFonts w:ascii="Arial" w:hAnsi="Arial" w:hint="cs"/>
                <w:b/>
                <w:bCs/>
                <w:rtl/>
              </w:rPr>
              <w:t>בעניין:</w:t>
            </w:r>
          </w:p>
        </w:tc>
        <w:tc>
          <w:tcPr>
            <w:tcW w:w="3705" w:type="dxa"/>
            <w:tcBorders>
              <w:top w:val="nil"/>
              <w:left w:val="nil"/>
              <w:bottom w:val="nil"/>
              <w:right w:val="nil"/>
            </w:tcBorders>
            <w:shd w:val="clear" w:color="auto" w:fill="auto"/>
          </w:tcPr>
          <w:p w14:paraId="41695004" w14:textId="77777777" w:rsidR="004E7D73" w:rsidRPr="007301B3" w:rsidRDefault="004E7D73" w:rsidP="004E7D73">
            <w:pPr>
              <w:spacing w:line="360" w:lineRule="auto"/>
              <w:rPr>
                <w:b/>
                <w:bCs/>
              </w:rPr>
            </w:pPr>
            <w:r w:rsidRPr="007301B3">
              <w:rPr>
                <w:rFonts w:ascii="Arial" w:hAnsi="Arial"/>
                <w:b/>
                <w:bCs/>
                <w:rtl/>
              </w:rPr>
              <w:t>מדינת ישראל</w:t>
            </w:r>
          </w:p>
        </w:tc>
        <w:tc>
          <w:tcPr>
            <w:tcW w:w="4321" w:type="dxa"/>
            <w:tcBorders>
              <w:top w:val="nil"/>
              <w:left w:val="nil"/>
              <w:bottom w:val="nil"/>
              <w:right w:val="nil"/>
            </w:tcBorders>
            <w:shd w:val="clear" w:color="auto" w:fill="auto"/>
            <w:vAlign w:val="bottom"/>
          </w:tcPr>
          <w:p w14:paraId="002F87DE" w14:textId="77777777" w:rsidR="004E7D73" w:rsidRPr="007301B3" w:rsidRDefault="004E7D73" w:rsidP="008B21A7">
            <w:pPr>
              <w:rPr>
                <w:rFonts w:ascii="Arial" w:hAnsi="Arial"/>
              </w:rPr>
            </w:pPr>
            <w:r w:rsidRPr="007301B3">
              <w:rPr>
                <w:rFonts w:ascii="Arial" w:hAnsi="Arial" w:hint="cs"/>
                <w:b/>
                <w:bCs/>
                <w:rtl/>
              </w:rPr>
              <w:t>ה</w:t>
            </w:r>
            <w:r w:rsidRPr="007301B3">
              <w:rPr>
                <w:rFonts w:ascii="Arial" w:hAnsi="Arial"/>
                <w:b/>
                <w:bCs/>
                <w:rtl/>
              </w:rPr>
              <w:t>מאשימה</w:t>
            </w:r>
          </w:p>
        </w:tc>
      </w:tr>
      <w:bookmarkEnd w:id="1"/>
      <w:tr w:rsidR="004E7D73" w:rsidRPr="007301B3" w14:paraId="1248BAED" w14:textId="77777777" w:rsidTr="004E7D73">
        <w:trPr>
          <w:trHeight w:val="355"/>
          <w:jc w:val="center"/>
        </w:trPr>
        <w:tc>
          <w:tcPr>
            <w:tcW w:w="841" w:type="dxa"/>
            <w:tcBorders>
              <w:top w:val="nil"/>
              <w:left w:val="nil"/>
              <w:bottom w:val="nil"/>
              <w:right w:val="nil"/>
            </w:tcBorders>
            <w:shd w:val="clear" w:color="auto" w:fill="auto"/>
          </w:tcPr>
          <w:p w14:paraId="41CD3D18" w14:textId="77777777" w:rsidR="004E7D73" w:rsidRPr="007301B3" w:rsidRDefault="004E7D73" w:rsidP="004E7D73">
            <w:pPr>
              <w:jc w:val="both"/>
              <w:rPr>
                <w:rFonts w:ascii="Arial" w:hAnsi="Arial" w:cs="FrankRuehl"/>
                <w:sz w:val="28"/>
                <w:szCs w:val="28"/>
                <w:rtl/>
              </w:rPr>
            </w:pPr>
          </w:p>
        </w:tc>
        <w:tc>
          <w:tcPr>
            <w:tcW w:w="8026" w:type="dxa"/>
            <w:gridSpan w:val="2"/>
            <w:tcBorders>
              <w:top w:val="nil"/>
              <w:left w:val="nil"/>
              <w:bottom w:val="nil"/>
              <w:right w:val="nil"/>
            </w:tcBorders>
            <w:shd w:val="clear" w:color="auto" w:fill="auto"/>
          </w:tcPr>
          <w:p w14:paraId="79AD8ED1" w14:textId="77777777" w:rsidR="004E7D73" w:rsidRPr="007301B3" w:rsidRDefault="004E7D73" w:rsidP="004E7D73">
            <w:pPr>
              <w:jc w:val="center"/>
              <w:rPr>
                <w:rFonts w:ascii="Arial" w:hAnsi="Arial"/>
                <w:b/>
                <w:bCs/>
                <w:rtl/>
              </w:rPr>
            </w:pPr>
          </w:p>
          <w:p w14:paraId="124CE49C" w14:textId="77777777" w:rsidR="004E7D73" w:rsidRPr="007301B3" w:rsidRDefault="004E7D73" w:rsidP="004E7D73">
            <w:pPr>
              <w:jc w:val="center"/>
              <w:rPr>
                <w:rFonts w:ascii="Arial" w:hAnsi="Arial"/>
                <w:b/>
                <w:bCs/>
                <w:rtl/>
              </w:rPr>
            </w:pPr>
            <w:r w:rsidRPr="007301B3">
              <w:rPr>
                <w:rFonts w:ascii="Arial" w:hAnsi="Arial"/>
                <w:b/>
                <w:bCs/>
                <w:rtl/>
              </w:rPr>
              <w:t>נ</w:t>
            </w:r>
            <w:r w:rsidRPr="007301B3">
              <w:rPr>
                <w:rFonts w:ascii="Arial" w:hAnsi="Arial" w:hint="cs"/>
                <w:b/>
                <w:bCs/>
                <w:rtl/>
              </w:rPr>
              <w:t xml:space="preserve"> </w:t>
            </w:r>
            <w:r w:rsidRPr="007301B3">
              <w:rPr>
                <w:rFonts w:ascii="Arial" w:hAnsi="Arial"/>
                <w:b/>
                <w:bCs/>
                <w:rtl/>
              </w:rPr>
              <w:t>ג</w:t>
            </w:r>
            <w:r w:rsidRPr="007301B3">
              <w:rPr>
                <w:rFonts w:ascii="Arial" w:hAnsi="Arial" w:hint="cs"/>
                <w:b/>
                <w:bCs/>
                <w:rtl/>
              </w:rPr>
              <w:t xml:space="preserve"> </w:t>
            </w:r>
            <w:r w:rsidRPr="007301B3">
              <w:rPr>
                <w:rFonts w:ascii="Arial" w:hAnsi="Arial"/>
                <w:b/>
                <w:bCs/>
                <w:rtl/>
              </w:rPr>
              <w:t>ד</w:t>
            </w:r>
          </w:p>
          <w:p w14:paraId="2AEAF1BD" w14:textId="77777777" w:rsidR="004E7D73" w:rsidRPr="007301B3" w:rsidRDefault="004E7D73" w:rsidP="004E7D73">
            <w:pPr>
              <w:jc w:val="both"/>
              <w:rPr>
                <w:rFonts w:ascii="Arial" w:hAnsi="Arial"/>
              </w:rPr>
            </w:pPr>
          </w:p>
        </w:tc>
      </w:tr>
      <w:tr w:rsidR="004E7D73" w:rsidRPr="007301B3" w14:paraId="3E463C49" w14:textId="77777777" w:rsidTr="004E7D73">
        <w:trPr>
          <w:trHeight w:val="355"/>
          <w:jc w:val="center"/>
        </w:trPr>
        <w:tc>
          <w:tcPr>
            <w:tcW w:w="841" w:type="dxa"/>
            <w:tcBorders>
              <w:top w:val="nil"/>
              <w:left w:val="nil"/>
              <w:bottom w:val="nil"/>
              <w:right w:val="nil"/>
            </w:tcBorders>
            <w:shd w:val="clear" w:color="auto" w:fill="auto"/>
          </w:tcPr>
          <w:p w14:paraId="0B37D2B8" w14:textId="77777777" w:rsidR="004E7D73" w:rsidRPr="007301B3" w:rsidRDefault="004E7D73" w:rsidP="004E7D73">
            <w:pPr>
              <w:jc w:val="both"/>
              <w:rPr>
                <w:rFonts w:ascii="Arial" w:hAnsi="Arial" w:cs="FrankRuehl"/>
                <w:sz w:val="28"/>
                <w:szCs w:val="28"/>
                <w:rtl/>
              </w:rPr>
            </w:pPr>
          </w:p>
        </w:tc>
        <w:tc>
          <w:tcPr>
            <w:tcW w:w="3705" w:type="dxa"/>
            <w:tcBorders>
              <w:top w:val="nil"/>
              <w:left w:val="nil"/>
              <w:bottom w:val="nil"/>
              <w:right w:val="nil"/>
            </w:tcBorders>
            <w:shd w:val="clear" w:color="auto" w:fill="auto"/>
          </w:tcPr>
          <w:p w14:paraId="779B8E4B" w14:textId="77777777" w:rsidR="004E7D73" w:rsidRPr="007301B3" w:rsidRDefault="004E7D73" w:rsidP="004E7D73">
            <w:pPr>
              <w:spacing w:line="360" w:lineRule="auto"/>
              <w:rPr>
                <w:b/>
                <w:bCs/>
                <w:rtl/>
              </w:rPr>
            </w:pPr>
            <w:r w:rsidRPr="007301B3">
              <w:rPr>
                <w:rFonts w:ascii="Arial" w:hAnsi="Arial"/>
                <w:b/>
                <w:bCs/>
                <w:rtl/>
              </w:rPr>
              <w:t>עבד אל</w:t>
            </w:r>
            <w:r w:rsidRPr="007301B3">
              <w:rPr>
                <w:rFonts w:ascii="Arial" w:hAnsi="Arial" w:hint="cs"/>
                <w:b/>
                <w:bCs/>
                <w:rtl/>
              </w:rPr>
              <w:t>-</w:t>
            </w:r>
            <w:r w:rsidRPr="007301B3">
              <w:rPr>
                <w:rFonts w:ascii="Arial" w:hAnsi="Arial"/>
                <w:b/>
                <w:bCs/>
                <w:rtl/>
              </w:rPr>
              <w:t>סמד בורקאן</w:t>
            </w:r>
          </w:p>
        </w:tc>
        <w:tc>
          <w:tcPr>
            <w:tcW w:w="4321" w:type="dxa"/>
            <w:tcBorders>
              <w:top w:val="nil"/>
              <w:left w:val="nil"/>
              <w:bottom w:val="nil"/>
              <w:right w:val="nil"/>
            </w:tcBorders>
            <w:shd w:val="clear" w:color="auto" w:fill="auto"/>
            <w:vAlign w:val="bottom"/>
          </w:tcPr>
          <w:p w14:paraId="25AECEF4" w14:textId="77777777" w:rsidR="004E7D73" w:rsidRPr="007301B3" w:rsidRDefault="004E7D73" w:rsidP="008B21A7">
            <w:pPr>
              <w:rPr>
                <w:rFonts w:ascii="Arial" w:hAnsi="Arial"/>
              </w:rPr>
            </w:pPr>
            <w:r w:rsidRPr="007301B3">
              <w:rPr>
                <w:rFonts w:ascii="Arial" w:hAnsi="Arial" w:hint="cs"/>
                <w:b/>
                <w:bCs/>
                <w:rtl/>
              </w:rPr>
              <w:t>הנאשם</w:t>
            </w:r>
          </w:p>
        </w:tc>
      </w:tr>
    </w:tbl>
    <w:p w14:paraId="27838799" w14:textId="77777777" w:rsidR="004E7D73" w:rsidRPr="007301B3" w:rsidRDefault="004E7D73" w:rsidP="004E7D73">
      <w:pPr>
        <w:spacing w:line="480" w:lineRule="auto"/>
        <w:rPr>
          <w:rFonts w:ascii="Arial" w:hAnsi="Arial"/>
          <w:b/>
          <w:bCs/>
          <w:sz w:val="36"/>
          <w:szCs w:val="36"/>
          <w:rtl/>
        </w:rPr>
      </w:pPr>
    </w:p>
    <w:p w14:paraId="7BF5D291" w14:textId="77777777" w:rsidR="004E7D73" w:rsidRPr="007301B3" w:rsidRDefault="004E7D73" w:rsidP="004E7D73">
      <w:pPr>
        <w:spacing w:line="360" w:lineRule="auto"/>
        <w:rPr>
          <w:rFonts w:ascii="Arial" w:hAnsi="Arial"/>
          <w:b/>
          <w:bCs/>
          <w:rtl/>
        </w:rPr>
      </w:pPr>
      <w:r w:rsidRPr="007301B3">
        <w:rPr>
          <w:rFonts w:ascii="Arial" w:hAnsi="Arial" w:hint="cs"/>
          <w:b/>
          <w:bCs/>
          <w:rtl/>
        </w:rPr>
        <w:t>נוכחים:</w:t>
      </w:r>
    </w:p>
    <w:p w14:paraId="209C0AA6" w14:textId="77777777" w:rsidR="004E7D73" w:rsidRPr="007301B3" w:rsidRDefault="004E7D73" w:rsidP="004E7D73">
      <w:pPr>
        <w:spacing w:line="360" w:lineRule="auto"/>
        <w:rPr>
          <w:rFonts w:ascii="Arial" w:hAnsi="Arial"/>
          <w:b/>
          <w:bCs/>
          <w:rtl/>
        </w:rPr>
      </w:pPr>
      <w:bookmarkStart w:id="2" w:name="FirstLawyer"/>
      <w:r w:rsidRPr="007301B3">
        <w:rPr>
          <w:rFonts w:ascii="Arial" w:hAnsi="Arial" w:hint="cs"/>
          <w:b/>
          <w:bCs/>
          <w:rtl/>
        </w:rPr>
        <w:t>ב"כ</w:t>
      </w:r>
      <w:bookmarkEnd w:id="2"/>
      <w:r w:rsidRPr="007301B3">
        <w:rPr>
          <w:rFonts w:ascii="Arial" w:hAnsi="Arial" w:hint="cs"/>
          <w:b/>
          <w:bCs/>
          <w:rtl/>
        </w:rPr>
        <w:t xml:space="preserve"> המאשימה </w:t>
      </w:r>
      <w:r w:rsidRPr="007301B3">
        <w:rPr>
          <w:rFonts w:ascii="Arial" w:hAnsi="Arial"/>
          <w:b/>
          <w:bCs/>
          <w:rtl/>
        </w:rPr>
        <w:t>–</w:t>
      </w:r>
      <w:r w:rsidRPr="007301B3">
        <w:rPr>
          <w:rFonts w:ascii="Arial" w:hAnsi="Arial" w:hint="cs"/>
          <w:b/>
          <w:bCs/>
          <w:rtl/>
        </w:rPr>
        <w:t xml:space="preserve"> עו"ד מיכל בלומנטל</w:t>
      </w:r>
    </w:p>
    <w:p w14:paraId="1D515374" w14:textId="77777777" w:rsidR="004E7D73" w:rsidRPr="007301B3" w:rsidRDefault="004E7D73" w:rsidP="004E7D73">
      <w:pPr>
        <w:spacing w:line="360" w:lineRule="auto"/>
        <w:rPr>
          <w:rFonts w:ascii="Arial" w:hAnsi="Arial"/>
          <w:b/>
          <w:bCs/>
          <w:rtl/>
        </w:rPr>
      </w:pPr>
      <w:r w:rsidRPr="007301B3">
        <w:rPr>
          <w:rFonts w:ascii="Arial" w:hAnsi="Arial" w:hint="cs"/>
          <w:b/>
          <w:bCs/>
          <w:rtl/>
        </w:rPr>
        <w:t>הנאשם וב"כ עו"ד מאהר חנא</w:t>
      </w:r>
    </w:p>
    <w:p w14:paraId="53FB581D" w14:textId="77777777" w:rsidR="004E7D73" w:rsidRPr="007301B3" w:rsidRDefault="004E7D73" w:rsidP="004E7D73">
      <w:pPr>
        <w:spacing w:line="360" w:lineRule="auto"/>
        <w:rPr>
          <w:rFonts w:ascii="Arial" w:hAnsi="Arial"/>
          <w:b/>
          <w:bCs/>
          <w:rtl/>
        </w:rPr>
      </w:pPr>
      <w:r w:rsidRPr="007301B3">
        <w:rPr>
          <w:rFonts w:ascii="Arial" w:hAnsi="Arial" w:hint="cs"/>
          <w:b/>
          <w:bCs/>
          <w:rtl/>
        </w:rPr>
        <w:t xml:space="preserve">מתורגמן לשפה הערבית </w:t>
      </w:r>
      <w:r w:rsidRPr="007301B3">
        <w:rPr>
          <w:rFonts w:ascii="Arial" w:hAnsi="Arial"/>
          <w:b/>
          <w:bCs/>
          <w:rtl/>
        </w:rPr>
        <w:t>–</w:t>
      </w:r>
      <w:r w:rsidRPr="007301B3">
        <w:rPr>
          <w:rFonts w:ascii="Arial" w:hAnsi="Arial" w:hint="cs"/>
          <w:b/>
          <w:bCs/>
          <w:rtl/>
        </w:rPr>
        <w:t xml:space="preserve"> מר טארק אהראם</w:t>
      </w:r>
    </w:p>
    <w:p w14:paraId="6C703B9B" w14:textId="77777777" w:rsidR="00B52AF1" w:rsidRPr="00B52AF1" w:rsidRDefault="00B52AF1" w:rsidP="00B52AF1">
      <w:pPr>
        <w:spacing w:before="120" w:after="120" w:line="240" w:lineRule="exact"/>
        <w:ind w:left="283" w:hanging="283"/>
        <w:jc w:val="both"/>
        <w:rPr>
          <w:rFonts w:ascii="FrankRuehl" w:hAnsi="FrankRuehl" w:cs="FrankRuehl"/>
          <w:rtl/>
        </w:rPr>
      </w:pPr>
      <w:bookmarkStart w:id="3" w:name="LawTable"/>
      <w:bookmarkEnd w:id="3"/>
      <w:r w:rsidRPr="00B52AF1">
        <w:rPr>
          <w:rFonts w:ascii="FrankRuehl" w:hAnsi="FrankRuehl" w:cs="FrankRuehl"/>
          <w:rtl/>
        </w:rPr>
        <w:t xml:space="preserve">חקיקה שאוזכרה: </w:t>
      </w:r>
    </w:p>
    <w:p w14:paraId="28AB98CE" w14:textId="77777777" w:rsidR="00B52AF1" w:rsidRPr="00B52AF1" w:rsidRDefault="00B52AF1" w:rsidP="00B52AF1">
      <w:pPr>
        <w:spacing w:before="120" w:after="120" w:line="240" w:lineRule="exact"/>
        <w:ind w:left="283" w:hanging="283"/>
        <w:jc w:val="both"/>
        <w:rPr>
          <w:rFonts w:ascii="FrankRuehl" w:hAnsi="FrankRuehl" w:cs="FrankRuehl"/>
          <w:color w:val="0000FF"/>
          <w:rtl/>
        </w:rPr>
      </w:pPr>
      <w:hyperlink r:id="rId6" w:history="1">
        <w:r w:rsidRPr="00B52AF1">
          <w:rPr>
            <w:rStyle w:val="Hyperlink"/>
            <w:rFonts w:ascii="FrankRuehl" w:hAnsi="FrankRuehl" w:cs="FrankRuehl"/>
            <w:rtl/>
          </w:rPr>
          <w:t>פקודת התעבורה [נוסח חדש</w:t>
        </w:r>
        <w:r w:rsidRPr="00B52AF1">
          <w:rPr>
            <w:rStyle w:val="Hyperlink"/>
            <w:rFonts w:ascii="FrankRuehl" w:hAnsi="FrankRuehl" w:cs="FrankRuehl"/>
          </w:rPr>
          <w:t>]</w:t>
        </w:r>
      </w:hyperlink>
      <w:r w:rsidRPr="00B52AF1">
        <w:rPr>
          <w:rFonts w:ascii="FrankRuehl" w:hAnsi="FrankRuehl" w:cs="FrankRuehl"/>
          <w:color w:val="0000FF"/>
          <w:u w:val="single"/>
          <w:rtl/>
        </w:rPr>
        <w:t xml:space="preserve">: סע'  </w:t>
      </w:r>
      <w:hyperlink r:id="rId7" w:history="1">
        <w:r w:rsidRPr="00B52AF1">
          <w:rPr>
            <w:rStyle w:val="Hyperlink"/>
            <w:rFonts w:ascii="FrankRuehl" w:hAnsi="FrankRuehl" w:cs="FrankRuehl"/>
            <w:rtl/>
          </w:rPr>
          <w:t>התוספת הראשונה</w:t>
        </w:r>
      </w:hyperlink>
      <w:r w:rsidRPr="00B52AF1">
        <w:rPr>
          <w:rFonts w:ascii="FrankRuehl" w:hAnsi="FrankRuehl" w:cs="FrankRuehl"/>
          <w:color w:val="0000FF"/>
          <w:u w:val="single"/>
          <w:rtl/>
        </w:rPr>
        <w:t xml:space="preserve">, </w:t>
      </w:r>
      <w:hyperlink r:id="rId8" w:history="1">
        <w:r w:rsidRPr="00B52AF1">
          <w:rPr>
            <w:rStyle w:val="Hyperlink"/>
            <w:rFonts w:ascii="FrankRuehl" w:hAnsi="FrankRuehl" w:cs="FrankRuehl"/>
          </w:rPr>
          <w:t>10</w:t>
        </w:r>
      </w:hyperlink>
      <w:r w:rsidRPr="00B52AF1">
        <w:rPr>
          <w:rFonts w:ascii="FrankRuehl" w:hAnsi="FrankRuehl" w:cs="FrankRuehl"/>
          <w:color w:val="0000FF"/>
          <w:rtl/>
        </w:rPr>
        <w:t xml:space="preserve">(א), </w:t>
      </w:r>
      <w:hyperlink r:id="rId9" w:history="1">
        <w:r w:rsidRPr="00B52AF1">
          <w:rPr>
            <w:rStyle w:val="Hyperlink"/>
            <w:rFonts w:ascii="FrankRuehl" w:hAnsi="FrankRuehl" w:cs="FrankRuehl"/>
          </w:rPr>
          <w:t>35</w:t>
        </w:r>
      </w:hyperlink>
      <w:r w:rsidRPr="00B52AF1">
        <w:rPr>
          <w:rFonts w:ascii="FrankRuehl" w:hAnsi="FrankRuehl" w:cs="FrankRuehl"/>
          <w:color w:val="0000FF"/>
          <w:rtl/>
        </w:rPr>
        <w:t xml:space="preserve">, </w:t>
      </w:r>
      <w:hyperlink r:id="rId10" w:history="1">
        <w:r w:rsidRPr="00B52AF1">
          <w:rPr>
            <w:rStyle w:val="Hyperlink"/>
            <w:rFonts w:ascii="FrankRuehl" w:hAnsi="FrankRuehl" w:cs="FrankRuehl"/>
          </w:rPr>
          <w:t>62</w:t>
        </w:r>
      </w:hyperlink>
    </w:p>
    <w:p w14:paraId="5A11D51A" w14:textId="77777777" w:rsidR="00B52AF1" w:rsidRPr="00B52AF1" w:rsidRDefault="00B52AF1" w:rsidP="00B52AF1">
      <w:pPr>
        <w:spacing w:before="120" w:after="120" w:line="240" w:lineRule="exact"/>
        <w:ind w:left="283" w:hanging="283"/>
        <w:jc w:val="both"/>
        <w:rPr>
          <w:rFonts w:ascii="FrankRuehl" w:hAnsi="FrankRuehl" w:cs="FrankRuehl"/>
          <w:color w:val="0000FF"/>
          <w:rtl/>
        </w:rPr>
      </w:pPr>
      <w:hyperlink r:id="rId11" w:history="1">
        <w:r w:rsidRPr="00B52AF1">
          <w:rPr>
            <w:rStyle w:val="Hyperlink"/>
            <w:rFonts w:ascii="FrankRuehl" w:hAnsi="FrankRuehl" w:cs="FrankRuehl"/>
            <w:rtl/>
          </w:rPr>
          <w:t>תקנות התעבורה, תשכ"א-1961 - לא מרובדות</w:t>
        </w:r>
      </w:hyperlink>
      <w:r w:rsidRPr="00B52AF1">
        <w:rPr>
          <w:rFonts w:ascii="FrankRuehl" w:hAnsi="FrankRuehl" w:cs="FrankRuehl"/>
          <w:color w:val="0000FF"/>
          <w:u w:val="single"/>
          <w:rtl/>
        </w:rPr>
        <w:t xml:space="preserve">: סע'  </w:t>
      </w:r>
      <w:hyperlink r:id="rId12" w:history="1">
        <w:r w:rsidRPr="00B52AF1">
          <w:rPr>
            <w:rStyle w:val="Hyperlink"/>
            <w:rFonts w:ascii="FrankRuehl" w:hAnsi="FrankRuehl" w:cs="FrankRuehl"/>
          </w:rPr>
          <w:t xml:space="preserve">22 </w:t>
        </w:r>
      </w:hyperlink>
      <w:r w:rsidRPr="00B52AF1">
        <w:rPr>
          <w:rFonts w:ascii="FrankRuehl" w:hAnsi="FrankRuehl" w:cs="FrankRuehl"/>
          <w:color w:val="0000FF"/>
          <w:rtl/>
        </w:rPr>
        <w:t xml:space="preserve">(ב), </w:t>
      </w:r>
      <w:hyperlink r:id="rId13" w:history="1">
        <w:r w:rsidRPr="00B52AF1">
          <w:rPr>
            <w:rStyle w:val="Hyperlink"/>
            <w:rFonts w:ascii="FrankRuehl" w:hAnsi="FrankRuehl" w:cs="FrankRuehl"/>
          </w:rPr>
          <w:t>23</w:t>
        </w:r>
      </w:hyperlink>
      <w:r w:rsidRPr="00B52AF1">
        <w:rPr>
          <w:rFonts w:ascii="FrankRuehl" w:hAnsi="FrankRuehl" w:cs="FrankRuehl"/>
          <w:color w:val="0000FF"/>
          <w:rtl/>
        </w:rPr>
        <w:t xml:space="preserve">(א), </w:t>
      </w:r>
      <w:hyperlink r:id="rId14" w:history="1">
        <w:r w:rsidRPr="00B52AF1">
          <w:rPr>
            <w:rStyle w:val="Hyperlink"/>
            <w:rFonts w:ascii="FrankRuehl" w:hAnsi="FrankRuehl" w:cs="FrankRuehl"/>
          </w:rPr>
          <w:t>51</w:t>
        </w:r>
      </w:hyperlink>
    </w:p>
    <w:p w14:paraId="79291E1C" w14:textId="77777777" w:rsidR="00B52AF1" w:rsidRPr="00B52AF1" w:rsidRDefault="00B52AF1" w:rsidP="00B52AF1">
      <w:pPr>
        <w:spacing w:before="120" w:after="120" w:line="240" w:lineRule="exact"/>
        <w:ind w:left="283" w:hanging="283"/>
        <w:jc w:val="both"/>
        <w:rPr>
          <w:rFonts w:ascii="FrankRuehl" w:hAnsi="FrankRuehl" w:cs="FrankRuehl"/>
          <w:color w:val="0000FF"/>
          <w:rtl/>
        </w:rPr>
      </w:pPr>
      <w:hyperlink r:id="rId15" w:history="1">
        <w:r w:rsidRPr="00B52AF1">
          <w:rPr>
            <w:rStyle w:val="Hyperlink"/>
            <w:rFonts w:ascii="FrankRuehl" w:hAnsi="FrankRuehl" w:cs="FrankRuehl"/>
            <w:rtl/>
          </w:rPr>
          <w:t>חוק העונשין, תשל"ז-1977</w:t>
        </w:r>
      </w:hyperlink>
      <w:r w:rsidRPr="00B52AF1">
        <w:rPr>
          <w:rFonts w:ascii="FrankRuehl" w:hAnsi="FrankRuehl" w:cs="FrankRuehl"/>
          <w:color w:val="0000FF"/>
          <w:u w:val="single"/>
          <w:rtl/>
        </w:rPr>
        <w:t xml:space="preserve">: סע'  </w:t>
      </w:r>
      <w:hyperlink r:id="rId16" w:history="1">
        <w:r w:rsidRPr="00B52AF1">
          <w:rPr>
            <w:rStyle w:val="Hyperlink"/>
            <w:rFonts w:ascii="FrankRuehl" w:hAnsi="FrankRuehl" w:cs="FrankRuehl"/>
          </w:rPr>
          <w:t>144</w:t>
        </w:r>
      </w:hyperlink>
      <w:r w:rsidRPr="00B52AF1">
        <w:rPr>
          <w:rFonts w:ascii="FrankRuehl" w:hAnsi="FrankRuehl" w:cs="FrankRuehl"/>
          <w:color w:val="0000FF"/>
          <w:rtl/>
        </w:rPr>
        <w:t xml:space="preserve">(א), </w:t>
      </w:r>
      <w:hyperlink r:id="rId17" w:history="1">
        <w:r w:rsidRPr="00B52AF1">
          <w:rPr>
            <w:rStyle w:val="Hyperlink"/>
            <w:rFonts w:ascii="FrankRuehl" w:hAnsi="FrankRuehl" w:cs="FrankRuehl"/>
          </w:rPr>
          <w:t>338</w:t>
        </w:r>
      </w:hyperlink>
      <w:r w:rsidRPr="00B52AF1">
        <w:rPr>
          <w:rFonts w:ascii="FrankRuehl" w:hAnsi="FrankRuehl" w:cs="FrankRuehl"/>
          <w:color w:val="0000FF"/>
          <w:rtl/>
        </w:rPr>
        <w:t>(א)(1)</w:t>
      </w:r>
    </w:p>
    <w:p w14:paraId="397505F1" w14:textId="77777777" w:rsidR="007301B3" w:rsidRPr="00B52AF1" w:rsidRDefault="007301B3" w:rsidP="00B52AF1">
      <w:pPr>
        <w:spacing w:line="480" w:lineRule="auto"/>
        <w:jc w:val="center"/>
        <w:rPr>
          <w:rFonts w:ascii="Arial" w:hAnsi="Arial"/>
          <w:sz w:val="36"/>
          <w:szCs w:val="36"/>
          <w:rtl/>
        </w:rPr>
      </w:pPr>
      <w:bookmarkStart w:id="4" w:name="LawTable_End"/>
      <w:bookmarkEnd w:id="4"/>
    </w:p>
    <w:p w14:paraId="5971CC6F" w14:textId="77777777" w:rsidR="007301B3" w:rsidRPr="007301B3" w:rsidRDefault="007301B3" w:rsidP="007301B3">
      <w:pPr>
        <w:spacing w:line="480" w:lineRule="auto"/>
        <w:jc w:val="center"/>
        <w:rPr>
          <w:rFonts w:ascii="Arial" w:hAnsi="Arial"/>
          <w:b/>
          <w:bCs/>
          <w:sz w:val="36"/>
          <w:szCs w:val="36"/>
          <w:u w:val="single"/>
          <w:rtl/>
        </w:rPr>
      </w:pPr>
      <w:bookmarkStart w:id="5" w:name="PsakDin"/>
      <w:bookmarkEnd w:id="0"/>
      <w:r w:rsidRPr="007301B3">
        <w:rPr>
          <w:rFonts w:ascii="Arial" w:hAnsi="Arial"/>
          <w:b/>
          <w:bCs/>
          <w:sz w:val="36"/>
          <w:szCs w:val="36"/>
          <w:u w:val="single"/>
          <w:rtl/>
        </w:rPr>
        <w:t>גזר דין</w:t>
      </w:r>
    </w:p>
    <w:bookmarkEnd w:id="5"/>
    <w:p w14:paraId="7DBCAF03" w14:textId="77777777" w:rsidR="004E7D73" w:rsidRPr="00F112C8" w:rsidRDefault="004E7D73" w:rsidP="004E7D73">
      <w:pPr>
        <w:spacing w:line="480" w:lineRule="auto"/>
        <w:jc w:val="both"/>
        <w:rPr>
          <w:rFonts w:ascii="Arial" w:hAnsi="Arial"/>
          <w:rtl/>
        </w:rPr>
      </w:pPr>
    </w:p>
    <w:p w14:paraId="4A930D7C" w14:textId="77777777" w:rsidR="004E7D73" w:rsidRDefault="004E7D73" w:rsidP="004E7D73">
      <w:pPr>
        <w:spacing w:line="480" w:lineRule="auto"/>
        <w:ind w:left="510" w:hanging="510"/>
        <w:jc w:val="both"/>
        <w:rPr>
          <w:rtl/>
        </w:rPr>
      </w:pPr>
      <w:r>
        <w:rPr>
          <w:rtl/>
        </w:rPr>
        <w:t>1.</w:t>
      </w:r>
      <w:r>
        <w:rPr>
          <w:rFonts w:hint="cs"/>
          <w:rtl/>
        </w:rPr>
        <w:t xml:space="preserve"> </w:t>
      </w:r>
      <w:r>
        <w:rPr>
          <w:rtl/>
        </w:rPr>
        <w:tab/>
      </w:r>
      <w:bookmarkStart w:id="6" w:name="ABSTRACT_START"/>
      <w:bookmarkEnd w:id="6"/>
      <w:r>
        <w:rPr>
          <w:rFonts w:hint="cs"/>
          <w:rtl/>
        </w:rPr>
        <w:t xml:space="preserve">הנאשם הורשע בעבירות כדלקמן: </w:t>
      </w:r>
      <w:r w:rsidRPr="0052380F">
        <w:rPr>
          <w:rFonts w:hint="cs"/>
          <w:rtl/>
        </w:rPr>
        <w:t>נהיגת רכב מנועי ללא רישיון</w:t>
      </w:r>
      <w:r>
        <w:rPr>
          <w:rFonts w:hint="cs"/>
          <w:rtl/>
        </w:rPr>
        <w:t xml:space="preserve">, עבירה לפי </w:t>
      </w:r>
      <w:hyperlink r:id="rId18" w:history="1">
        <w:r w:rsidR="007B1E6B" w:rsidRPr="007B1E6B">
          <w:rPr>
            <w:color w:val="0000FF"/>
            <w:u w:val="single"/>
            <w:rtl/>
          </w:rPr>
          <w:t>סעיף 10(א)</w:t>
        </w:r>
      </w:hyperlink>
      <w:r>
        <w:rPr>
          <w:rFonts w:hint="cs"/>
          <w:rtl/>
        </w:rPr>
        <w:t xml:space="preserve"> בצירוף </w:t>
      </w:r>
      <w:hyperlink r:id="rId19" w:history="1">
        <w:r w:rsidR="007B1E6B" w:rsidRPr="007B1E6B">
          <w:rPr>
            <w:color w:val="0000FF"/>
            <w:u w:val="single"/>
            <w:rtl/>
          </w:rPr>
          <w:t>סעיף 62</w:t>
        </w:r>
      </w:hyperlink>
      <w:r>
        <w:rPr>
          <w:rFonts w:hint="cs"/>
          <w:rtl/>
        </w:rPr>
        <w:t xml:space="preserve"> ל</w:t>
      </w:r>
      <w:hyperlink r:id="rId20" w:history="1">
        <w:r w:rsidR="007301B3" w:rsidRPr="007301B3">
          <w:rPr>
            <w:color w:val="0000FF"/>
            <w:u w:val="single"/>
            <w:rtl/>
          </w:rPr>
          <w:t>פקודת התעבורה</w:t>
        </w:r>
      </w:hyperlink>
      <w:r>
        <w:rPr>
          <w:rFonts w:hint="cs"/>
          <w:rtl/>
        </w:rPr>
        <w:t xml:space="preserve"> [להלן: "</w:t>
      </w:r>
      <w:r>
        <w:rPr>
          <w:rFonts w:hint="cs"/>
          <w:b/>
          <w:bCs/>
          <w:rtl/>
        </w:rPr>
        <w:t>הפקודה</w:t>
      </w:r>
      <w:r>
        <w:rPr>
          <w:rFonts w:hint="cs"/>
          <w:rtl/>
        </w:rPr>
        <w:t xml:space="preserve">"]; </w:t>
      </w:r>
      <w:r w:rsidRPr="0052380F">
        <w:rPr>
          <w:rFonts w:hint="cs"/>
          <w:rtl/>
        </w:rPr>
        <w:t>אי ציות לרמזור</w:t>
      </w:r>
      <w:r>
        <w:rPr>
          <w:rFonts w:hint="cs"/>
          <w:rtl/>
        </w:rPr>
        <w:t>, עבירה לפי</w:t>
      </w:r>
      <w:hyperlink r:id="rId21" w:history="1">
        <w:r w:rsidR="007B1E6B" w:rsidRPr="007B1E6B">
          <w:rPr>
            <w:color w:val="0000FF"/>
            <w:u w:val="single"/>
            <w:rtl/>
          </w:rPr>
          <w:t xml:space="preserve"> סעיף 22 (ב)</w:t>
        </w:r>
      </w:hyperlink>
      <w:r>
        <w:rPr>
          <w:rFonts w:hint="cs"/>
          <w:rtl/>
        </w:rPr>
        <w:t xml:space="preserve"> ל</w:t>
      </w:r>
      <w:hyperlink r:id="rId22" w:history="1">
        <w:r w:rsidR="007301B3" w:rsidRPr="007301B3">
          <w:rPr>
            <w:color w:val="0000FF"/>
            <w:u w:val="single"/>
            <w:rtl/>
          </w:rPr>
          <w:t>תקנות התעבורה</w:t>
        </w:r>
      </w:hyperlink>
      <w:r>
        <w:rPr>
          <w:rFonts w:hint="cs"/>
          <w:rtl/>
        </w:rPr>
        <w:t xml:space="preserve"> בצירוף עבירה לפי </w:t>
      </w:r>
      <w:hyperlink r:id="rId23" w:history="1">
        <w:r w:rsidR="007B1E6B" w:rsidRPr="007B1E6B">
          <w:rPr>
            <w:color w:val="0000FF"/>
            <w:u w:val="single"/>
            <w:rtl/>
          </w:rPr>
          <w:t>סעיף 62</w:t>
        </w:r>
      </w:hyperlink>
      <w:r>
        <w:rPr>
          <w:rFonts w:hint="cs"/>
          <w:rtl/>
        </w:rPr>
        <w:t xml:space="preserve"> ו – </w:t>
      </w:r>
      <w:hyperlink r:id="rId24" w:history="1">
        <w:r w:rsidR="007B1E6B" w:rsidRPr="007B1E6B">
          <w:rPr>
            <w:color w:val="0000FF"/>
            <w:u w:val="single"/>
            <w:rtl/>
          </w:rPr>
          <w:t>35</w:t>
        </w:r>
      </w:hyperlink>
      <w:r>
        <w:rPr>
          <w:rFonts w:hint="cs"/>
          <w:rtl/>
        </w:rPr>
        <w:t xml:space="preserve"> לפקודה; </w:t>
      </w:r>
      <w:r w:rsidRPr="0052380F">
        <w:rPr>
          <w:rFonts w:hint="cs"/>
          <w:rtl/>
        </w:rPr>
        <w:t>אי ציות להוראת שוטר</w:t>
      </w:r>
      <w:r>
        <w:rPr>
          <w:rFonts w:hint="cs"/>
          <w:rtl/>
        </w:rPr>
        <w:t xml:space="preserve">, לפי </w:t>
      </w:r>
      <w:hyperlink r:id="rId25" w:history="1">
        <w:r w:rsidR="007B1E6B" w:rsidRPr="007B1E6B">
          <w:rPr>
            <w:color w:val="0000FF"/>
            <w:u w:val="single"/>
            <w:rtl/>
          </w:rPr>
          <w:t>תקנה 23(א)</w:t>
        </w:r>
      </w:hyperlink>
      <w:r>
        <w:rPr>
          <w:rFonts w:hint="cs"/>
          <w:rtl/>
        </w:rPr>
        <w:t xml:space="preserve"> לתקנות התעבורה; </w:t>
      </w:r>
      <w:r w:rsidRPr="0052380F">
        <w:rPr>
          <w:rFonts w:hint="cs"/>
          <w:rtl/>
        </w:rPr>
        <w:t>נהיגה בפזיזות</w:t>
      </w:r>
      <w:r>
        <w:rPr>
          <w:rFonts w:hint="cs"/>
          <w:rtl/>
        </w:rPr>
        <w:t xml:space="preserve">, לפי </w:t>
      </w:r>
      <w:hyperlink r:id="rId26" w:history="1">
        <w:r w:rsidR="007B1E6B" w:rsidRPr="007B1E6B">
          <w:rPr>
            <w:color w:val="0000FF"/>
            <w:u w:val="single"/>
            <w:rtl/>
          </w:rPr>
          <w:t>סעיף 338(א)(1)</w:t>
        </w:r>
      </w:hyperlink>
      <w:r>
        <w:rPr>
          <w:rFonts w:hint="cs"/>
          <w:rtl/>
        </w:rPr>
        <w:t xml:space="preserve"> ל</w:t>
      </w:r>
      <w:hyperlink r:id="rId27" w:history="1">
        <w:r w:rsidR="007301B3" w:rsidRPr="007301B3">
          <w:rPr>
            <w:color w:val="0000FF"/>
            <w:u w:val="single"/>
            <w:rtl/>
          </w:rPr>
          <w:t>חוק העונשין</w:t>
        </w:r>
      </w:hyperlink>
      <w:r>
        <w:rPr>
          <w:rFonts w:hint="cs"/>
          <w:rtl/>
        </w:rPr>
        <w:t xml:space="preserve">; </w:t>
      </w:r>
      <w:r w:rsidRPr="0052380F">
        <w:rPr>
          <w:rFonts w:hint="cs"/>
          <w:rtl/>
        </w:rPr>
        <w:t>נהיגה במהירות בלתי סבירה בהתחשב בתנאי הדרך והתנועה בה</w:t>
      </w:r>
      <w:r>
        <w:rPr>
          <w:rFonts w:hint="cs"/>
          <w:rtl/>
        </w:rPr>
        <w:t xml:space="preserve">, לפי </w:t>
      </w:r>
      <w:hyperlink r:id="rId28" w:history="1">
        <w:r w:rsidR="007B1E6B" w:rsidRPr="007B1E6B">
          <w:rPr>
            <w:color w:val="0000FF"/>
            <w:u w:val="single"/>
            <w:rtl/>
          </w:rPr>
          <w:t>תקנה 51</w:t>
        </w:r>
      </w:hyperlink>
      <w:r>
        <w:rPr>
          <w:rFonts w:hint="cs"/>
          <w:rtl/>
        </w:rPr>
        <w:t xml:space="preserve"> לתקנות התעבורה. </w:t>
      </w:r>
    </w:p>
    <w:p w14:paraId="06793095" w14:textId="77777777" w:rsidR="004E7D73" w:rsidRDefault="004E7D73" w:rsidP="004E7D73">
      <w:pPr>
        <w:spacing w:line="480" w:lineRule="auto"/>
        <w:ind w:left="510" w:hanging="510"/>
        <w:jc w:val="both"/>
        <w:rPr>
          <w:rtl/>
        </w:rPr>
      </w:pPr>
    </w:p>
    <w:p w14:paraId="72497222" w14:textId="77777777" w:rsidR="004E7D73" w:rsidRDefault="004E7D73" w:rsidP="004E7D73">
      <w:pPr>
        <w:spacing w:line="480" w:lineRule="auto"/>
        <w:ind w:left="510" w:hanging="510"/>
        <w:jc w:val="both"/>
        <w:rPr>
          <w:rtl/>
        </w:rPr>
      </w:pPr>
      <w:r>
        <w:rPr>
          <w:rtl/>
        </w:rPr>
        <w:lastRenderedPageBreak/>
        <w:tab/>
      </w:r>
      <w:r>
        <w:rPr>
          <w:rFonts w:hint="cs"/>
          <w:rtl/>
        </w:rPr>
        <w:t>הנאשם קיבל אחריות מלאה למעשיו, והגם שנצרך בית המשפט לכתיבת הכרעת הדין, אין חולקין שנבע הדבר ממחלוקת משפטית, דבר שקיבל ביטוי בנכונות הנאשם להודות בפרק העובדות של כתב האישום תוך הותרת המחלוקת המשפטית לסיכומים, שבעקבותיהם פסק בית המשפט את דברו במסגרת הכרעת הדין.</w:t>
      </w:r>
    </w:p>
    <w:p w14:paraId="06AC706D" w14:textId="77777777" w:rsidR="004E7D73" w:rsidRDefault="004E7D73" w:rsidP="004E7D73">
      <w:pPr>
        <w:spacing w:line="480" w:lineRule="auto"/>
        <w:jc w:val="both"/>
        <w:rPr>
          <w:rtl/>
        </w:rPr>
      </w:pPr>
    </w:p>
    <w:p w14:paraId="2061B2A2" w14:textId="77777777" w:rsidR="004E7D73" w:rsidRPr="00E21891" w:rsidRDefault="004E7D73" w:rsidP="004E7D73">
      <w:pPr>
        <w:spacing w:line="480" w:lineRule="auto"/>
        <w:ind w:left="510" w:hanging="510"/>
        <w:jc w:val="both"/>
        <w:rPr>
          <w:rtl/>
        </w:rPr>
      </w:pPr>
      <w:r>
        <w:rPr>
          <w:rtl/>
        </w:rPr>
        <w:t>2.</w:t>
      </w:r>
      <w:r>
        <w:rPr>
          <w:rFonts w:hint="cs"/>
          <w:rtl/>
        </w:rPr>
        <w:tab/>
        <w:t xml:space="preserve">המאשימה טוענת למתחם ענישה שבין 12 לבין 24 חודשי מאסר בפועל. בתוך כך הופנה בית המשפט לפסק דין קודם שניתן על ידי בנסיבות דומות בו נקבע מתחם שנע בין 5 חודשי מאסר לבין 20. ניתן לראות את נסיבותיה של אותה פרשה כדומות בעיקרן, למעט הבדל אחד, כי בפרשה דהתם לא נגרם נזק לרכושם של צדדים שלישיים בניגוד לפרשתנו. השווה </w:t>
      </w:r>
      <w:r>
        <w:rPr>
          <w:rtl/>
        </w:rPr>
        <w:t>–</w:t>
      </w:r>
      <w:r>
        <w:rPr>
          <w:rFonts w:hint="cs"/>
          <w:rtl/>
        </w:rPr>
        <w:t xml:space="preserve"> </w:t>
      </w:r>
      <w:hyperlink r:id="rId29" w:history="1">
        <w:r w:rsidR="007301B3" w:rsidRPr="007301B3">
          <w:rPr>
            <w:color w:val="0000FF"/>
            <w:u w:val="single"/>
            <w:rtl/>
          </w:rPr>
          <w:t>ת"פ 36179-01-16</w:t>
        </w:r>
      </w:hyperlink>
      <w:r>
        <w:rPr>
          <w:rFonts w:hint="cs"/>
          <w:rtl/>
        </w:rPr>
        <w:t xml:space="preserve"> </w:t>
      </w:r>
      <w:r w:rsidRPr="00E66D4E">
        <w:rPr>
          <w:rFonts w:hint="cs"/>
          <w:b/>
          <w:bCs/>
          <w:rtl/>
        </w:rPr>
        <w:t>מדינת ישראל נגד מוחמד טוויל</w:t>
      </w:r>
      <w:r>
        <w:rPr>
          <w:rFonts w:hint="cs"/>
          <w:b/>
          <w:bCs/>
          <w:rtl/>
        </w:rPr>
        <w:t xml:space="preserve"> </w:t>
      </w:r>
      <w:r w:rsidRPr="00E21891">
        <w:rPr>
          <w:rFonts w:hint="cs"/>
          <w:rtl/>
        </w:rPr>
        <w:t xml:space="preserve">[להלן </w:t>
      </w:r>
      <w:r w:rsidRPr="00E21891">
        <w:rPr>
          <w:rtl/>
        </w:rPr>
        <w:t>–</w:t>
      </w:r>
      <w:r w:rsidRPr="00E21891">
        <w:rPr>
          <w:rFonts w:hint="cs"/>
          <w:rtl/>
        </w:rPr>
        <w:t xml:space="preserve"> פרשת טוויל]</w:t>
      </w:r>
      <w:r>
        <w:rPr>
          <w:rFonts w:hint="cs"/>
          <w:rtl/>
        </w:rPr>
        <w:t>.</w:t>
      </w:r>
    </w:p>
    <w:p w14:paraId="5F0EAAB2" w14:textId="77777777" w:rsidR="004E7D73" w:rsidRDefault="004E7D73" w:rsidP="004E7D73">
      <w:pPr>
        <w:spacing w:line="480" w:lineRule="auto"/>
        <w:jc w:val="both"/>
        <w:rPr>
          <w:rtl/>
        </w:rPr>
      </w:pPr>
    </w:p>
    <w:p w14:paraId="50B75132" w14:textId="77777777" w:rsidR="004E7D73" w:rsidRDefault="004E7D73" w:rsidP="004E7D73">
      <w:pPr>
        <w:spacing w:line="480" w:lineRule="auto"/>
        <w:ind w:left="510" w:hanging="510"/>
        <w:jc w:val="both"/>
        <w:rPr>
          <w:rtl/>
        </w:rPr>
      </w:pPr>
      <w:bookmarkStart w:id="7" w:name="ABSTRACT_END"/>
      <w:bookmarkEnd w:id="7"/>
      <w:r>
        <w:rPr>
          <w:rtl/>
        </w:rPr>
        <w:t>3.</w:t>
      </w:r>
      <w:r>
        <w:rPr>
          <w:rFonts w:hint="cs"/>
          <w:rtl/>
        </w:rPr>
        <w:tab/>
        <w:t xml:space="preserve">עבר פלילי ותעבורתי. לחובת הנאשם הרשעה משנת 2015 בעבירה על </w:t>
      </w:r>
      <w:hyperlink r:id="rId30" w:history="1">
        <w:r w:rsidR="007B1E6B" w:rsidRPr="007B1E6B">
          <w:rPr>
            <w:color w:val="0000FF"/>
            <w:u w:val="single"/>
            <w:rtl/>
          </w:rPr>
          <w:t>סעיף 144(א)</w:t>
        </w:r>
      </w:hyperlink>
      <w:r>
        <w:rPr>
          <w:rFonts w:hint="cs"/>
          <w:rtl/>
        </w:rPr>
        <w:t xml:space="preserve"> ל</w:t>
      </w:r>
      <w:hyperlink r:id="rId31" w:history="1">
        <w:r w:rsidR="007301B3" w:rsidRPr="007301B3">
          <w:rPr>
            <w:color w:val="0000FF"/>
            <w:u w:val="single"/>
            <w:rtl/>
          </w:rPr>
          <w:t>חוק העונשין</w:t>
        </w:r>
      </w:hyperlink>
      <w:r>
        <w:rPr>
          <w:rFonts w:hint="cs"/>
          <w:rtl/>
        </w:rPr>
        <w:t>. אשר לעברו התעבורתי, מקובל גם על המאשימה שעבירה אחת משנת 2015, שלא נסתיימה בתאונת דרכים או בנזק כלשהו, אינה מקימה לחובת הנאשם מסקנות מחמירות שיש לקחתן בחשבון לחובתו, וניתן, אפוא, להניח למישור זה.</w:t>
      </w:r>
    </w:p>
    <w:p w14:paraId="23B2BF89" w14:textId="77777777" w:rsidR="004E7D73" w:rsidRDefault="004E7D73" w:rsidP="004E7D73">
      <w:pPr>
        <w:spacing w:line="480" w:lineRule="auto"/>
        <w:jc w:val="both"/>
        <w:rPr>
          <w:rtl/>
        </w:rPr>
      </w:pPr>
    </w:p>
    <w:p w14:paraId="1B6AB27A" w14:textId="77777777" w:rsidR="004E7D73" w:rsidRDefault="004E7D73" w:rsidP="004E7D73">
      <w:pPr>
        <w:spacing w:line="480" w:lineRule="auto"/>
        <w:ind w:left="510" w:hanging="510"/>
        <w:jc w:val="both"/>
        <w:rPr>
          <w:rtl/>
        </w:rPr>
      </w:pPr>
      <w:r>
        <w:rPr>
          <w:rtl/>
        </w:rPr>
        <w:t>4.</w:t>
      </w:r>
      <w:r>
        <w:rPr>
          <w:rFonts w:hint="cs"/>
          <w:rtl/>
        </w:rPr>
        <w:tab/>
        <w:t>הנאשם, אשר כאמור קיבל את האחריות למעשיו, הביע בפני בית המשפט את צערו וחרטתו על האירוע. בפני בית המשפט התייצב עד אופי לטובתו, מעסיקו הנוכחי שדיבר רבות לשבחו. ככלל, נכון אני להאמין לדברי מעסיקו ולכבדם. במישור האישי ציין הנאשם, כי בינתיים התחתן ואף נולד לו, בנו הבכור. טיעוני ב"כ הנכבד מאוד של הנאשם שהזכירו במעט דברים שמקורם בתסקירי המעצר, מחויבים במשקל מסויג בשל הבעייתיות הגלומה בשימוש בתסקירי מעצר במסגרת טיעונים לעונש. אסתפק בכך שאעריך שנטו הדברים לצד החיובי, והם אף השתלבו בתחושת בית המשפט, שחרטת הנאשם הייתה כנה, ובדברי מעסיקו שכאמור לעיל, העיד לטובתו. הנאשם אף שהה במעצר מלא 33 יום, והיה משוחרר בתנאים ללא טענות כלשהן להפרתן, עד עתה, עוד כשנה וחצי.</w:t>
      </w:r>
    </w:p>
    <w:p w14:paraId="674DC5A3" w14:textId="77777777" w:rsidR="004E7D73" w:rsidRDefault="004E7D73" w:rsidP="004E7D73">
      <w:pPr>
        <w:spacing w:line="480" w:lineRule="auto"/>
        <w:jc w:val="both"/>
        <w:rPr>
          <w:rtl/>
        </w:rPr>
      </w:pPr>
    </w:p>
    <w:p w14:paraId="2DA3FDD2" w14:textId="77777777" w:rsidR="004E7D73" w:rsidRDefault="004E7D73" w:rsidP="004E7D73">
      <w:pPr>
        <w:spacing w:line="480" w:lineRule="auto"/>
        <w:ind w:left="510" w:hanging="510"/>
        <w:jc w:val="both"/>
        <w:rPr>
          <w:rtl/>
        </w:rPr>
      </w:pPr>
      <w:r>
        <w:rPr>
          <w:rtl/>
        </w:rPr>
        <w:t>5.</w:t>
      </w:r>
      <w:r>
        <w:rPr>
          <w:rFonts w:hint="cs"/>
          <w:rtl/>
        </w:rPr>
        <w:tab/>
        <w:t xml:space="preserve">מעשיו של הנאשם מגלמים בחובם מקבץ של עבירות. אלה, מצטברות למסה המחייבת ענישה הולמת. בכלל העבירות בהן הורשע הנאשם </w:t>
      </w:r>
      <w:r>
        <w:rPr>
          <w:rtl/>
        </w:rPr>
        <w:t>–</w:t>
      </w:r>
      <w:r>
        <w:rPr>
          <w:rFonts w:hint="cs"/>
          <w:rtl/>
        </w:rPr>
        <w:t xml:space="preserve"> נהיגה ללא רישיון, מעשה המחייב כשלעצמו </w:t>
      </w:r>
      <w:r>
        <w:rPr>
          <w:rFonts w:hint="cs"/>
          <w:rtl/>
        </w:rPr>
        <w:lastRenderedPageBreak/>
        <w:t xml:space="preserve">ענישה מחמירה בשל המסוכנות הציבורית הרבה הגלומה בו, סדרת עבירות תעבורה שגם בהן גלומה מסוכנות ציבורית ניכרת, בכללן - אי ציות לרמזור, נהיגה במהירות לא סבירה, וכן אי ציות לשוטר, ולמעשה, הימלטות מהמשטרה, היינו עבירה המצביעה, למרבה הצער, גם על בעייתיות ביחס לחוק ולאלה האמונים על אכיפתו. לכך אף היו תוצאות ישירות בדמות פגיעה ברכב סמוך, היינו נזק הממחיש את המסוכנות שנכרכה במעשי הנאשם. </w:t>
      </w:r>
    </w:p>
    <w:p w14:paraId="074D2195" w14:textId="77777777" w:rsidR="004E7D73" w:rsidRDefault="004E7D73" w:rsidP="004E7D73">
      <w:pPr>
        <w:spacing w:line="480" w:lineRule="auto"/>
        <w:jc w:val="both"/>
        <w:rPr>
          <w:rtl/>
        </w:rPr>
      </w:pPr>
    </w:p>
    <w:p w14:paraId="350DFEC3" w14:textId="77777777" w:rsidR="004E7D73" w:rsidRDefault="004E7D73" w:rsidP="004E7D73">
      <w:pPr>
        <w:spacing w:line="480" w:lineRule="auto"/>
        <w:ind w:left="510" w:hanging="510"/>
        <w:jc w:val="both"/>
        <w:rPr>
          <w:rtl/>
        </w:rPr>
      </w:pPr>
      <w:r>
        <w:rPr>
          <w:rtl/>
        </w:rPr>
        <w:t>6.</w:t>
      </w:r>
      <w:r>
        <w:rPr>
          <w:rFonts w:hint="cs"/>
          <w:rtl/>
        </w:rPr>
        <w:tab/>
        <w:t>הדיון המסכם.</w:t>
      </w:r>
    </w:p>
    <w:p w14:paraId="74F34A11" w14:textId="77777777" w:rsidR="004E7D73" w:rsidRDefault="004E7D73" w:rsidP="004E7D73">
      <w:pPr>
        <w:spacing w:line="480" w:lineRule="auto"/>
        <w:ind w:left="510" w:hanging="510"/>
        <w:jc w:val="both"/>
        <w:rPr>
          <w:rtl/>
        </w:rPr>
      </w:pPr>
    </w:p>
    <w:p w14:paraId="346D561A" w14:textId="77777777" w:rsidR="004E7D73" w:rsidRDefault="004E7D73" w:rsidP="004E7D73">
      <w:pPr>
        <w:spacing w:line="480" w:lineRule="auto"/>
        <w:ind w:left="1440" w:hanging="930"/>
        <w:jc w:val="both"/>
        <w:rPr>
          <w:rtl/>
        </w:rPr>
      </w:pPr>
      <w:r>
        <w:rPr>
          <w:rFonts w:hint="cs"/>
          <w:rtl/>
        </w:rPr>
        <w:t>א.</w:t>
      </w:r>
      <w:r>
        <w:rPr>
          <w:rFonts w:hint="cs"/>
          <w:rtl/>
        </w:rPr>
        <w:tab/>
        <w:t xml:space="preserve">כנקודת מוצא נכון אני לאמץ גם להליך דנן את מתחם הענישה שנקבעה בפרשת טוויל שצוינה לעיל. הגם שבפרשה דנן נגרם נזק למכונית, ניכר מאד הדמיון בין שתי הפרשות במרבית ההיבטים. בשני המקרים עמד על הפרק דינו של נאשם שלחובתו נהיגה ללא רישיון, ניסיון הימלטות משוטר, ובשני המקרים בוצעו עבירות תעבורה לא מעטות שכרוכות היו בשני האירועים. בהמשך לאמור קובע אני את מתחם הענישה כאמור לעיל על הטווח שבין 5 לבין 20 חודשי מאסר. נוכח עמדתי, שדומה עניינו של הנאשם לפרשת טוויל, נכון אף לציין את עונשו של טוויל: 8 חדשי מאסר בפועל ולצידם מאסר מותנה, פסילת רשיון הנהיגה ל </w:t>
      </w:r>
      <w:r>
        <w:rPr>
          <w:rtl/>
        </w:rPr>
        <w:t>–</w:t>
      </w:r>
      <w:r>
        <w:rPr>
          <w:rFonts w:hint="cs"/>
          <w:rtl/>
        </w:rPr>
        <w:t xml:space="preserve"> 30 חודשים, פסילה על תנאי וכן קנס בגובה של 5,000 ₪. </w:t>
      </w:r>
    </w:p>
    <w:p w14:paraId="618CFAE3" w14:textId="77777777" w:rsidR="004E7D73" w:rsidRDefault="004E7D73" w:rsidP="004E7D73">
      <w:pPr>
        <w:spacing w:line="480" w:lineRule="auto"/>
        <w:ind w:left="1440" w:hanging="930"/>
        <w:jc w:val="both"/>
        <w:rPr>
          <w:rtl/>
        </w:rPr>
      </w:pPr>
    </w:p>
    <w:p w14:paraId="7881AF54" w14:textId="77777777" w:rsidR="004E7D73" w:rsidRDefault="004E7D73" w:rsidP="004E7D73">
      <w:pPr>
        <w:spacing w:line="480" w:lineRule="auto"/>
        <w:ind w:left="1440" w:hanging="930"/>
        <w:jc w:val="both"/>
        <w:rPr>
          <w:rtl/>
        </w:rPr>
      </w:pPr>
      <w:r>
        <w:rPr>
          <w:rFonts w:hint="cs"/>
          <w:rtl/>
        </w:rPr>
        <w:t>ב.</w:t>
      </w:r>
      <w:r>
        <w:rPr>
          <w:rFonts w:hint="cs"/>
          <w:rtl/>
        </w:rPr>
        <w:tab/>
        <w:t xml:space="preserve">מעבר לאמור, ברי, שעבירות כאמור מחייבות מתן משקל ממשי לשיקולי ההלימה וההרתעה [ראה </w:t>
      </w:r>
      <w:hyperlink r:id="rId32" w:history="1">
        <w:r w:rsidR="007301B3" w:rsidRPr="007301B3">
          <w:rPr>
            <w:color w:val="0000FF"/>
            <w:u w:val="single"/>
            <w:rtl/>
          </w:rPr>
          <w:t>ע"פ 2410/04</w:t>
        </w:r>
      </w:hyperlink>
      <w:r>
        <w:rPr>
          <w:rFonts w:hint="cs"/>
          <w:rtl/>
        </w:rPr>
        <w:t xml:space="preserve"> </w:t>
      </w:r>
      <w:r>
        <w:rPr>
          <w:rFonts w:hint="cs"/>
          <w:b/>
          <w:bCs/>
          <w:rtl/>
        </w:rPr>
        <w:t>מדינת ישראל נ' סלמאן אבולקיעאן</w:t>
      </w:r>
      <w:r>
        <w:rPr>
          <w:rFonts w:hint="cs"/>
          <w:rtl/>
        </w:rPr>
        <w:t xml:space="preserve">; ע"פ </w:t>
      </w:r>
      <w:hyperlink r:id="rId33" w:history="1">
        <w:r w:rsidR="00B16270" w:rsidRPr="00B16270">
          <w:rPr>
            <w:color w:val="0000FF"/>
            <w:u w:val="single"/>
            <w:rtl/>
          </w:rPr>
          <w:t xml:space="preserve">3141/04 </w:t>
        </w:r>
      </w:hyperlink>
      <w:r>
        <w:rPr>
          <w:rFonts w:hint="cs"/>
          <w:rtl/>
        </w:rPr>
        <w:t xml:space="preserve"> </w:t>
      </w:r>
      <w:r>
        <w:rPr>
          <w:rFonts w:hint="cs"/>
          <w:b/>
          <w:bCs/>
          <w:rtl/>
        </w:rPr>
        <w:t>מדינת ישראל נ' מרעי דבארי</w:t>
      </w:r>
      <w:r>
        <w:rPr>
          <w:rFonts w:hint="cs"/>
          <w:rtl/>
        </w:rPr>
        <w:t xml:space="preserve">; </w:t>
      </w:r>
      <w:hyperlink r:id="rId34" w:history="1">
        <w:r w:rsidR="007301B3" w:rsidRPr="007301B3">
          <w:rPr>
            <w:color w:val="0000FF"/>
            <w:u w:val="single"/>
            <w:rtl/>
          </w:rPr>
          <w:t>ע"פ 2330/14</w:t>
        </w:r>
      </w:hyperlink>
      <w:r>
        <w:rPr>
          <w:rFonts w:hint="cs"/>
          <w:rtl/>
        </w:rPr>
        <w:t xml:space="preserve"> </w:t>
      </w:r>
      <w:r>
        <w:rPr>
          <w:rFonts w:hint="cs"/>
          <w:b/>
          <w:bCs/>
          <w:rtl/>
        </w:rPr>
        <w:t>רוימי נ' מדינת ישראל</w:t>
      </w:r>
      <w:r>
        <w:rPr>
          <w:rFonts w:hint="cs"/>
          <w:rtl/>
        </w:rPr>
        <w:t>]. המשקל המצטבר העולה מיחסו הבעייתי של הנאשם לחוק ולמשטרה שתפקידה לאכוף את החוק, לחוקי התעבורה, ולשלום הציבור בכללותו, מחייב, למרבה הצער, מאסר בפועל בין כתלי הכלא.</w:t>
      </w:r>
    </w:p>
    <w:p w14:paraId="223013B1" w14:textId="77777777" w:rsidR="004E7D73" w:rsidRDefault="004E7D73" w:rsidP="004E7D73">
      <w:pPr>
        <w:spacing w:line="480" w:lineRule="auto"/>
        <w:ind w:left="1440" w:hanging="930"/>
        <w:jc w:val="both"/>
        <w:rPr>
          <w:rtl/>
        </w:rPr>
      </w:pPr>
    </w:p>
    <w:p w14:paraId="29702F9D" w14:textId="77777777" w:rsidR="004E7D73" w:rsidRDefault="004E7D73" w:rsidP="004E7D73">
      <w:pPr>
        <w:spacing w:line="480" w:lineRule="auto"/>
        <w:ind w:left="1440" w:hanging="930"/>
        <w:jc w:val="both"/>
        <w:rPr>
          <w:rtl/>
        </w:rPr>
      </w:pPr>
      <w:r>
        <w:rPr>
          <w:rFonts w:hint="cs"/>
          <w:rtl/>
        </w:rPr>
        <w:t>ג.</w:t>
      </w:r>
      <w:r>
        <w:rPr>
          <w:rFonts w:hint="cs"/>
          <w:rtl/>
        </w:rPr>
        <w:tab/>
        <w:t xml:space="preserve">לזכות הנאשם </w:t>
      </w:r>
      <w:r>
        <w:rPr>
          <w:rtl/>
        </w:rPr>
        <w:t>–</w:t>
      </w:r>
      <w:r>
        <w:rPr>
          <w:rFonts w:hint="cs"/>
          <w:rtl/>
        </w:rPr>
        <w:t xml:space="preserve"> קבלת אחריות מלאה, ואף בבית המשפט ניכרה חרטתו. אף אין חולקין, שמאז לא נרשמה לחובת הנאשם כל עבירה נוספת, אף לא הפרות של תנאי השחרור ובשים לב לגילו הצעיר, כבן 24 כיום, ניתן לקוות שלמד את לקחו וניתן להימנע ממצוי הדין עמו.</w:t>
      </w:r>
    </w:p>
    <w:p w14:paraId="4FDF6A5C" w14:textId="77777777" w:rsidR="004E7D73" w:rsidRDefault="004E7D73" w:rsidP="004E7D73">
      <w:pPr>
        <w:spacing w:line="480" w:lineRule="auto"/>
        <w:ind w:left="1440" w:hanging="930"/>
        <w:jc w:val="both"/>
        <w:rPr>
          <w:rtl/>
        </w:rPr>
      </w:pPr>
    </w:p>
    <w:p w14:paraId="49001A79" w14:textId="77777777" w:rsidR="004E7D73" w:rsidRDefault="004E7D73" w:rsidP="004E7D73">
      <w:pPr>
        <w:spacing w:line="480" w:lineRule="auto"/>
        <w:ind w:left="1440" w:hanging="930"/>
        <w:jc w:val="both"/>
        <w:rPr>
          <w:rtl/>
        </w:rPr>
      </w:pPr>
      <w:r>
        <w:rPr>
          <w:rFonts w:hint="cs"/>
          <w:rtl/>
        </w:rPr>
        <w:t>ד.</w:t>
      </w:r>
      <w:r>
        <w:rPr>
          <w:rFonts w:hint="cs"/>
          <w:rtl/>
        </w:rPr>
        <w:tab/>
        <w:t xml:space="preserve">אשר לעברו הפלילי. אמנם, על הפרק עבירה מסוג שונה בתכלית, ומקובל למעט למשקלו של עבר פלילי בנסיבות מסוג זה. עם זאת, אינני בדעה שזהה מצבו של נאשם שלחובתו עבר פלילי, גם אם בהקשרים אחרים, למצבו של נאשם שזו, לדידו, מעידה ראשונה. יודע כבר נאשם במצבו של הנאשם דנן, את מלוא המשמעות הגלומה בחוק, והיה עליו לזכור זאת, למשל </w:t>
      </w:r>
      <w:r>
        <w:rPr>
          <w:rtl/>
        </w:rPr>
        <w:t>–</w:t>
      </w:r>
      <w:r>
        <w:rPr>
          <w:rFonts w:hint="cs"/>
          <w:rtl/>
        </w:rPr>
        <w:t xml:space="preserve"> אם כי לא רק </w:t>
      </w:r>
      <w:r>
        <w:rPr>
          <w:rtl/>
        </w:rPr>
        <w:t>–</w:t>
      </w:r>
      <w:r>
        <w:rPr>
          <w:rFonts w:hint="cs"/>
          <w:rtl/>
        </w:rPr>
        <w:t xml:space="preserve"> כשנטל לידיו רכב ללא רשיון או כאשר עשה מאמץ להימלט מהמשטרה. </w:t>
      </w:r>
    </w:p>
    <w:p w14:paraId="24045FA3" w14:textId="77777777" w:rsidR="004E7D73" w:rsidRDefault="004E7D73" w:rsidP="004E7D73">
      <w:pPr>
        <w:spacing w:line="480" w:lineRule="auto"/>
        <w:ind w:left="1440" w:hanging="930"/>
        <w:jc w:val="both"/>
        <w:rPr>
          <w:rtl/>
        </w:rPr>
      </w:pPr>
    </w:p>
    <w:p w14:paraId="56D5B539" w14:textId="77777777" w:rsidR="004E7D73" w:rsidRDefault="004E7D73" w:rsidP="004E7D73">
      <w:pPr>
        <w:spacing w:line="480" w:lineRule="auto"/>
        <w:ind w:left="1440" w:hanging="930"/>
        <w:jc w:val="both"/>
        <w:rPr>
          <w:rtl/>
        </w:rPr>
      </w:pPr>
      <w:r>
        <w:rPr>
          <w:rFonts w:hint="cs"/>
          <w:rtl/>
        </w:rPr>
        <w:t>ה.</w:t>
      </w:r>
      <w:r>
        <w:rPr>
          <w:rFonts w:hint="cs"/>
          <w:rtl/>
        </w:rPr>
        <w:tab/>
        <w:t xml:space="preserve">כאמור, ממאסר בפועל, לא ניתן להימנע ובשלב זה עובר הדיון לשאלת מקומו של הנאשם בתוך מתחם הענישה. לטענת המאשימה ראוי למקמו באמצע המתחם. לטעמי, יש בעמדה זו כדי להחמיר במעט. מלבד העובדה שלחובת הנאשם הרשעה קודמת אחת, וגם זאת בעבירה שונה בטיבה, אם כי לא קלה, לא נדרש להגיע לאמצע המתחם. מקום שעל הפרק נאשם שקיבל אחריות מלאה למעשיו, הביע את חרטתו על מעשיו והוא משוחרר בתנאים מגבילים ללא הפרות מזה כשנה וחצי, דומני שאין הצדקה לחתירה לאמצע מתחם הענישה. די בתחתית המתחם. </w:t>
      </w:r>
    </w:p>
    <w:p w14:paraId="5F9630B5" w14:textId="77777777" w:rsidR="004E7D73" w:rsidRDefault="004E7D73" w:rsidP="004E7D73">
      <w:pPr>
        <w:spacing w:line="480" w:lineRule="auto"/>
        <w:ind w:left="1440" w:hanging="930"/>
        <w:jc w:val="both"/>
        <w:rPr>
          <w:rtl/>
        </w:rPr>
      </w:pPr>
    </w:p>
    <w:p w14:paraId="1FD78A44" w14:textId="77777777" w:rsidR="004E7D73" w:rsidRDefault="004E7D73" w:rsidP="004E7D73">
      <w:pPr>
        <w:spacing w:line="480" w:lineRule="auto"/>
        <w:ind w:left="1440" w:hanging="930"/>
        <w:jc w:val="both"/>
        <w:rPr>
          <w:rtl/>
        </w:rPr>
      </w:pPr>
      <w:r>
        <w:rPr>
          <w:rFonts w:hint="cs"/>
          <w:rtl/>
        </w:rPr>
        <w:t>ו.</w:t>
      </w:r>
      <w:r>
        <w:rPr>
          <w:rFonts w:hint="cs"/>
          <w:rtl/>
        </w:rPr>
        <w:tab/>
        <w:t>לצד האמור, אדרש בנוסף לענישה מותנת, ענישה במישור התעבורתי המתבקשת בפרט נוכח מקבץ עבירות התעבורה שביצע הנאשם, ולרכיב כספי.</w:t>
      </w:r>
    </w:p>
    <w:p w14:paraId="2AE00582" w14:textId="77777777" w:rsidR="004E7D73" w:rsidRDefault="004E7D73" w:rsidP="004E7D73">
      <w:pPr>
        <w:spacing w:line="480" w:lineRule="auto"/>
        <w:jc w:val="both"/>
        <w:rPr>
          <w:rtl/>
        </w:rPr>
      </w:pPr>
    </w:p>
    <w:p w14:paraId="6F40058B" w14:textId="77777777" w:rsidR="004E7D73" w:rsidRDefault="004E7D73" w:rsidP="004E7D73">
      <w:pPr>
        <w:spacing w:line="480" w:lineRule="auto"/>
        <w:jc w:val="both"/>
        <w:rPr>
          <w:rtl/>
        </w:rPr>
      </w:pPr>
    </w:p>
    <w:p w14:paraId="0621A3FB" w14:textId="77777777" w:rsidR="004E7D73" w:rsidRDefault="004E7D73" w:rsidP="004E7D73">
      <w:pPr>
        <w:spacing w:line="480" w:lineRule="auto"/>
        <w:jc w:val="both"/>
        <w:rPr>
          <w:rtl/>
        </w:rPr>
      </w:pPr>
    </w:p>
    <w:p w14:paraId="539C78AC" w14:textId="77777777" w:rsidR="004E7D73" w:rsidRDefault="004E7D73" w:rsidP="004E7D73">
      <w:pPr>
        <w:spacing w:line="480" w:lineRule="auto"/>
        <w:jc w:val="both"/>
        <w:rPr>
          <w:rtl/>
        </w:rPr>
      </w:pPr>
    </w:p>
    <w:p w14:paraId="34CE49EF" w14:textId="77777777" w:rsidR="004E7D73" w:rsidRDefault="004E7D73" w:rsidP="004E7D73">
      <w:pPr>
        <w:spacing w:line="480" w:lineRule="auto"/>
        <w:jc w:val="both"/>
        <w:rPr>
          <w:rtl/>
        </w:rPr>
      </w:pPr>
    </w:p>
    <w:p w14:paraId="68F71B6E" w14:textId="77777777" w:rsidR="004E7D73" w:rsidRPr="004D7A39" w:rsidRDefault="004E7D73" w:rsidP="004E7D73">
      <w:pPr>
        <w:spacing w:line="480" w:lineRule="auto"/>
        <w:ind w:left="510" w:hanging="510"/>
        <w:jc w:val="both"/>
        <w:rPr>
          <w:u w:val="single"/>
          <w:rtl/>
        </w:rPr>
      </w:pPr>
      <w:r>
        <w:rPr>
          <w:rtl/>
        </w:rPr>
        <w:t>7.</w:t>
      </w:r>
      <w:r>
        <w:rPr>
          <w:rtl/>
        </w:rPr>
        <w:tab/>
      </w:r>
      <w:r w:rsidRPr="004D7A39">
        <w:rPr>
          <w:rFonts w:hint="cs"/>
          <w:u w:val="single"/>
          <w:rtl/>
        </w:rPr>
        <w:t>סוף דבר, גוזר אני כדלקמן :</w:t>
      </w:r>
    </w:p>
    <w:p w14:paraId="6AE44158" w14:textId="77777777" w:rsidR="004E7D73" w:rsidRDefault="004E7D73" w:rsidP="004E7D73">
      <w:pPr>
        <w:spacing w:line="480" w:lineRule="auto"/>
        <w:ind w:left="510" w:hanging="510"/>
        <w:jc w:val="both"/>
        <w:rPr>
          <w:rtl/>
        </w:rPr>
      </w:pPr>
    </w:p>
    <w:p w14:paraId="51ABCCDF" w14:textId="77777777" w:rsidR="004E7D73" w:rsidRDefault="004E7D73" w:rsidP="004E7D73">
      <w:pPr>
        <w:spacing w:line="480" w:lineRule="auto"/>
        <w:ind w:left="1440" w:hanging="930"/>
        <w:jc w:val="both"/>
        <w:rPr>
          <w:rtl/>
        </w:rPr>
      </w:pPr>
      <w:r>
        <w:rPr>
          <w:rFonts w:hint="cs"/>
          <w:rtl/>
        </w:rPr>
        <w:t>א.</w:t>
      </w:r>
      <w:r>
        <w:rPr>
          <w:rFonts w:hint="cs"/>
          <w:rtl/>
        </w:rPr>
        <w:tab/>
        <w:t>מאסר לתקופה של 7 חודשים. מתקופה זה ינוכו 33 ימים בהם שהה הנאשם במעצר. ער אני לכך, שעונש זה נמוך במעט מכפי שנגזר על טוויל. נובע הדבר מתחושתי, שחרטת הנאשם דנן אמיתית וכנה, וכן נוכח פרק הזמן הממושך בו שהה בתנאים שלא הופרו.</w:t>
      </w:r>
    </w:p>
    <w:p w14:paraId="46DF6340" w14:textId="77777777" w:rsidR="004E7D73" w:rsidRDefault="004E7D73" w:rsidP="004E7D73">
      <w:pPr>
        <w:spacing w:line="480" w:lineRule="auto"/>
        <w:ind w:left="1440" w:hanging="930"/>
        <w:jc w:val="both"/>
        <w:rPr>
          <w:rtl/>
        </w:rPr>
      </w:pPr>
    </w:p>
    <w:p w14:paraId="02EF58BC" w14:textId="77777777" w:rsidR="004E7D73" w:rsidRDefault="004E7D73" w:rsidP="004E7D73">
      <w:pPr>
        <w:spacing w:line="480" w:lineRule="auto"/>
        <w:ind w:left="1440" w:hanging="930"/>
        <w:jc w:val="both"/>
        <w:rPr>
          <w:rtl/>
        </w:rPr>
      </w:pPr>
      <w:r>
        <w:rPr>
          <w:rtl/>
        </w:rPr>
        <w:tab/>
      </w:r>
      <w:r>
        <w:rPr>
          <w:rFonts w:hint="cs"/>
          <w:rtl/>
        </w:rPr>
        <w:t>הנאשם יתייצב לריצוי עונשו ביום 10.6.19 עד השעה 10:00 בכלא ניצן.</w:t>
      </w:r>
    </w:p>
    <w:p w14:paraId="332BC68A" w14:textId="77777777" w:rsidR="004E7D73" w:rsidRDefault="004E7D73" w:rsidP="004E7D73">
      <w:pPr>
        <w:spacing w:line="480" w:lineRule="auto"/>
        <w:ind w:left="1440" w:hanging="930"/>
        <w:jc w:val="both"/>
        <w:rPr>
          <w:rtl/>
        </w:rPr>
      </w:pPr>
    </w:p>
    <w:p w14:paraId="316C765A" w14:textId="77777777" w:rsidR="004E7D73" w:rsidRDefault="004E7D73" w:rsidP="004E7D73">
      <w:pPr>
        <w:spacing w:line="480" w:lineRule="auto"/>
        <w:ind w:left="1440" w:hanging="930"/>
        <w:jc w:val="both"/>
        <w:rPr>
          <w:rtl/>
        </w:rPr>
      </w:pPr>
      <w:r>
        <w:rPr>
          <w:rFonts w:hint="cs"/>
          <w:rtl/>
        </w:rPr>
        <w:t>ב.</w:t>
      </w:r>
      <w:r>
        <w:rPr>
          <w:rFonts w:hint="cs"/>
          <w:rtl/>
        </w:rPr>
        <w:tab/>
        <w:t>פסילת רישיון, לרבות פסילה מלקבל, לתקופה של 30 חודש; לחישוב ממחרת שחרורו.</w:t>
      </w:r>
    </w:p>
    <w:p w14:paraId="2905197D" w14:textId="77777777" w:rsidR="004E7D73" w:rsidRDefault="004E7D73" w:rsidP="004E7D73">
      <w:pPr>
        <w:spacing w:line="480" w:lineRule="auto"/>
        <w:ind w:left="1440" w:hanging="930"/>
        <w:jc w:val="both"/>
        <w:rPr>
          <w:rtl/>
        </w:rPr>
      </w:pPr>
    </w:p>
    <w:p w14:paraId="43AF8C21" w14:textId="77777777" w:rsidR="004E7D73" w:rsidRDefault="004E7D73" w:rsidP="004E7D73">
      <w:pPr>
        <w:spacing w:line="480" w:lineRule="auto"/>
        <w:ind w:left="1440" w:hanging="930"/>
        <w:jc w:val="both"/>
        <w:rPr>
          <w:rtl/>
        </w:rPr>
      </w:pPr>
      <w:r>
        <w:rPr>
          <w:rFonts w:hint="cs"/>
          <w:rtl/>
        </w:rPr>
        <w:t>ג.</w:t>
      </w:r>
      <w:r>
        <w:rPr>
          <w:rFonts w:hint="cs"/>
          <w:rtl/>
        </w:rPr>
        <w:tab/>
        <w:t xml:space="preserve">בנוסף, ייפסל הנאשם על תנאי לשישה חודשים למשך שנתיים, ככל שיעבור עבירה נוספת לפי </w:t>
      </w:r>
      <w:hyperlink r:id="rId35" w:history="1">
        <w:r w:rsidR="007B1E6B" w:rsidRPr="007B1E6B">
          <w:rPr>
            <w:color w:val="0000FF"/>
            <w:u w:val="single"/>
            <w:rtl/>
          </w:rPr>
          <w:t>התוספת הראשונה</w:t>
        </w:r>
      </w:hyperlink>
      <w:r>
        <w:rPr>
          <w:rFonts w:hint="cs"/>
          <w:rtl/>
        </w:rPr>
        <w:t xml:space="preserve"> ל</w:t>
      </w:r>
      <w:hyperlink r:id="rId36" w:history="1">
        <w:r w:rsidR="007301B3" w:rsidRPr="007301B3">
          <w:rPr>
            <w:color w:val="0000FF"/>
            <w:u w:val="single"/>
            <w:rtl/>
          </w:rPr>
          <w:t>פקודת התעבורה</w:t>
        </w:r>
      </w:hyperlink>
      <w:r>
        <w:rPr>
          <w:rFonts w:hint="cs"/>
          <w:rtl/>
        </w:rPr>
        <w:t>.</w:t>
      </w:r>
    </w:p>
    <w:p w14:paraId="409F9EE9" w14:textId="77777777" w:rsidR="004E7D73" w:rsidRDefault="004E7D73" w:rsidP="004E7D73">
      <w:pPr>
        <w:spacing w:line="480" w:lineRule="auto"/>
        <w:ind w:left="1440" w:hanging="930"/>
        <w:jc w:val="both"/>
        <w:rPr>
          <w:rtl/>
        </w:rPr>
      </w:pPr>
    </w:p>
    <w:p w14:paraId="46A03114" w14:textId="77777777" w:rsidR="004E7D73" w:rsidRDefault="004E7D73" w:rsidP="004E7D73">
      <w:pPr>
        <w:spacing w:line="480" w:lineRule="auto"/>
        <w:ind w:left="1440" w:hanging="930"/>
        <w:jc w:val="both"/>
        <w:rPr>
          <w:rtl/>
        </w:rPr>
      </w:pPr>
      <w:r>
        <w:rPr>
          <w:rFonts w:hint="cs"/>
          <w:rtl/>
        </w:rPr>
        <w:t>ד.</w:t>
      </w:r>
      <w:r>
        <w:rPr>
          <w:rFonts w:hint="cs"/>
          <w:rtl/>
        </w:rPr>
        <w:tab/>
        <w:t xml:space="preserve">הנאשם ירצה 6 חודשי מאסר נוספים אם בתקופה של שנתיים לאחר שחרור יעבור עבירה נוספת על </w:t>
      </w:r>
      <w:hyperlink r:id="rId37" w:history="1">
        <w:r w:rsidR="007B1E6B" w:rsidRPr="007B1E6B">
          <w:rPr>
            <w:color w:val="0000FF"/>
            <w:u w:val="single"/>
            <w:rtl/>
          </w:rPr>
          <w:t>סעיף 10(א)</w:t>
        </w:r>
      </w:hyperlink>
      <w:r>
        <w:rPr>
          <w:rFonts w:hint="cs"/>
          <w:rtl/>
        </w:rPr>
        <w:t xml:space="preserve"> ל</w:t>
      </w:r>
      <w:hyperlink r:id="rId38" w:history="1">
        <w:r w:rsidR="007301B3" w:rsidRPr="007301B3">
          <w:rPr>
            <w:color w:val="0000FF"/>
            <w:u w:val="single"/>
            <w:rtl/>
          </w:rPr>
          <w:t>פקודת התעבורה</w:t>
        </w:r>
      </w:hyperlink>
      <w:r>
        <w:rPr>
          <w:rFonts w:hint="cs"/>
          <w:rtl/>
        </w:rPr>
        <w:t>.</w:t>
      </w:r>
    </w:p>
    <w:p w14:paraId="0A879D57" w14:textId="77777777" w:rsidR="004E7D73" w:rsidRDefault="004E7D73" w:rsidP="004E7D73">
      <w:pPr>
        <w:spacing w:line="480" w:lineRule="auto"/>
        <w:ind w:left="1440" w:hanging="930"/>
        <w:jc w:val="both"/>
        <w:rPr>
          <w:rtl/>
        </w:rPr>
      </w:pPr>
    </w:p>
    <w:p w14:paraId="0FABDA9D" w14:textId="77777777" w:rsidR="004E7D73" w:rsidRDefault="004E7D73" w:rsidP="004E7D73">
      <w:pPr>
        <w:spacing w:line="480" w:lineRule="auto"/>
        <w:ind w:left="1440" w:hanging="930"/>
        <w:jc w:val="both"/>
        <w:rPr>
          <w:rtl/>
        </w:rPr>
      </w:pPr>
      <w:r>
        <w:rPr>
          <w:rFonts w:hint="cs"/>
          <w:rtl/>
        </w:rPr>
        <w:t>ה.</w:t>
      </w:r>
      <w:r>
        <w:rPr>
          <w:rFonts w:hint="cs"/>
          <w:rtl/>
        </w:rPr>
        <w:tab/>
        <w:t>קנס בסך 5,000 ₪ לתשלום בעשרה תשלומים מיום 1.1.2020; היה ולא ישלם יאסר ל- 50 יום חלף הקנס.</w:t>
      </w:r>
    </w:p>
    <w:p w14:paraId="4EEE81DD" w14:textId="77777777" w:rsidR="004E7D73" w:rsidRPr="00BC3BE7" w:rsidRDefault="004E7D73" w:rsidP="004E7D73">
      <w:pPr>
        <w:spacing w:line="480" w:lineRule="auto"/>
        <w:ind w:left="1440" w:hanging="930"/>
        <w:jc w:val="both"/>
        <w:rPr>
          <w:sz w:val="12"/>
          <w:szCs w:val="12"/>
          <w:rtl/>
        </w:rPr>
      </w:pPr>
    </w:p>
    <w:p w14:paraId="2EF8EA68" w14:textId="77777777" w:rsidR="004E7D73" w:rsidRPr="00BC3BE7" w:rsidRDefault="007301B3" w:rsidP="004E7D73">
      <w:pPr>
        <w:spacing w:line="480" w:lineRule="auto"/>
        <w:rPr>
          <w:rFonts w:cs="FrankRuehl"/>
          <w:sz w:val="14"/>
          <w:szCs w:val="14"/>
          <w:rtl/>
        </w:rPr>
      </w:pPr>
      <w:r>
        <w:rPr>
          <w:rFonts w:ascii="Arial" w:hAnsi="Arial"/>
          <w:b/>
          <w:bCs/>
          <w:rtl/>
        </w:rPr>
        <w:t xml:space="preserve">ניתן היום, ג' ניסן תשע"ט, 08 אפריל 2019, במעמד הצדדים. </w:t>
      </w:r>
    </w:p>
    <w:p w14:paraId="1E455992" w14:textId="77777777" w:rsidR="004E7D73" w:rsidRDefault="004E7D73" w:rsidP="004E7D73">
      <w:pPr>
        <w:spacing w:line="480" w:lineRule="auto"/>
        <w:ind w:left="4320" w:firstLine="720"/>
      </w:pPr>
      <w:r>
        <w:rPr>
          <w:rtl/>
        </w:rPr>
        <w:t xml:space="preserve">     </w:t>
      </w:r>
    </w:p>
    <w:p w14:paraId="6589FBF2" w14:textId="77777777" w:rsidR="004E7D73" w:rsidRDefault="004E7D73" w:rsidP="004E7D73">
      <w:pPr>
        <w:spacing w:line="480" w:lineRule="auto"/>
        <w:ind w:left="4320" w:firstLine="720"/>
        <w:rPr>
          <w:rFonts w:ascii="Arial" w:hAnsi="Arial" w:cs="FrankRuehl"/>
          <w:sz w:val="28"/>
          <w:szCs w:val="28"/>
          <w:rtl/>
        </w:rPr>
      </w:pPr>
    </w:p>
    <w:p w14:paraId="79935ECF" w14:textId="77777777" w:rsidR="004E7D73" w:rsidRPr="00BC3BE7" w:rsidRDefault="004E7D73" w:rsidP="004E7D73">
      <w:pPr>
        <w:rPr>
          <w:rtl/>
        </w:rPr>
      </w:pPr>
    </w:p>
    <w:p w14:paraId="25A91A9F" w14:textId="77777777" w:rsidR="004E7D73" w:rsidRPr="007301B3" w:rsidRDefault="007301B3" w:rsidP="004E7D73">
      <w:pPr>
        <w:rPr>
          <w:color w:val="FFFFFF"/>
          <w:sz w:val="2"/>
          <w:szCs w:val="2"/>
          <w:rtl/>
        </w:rPr>
      </w:pPr>
      <w:r w:rsidRPr="007301B3">
        <w:rPr>
          <w:color w:val="FFFFFF"/>
          <w:sz w:val="2"/>
          <w:szCs w:val="2"/>
          <w:rtl/>
        </w:rPr>
        <w:t>5129371</w:t>
      </w:r>
    </w:p>
    <w:p w14:paraId="636EFD22" w14:textId="77777777" w:rsidR="004E7D73" w:rsidRPr="007301B3" w:rsidRDefault="007301B3" w:rsidP="004E7D73">
      <w:pPr>
        <w:rPr>
          <w:color w:val="FFFFFF"/>
          <w:sz w:val="2"/>
          <w:szCs w:val="2"/>
          <w:rtl/>
        </w:rPr>
      </w:pPr>
      <w:r w:rsidRPr="007301B3">
        <w:rPr>
          <w:color w:val="FFFFFF"/>
          <w:sz w:val="2"/>
          <w:szCs w:val="2"/>
          <w:rtl/>
        </w:rPr>
        <w:t>54678313</w:t>
      </w:r>
    </w:p>
    <w:p w14:paraId="33F1E41C" w14:textId="77777777" w:rsidR="004E7D73" w:rsidRPr="00BC3BE7" w:rsidRDefault="004E7D73" w:rsidP="004E7D73">
      <w:pPr>
        <w:rPr>
          <w:rtl/>
        </w:rPr>
      </w:pPr>
    </w:p>
    <w:p w14:paraId="61C8C915" w14:textId="77777777" w:rsidR="004E7D73" w:rsidRPr="00BC3BE7" w:rsidRDefault="004E7D73" w:rsidP="004E7D73">
      <w:pPr>
        <w:rPr>
          <w:rtl/>
        </w:rPr>
      </w:pPr>
    </w:p>
    <w:p w14:paraId="6ED70C55" w14:textId="77777777" w:rsidR="004E7D73" w:rsidRPr="00BC3BE7" w:rsidRDefault="004E7D73" w:rsidP="004E7D73">
      <w:pPr>
        <w:rPr>
          <w:rtl/>
        </w:rPr>
      </w:pPr>
    </w:p>
    <w:p w14:paraId="4B0113B0" w14:textId="77777777" w:rsidR="004E7D73" w:rsidRPr="007B1E6B" w:rsidRDefault="007B1E6B" w:rsidP="004E7D73">
      <w:pPr>
        <w:tabs>
          <w:tab w:val="left" w:pos="4710"/>
        </w:tabs>
        <w:rPr>
          <w:color w:val="FFFFFF"/>
          <w:sz w:val="2"/>
          <w:szCs w:val="2"/>
          <w:rtl/>
        </w:rPr>
      </w:pPr>
      <w:r w:rsidRPr="007B1E6B">
        <w:rPr>
          <w:color w:val="FFFFFF"/>
          <w:sz w:val="2"/>
          <w:szCs w:val="2"/>
          <w:rtl/>
        </w:rPr>
        <w:t>5129371</w:t>
      </w:r>
    </w:p>
    <w:p w14:paraId="035D15B1" w14:textId="77777777" w:rsidR="00A94B00" w:rsidRPr="007B1E6B" w:rsidRDefault="007B1E6B" w:rsidP="007301B3">
      <w:pPr>
        <w:keepNext/>
        <w:rPr>
          <w:rFonts w:ascii="David" w:hAnsi="David"/>
          <w:color w:val="FFFFFF"/>
          <w:sz w:val="2"/>
          <w:szCs w:val="2"/>
          <w:rtl/>
        </w:rPr>
      </w:pPr>
      <w:r w:rsidRPr="007B1E6B">
        <w:rPr>
          <w:rFonts w:ascii="David" w:hAnsi="David"/>
          <w:color w:val="FFFFFF"/>
          <w:sz w:val="2"/>
          <w:szCs w:val="2"/>
          <w:rtl/>
        </w:rPr>
        <w:t>54678313</w:t>
      </w:r>
    </w:p>
    <w:p w14:paraId="2515D71B" w14:textId="77777777" w:rsidR="007301B3" w:rsidRPr="007301B3" w:rsidRDefault="007301B3" w:rsidP="007301B3">
      <w:pPr>
        <w:keepNext/>
        <w:rPr>
          <w:rFonts w:ascii="David" w:hAnsi="David"/>
          <w:color w:val="000000"/>
          <w:sz w:val="22"/>
          <w:szCs w:val="22"/>
          <w:rtl/>
        </w:rPr>
      </w:pPr>
      <w:r w:rsidRPr="007301B3">
        <w:rPr>
          <w:rFonts w:ascii="David" w:hAnsi="David"/>
          <w:color w:val="000000"/>
          <w:sz w:val="22"/>
          <w:szCs w:val="22"/>
          <w:rtl/>
        </w:rPr>
        <w:t>אלכסנדר רון 54678313</w:t>
      </w:r>
    </w:p>
    <w:p w14:paraId="51E9FC4D" w14:textId="77777777" w:rsidR="007301B3" w:rsidRDefault="007301B3" w:rsidP="007301B3">
      <w:r w:rsidRPr="007301B3">
        <w:rPr>
          <w:color w:val="000000"/>
          <w:rtl/>
        </w:rPr>
        <w:t>נוסח מסמך זה כפוף לשינויי ניסוח ועריכה</w:t>
      </w:r>
    </w:p>
    <w:p w14:paraId="1880F97B" w14:textId="77777777" w:rsidR="007301B3" w:rsidRDefault="007301B3" w:rsidP="007301B3">
      <w:pPr>
        <w:rPr>
          <w:rtl/>
        </w:rPr>
      </w:pPr>
    </w:p>
    <w:p w14:paraId="26EF9F8E" w14:textId="77777777" w:rsidR="007301B3" w:rsidRDefault="007301B3" w:rsidP="007301B3">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1C8C315" w14:textId="77777777" w:rsidR="007301B3" w:rsidRPr="007301B3" w:rsidRDefault="0018702C" w:rsidP="007B1E6B">
      <w:pPr>
        <w:rPr>
          <w:color w:val="0000FF"/>
          <w:u w:val="single"/>
        </w:rPr>
      </w:pPr>
      <w:r>
        <w:rPr>
          <w:rFonts w:hint="cs"/>
          <w:color w:val="0000FF"/>
          <w:u w:val="single"/>
          <w:rtl/>
        </w:rPr>
        <w:t xml:space="preserve">       </w:t>
      </w:r>
    </w:p>
    <w:sectPr w:rsidR="007301B3" w:rsidRPr="007301B3" w:rsidSect="007B1E6B">
      <w:headerReference w:type="even" r:id="rId40"/>
      <w:headerReference w:type="default" r:id="rId41"/>
      <w:footerReference w:type="even" r:id="rId42"/>
      <w:footerReference w:type="default" r:id="rId43"/>
      <w:pgSz w:w="11907" w:h="16840" w:code="9"/>
      <w:pgMar w:top="1701" w:right="1701" w:bottom="1843"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8E227" w14:textId="77777777" w:rsidR="008F6FEA" w:rsidRDefault="008F6FEA" w:rsidP="00CA24C8">
      <w:r>
        <w:separator/>
      </w:r>
    </w:p>
  </w:endnote>
  <w:endnote w:type="continuationSeparator" w:id="0">
    <w:p w14:paraId="2187F105" w14:textId="77777777" w:rsidR="008F6FEA" w:rsidRDefault="008F6FEA" w:rsidP="00CA2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CAE23" w14:textId="77777777" w:rsidR="007B1E6B" w:rsidRDefault="007B1E6B" w:rsidP="007B1E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0A17359" w14:textId="77777777" w:rsidR="007301B3" w:rsidRPr="007B1E6B" w:rsidRDefault="007B1E6B" w:rsidP="007B1E6B">
    <w:pPr>
      <w:pStyle w:val="a5"/>
      <w:pBdr>
        <w:top w:val="single" w:sz="4" w:space="1" w:color="auto"/>
        <w:between w:val="single" w:sz="4" w:space="0" w:color="auto"/>
      </w:pBdr>
      <w:spacing w:after="60"/>
      <w:jc w:val="center"/>
      <w:rPr>
        <w:rFonts w:ascii="FrankRuehl" w:hAnsi="FrankRuehl" w:cs="FrankRuehl"/>
        <w:color w:val="000000"/>
      </w:rPr>
    </w:pPr>
    <w:r w:rsidRPr="007B1E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928AE" w14:textId="77777777" w:rsidR="007B1E6B" w:rsidRDefault="007B1E6B" w:rsidP="007B1E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2B36">
      <w:rPr>
        <w:rFonts w:ascii="FrankRuehl" w:hAnsi="FrankRuehl" w:cs="FrankRuehl"/>
        <w:noProof/>
        <w:rtl/>
      </w:rPr>
      <w:t>1</w:t>
    </w:r>
    <w:r>
      <w:rPr>
        <w:rFonts w:ascii="FrankRuehl" w:hAnsi="FrankRuehl" w:cs="FrankRuehl"/>
        <w:rtl/>
      </w:rPr>
      <w:fldChar w:fldCharType="end"/>
    </w:r>
  </w:p>
  <w:p w14:paraId="391A87EF" w14:textId="77777777" w:rsidR="007301B3" w:rsidRPr="007B1E6B" w:rsidRDefault="007B1E6B" w:rsidP="007B1E6B">
    <w:pPr>
      <w:pStyle w:val="a5"/>
      <w:pBdr>
        <w:top w:val="single" w:sz="4" w:space="1" w:color="auto"/>
        <w:between w:val="single" w:sz="4" w:space="0" w:color="auto"/>
      </w:pBdr>
      <w:spacing w:after="60"/>
      <w:jc w:val="center"/>
      <w:rPr>
        <w:rFonts w:ascii="FrankRuehl" w:hAnsi="FrankRuehl" w:cs="FrankRuehl"/>
        <w:color w:val="000000"/>
      </w:rPr>
    </w:pPr>
    <w:r w:rsidRPr="007B1E6B">
      <w:rPr>
        <w:rFonts w:ascii="FrankRuehl" w:hAnsi="FrankRuehl" w:cs="FrankRuehl"/>
        <w:color w:val="000000"/>
      </w:rPr>
      <w:pict w14:anchorId="62400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14E1D" w14:textId="77777777" w:rsidR="008F6FEA" w:rsidRDefault="008F6FEA" w:rsidP="00CA24C8">
      <w:r>
        <w:separator/>
      </w:r>
    </w:p>
  </w:footnote>
  <w:footnote w:type="continuationSeparator" w:id="0">
    <w:p w14:paraId="2FC8477C" w14:textId="77777777" w:rsidR="008F6FEA" w:rsidRDefault="008F6FEA" w:rsidP="00CA2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924B3" w14:textId="77777777" w:rsidR="007301B3" w:rsidRPr="007B1E6B" w:rsidRDefault="007B1E6B" w:rsidP="007B1E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63206-07-17</w:t>
    </w:r>
    <w:r>
      <w:rPr>
        <w:rFonts w:ascii="David" w:hAnsi="David"/>
        <w:color w:val="000000"/>
        <w:sz w:val="22"/>
        <w:szCs w:val="22"/>
        <w:rtl/>
      </w:rPr>
      <w:tab/>
      <w:t xml:space="preserve"> מדינת ישראל נ' עבד אל-סמד בורקאן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67508" w14:textId="77777777" w:rsidR="007301B3" w:rsidRPr="007B1E6B" w:rsidRDefault="007B1E6B" w:rsidP="007B1E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63206-07-17</w:t>
    </w:r>
    <w:r>
      <w:rPr>
        <w:rFonts w:ascii="David" w:hAnsi="David"/>
        <w:color w:val="000000"/>
        <w:sz w:val="22"/>
        <w:szCs w:val="22"/>
        <w:rtl/>
      </w:rPr>
      <w:tab/>
      <w:t xml:space="preserve"> מדינת ישראל נ' עבד אל-סמד בורקאן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7D73"/>
    <w:rsid w:val="0018702C"/>
    <w:rsid w:val="00381020"/>
    <w:rsid w:val="003D38C7"/>
    <w:rsid w:val="003D7055"/>
    <w:rsid w:val="004E7D73"/>
    <w:rsid w:val="006730FF"/>
    <w:rsid w:val="007301B3"/>
    <w:rsid w:val="007B1E6B"/>
    <w:rsid w:val="008B21A7"/>
    <w:rsid w:val="008C2551"/>
    <w:rsid w:val="008F6FEA"/>
    <w:rsid w:val="00942B36"/>
    <w:rsid w:val="00A94B00"/>
    <w:rsid w:val="00B16270"/>
    <w:rsid w:val="00B52AF1"/>
    <w:rsid w:val="00CA24C8"/>
    <w:rsid w:val="00D95377"/>
    <w:rsid w:val="00DC051B"/>
    <w:rsid w:val="00EF28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FF091D5"/>
  <w15:chartTrackingRefBased/>
  <w15:docId w15:val="{333F4A2D-EC91-43A2-B76A-6A55686D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7D7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E7D73"/>
    <w:pPr>
      <w:tabs>
        <w:tab w:val="center" w:pos="4153"/>
        <w:tab w:val="right" w:pos="8306"/>
      </w:tabs>
    </w:pPr>
  </w:style>
  <w:style w:type="character" w:customStyle="1" w:styleId="a4">
    <w:name w:val="כותרת עליונה תו"/>
    <w:link w:val="a3"/>
    <w:rsid w:val="004E7D73"/>
    <w:rPr>
      <w:rFonts w:ascii="Times New Roman" w:eastAsia="Times New Roman" w:hAnsi="Times New Roman" w:cs="David"/>
      <w:sz w:val="24"/>
      <w:szCs w:val="24"/>
    </w:rPr>
  </w:style>
  <w:style w:type="paragraph" w:styleId="a5">
    <w:name w:val="footer"/>
    <w:basedOn w:val="a"/>
    <w:link w:val="a6"/>
    <w:rsid w:val="004E7D73"/>
    <w:pPr>
      <w:tabs>
        <w:tab w:val="center" w:pos="4153"/>
        <w:tab w:val="right" w:pos="8306"/>
      </w:tabs>
    </w:pPr>
  </w:style>
  <w:style w:type="character" w:customStyle="1" w:styleId="a6">
    <w:name w:val="כותרת תחתונה תו"/>
    <w:link w:val="a5"/>
    <w:rsid w:val="004E7D73"/>
    <w:rPr>
      <w:rFonts w:ascii="Times New Roman" w:eastAsia="Times New Roman" w:hAnsi="Times New Roman" w:cs="David"/>
      <w:sz w:val="24"/>
      <w:szCs w:val="24"/>
    </w:rPr>
  </w:style>
  <w:style w:type="table" w:styleId="a7">
    <w:name w:val="Table Grid"/>
    <w:basedOn w:val="a1"/>
    <w:rsid w:val="004E7D7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rsid w:val="004E7D73"/>
  </w:style>
  <w:style w:type="character" w:styleId="a9">
    <w:name w:val="page number"/>
    <w:rsid w:val="007301B3"/>
  </w:style>
  <w:style w:type="character" w:styleId="Hyperlink">
    <w:name w:val="Hyperlink"/>
    <w:rsid w:val="007301B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274/23.a" TargetMode="External"/><Relationship Id="rId18" Type="http://schemas.openxmlformats.org/officeDocument/2006/relationships/hyperlink" Target="http://www.nevo.co.il/law/5227/10.a" TargetMode="External"/><Relationship Id="rId26" Type="http://schemas.openxmlformats.org/officeDocument/2006/relationships/hyperlink" Target="http://www.nevo.co.il/law/70301/338.a.1"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4274/22.b" TargetMode="External"/><Relationship Id="rId34" Type="http://schemas.openxmlformats.org/officeDocument/2006/relationships/hyperlink" Target="http://www.nevo.co.il/case/13100246" TargetMode="External"/><Relationship Id="rId42" Type="http://schemas.openxmlformats.org/officeDocument/2006/relationships/footer" Target="footer1.xml"/><Relationship Id="rId7" Type="http://schemas.openxmlformats.org/officeDocument/2006/relationships/hyperlink" Target="http://www.nevo.co.il/law/5227/1T" TargetMode="Externa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case/20892132" TargetMode="External"/><Relationship Id="rId1" Type="http://schemas.openxmlformats.org/officeDocument/2006/relationships/styles" Target="styles.xml"/><Relationship Id="rId6" Type="http://schemas.openxmlformats.org/officeDocument/2006/relationships/hyperlink" Target="http://www.nevo.co.il/law/5227" TargetMode="External"/><Relationship Id="rId11" Type="http://schemas.openxmlformats.org/officeDocument/2006/relationships/hyperlink" Target="http://www.nevo.co.il/law/74274" TargetMode="External"/><Relationship Id="rId24" Type="http://schemas.openxmlformats.org/officeDocument/2006/relationships/hyperlink" Target="http://www.nevo.co.il/law/5227/35" TargetMode="External"/><Relationship Id="rId32" Type="http://schemas.openxmlformats.org/officeDocument/2006/relationships/hyperlink" Target="http://www.nevo.co.il/case/5831242" TargetMode="External"/><Relationship Id="rId37" Type="http://schemas.openxmlformats.org/officeDocument/2006/relationships/hyperlink" Target="http://www.nevo.co.il/law/5227/10.a"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5227/62" TargetMode="External"/><Relationship Id="rId28" Type="http://schemas.openxmlformats.org/officeDocument/2006/relationships/hyperlink" Target="http://www.nevo.co.il/law/74274/51" TargetMode="External"/><Relationship Id="rId36" Type="http://schemas.openxmlformats.org/officeDocument/2006/relationships/hyperlink" Target="http://www.nevo.co.il/law/5227" TargetMode="External"/><Relationship Id="rId10" Type="http://schemas.openxmlformats.org/officeDocument/2006/relationships/hyperlink" Target="http://www.nevo.co.il/law/5227/62" TargetMode="External"/><Relationship Id="rId19" Type="http://schemas.openxmlformats.org/officeDocument/2006/relationships/hyperlink" Target="http://www.nevo.co.il/law/5227/62" TargetMode="External"/><Relationship Id="rId31" Type="http://schemas.openxmlformats.org/officeDocument/2006/relationships/hyperlink" Target="http://www.nevo.co.il/law/70301"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5227/35" TargetMode="External"/><Relationship Id="rId14" Type="http://schemas.openxmlformats.org/officeDocument/2006/relationships/hyperlink" Target="http://www.nevo.co.il/law/74274/51" TargetMode="External"/><Relationship Id="rId22" Type="http://schemas.openxmlformats.org/officeDocument/2006/relationships/hyperlink" Target="http://www.nevo.co.il/law/74274"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5227/1T" TargetMode="External"/><Relationship Id="rId43" Type="http://schemas.openxmlformats.org/officeDocument/2006/relationships/footer" Target="footer2.xml"/><Relationship Id="rId8" Type="http://schemas.openxmlformats.org/officeDocument/2006/relationships/hyperlink" Target="http://www.nevo.co.il/law/5227/10.a" TargetMode="External"/><Relationship Id="rId3" Type="http://schemas.openxmlformats.org/officeDocument/2006/relationships/webSettings" Target="webSettings.xml"/><Relationship Id="rId12" Type="http://schemas.openxmlformats.org/officeDocument/2006/relationships/hyperlink" Target="http://www.nevo.co.il/law/74274/22.b" TargetMode="External"/><Relationship Id="rId17" Type="http://schemas.openxmlformats.org/officeDocument/2006/relationships/hyperlink" Target="http://www.nevo.co.il/law/70301/338.a.1" TargetMode="External"/><Relationship Id="rId25" Type="http://schemas.openxmlformats.org/officeDocument/2006/relationships/hyperlink" Target="http://www.nevo.co.il/law/74274/23.a" TargetMode="External"/><Relationship Id="rId33" Type="http://schemas.openxmlformats.org/officeDocument/2006/relationships/hyperlink" Target="http://www.nevo.co.il/case/5831242" TargetMode="External"/><Relationship Id="rId38" Type="http://schemas.openxmlformats.org/officeDocument/2006/relationships/hyperlink" Target="http://www.nevo.co.il/law/5227" TargetMode="External"/><Relationship Id="rId20" Type="http://schemas.openxmlformats.org/officeDocument/2006/relationships/hyperlink" Target="http://www.nevo.co.il/law/5227"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1325</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7936</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8323175</vt:i4>
      </vt:variant>
      <vt:variant>
        <vt:i4>96</vt:i4>
      </vt:variant>
      <vt:variant>
        <vt:i4>0</vt:i4>
      </vt:variant>
      <vt:variant>
        <vt:i4>5</vt:i4>
      </vt:variant>
      <vt:variant>
        <vt:lpwstr>http://www.nevo.co.il/law/5227</vt:lpwstr>
      </vt:variant>
      <vt:variant>
        <vt:lpwstr/>
      </vt:variant>
      <vt:variant>
        <vt:i4>6291576</vt:i4>
      </vt:variant>
      <vt:variant>
        <vt:i4>93</vt:i4>
      </vt:variant>
      <vt:variant>
        <vt:i4>0</vt:i4>
      </vt:variant>
      <vt:variant>
        <vt:i4>5</vt:i4>
      </vt:variant>
      <vt:variant>
        <vt:lpwstr>http://www.nevo.co.il/law/5227/10.a</vt:lpwstr>
      </vt:variant>
      <vt:variant>
        <vt:lpwstr/>
      </vt:variant>
      <vt:variant>
        <vt:i4>8323175</vt:i4>
      </vt:variant>
      <vt:variant>
        <vt:i4>90</vt:i4>
      </vt:variant>
      <vt:variant>
        <vt:i4>0</vt:i4>
      </vt:variant>
      <vt:variant>
        <vt:i4>5</vt:i4>
      </vt:variant>
      <vt:variant>
        <vt:lpwstr>http://www.nevo.co.il/law/5227</vt:lpwstr>
      </vt:variant>
      <vt:variant>
        <vt:lpwstr/>
      </vt:variant>
      <vt:variant>
        <vt:i4>5111880</vt:i4>
      </vt:variant>
      <vt:variant>
        <vt:i4>87</vt:i4>
      </vt:variant>
      <vt:variant>
        <vt:i4>0</vt:i4>
      </vt:variant>
      <vt:variant>
        <vt:i4>5</vt:i4>
      </vt:variant>
      <vt:variant>
        <vt:lpwstr>http://www.nevo.co.il/law/5227/1T</vt:lpwstr>
      </vt:variant>
      <vt:variant>
        <vt:lpwstr/>
      </vt:variant>
      <vt:variant>
        <vt:i4>3407989</vt:i4>
      </vt:variant>
      <vt:variant>
        <vt:i4>84</vt:i4>
      </vt:variant>
      <vt:variant>
        <vt:i4>0</vt:i4>
      </vt:variant>
      <vt:variant>
        <vt:i4>5</vt:i4>
      </vt:variant>
      <vt:variant>
        <vt:lpwstr>http://www.nevo.co.il/case/13100246</vt:lpwstr>
      </vt:variant>
      <vt:variant>
        <vt:lpwstr/>
      </vt:variant>
      <vt:variant>
        <vt:i4>3539065</vt:i4>
      </vt:variant>
      <vt:variant>
        <vt:i4>81</vt:i4>
      </vt:variant>
      <vt:variant>
        <vt:i4>0</vt:i4>
      </vt:variant>
      <vt:variant>
        <vt:i4>5</vt:i4>
      </vt:variant>
      <vt:variant>
        <vt:lpwstr>http://www.nevo.co.il/case/5831242</vt:lpwstr>
      </vt:variant>
      <vt:variant>
        <vt:lpwstr/>
      </vt:variant>
      <vt:variant>
        <vt:i4>3539065</vt:i4>
      </vt:variant>
      <vt:variant>
        <vt:i4>78</vt:i4>
      </vt:variant>
      <vt:variant>
        <vt:i4>0</vt:i4>
      </vt:variant>
      <vt:variant>
        <vt:i4>5</vt:i4>
      </vt:variant>
      <vt:variant>
        <vt:lpwstr>http://www.nevo.co.il/case/5831242</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3866748</vt:i4>
      </vt:variant>
      <vt:variant>
        <vt:i4>69</vt:i4>
      </vt:variant>
      <vt:variant>
        <vt:i4>0</vt:i4>
      </vt:variant>
      <vt:variant>
        <vt:i4>5</vt:i4>
      </vt:variant>
      <vt:variant>
        <vt:lpwstr>http://www.nevo.co.il/case/20892132</vt:lpwstr>
      </vt:variant>
      <vt:variant>
        <vt:lpwstr/>
      </vt:variant>
      <vt:variant>
        <vt:i4>6750308</vt:i4>
      </vt:variant>
      <vt:variant>
        <vt:i4>66</vt:i4>
      </vt:variant>
      <vt:variant>
        <vt:i4>0</vt:i4>
      </vt:variant>
      <vt:variant>
        <vt:i4>5</vt:i4>
      </vt:variant>
      <vt:variant>
        <vt:lpwstr>http://www.nevo.co.il/law/74274/51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6684735</vt:i4>
      </vt:variant>
      <vt:variant>
        <vt:i4>60</vt:i4>
      </vt:variant>
      <vt:variant>
        <vt:i4>0</vt:i4>
      </vt:variant>
      <vt:variant>
        <vt:i4>5</vt:i4>
      </vt:variant>
      <vt:variant>
        <vt:lpwstr>http://www.nevo.co.il/law/70301/338.a.1</vt:lpwstr>
      </vt:variant>
      <vt:variant>
        <vt:lpwstr/>
      </vt:variant>
      <vt:variant>
        <vt:i4>262221</vt:i4>
      </vt:variant>
      <vt:variant>
        <vt:i4>57</vt:i4>
      </vt:variant>
      <vt:variant>
        <vt:i4>0</vt:i4>
      </vt:variant>
      <vt:variant>
        <vt:i4>5</vt:i4>
      </vt:variant>
      <vt:variant>
        <vt:lpwstr>http://www.nevo.co.il/law/74274/23.a</vt:lpwstr>
      </vt:variant>
      <vt:variant>
        <vt:lpwstr/>
      </vt:variant>
      <vt:variant>
        <vt:i4>4980808</vt:i4>
      </vt:variant>
      <vt:variant>
        <vt:i4>54</vt:i4>
      </vt:variant>
      <vt:variant>
        <vt:i4>0</vt:i4>
      </vt:variant>
      <vt:variant>
        <vt:i4>5</vt:i4>
      </vt:variant>
      <vt:variant>
        <vt:lpwstr>http://www.nevo.co.il/law/5227/35</vt:lpwstr>
      </vt:variant>
      <vt:variant>
        <vt:lpwstr/>
      </vt:variant>
      <vt:variant>
        <vt:i4>4784200</vt:i4>
      </vt:variant>
      <vt:variant>
        <vt:i4>51</vt:i4>
      </vt:variant>
      <vt:variant>
        <vt:i4>0</vt:i4>
      </vt:variant>
      <vt:variant>
        <vt:i4>5</vt:i4>
      </vt:variant>
      <vt:variant>
        <vt:lpwstr>http://www.nevo.co.il/law/5227/62</vt:lpwstr>
      </vt:variant>
      <vt:variant>
        <vt:lpwstr/>
      </vt:variant>
      <vt:variant>
        <vt:i4>7929957</vt:i4>
      </vt:variant>
      <vt:variant>
        <vt:i4>48</vt:i4>
      </vt:variant>
      <vt:variant>
        <vt:i4>0</vt:i4>
      </vt:variant>
      <vt:variant>
        <vt:i4>5</vt:i4>
      </vt:variant>
      <vt:variant>
        <vt:lpwstr>http://www.nevo.co.il/law/74274</vt:lpwstr>
      </vt:variant>
      <vt:variant>
        <vt:lpwstr/>
      </vt:variant>
      <vt:variant>
        <vt:i4>393293</vt:i4>
      </vt:variant>
      <vt:variant>
        <vt:i4>45</vt:i4>
      </vt:variant>
      <vt:variant>
        <vt:i4>0</vt:i4>
      </vt:variant>
      <vt:variant>
        <vt:i4>5</vt:i4>
      </vt:variant>
      <vt:variant>
        <vt:lpwstr>http://www.nevo.co.il/law/74274/22.b</vt:lpwstr>
      </vt:variant>
      <vt:variant>
        <vt:lpwstr/>
      </vt:variant>
      <vt:variant>
        <vt:i4>8323175</vt:i4>
      </vt:variant>
      <vt:variant>
        <vt:i4>42</vt:i4>
      </vt:variant>
      <vt:variant>
        <vt:i4>0</vt:i4>
      </vt:variant>
      <vt:variant>
        <vt:i4>5</vt:i4>
      </vt:variant>
      <vt:variant>
        <vt:lpwstr>http://www.nevo.co.il/law/5227</vt:lpwstr>
      </vt:variant>
      <vt:variant>
        <vt:lpwstr/>
      </vt:variant>
      <vt:variant>
        <vt:i4>4784200</vt:i4>
      </vt:variant>
      <vt:variant>
        <vt:i4>39</vt:i4>
      </vt:variant>
      <vt:variant>
        <vt:i4>0</vt:i4>
      </vt:variant>
      <vt:variant>
        <vt:i4>5</vt:i4>
      </vt:variant>
      <vt:variant>
        <vt:lpwstr>http://www.nevo.co.il/law/5227/62</vt:lpwstr>
      </vt:variant>
      <vt:variant>
        <vt:lpwstr/>
      </vt:variant>
      <vt:variant>
        <vt:i4>6291576</vt:i4>
      </vt:variant>
      <vt:variant>
        <vt:i4>36</vt:i4>
      </vt:variant>
      <vt:variant>
        <vt:i4>0</vt:i4>
      </vt:variant>
      <vt:variant>
        <vt:i4>5</vt:i4>
      </vt:variant>
      <vt:variant>
        <vt:lpwstr>http://www.nevo.co.il/law/5227/10.a</vt:lpwstr>
      </vt:variant>
      <vt:variant>
        <vt:lpwstr/>
      </vt:variant>
      <vt:variant>
        <vt:i4>6684735</vt:i4>
      </vt:variant>
      <vt:variant>
        <vt:i4>33</vt:i4>
      </vt:variant>
      <vt:variant>
        <vt:i4>0</vt:i4>
      </vt:variant>
      <vt:variant>
        <vt:i4>5</vt:i4>
      </vt:variant>
      <vt:variant>
        <vt:lpwstr>http://www.nevo.co.il/law/70301/338.a.1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6750308</vt:i4>
      </vt:variant>
      <vt:variant>
        <vt:i4>24</vt:i4>
      </vt:variant>
      <vt:variant>
        <vt:i4>0</vt:i4>
      </vt:variant>
      <vt:variant>
        <vt:i4>5</vt:i4>
      </vt:variant>
      <vt:variant>
        <vt:lpwstr>http://www.nevo.co.il/law/74274/51</vt:lpwstr>
      </vt:variant>
      <vt:variant>
        <vt:lpwstr/>
      </vt:variant>
      <vt:variant>
        <vt:i4>262221</vt:i4>
      </vt:variant>
      <vt:variant>
        <vt:i4>21</vt:i4>
      </vt:variant>
      <vt:variant>
        <vt:i4>0</vt:i4>
      </vt:variant>
      <vt:variant>
        <vt:i4>5</vt:i4>
      </vt:variant>
      <vt:variant>
        <vt:lpwstr>http://www.nevo.co.il/law/74274/23.a</vt:lpwstr>
      </vt:variant>
      <vt:variant>
        <vt:lpwstr/>
      </vt:variant>
      <vt:variant>
        <vt:i4>393293</vt:i4>
      </vt:variant>
      <vt:variant>
        <vt:i4>18</vt:i4>
      </vt:variant>
      <vt:variant>
        <vt:i4>0</vt:i4>
      </vt:variant>
      <vt:variant>
        <vt:i4>5</vt:i4>
      </vt:variant>
      <vt:variant>
        <vt:lpwstr>http://www.nevo.co.il/law/74274/22.b</vt:lpwstr>
      </vt:variant>
      <vt:variant>
        <vt:lpwstr/>
      </vt:variant>
      <vt:variant>
        <vt:i4>7929957</vt:i4>
      </vt:variant>
      <vt:variant>
        <vt:i4>15</vt:i4>
      </vt:variant>
      <vt:variant>
        <vt:i4>0</vt:i4>
      </vt:variant>
      <vt:variant>
        <vt:i4>5</vt:i4>
      </vt:variant>
      <vt:variant>
        <vt:lpwstr>http://www.nevo.co.il/law/74274</vt:lpwstr>
      </vt:variant>
      <vt:variant>
        <vt:lpwstr/>
      </vt:variant>
      <vt:variant>
        <vt:i4>4784200</vt:i4>
      </vt:variant>
      <vt:variant>
        <vt:i4>12</vt:i4>
      </vt:variant>
      <vt:variant>
        <vt:i4>0</vt:i4>
      </vt:variant>
      <vt:variant>
        <vt:i4>5</vt:i4>
      </vt:variant>
      <vt:variant>
        <vt:lpwstr>http://www.nevo.co.il/law/5227/62</vt:lpwstr>
      </vt:variant>
      <vt:variant>
        <vt:lpwstr/>
      </vt:variant>
      <vt:variant>
        <vt:i4>4980808</vt:i4>
      </vt:variant>
      <vt:variant>
        <vt:i4>9</vt:i4>
      </vt:variant>
      <vt:variant>
        <vt:i4>0</vt:i4>
      </vt:variant>
      <vt:variant>
        <vt:i4>5</vt:i4>
      </vt:variant>
      <vt:variant>
        <vt:lpwstr>http://www.nevo.co.il/law/5227/35</vt:lpwstr>
      </vt:variant>
      <vt:variant>
        <vt:lpwstr/>
      </vt:variant>
      <vt:variant>
        <vt:i4>6291576</vt:i4>
      </vt:variant>
      <vt:variant>
        <vt:i4>6</vt:i4>
      </vt:variant>
      <vt:variant>
        <vt:i4>0</vt:i4>
      </vt:variant>
      <vt:variant>
        <vt:i4>5</vt:i4>
      </vt:variant>
      <vt:variant>
        <vt:lpwstr>http://www.nevo.co.il/law/5227/10.a</vt:lpwstr>
      </vt:variant>
      <vt:variant>
        <vt:lpwstr/>
      </vt:variant>
      <vt:variant>
        <vt:i4>5111880</vt:i4>
      </vt:variant>
      <vt:variant>
        <vt:i4>3</vt:i4>
      </vt:variant>
      <vt:variant>
        <vt:i4>0</vt:i4>
      </vt:variant>
      <vt:variant>
        <vt:i4>5</vt:i4>
      </vt:variant>
      <vt:variant>
        <vt:lpwstr>http://www.nevo.co.il/law/5227/1T</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2025-04-25T10:41:00Z</dcterms:created>
  <dcterms:modified xsi:type="dcterms:W3CDTF">2025-04-25T10:41:00Z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63206</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עבד אל-סמד בורקאן</vt:lpwstr>
  </property>
  <property fmtid="{D5CDD505-2E9C-101B-9397-08002B2CF9AE}" pid="10" name="LAWYER">
    <vt:lpwstr>מיכל בלומנטל;מאהר חנא</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20190408</vt:lpwstr>
  </property>
  <property fmtid="{D5CDD505-2E9C-101B-9397-08002B2CF9AE}" pid="14" name="TYPE_N_DATE">
    <vt:lpwstr>39020190408</vt:lpwstr>
  </property>
  <property fmtid="{D5CDD505-2E9C-101B-9397-08002B2CF9AE}" pid="15" name="WORDNUMPAGES">
    <vt:lpwstr>6</vt:lpwstr>
  </property>
  <property fmtid="{D5CDD505-2E9C-101B-9397-08002B2CF9AE}" pid="16" name="TYPE_ABS_DATE">
    <vt:lpwstr>390020190408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20892132;5831242:2;13100246</vt:lpwstr>
  </property>
  <property fmtid="{D5CDD505-2E9C-101B-9397-08002B2CF9AE}" pid="36" name="LAWLISTTMP1">
    <vt:lpwstr>5227/010.a:2;062:2;035;001T</vt:lpwstr>
  </property>
  <property fmtid="{D5CDD505-2E9C-101B-9397-08002B2CF9AE}" pid="37" name="LAWLISTTMP2">
    <vt:lpwstr>74274/022.b;023.a;051</vt:lpwstr>
  </property>
  <property fmtid="{D5CDD505-2E9C-101B-9397-08002B2CF9AE}" pid="38" name="LAWLISTTMP3">
    <vt:lpwstr>70301/338.a.1;144.a</vt:lpwstr>
  </property>
</Properties>
</file>