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93158" w:rsidRPr="002162AD" w14:paraId="78FC64A8" w14:textId="77777777" w:rsidTr="00697C30">
        <w:trPr>
          <w:trHeight w:hRule="exact" w:val="418"/>
          <w:jc w:val="center"/>
        </w:trPr>
        <w:tc>
          <w:tcPr>
            <w:tcW w:w="8721" w:type="dxa"/>
            <w:gridSpan w:val="2"/>
          </w:tcPr>
          <w:p w14:paraId="184DBA9A" w14:textId="77777777" w:rsidR="00E93158" w:rsidRPr="002162AD" w:rsidRDefault="00E93158" w:rsidP="0045580D">
            <w:pPr>
              <w:pStyle w:val="a3"/>
              <w:jc w:val="center"/>
              <w:rPr>
                <w:rFonts w:ascii="Tahoma" w:hAnsi="Tahoma" w:cs="Tahoma"/>
                <w:color w:val="000080"/>
                <w:rtl/>
              </w:rPr>
            </w:pPr>
            <w:bookmarkStart w:id="0" w:name="LastJudge"/>
            <w:r w:rsidRPr="002162AD">
              <w:rPr>
                <w:rFonts w:ascii="Tahoma" w:hAnsi="Tahoma" w:cs="Tahoma"/>
                <w:b/>
                <w:bCs/>
                <w:color w:val="000080"/>
                <w:rtl/>
              </w:rPr>
              <w:t>בית המשפט המחוזי בחיפה</w:t>
            </w:r>
          </w:p>
        </w:tc>
      </w:tr>
      <w:tr w:rsidR="00E93158" w:rsidRPr="002162AD" w14:paraId="5411F538" w14:textId="77777777" w:rsidTr="00697C30">
        <w:trPr>
          <w:trHeight w:val="337"/>
          <w:jc w:val="center"/>
        </w:trPr>
        <w:tc>
          <w:tcPr>
            <w:tcW w:w="5054" w:type="dxa"/>
          </w:tcPr>
          <w:p w14:paraId="05AE8283" w14:textId="77777777" w:rsidR="00E93158" w:rsidRPr="002162AD" w:rsidRDefault="00E93158" w:rsidP="0045580D">
            <w:pPr>
              <w:rPr>
                <w:rFonts w:cs="FrankRuehl"/>
                <w:sz w:val="28"/>
                <w:szCs w:val="28"/>
                <w:rtl/>
              </w:rPr>
            </w:pPr>
            <w:r w:rsidRPr="002162AD">
              <w:rPr>
                <w:rFonts w:cs="FrankRuehl"/>
                <w:sz w:val="28"/>
                <w:szCs w:val="28"/>
                <w:rtl/>
              </w:rPr>
              <w:t>ת"פ</w:t>
            </w:r>
            <w:r w:rsidRPr="002162AD">
              <w:rPr>
                <w:rFonts w:cs="FrankRuehl" w:hint="cs"/>
                <w:sz w:val="28"/>
                <w:szCs w:val="28"/>
                <w:rtl/>
              </w:rPr>
              <w:t xml:space="preserve"> </w:t>
            </w:r>
            <w:r w:rsidRPr="002162AD">
              <w:rPr>
                <w:rFonts w:cs="FrankRuehl"/>
                <w:sz w:val="28"/>
                <w:szCs w:val="28"/>
                <w:rtl/>
              </w:rPr>
              <w:t>66310-07-17</w:t>
            </w:r>
            <w:r w:rsidRPr="002162AD">
              <w:rPr>
                <w:rFonts w:cs="FrankRuehl" w:hint="cs"/>
                <w:sz w:val="28"/>
                <w:szCs w:val="28"/>
                <w:rtl/>
              </w:rPr>
              <w:t xml:space="preserve"> </w:t>
            </w:r>
            <w:r w:rsidRPr="002162AD">
              <w:rPr>
                <w:rFonts w:cs="FrankRuehl"/>
                <w:sz w:val="28"/>
                <w:szCs w:val="28"/>
                <w:rtl/>
              </w:rPr>
              <w:t>מדינת ישראל נ' בריה</w:t>
            </w:r>
          </w:p>
          <w:p w14:paraId="12D18A46" w14:textId="77777777" w:rsidR="00E93158" w:rsidRPr="002162AD" w:rsidRDefault="00E93158" w:rsidP="0045580D">
            <w:pPr>
              <w:pStyle w:val="a3"/>
              <w:rPr>
                <w:rFonts w:cs="FrankRuehl"/>
                <w:sz w:val="28"/>
                <w:szCs w:val="28"/>
                <w:rtl/>
              </w:rPr>
            </w:pPr>
          </w:p>
        </w:tc>
        <w:tc>
          <w:tcPr>
            <w:tcW w:w="3667" w:type="dxa"/>
          </w:tcPr>
          <w:p w14:paraId="0BB25921" w14:textId="77777777" w:rsidR="00E93158" w:rsidRPr="002162AD" w:rsidRDefault="00E93158" w:rsidP="0045580D">
            <w:pPr>
              <w:pStyle w:val="a3"/>
              <w:jc w:val="right"/>
              <w:rPr>
                <w:rFonts w:cs="FrankRuehl"/>
                <w:sz w:val="28"/>
                <w:szCs w:val="28"/>
                <w:rtl/>
              </w:rPr>
            </w:pPr>
          </w:p>
        </w:tc>
      </w:tr>
    </w:tbl>
    <w:p w14:paraId="4FF941F4" w14:textId="77777777" w:rsidR="00E93158" w:rsidRPr="002162AD" w:rsidRDefault="00E93158" w:rsidP="00E93158">
      <w:pPr>
        <w:pStyle w:val="a3"/>
        <w:rPr>
          <w:rtl/>
        </w:rPr>
      </w:pPr>
    </w:p>
    <w:p w14:paraId="28641AF6" w14:textId="77777777" w:rsidR="00E93158" w:rsidRPr="002162AD" w:rsidRDefault="00E93158" w:rsidP="00E93158">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93158" w:rsidRPr="002162AD" w14:paraId="0FEB298E" w14:textId="77777777" w:rsidTr="00E93158">
        <w:trPr>
          <w:trHeight w:val="295"/>
          <w:jc w:val="center"/>
        </w:trPr>
        <w:tc>
          <w:tcPr>
            <w:tcW w:w="923" w:type="dxa"/>
            <w:tcBorders>
              <w:top w:val="nil"/>
              <w:left w:val="nil"/>
              <w:bottom w:val="nil"/>
              <w:right w:val="nil"/>
            </w:tcBorders>
            <w:shd w:val="clear" w:color="auto" w:fill="auto"/>
          </w:tcPr>
          <w:p w14:paraId="236B29BC" w14:textId="77777777" w:rsidR="00E93158" w:rsidRPr="002162AD" w:rsidRDefault="00E93158" w:rsidP="00E93158">
            <w:pPr>
              <w:jc w:val="both"/>
              <w:rPr>
                <w:rFonts w:ascii="Arial" w:hAnsi="Arial"/>
                <w:b/>
                <w:bCs/>
                <w:sz w:val="26"/>
                <w:szCs w:val="26"/>
              </w:rPr>
            </w:pPr>
            <w:r w:rsidRPr="002162AD">
              <w:rPr>
                <w:rFonts w:ascii="Arial" w:hAnsi="Arial" w:hint="cs"/>
                <w:b/>
                <w:bCs/>
                <w:sz w:val="26"/>
                <w:szCs w:val="26"/>
                <w:rtl/>
              </w:rPr>
              <w:t>ב</w:t>
            </w:r>
            <w:r w:rsidRPr="002162AD">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612CC705" w14:textId="77777777" w:rsidR="00E93158" w:rsidRPr="002162AD" w:rsidRDefault="00E93158" w:rsidP="00E93158">
            <w:pPr>
              <w:jc w:val="both"/>
              <w:rPr>
                <w:rFonts w:ascii="Arial" w:hAnsi="Arial"/>
                <w:b/>
                <w:bCs/>
                <w:sz w:val="26"/>
                <w:szCs w:val="26"/>
                <w:rtl/>
              </w:rPr>
            </w:pPr>
            <w:r w:rsidRPr="002162AD">
              <w:rPr>
                <w:rFonts w:ascii="Arial" w:hAnsi="Arial" w:hint="cs"/>
                <w:b/>
                <w:bCs/>
                <w:sz w:val="26"/>
                <w:szCs w:val="26"/>
                <w:rtl/>
              </w:rPr>
              <w:t>כבוד ה</w:t>
            </w:r>
            <w:r w:rsidRPr="002162AD">
              <w:rPr>
                <w:rFonts w:ascii="Arial" w:hAnsi="Arial"/>
                <w:b/>
                <w:bCs/>
                <w:sz w:val="26"/>
                <w:szCs w:val="26"/>
                <w:rtl/>
              </w:rPr>
              <w:t>שופטת</w:t>
            </w:r>
            <w:r w:rsidRPr="002162AD">
              <w:rPr>
                <w:rFonts w:ascii="Arial" w:hAnsi="Arial" w:hint="cs"/>
                <w:b/>
                <w:bCs/>
                <w:sz w:val="26"/>
                <w:szCs w:val="26"/>
                <w:rtl/>
              </w:rPr>
              <w:t xml:space="preserve">  </w:t>
            </w:r>
            <w:r w:rsidRPr="002162AD">
              <w:rPr>
                <w:rFonts w:ascii="Arial" w:hAnsi="Arial"/>
                <w:b/>
                <w:bCs/>
                <w:sz w:val="26"/>
                <w:szCs w:val="26"/>
                <w:rtl/>
              </w:rPr>
              <w:t>רונית בש</w:t>
            </w:r>
          </w:p>
          <w:p w14:paraId="0DDBEDBA" w14:textId="77777777" w:rsidR="00E93158" w:rsidRPr="002162AD" w:rsidRDefault="00E93158" w:rsidP="00E93158">
            <w:pPr>
              <w:jc w:val="both"/>
              <w:rPr>
                <w:b/>
                <w:bCs/>
                <w:sz w:val="26"/>
                <w:szCs w:val="26"/>
                <w:rtl/>
              </w:rPr>
            </w:pPr>
          </w:p>
          <w:p w14:paraId="493BA30E" w14:textId="77777777" w:rsidR="00E93158" w:rsidRPr="002162AD" w:rsidRDefault="00E93158" w:rsidP="00E93158">
            <w:pPr>
              <w:jc w:val="both"/>
              <w:rPr>
                <w:rFonts w:ascii="Arial" w:hAnsi="Arial"/>
                <w:b/>
                <w:bCs/>
                <w:sz w:val="26"/>
                <w:szCs w:val="26"/>
              </w:rPr>
            </w:pPr>
          </w:p>
        </w:tc>
      </w:tr>
      <w:tr w:rsidR="00E93158" w:rsidRPr="002162AD" w14:paraId="082BAF58" w14:textId="77777777" w:rsidTr="00E93158">
        <w:trPr>
          <w:trHeight w:val="355"/>
          <w:jc w:val="center"/>
        </w:trPr>
        <w:tc>
          <w:tcPr>
            <w:tcW w:w="923" w:type="dxa"/>
            <w:tcBorders>
              <w:top w:val="nil"/>
              <w:left w:val="nil"/>
              <w:bottom w:val="nil"/>
              <w:right w:val="nil"/>
            </w:tcBorders>
            <w:shd w:val="clear" w:color="auto" w:fill="auto"/>
          </w:tcPr>
          <w:p w14:paraId="4BA5DB6A" w14:textId="77777777" w:rsidR="00E93158" w:rsidRPr="002162AD" w:rsidRDefault="00E93158" w:rsidP="00E93158">
            <w:pPr>
              <w:jc w:val="both"/>
              <w:rPr>
                <w:rFonts w:ascii="Arial" w:hAnsi="Arial"/>
                <w:b/>
                <w:bCs/>
                <w:sz w:val="26"/>
                <w:szCs w:val="26"/>
              </w:rPr>
            </w:pPr>
            <w:bookmarkStart w:id="1" w:name="FirstAppellant"/>
            <w:r w:rsidRPr="002162AD">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4DF5F81" w14:textId="77777777" w:rsidR="00E93158" w:rsidRPr="002162AD" w:rsidRDefault="00E93158" w:rsidP="00E93158">
            <w:pPr>
              <w:jc w:val="both"/>
              <w:rPr>
                <w:b/>
                <w:bCs/>
                <w:sz w:val="26"/>
                <w:szCs w:val="26"/>
              </w:rPr>
            </w:pPr>
            <w:r w:rsidRPr="002162AD">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785FA436" w14:textId="77777777" w:rsidR="00E93158" w:rsidRPr="002162AD" w:rsidRDefault="00E93158" w:rsidP="00E93158">
            <w:pPr>
              <w:jc w:val="both"/>
              <w:rPr>
                <w:rFonts w:ascii="Arial" w:hAnsi="Arial"/>
                <w:b/>
                <w:bCs/>
                <w:sz w:val="26"/>
                <w:szCs w:val="26"/>
              </w:rPr>
            </w:pPr>
            <w:r w:rsidRPr="002162AD">
              <w:rPr>
                <w:rFonts w:ascii="Arial" w:hAnsi="Arial" w:hint="cs"/>
                <w:b/>
                <w:bCs/>
                <w:sz w:val="26"/>
                <w:szCs w:val="26"/>
                <w:rtl/>
              </w:rPr>
              <w:t>המאשימה</w:t>
            </w:r>
          </w:p>
        </w:tc>
      </w:tr>
      <w:bookmarkEnd w:id="1"/>
      <w:tr w:rsidR="00E93158" w:rsidRPr="002162AD" w14:paraId="72BC35C2" w14:textId="77777777" w:rsidTr="00E93158">
        <w:trPr>
          <w:trHeight w:val="355"/>
          <w:jc w:val="center"/>
        </w:trPr>
        <w:tc>
          <w:tcPr>
            <w:tcW w:w="923" w:type="dxa"/>
            <w:tcBorders>
              <w:top w:val="nil"/>
              <w:left w:val="nil"/>
              <w:bottom w:val="nil"/>
              <w:right w:val="nil"/>
            </w:tcBorders>
            <w:shd w:val="clear" w:color="auto" w:fill="auto"/>
          </w:tcPr>
          <w:p w14:paraId="0EF28309" w14:textId="77777777" w:rsidR="00E93158" w:rsidRPr="002162AD" w:rsidRDefault="00E93158" w:rsidP="00E93158">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0899AF5D" w14:textId="77777777" w:rsidR="00E93158" w:rsidRPr="002162AD" w:rsidRDefault="00E93158" w:rsidP="00E93158">
            <w:pPr>
              <w:jc w:val="both"/>
              <w:rPr>
                <w:rFonts w:ascii="Arial" w:hAnsi="Arial"/>
                <w:b/>
                <w:bCs/>
                <w:sz w:val="26"/>
                <w:szCs w:val="26"/>
                <w:rtl/>
              </w:rPr>
            </w:pPr>
          </w:p>
          <w:p w14:paraId="0AE93404" w14:textId="77777777" w:rsidR="00E93158" w:rsidRPr="002162AD" w:rsidRDefault="00E93158" w:rsidP="00E93158">
            <w:pPr>
              <w:jc w:val="both"/>
              <w:rPr>
                <w:rFonts w:ascii="Arial" w:hAnsi="Arial"/>
                <w:b/>
                <w:bCs/>
                <w:sz w:val="26"/>
                <w:szCs w:val="26"/>
                <w:rtl/>
              </w:rPr>
            </w:pPr>
            <w:r w:rsidRPr="002162AD">
              <w:rPr>
                <w:rFonts w:ascii="Arial" w:hAnsi="Arial"/>
                <w:b/>
                <w:bCs/>
                <w:sz w:val="26"/>
                <w:szCs w:val="26"/>
                <w:rtl/>
              </w:rPr>
              <w:t>נגד</w:t>
            </w:r>
          </w:p>
          <w:p w14:paraId="2F7D3DE5" w14:textId="77777777" w:rsidR="00E93158" w:rsidRPr="002162AD" w:rsidRDefault="00E93158" w:rsidP="00E93158">
            <w:pPr>
              <w:jc w:val="both"/>
              <w:rPr>
                <w:rFonts w:ascii="Arial" w:hAnsi="Arial"/>
                <w:b/>
                <w:bCs/>
                <w:sz w:val="26"/>
                <w:szCs w:val="26"/>
              </w:rPr>
            </w:pPr>
          </w:p>
        </w:tc>
      </w:tr>
      <w:tr w:rsidR="00E93158" w:rsidRPr="002162AD" w14:paraId="3D9D13F0" w14:textId="77777777" w:rsidTr="00E93158">
        <w:trPr>
          <w:trHeight w:val="355"/>
          <w:jc w:val="center"/>
        </w:trPr>
        <w:tc>
          <w:tcPr>
            <w:tcW w:w="923" w:type="dxa"/>
            <w:tcBorders>
              <w:top w:val="nil"/>
              <w:left w:val="nil"/>
              <w:bottom w:val="nil"/>
              <w:right w:val="nil"/>
            </w:tcBorders>
            <w:shd w:val="clear" w:color="auto" w:fill="auto"/>
          </w:tcPr>
          <w:p w14:paraId="39673CD4" w14:textId="77777777" w:rsidR="00E93158" w:rsidRPr="002162AD" w:rsidRDefault="00E93158" w:rsidP="00E93158">
            <w:pPr>
              <w:jc w:val="both"/>
              <w:rPr>
                <w:rFonts w:ascii="Arial" w:hAnsi="Arial"/>
                <w:b/>
                <w:bCs/>
                <w:sz w:val="26"/>
                <w:szCs w:val="26"/>
                <w:rtl/>
              </w:rPr>
            </w:pPr>
          </w:p>
        </w:tc>
        <w:tc>
          <w:tcPr>
            <w:tcW w:w="4126" w:type="dxa"/>
            <w:tcBorders>
              <w:top w:val="nil"/>
              <w:left w:val="nil"/>
              <w:bottom w:val="nil"/>
              <w:right w:val="nil"/>
            </w:tcBorders>
            <w:shd w:val="clear" w:color="auto" w:fill="auto"/>
          </w:tcPr>
          <w:p w14:paraId="4895537A" w14:textId="77777777" w:rsidR="00E93158" w:rsidRPr="002162AD" w:rsidRDefault="00E93158" w:rsidP="00E93158">
            <w:pPr>
              <w:jc w:val="both"/>
              <w:rPr>
                <w:b/>
                <w:bCs/>
                <w:sz w:val="26"/>
                <w:szCs w:val="26"/>
                <w:rtl/>
              </w:rPr>
            </w:pPr>
            <w:r w:rsidRPr="002162AD">
              <w:rPr>
                <w:rFonts w:ascii="Arial" w:hAnsi="Arial"/>
                <w:b/>
                <w:bCs/>
                <w:sz w:val="26"/>
                <w:szCs w:val="26"/>
                <w:rtl/>
              </w:rPr>
              <w:t>אחמד בריה</w:t>
            </w:r>
            <w:r w:rsidRPr="002162AD">
              <w:rPr>
                <w:rFonts w:hint="cs"/>
                <w:b/>
                <w:bCs/>
                <w:sz w:val="26"/>
                <w:szCs w:val="26"/>
                <w:rtl/>
              </w:rPr>
              <w:t xml:space="preserve"> </w:t>
            </w:r>
          </w:p>
        </w:tc>
        <w:tc>
          <w:tcPr>
            <w:tcW w:w="3771" w:type="dxa"/>
            <w:tcBorders>
              <w:top w:val="nil"/>
              <w:left w:val="nil"/>
              <w:bottom w:val="nil"/>
              <w:right w:val="nil"/>
            </w:tcBorders>
            <w:shd w:val="clear" w:color="auto" w:fill="auto"/>
          </w:tcPr>
          <w:p w14:paraId="23B04D95" w14:textId="77777777" w:rsidR="00E93158" w:rsidRPr="002162AD" w:rsidRDefault="00E93158" w:rsidP="00E93158">
            <w:pPr>
              <w:jc w:val="both"/>
              <w:rPr>
                <w:rFonts w:ascii="Arial" w:hAnsi="Arial"/>
                <w:b/>
                <w:bCs/>
                <w:sz w:val="26"/>
                <w:szCs w:val="26"/>
                <w:rtl/>
              </w:rPr>
            </w:pPr>
            <w:r w:rsidRPr="002162AD">
              <w:rPr>
                <w:rFonts w:ascii="Arial" w:hAnsi="Arial" w:hint="cs"/>
                <w:b/>
                <w:bCs/>
                <w:sz w:val="26"/>
                <w:szCs w:val="26"/>
                <w:rtl/>
              </w:rPr>
              <w:t>הנאשם</w:t>
            </w:r>
          </w:p>
        </w:tc>
      </w:tr>
    </w:tbl>
    <w:p w14:paraId="4E12AA9D" w14:textId="77777777" w:rsidR="00697C30" w:rsidRDefault="00697C30" w:rsidP="00E93158">
      <w:pPr>
        <w:jc w:val="both"/>
        <w:rPr>
          <w:rtl/>
        </w:rPr>
      </w:pPr>
      <w:bookmarkStart w:id="2" w:name="LawTable"/>
      <w:bookmarkEnd w:id="2"/>
    </w:p>
    <w:p w14:paraId="3D282D5D" w14:textId="77777777" w:rsidR="00697C30" w:rsidRPr="00697C30" w:rsidRDefault="00697C30" w:rsidP="00697C30">
      <w:pPr>
        <w:spacing w:after="120" w:line="240" w:lineRule="exact"/>
        <w:ind w:left="283" w:hanging="283"/>
        <w:jc w:val="both"/>
        <w:rPr>
          <w:rFonts w:ascii="FrankRuehl" w:hAnsi="FrankRuehl" w:cs="FrankRuehl"/>
          <w:rtl/>
        </w:rPr>
      </w:pPr>
    </w:p>
    <w:p w14:paraId="49612AF1" w14:textId="77777777" w:rsidR="00697C30" w:rsidRPr="00697C30" w:rsidRDefault="00697C30" w:rsidP="00697C30">
      <w:pPr>
        <w:spacing w:after="120" w:line="240" w:lineRule="exact"/>
        <w:ind w:left="283" w:hanging="283"/>
        <w:jc w:val="both"/>
        <w:rPr>
          <w:rFonts w:ascii="FrankRuehl" w:hAnsi="FrankRuehl" w:cs="FrankRuehl"/>
          <w:rtl/>
        </w:rPr>
      </w:pPr>
      <w:r w:rsidRPr="00697C30">
        <w:rPr>
          <w:rFonts w:ascii="FrankRuehl" w:hAnsi="FrankRuehl" w:cs="FrankRuehl"/>
          <w:rtl/>
        </w:rPr>
        <w:t xml:space="preserve">חקיקה שאוזכרה: </w:t>
      </w:r>
    </w:p>
    <w:p w14:paraId="2FB93771" w14:textId="77777777" w:rsidR="00697C30" w:rsidRPr="00697C30" w:rsidRDefault="00697C30" w:rsidP="00697C30">
      <w:pPr>
        <w:spacing w:after="120" w:line="240" w:lineRule="exact"/>
        <w:ind w:left="283" w:hanging="283"/>
        <w:jc w:val="both"/>
        <w:rPr>
          <w:rFonts w:ascii="FrankRuehl" w:hAnsi="FrankRuehl" w:cs="FrankRuehl"/>
          <w:rtl/>
        </w:rPr>
      </w:pPr>
      <w:hyperlink r:id="rId7" w:history="1">
        <w:r w:rsidRPr="00697C30">
          <w:rPr>
            <w:rFonts w:ascii="FrankRuehl" w:hAnsi="FrankRuehl" w:cs="FrankRuehl"/>
            <w:color w:val="0000FF"/>
            <w:u w:val="single"/>
            <w:rtl/>
          </w:rPr>
          <w:t>חוק העונשין, תשל"ז-1977</w:t>
        </w:r>
      </w:hyperlink>
      <w:r w:rsidRPr="00697C30">
        <w:rPr>
          <w:rFonts w:ascii="FrankRuehl" w:hAnsi="FrankRuehl" w:cs="FrankRuehl"/>
          <w:rtl/>
        </w:rPr>
        <w:t xml:space="preserve">: סע'  </w:t>
      </w:r>
      <w:hyperlink r:id="rId8" w:history="1">
        <w:r w:rsidRPr="00697C30">
          <w:rPr>
            <w:rFonts w:ascii="FrankRuehl" w:hAnsi="FrankRuehl" w:cs="FrankRuehl"/>
            <w:color w:val="0000FF"/>
            <w:u w:val="single"/>
            <w:rtl/>
          </w:rPr>
          <w:t>40ב</w:t>
        </w:r>
      </w:hyperlink>
      <w:r w:rsidRPr="00697C30">
        <w:rPr>
          <w:rFonts w:ascii="FrankRuehl" w:hAnsi="FrankRuehl" w:cs="FrankRuehl"/>
          <w:rtl/>
        </w:rPr>
        <w:t xml:space="preserve">, </w:t>
      </w:r>
      <w:hyperlink r:id="rId9" w:history="1">
        <w:r w:rsidRPr="00697C30">
          <w:rPr>
            <w:rFonts w:ascii="FrankRuehl" w:hAnsi="FrankRuehl" w:cs="FrankRuehl"/>
            <w:color w:val="0000FF"/>
            <w:u w:val="single"/>
            <w:rtl/>
          </w:rPr>
          <w:t>40ג</w:t>
        </w:r>
      </w:hyperlink>
      <w:r w:rsidRPr="00697C30">
        <w:rPr>
          <w:rFonts w:ascii="FrankRuehl" w:hAnsi="FrankRuehl" w:cs="FrankRuehl"/>
          <w:rtl/>
        </w:rPr>
        <w:t xml:space="preserve">, </w:t>
      </w:r>
      <w:hyperlink r:id="rId10" w:history="1">
        <w:r w:rsidRPr="00697C30">
          <w:rPr>
            <w:rFonts w:ascii="FrankRuehl" w:hAnsi="FrankRuehl" w:cs="FrankRuehl"/>
            <w:color w:val="0000FF"/>
            <w:u w:val="single"/>
            <w:rtl/>
          </w:rPr>
          <w:t>40 ד(א)</w:t>
        </w:r>
      </w:hyperlink>
      <w:r w:rsidRPr="00697C30">
        <w:rPr>
          <w:rFonts w:ascii="FrankRuehl" w:hAnsi="FrankRuehl" w:cs="FrankRuehl"/>
          <w:rtl/>
        </w:rPr>
        <w:t xml:space="preserve">, </w:t>
      </w:r>
      <w:hyperlink r:id="rId11" w:history="1">
        <w:r w:rsidRPr="00697C30">
          <w:rPr>
            <w:rFonts w:ascii="FrankRuehl" w:hAnsi="FrankRuehl" w:cs="FrankRuehl"/>
            <w:color w:val="0000FF"/>
            <w:u w:val="single"/>
            <w:rtl/>
          </w:rPr>
          <w:t>40ט</w:t>
        </w:r>
      </w:hyperlink>
      <w:r w:rsidRPr="00697C30">
        <w:rPr>
          <w:rFonts w:ascii="FrankRuehl" w:hAnsi="FrankRuehl" w:cs="FrankRuehl"/>
          <w:rtl/>
        </w:rPr>
        <w:t xml:space="preserve">, </w:t>
      </w:r>
      <w:hyperlink r:id="rId12" w:history="1">
        <w:r w:rsidRPr="00697C30">
          <w:rPr>
            <w:rFonts w:ascii="FrankRuehl" w:hAnsi="FrankRuehl" w:cs="FrankRuehl"/>
            <w:color w:val="0000FF"/>
            <w:u w:val="single"/>
            <w:rtl/>
          </w:rPr>
          <w:t>144</w:t>
        </w:r>
      </w:hyperlink>
      <w:r w:rsidRPr="00697C30">
        <w:rPr>
          <w:rFonts w:ascii="FrankRuehl" w:hAnsi="FrankRuehl" w:cs="FrankRuehl"/>
          <w:rtl/>
        </w:rPr>
        <w:t xml:space="preserve">, </w:t>
      </w:r>
      <w:hyperlink r:id="rId13" w:history="1">
        <w:r w:rsidRPr="00697C30">
          <w:rPr>
            <w:rFonts w:ascii="FrankRuehl" w:hAnsi="FrankRuehl" w:cs="FrankRuehl"/>
            <w:color w:val="0000FF"/>
            <w:u w:val="single"/>
            <w:rtl/>
          </w:rPr>
          <w:t>144(ב)</w:t>
        </w:r>
      </w:hyperlink>
    </w:p>
    <w:p w14:paraId="6F90C65C" w14:textId="77777777" w:rsidR="00697C30" w:rsidRPr="00697C30" w:rsidRDefault="00697C30" w:rsidP="00697C30">
      <w:pPr>
        <w:spacing w:after="120" w:line="240" w:lineRule="exact"/>
        <w:ind w:left="283" w:hanging="283"/>
        <w:jc w:val="both"/>
        <w:rPr>
          <w:rFonts w:ascii="FrankRuehl" w:hAnsi="FrankRuehl" w:cs="FrankRuehl"/>
          <w:rtl/>
        </w:rPr>
      </w:pPr>
      <w:hyperlink r:id="rId14" w:history="1">
        <w:r w:rsidRPr="00697C30">
          <w:rPr>
            <w:rFonts w:ascii="FrankRuehl" w:hAnsi="FrankRuehl" w:cs="FrankRuehl"/>
            <w:color w:val="0000FF"/>
            <w:u w:val="single"/>
            <w:rtl/>
          </w:rPr>
          <w:t>פקודת המבחן [נוסח חדש], תשכ"ט-1969</w:t>
        </w:r>
      </w:hyperlink>
    </w:p>
    <w:p w14:paraId="2016AF3C" w14:textId="77777777" w:rsidR="002162AD" w:rsidRPr="002162AD" w:rsidRDefault="00D807B3" w:rsidP="00E93158">
      <w:pPr>
        <w:jc w:val="center"/>
        <w:rPr>
          <w:rFonts w:ascii="Arial" w:hAnsi="Arial" w:hint="cs"/>
          <w:rtl/>
        </w:rPr>
      </w:pPr>
      <w:r>
        <w:rPr>
          <w:rFonts w:ascii="Arial" w:hAnsi="Arial" w:hint="cs"/>
          <w:rtl/>
        </w:rPr>
        <w:t xml:space="preserve">     </w:t>
      </w:r>
    </w:p>
    <w:p w14:paraId="214D555C" w14:textId="77777777" w:rsidR="002162AD" w:rsidRPr="002162AD" w:rsidRDefault="002162AD" w:rsidP="00E93158">
      <w:pPr>
        <w:jc w:val="center"/>
        <w:rPr>
          <w:rFonts w:ascii="Arial" w:hAnsi="Arial"/>
          <w:rtl/>
        </w:rPr>
      </w:pPr>
    </w:p>
    <w:p w14:paraId="2ED0659E" w14:textId="77777777" w:rsidR="00E93158" w:rsidRPr="002162AD" w:rsidRDefault="00E93158" w:rsidP="00E93158">
      <w:pPr>
        <w:jc w:val="cente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3158" w14:paraId="09E105FB" w14:textId="77777777" w:rsidTr="00E93158">
        <w:trPr>
          <w:trHeight w:val="355"/>
          <w:jc w:val="center"/>
        </w:trPr>
        <w:tc>
          <w:tcPr>
            <w:tcW w:w="8820" w:type="dxa"/>
            <w:tcBorders>
              <w:top w:val="nil"/>
              <w:left w:val="nil"/>
              <w:bottom w:val="nil"/>
              <w:right w:val="nil"/>
            </w:tcBorders>
            <w:shd w:val="clear" w:color="auto" w:fill="auto"/>
          </w:tcPr>
          <w:p w14:paraId="0BD724E9" w14:textId="77777777" w:rsidR="002162AD" w:rsidRPr="002162AD" w:rsidRDefault="002162AD" w:rsidP="002162AD">
            <w:pPr>
              <w:jc w:val="center"/>
              <w:rPr>
                <w:rFonts w:ascii="Arial" w:hAnsi="Arial" w:cs="FrankRuehl"/>
                <w:b/>
                <w:bCs/>
                <w:sz w:val="32"/>
                <w:szCs w:val="32"/>
                <w:u w:val="single"/>
                <w:rtl/>
              </w:rPr>
            </w:pPr>
            <w:bookmarkStart w:id="3" w:name="PsakDin" w:colFirst="0" w:colLast="0"/>
            <w:bookmarkEnd w:id="0"/>
            <w:r w:rsidRPr="002162AD">
              <w:rPr>
                <w:rFonts w:ascii="Arial" w:hAnsi="Arial" w:cs="FrankRuehl"/>
                <w:b/>
                <w:bCs/>
                <w:sz w:val="32"/>
                <w:szCs w:val="32"/>
                <w:u w:val="single"/>
                <w:rtl/>
              </w:rPr>
              <w:t>גזר דין</w:t>
            </w:r>
          </w:p>
          <w:p w14:paraId="57AFAF32" w14:textId="77777777" w:rsidR="00E93158" w:rsidRPr="002162AD" w:rsidRDefault="00E93158" w:rsidP="002162AD">
            <w:pPr>
              <w:jc w:val="center"/>
              <w:rPr>
                <w:rFonts w:ascii="Arial" w:hAnsi="Arial" w:cs="FrankRuehl"/>
                <w:bCs/>
                <w:sz w:val="32"/>
                <w:szCs w:val="32"/>
                <w:u w:val="single"/>
                <w:rtl/>
              </w:rPr>
            </w:pPr>
          </w:p>
        </w:tc>
      </w:tr>
      <w:bookmarkEnd w:id="3"/>
    </w:tbl>
    <w:p w14:paraId="18AF287B" w14:textId="77777777" w:rsidR="00E93158" w:rsidRPr="00B05847" w:rsidRDefault="00E93158" w:rsidP="00E93158">
      <w:pPr>
        <w:jc w:val="center"/>
        <w:rPr>
          <w:rFonts w:ascii="Arial" w:hAnsi="Arial"/>
          <w:rtl/>
        </w:rPr>
      </w:pPr>
    </w:p>
    <w:p w14:paraId="12B0B64D" w14:textId="77777777" w:rsidR="00E93158" w:rsidRDefault="00E93158" w:rsidP="00E93158">
      <w:pPr>
        <w:spacing w:line="360" w:lineRule="auto"/>
        <w:jc w:val="both"/>
        <w:rPr>
          <w:rFonts w:ascii="Arial" w:hAnsi="Arial"/>
          <w:rtl/>
        </w:rPr>
      </w:pPr>
      <w:r>
        <w:rPr>
          <w:rFonts w:ascii="Arial" w:hAnsi="Arial" w:hint="cs"/>
          <w:rtl/>
        </w:rPr>
        <w:t>1.</w:t>
      </w:r>
      <w:r>
        <w:rPr>
          <w:rFonts w:ascii="Arial" w:hAnsi="Arial"/>
          <w:rtl/>
        </w:rPr>
        <w:tab/>
      </w:r>
      <w:bookmarkStart w:id="4" w:name="ABSTRACT_START"/>
      <w:bookmarkEnd w:id="4"/>
      <w:r>
        <w:rPr>
          <w:rFonts w:ascii="Arial" w:hAnsi="Arial" w:hint="cs"/>
          <w:rtl/>
        </w:rPr>
        <w:t xml:space="preserve">הנאשם הורשע בתיק זה, על פי הודאתו בעובדות כתב האישום שתוקן, במסגרת של הסדר טיעון, וזאת בביצוע עבירה של נשיאת נשק שלא כדין, לפי </w:t>
      </w:r>
      <w:hyperlink r:id="rId15" w:history="1">
        <w:r w:rsidR="00697C30" w:rsidRPr="00697C30">
          <w:rPr>
            <w:rStyle w:val="Hyperlink"/>
            <w:rFonts w:ascii="Arial" w:hAnsi="Arial" w:hint="eastAsia"/>
            <w:color w:val="0000FF"/>
            <w:rtl/>
          </w:rPr>
          <w:t>סעיף</w:t>
        </w:r>
        <w:r w:rsidR="00697C30" w:rsidRPr="00697C30">
          <w:rPr>
            <w:rStyle w:val="Hyperlink"/>
            <w:rFonts w:ascii="Arial" w:hAnsi="Arial"/>
            <w:color w:val="0000FF"/>
            <w:rtl/>
          </w:rPr>
          <w:t xml:space="preserve"> 144(ב)</w:t>
        </w:r>
      </w:hyperlink>
      <w:r>
        <w:rPr>
          <w:rFonts w:ascii="Arial" w:hAnsi="Arial" w:hint="cs"/>
          <w:rtl/>
        </w:rPr>
        <w:t xml:space="preserve"> רישא ל</w:t>
      </w:r>
      <w:hyperlink r:id="rId16" w:history="1">
        <w:r w:rsidR="002162AD" w:rsidRPr="002162AD">
          <w:rPr>
            <w:rFonts w:ascii="Arial" w:hAnsi="Arial"/>
            <w:color w:val="0000FF"/>
            <w:u w:val="single"/>
            <w:rtl/>
          </w:rPr>
          <w:t>חוק העונשין</w:t>
        </w:r>
      </w:hyperlink>
      <w:r>
        <w:rPr>
          <w:rFonts w:ascii="Arial" w:hAnsi="Arial" w:hint="cs"/>
          <w:rtl/>
        </w:rPr>
        <w:t xml:space="preserve">, התשל"ז-1977 (להלן: </w:t>
      </w:r>
      <w:r w:rsidRPr="00A76643">
        <w:rPr>
          <w:rFonts w:ascii="Franklin Gothic Medium" w:hAnsi="Franklin Gothic Medium" w:cs="Miriam"/>
          <w:rtl/>
        </w:rPr>
        <w:t>חוק העונשין</w:t>
      </w:r>
      <w:r>
        <w:rPr>
          <w:rFonts w:ascii="Arial" w:hAnsi="Arial" w:hint="cs"/>
          <w:rtl/>
        </w:rPr>
        <w:t>).  כאן אציין כי מעבר לתיקונו של כתב האישום ולהסכמה להפניית הנאשם לקבלת תסקיר שירות המבחן שלא יחייב את  הצדדים, לא גובשה הסכמה בתיק זה לעניין העונש. עם זאת, הוסכם בין הצדדים כי המאשימה לא תטען כי הנאשם החזיק בנשק לפני שירד מהרכב הנזכר בכתב האישום המתוקן.</w:t>
      </w:r>
    </w:p>
    <w:p w14:paraId="204E639E" w14:textId="77777777" w:rsidR="00E93158" w:rsidRDefault="00E93158" w:rsidP="00E93158">
      <w:pPr>
        <w:spacing w:line="360" w:lineRule="auto"/>
        <w:jc w:val="both"/>
        <w:rPr>
          <w:rFonts w:ascii="Arial" w:hAnsi="Arial"/>
          <w:rtl/>
        </w:rPr>
      </w:pPr>
    </w:p>
    <w:p w14:paraId="7A506E59" w14:textId="77777777" w:rsidR="00E93158" w:rsidRDefault="00E93158" w:rsidP="00E93158">
      <w:pPr>
        <w:spacing w:line="360" w:lineRule="auto"/>
        <w:jc w:val="both"/>
        <w:rPr>
          <w:rFonts w:ascii="Arial" w:hAnsi="Arial"/>
          <w:rtl/>
        </w:rPr>
      </w:pPr>
      <w:r>
        <w:rPr>
          <w:rFonts w:ascii="Arial" w:hAnsi="Arial" w:hint="cs"/>
          <w:rtl/>
        </w:rPr>
        <w:t xml:space="preserve">2. </w:t>
      </w:r>
      <w:r>
        <w:rPr>
          <w:rFonts w:ascii="Arial" w:hAnsi="Arial" w:hint="cs"/>
          <w:rtl/>
        </w:rPr>
        <w:tab/>
        <w:t xml:space="preserve">כעת, לאחר שהוגשו תסקירי שירות המבחן וחוות דעת הממונה על עבודות שירות בעניינו של הנאשם, וכן  הועלו טיעוני הצדדים לעונש, כל שנותר הוא לגזור את דינו של הנאשם. </w:t>
      </w:r>
    </w:p>
    <w:p w14:paraId="7AA6573F" w14:textId="77777777" w:rsidR="00E93158" w:rsidRDefault="00E93158" w:rsidP="00E93158">
      <w:pPr>
        <w:spacing w:line="360" w:lineRule="auto"/>
        <w:jc w:val="both"/>
        <w:rPr>
          <w:rFonts w:ascii="Arial" w:hAnsi="Arial"/>
          <w:rtl/>
        </w:rPr>
      </w:pPr>
    </w:p>
    <w:p w14:paraId="5A6E0319" w14:textId="77777777" w:rsidR="00E93158" w:rsidRDefault="00E93158" w:rsidP="00E93158">
      <w:pPr>
        <w:spacing w:line="360" w:lineRule="auto"/>
        <w:jc w:val="both"/>
        <w:rPr>
          <w:rFonts w:ascii="Arial" w:hAnsi="Arial" w:cs="Miriam"/>
          <w:u w:val="single"/>
          <w:rtl/>
        </w:rPr>
      </w:pPr>
      <w:r w:rsidRPr="00BF1DC4">
        <w:rPr>
          <w:rFonts w:ascii="Arial" w:hAnsi="Arial" w:cs="Miriam" w:hint="cs"/>
          <w:u w:val="single"/>
          <w:rtl/>
        </w:rPr>
        <w:t>כתב האישום המתוקן</w:t>
      </w:r>
    </w:p>
    <w:p w14:paraId="4979AF9F" w14:textId="77777777" w:rsidR="00E93158" w:rsidRDefault="00E93158" w:rsidP="00E93158">
      <w:pPr>
        <w:spacing w:line="360" w:lineRule="auto"/>
        <w:jc w:val="both"/>
        <w:rPr>
          <w:rFonts w:ascii="Arial" w:hAnsi="Arial" w:cs="Miriam"/>
          <w:u w:val="single"/>
          <w:rtl/>
        </w:rPr>
      </w:pPr>
    </w:p>
    <w:p w14:paraId="5C5342EC" w14:textId="77777777" w:rsidR="00E93158" w:rsidRPr="00BF1DC4" w:rsidRDefault="00E93158" w:rsidP="00E93158">
      <w:pPr>
        <w:spacing w:line="360" w:lineRule="auto"/>
        <w:jc w:val="both"/>
        <w:rPr>
          <w:rFonts w:ascii="Arial" w:hAnsi="Arial"/>
          <w:rtl/>
        </w:rPr>
      </w:pPr>
      <w:r w:rsidRPr="00BF1DC4">
        <w:rPr>
          <w:rFonts w:ascii="Arial" w:hAnsi="Arial" w:hint="cs"/>
          <w:rtl/>
        </w:rPr>
        <w:t xml:space="preserve">3. </w:t>
      </w:r>
      <w:r w:rsidRPr="00BF1DC4">
        <w:rPr>
          <w:rFonts w:ascii="Arial" w:hAnsi="Arial" w:hint="cs"/>
          <w:rtl/>
        </w:rPr>
        <w:tab/>
        <w:t xml:space="preserve">ביום </w:t>
      </w:r>
      <w:r>
        <w:rPr>
          <w:rFonts w:ascii="Arial" w:hAnsi="Arial" w:hint="cs"/>
          <w:rtl/>
        </w:rPr>
        <w:t>16/07/2017, בשעה 03:35 לערך, ישב הנאשם יחד עם אחרים ברכב, באזור בניין המועצה בפרדיס. בשלב מסוים, יצ</w:t>
      </w:r>
      <w:r>
        <w:rPr>
          <w:rFonts w:ascii="Arial" w:hAnsi="Arial" w:hint="eastAsia"/>
          <w:rtl/>
        </w:rPr>
        <w:t>א</w:t>
      </w:r>
      <w:r>
        <w:rPr>
          <w:rFonts w:ascii="Arial" w:hAnsi="Arial" w:hint="cs"/>
          <w:rtl/>
        </w:rPr>
        <w:t xml:space="preserve"> הנאשם מהרכב כשהוא נושא עמו תיק גב ובתוכו תת מקלע מאולתר מסוג "קרלו גוסטב", מחסנית תואמת מלאה בכדורים ו-18 כדורים נוספים בקוטר 9 מ"מ </w:t>
      </w:r>
      <w:r>
        <w:rPr>
          <w:rFonts w:ascii="Arial" w:hAnsi="Arial" w:hint="cs"/>
          <w:rtl/>
        </w:rPr>
        <w:lastRenderedPageBreak/>
        <w:t xml:space="preserve">בתפזורת. תת המקלע הנ"ל הינו כלי שמסוגל לירות כדור שבכוחו להמית אדם והכדורים הנ"ל הינם תחמושת של כלי זה. </w:t>
      </w:r>
    </w:p>
    <w:p w14:paraId="013B419D" w14:textId="77777777" w:rsidR="00E93158" w:rsidRDefault="00E93158" w:rsidP="00E93158">
      <w:pPr>
        <w:spacing w:line="360" w:lineRule="auto"/>
        <w:jc w:val="both"/>
        <w:rPr>
          <w:rFonts w:ascii="Arial" w:hAnsi="Arial"/>
          <w:rtl/>
        </w:rPr>
      </w:pPr>
    </w:p>
    <w:p w14:paraId="5950CA66" w14:textId="77777777" w:rsidR="00E93158" w:rsidRDefault="00E93158" w:rsidP="00E93158">
      <w:pPr>
        <w:spacing w:line="360" w:lineRule="auto"/>
        <w:jc w:val="both"/>
        <w:rPr>
          <w:rFonts w:ascii="Arial" w:hAnsi="Arial"/>
          <w:rtl/>
        </w:rPr>
      </w:pPr>
      <w:r>
        <w:rPr>
          <w:rFonts w:ascii="Arial" w:hAnsi="Arial" w:hint="cs"/>
          <w:rtl/>
        </w:rPr>
        <w:t>4.</w:t>
      </w:r>
      <w:r>
        <w:rPr>
          <w:rFonts w:ascii="Arial" w:hAnsi="Arial" w:hint="cs"/>
          <w:rtl/>
        </w:rPr>
        <w:tab/>
        <w:t xml:space="preserve">בהמשך לאמור לעיל, רץ הנאשם מהמקום והגיע סמוך למזנון "דלישז" בפרדיס. באותה עת, בקרבת מקום, עמד רכב מסוג פ'זו בצבע לבן, מ.ר. 2099271 (להלן: </w:t>
      </w:r>
      <w:r w:rsidRPr="00A6428A">
        <w:rPr>
          <w:rFonts w:ascii="Arial" w:hAnsi="Arial" w:cs="Miriam" w:hint="cs"/>
          <w:rtl/>
        </w:rPr>
        <w:t>הרכב</w:t>
      </w:r>
      <w:r>
        <w:rPr>
          <w:rFonts w:ascii="Arial" w:hAnsi="Arial" w:hint="cs"/>
          <w:rtl/>
        </w:rPr>
        <w:t xml:space="preserve">), ובו ישבו חדר חדר ואחמד מרעי. הנאשם התקרב אל הרכב והחל לשוחח עם יושביו, ובשלב מסוים התכופף והחביא את התיק מתחת לחלקו הקדמי של הרכב. </w:t>
      </w:r>
    </w:p>
    <w:p w14:paraId="0B7184E6" w14:textId="77777777" w:rsidR="00E93158" w:rsidRDefault="00E93158" w:rsidP="00E93158">
      <w:pPr>
        <w:spacing w:line="360" w:lineRule="auto"/>
        <w:jc w:val="both"/>
        <w:rPr>
          <w:rFonts w:ascii="Arial" w:hAnsi="Arial"/>
          <w:rtl/>
        </w:rPr>
      </w:pPr>
      <w:bookmarkStart w:id="5" w:name="ABSTRACT_END"/>
      <w:bookmarkEnd w:id="5"/>
    </w:p>
    <w:p w14:paraId="1D042254" w14:textId="77777777" w:rsidR="00E93158" w:rsidRDefault="00E93158" w:rsidP="00E93158">
      <w:pPr>
        <w:spacing w:line="360" w:lineRule="auto"/>
        <w:jc w:val="both"/>
        <w:rPr>
          <w:rFonts w:ascii="Arial" w:hAnsi="Arial"/>
          <w:rtl/>
        </w:rPr>
      </w:pPr>
      <w:r>
        <w:rPr>
          <w:rFonts w:ascii="Arial" w:hAnsi="Arial" w:hint="cs"/>
          <w:rtl/>
        </w:rPr>
        <w:t xml:space="preserve">5. </w:t>
      </w:r>
      <w:r>
        <w:rPr>
          <w:rFonts w:ascii="Arial" w:hAnsi="Arial" w:hint="cs"/>
          <w:rtl/>
        </w:rPr>
        <w:tab/>
        <w:t xml:space="preserve">במעשיו הנ"ל נשא הנאשם או הוביל נשק בלא רשות על פי דין, להחזקתו, לנשיאתו או להובלתו. </w:t>
      </w:r>
    </w:p>
    <w:p w14:paraId="42A5C1E3" w14:textId="77777777" w:rsidR="00E93158" w:rsidRPr="00EE3A6E" w:rsidRDefault="00E93158" w:rsidP="00E93158">
      <w:pPr>
        <w:spacing w:line="360" w:lineRule="auto"/>
        <w:jc w:val="both"/>
        <w:rPr>
          <w:rFonts w:ascii="Arial" w:hAnsi="Arial" w:cs="Miriam"/>
          <w:u w:val="single"/>
          <w:rtl/>
        </w:rPr>
      </w:pPr>
      <w:r w:rsidRPr="00EE3A6E">
        <w:rPr>
          <w:rFonts w:ascii="Arial" w:hAnsi="Arial" w:cs="Miriam" w:hint="cs"/>
          <w:u w:val="single"/>
          <w:rtl/>
        </w:rPr>
        <w:t>תסקיר</w:t>
      </w:r>
      <w:r>
        <w:rPr>
          <w:rFonts w:ascii="Arial" w:hAnsi="Arial" w:cs="Miriam" w:hint="cs"/>
          <w:u w:val="single"/>
          <w:rtl/>
        </w:rPr>
        <w:t>י</w:t>
      </w:r>
      <w:r w:rsidRPr="00EE3A6E">
        <w:rPr>
          <w:rFonts w:ascii="Arial" w:hAnsi="Arial" w:cs="Miriam" w:hint="cs"/>
          <w:u w:val="single"/>
          <w:rtl/>
        </w:rPr>
        <w:t xml:space="preserve"> שירות המבחן</w:t>
      </w:r>
    </w:p>
    <w:p w14:paraId="6C0C0558" w14:textId="77777777" w:rsidR="00E93158" w:rsidRPr="00B05847" w:rsidRDefault="00E93158" w:rsidP="00E93158">
      <w:pPr>
        <w:spacing w:line="360" w:lineRule="auto"/>
        <w:jc w:val="both"/>
        <w:rPr>
          <w:rFonts w:ascii="Arial" w:hAnsi="Arial"/>
          <w:rtl/>
        </w:rPr>
      </w:pPr>
    </w:p>
    <w:p w14:paraId="2435DFAE" w14:textId="77777777" w:rsidR="00E93158" w:rsidRDefault="00E93158" w:rsidP="00E93158">
      <w:pPr>
        <w:spacing w:line="360" w:lineRule="auto"/>
        <w:jc w:val="both"/>
        <w:rPr>
          <w:rtl/>
        </w:rPr>
      </w:pPr>
      <w:r>
        <w:rPr>
          <w:rFonts w:hint="cs"/>
          <w:rtl/>
        </w:rPr>
        <w:t xml:space="preserve">6. </w:t>
      </w:r>
      <w:r>
        <w:rPr>
          <w:rtl/>
        </w:rPr>
        <w:tab/>
      </w:r>
      <w:r>
        <w:rPr>
          <w:rFonts w:hint="cs"/>
          <w:rtl/>
        </w:rPr>
        <w:t xml:space="preserve">מתסקיר שירות המבחן שנערך ביום 29/04/2018, עולה כי הנאשם הוא כבן 22, רווק ללא ילדים. טרם מעצרו הוא התגורר בבית הוריו בפרדיס. הנאשם היה נתון במעצר בית בפיקוח אלקטרוני במשך כ-8 חודשים, תחילה בבית סביו בבקה אל גרביה ולאחר מכן בבית הוריו. הנאשם השלים 12 שנות לימוד וקיבל תעודת בגרות. בהמשך, לטענתו, החל ללמוד במכינה אקדמית באוניברסיטת אריאל, אך לא המשיך בלימודיו על רקע קשיים כלכליים. הנאשם סיפר, כי לאחר שסיים את לימודי התיכון, עבד כחצי שנה ברשת שיווק, במלונאות ובהמשך עבד במשך כחודשיים כטבח בבית חולים עד למעצרו. </w:t>
      </w:r>
    </w:p>
    <w:p w14:paraId="41D2E077" w14:textId="77777777" w:rsidR="00E93158" w:rsidRDefault="00E93158" w:rsidP="00E93158">
      <w:pPr>
        <w:spacing w:line="360" w:lineRule="auto"/>
        <w:jc w:val="both"/>
        <w:rPr>
          <w:rtl/>
        </w:rPr>
      </w:pPr>
    </w:p>
    <w:p w14:paraId="51FA0F4B" w14:textId="77777777" w:rsidR="00E93158" w:rsidRDefault="00E93158" w:rsidP="00E93158">
      <w:pPr>
        <w:spacing w:line="360" w:lineRule="auto"/>
        <w:jc w:val="both"/>
        <w:rPr>
          <w:rtl/>
        </w:rPr>
      </w:pPr>
      <w:r>
        <w:rPr>
          <w:rFonts w:hint="cs"/>
          <w:rtl/>
        </w:rPr>
        <w:t xml:space="preserve">7. </w:t>
      </w:r>
      <w:r>
        <w:rPr>
          <w:rFonts w:hint="cs"/>
          <w:rtl/>
        </w:rPr>
        <w:tab/>
        <w:t xml:space="preserve">הנאשם רואה בהוריו דמויות משמעותיות ומטיבות בחייו, מהם זכה ליחס מועדף על רקע מעמדו כבן בכור במשפחתו. הנאשם נשא, כבן בכור, באחריות לפרנסת משפחתו, יחד עם אמו, וזאת מגיל צעיר, בהינתן קשיי תפקוד של אביו. הוריו של הנאשם, לדבריו, לא תמיד הצליחו להציב גבולות להתנהגותו ובמיוחד עובר למעצרו, קיים הנאשם קשרים חברתיים עם גורמים שוליים, בניגוד לדעת אביו. </w:t>
      </w:r>
    </w:p>
    <w:p w14:paraId="012996D4" w14:textId="77777777" w:rsidR="00E93158" w:rsidRDefault="00E93158" w:rsidP="00E93158">
      <w:pPr>
        <w:spacing w:line="360" w:lineRule="auto"/>
        <w:jc w:val="both"/>
        <w:rPr>
          <w:rtl/>
        </w:rPr>
      </w:pPr>
    </w:p>
    <w:p w14:paraId="338BE9AE" w14:textId="77777777" w:rsidR="00E93158" w:rsidRDefault="00E93158" w:rsidP="00E93158">
      <w:pPr>
        <w:spacing w:line="360" w:lineRule="auto"/>
        <w:jc w:val="both"/>
        <w:rPr>
          <w:rtl/>
        </w:rPr>
      </w:pPr>
      <w:r>
        <w:rPr>
          <w:rFonts w:hint="cs"/>
          <w:rtl/>
        </w:rPr>
        <w:t xml:space="preserve">8. </w:t>
      </w:r>
      <w:r>
        <w:rPr>
          <w:rFonts w:hint="cs"/>
          <w:rtl/>
        </w:rPr>
        <w:tab/>
        <w:t xml:space="preserve">עברו הפלילי של הנאשם נקי. בהתייחס לעבירה שבפנינו, הודה הנאשם בביצועה, תוך שציין כי עובר לביצוע העבירה, שתה אלכוהול במסגרת בילוי חברתי.  כן ציין הנאשם בפני שירות המבחן, כי בעת שנסע ברכב של מכר לכיוון ביתו, הבחין בתיק שהכיל נשק והנהג שהבחין במשטרה, הנחה אותו לברוח עם התיק, וכך הוא עשה. הנאשם ביטא בפני שירות המבחן בושה וחרטה על ביצוע העבירה, אולם התקשה לשאת באחריות לגבי משמעות מעשיו והסיכון הטמון בהתנהלותו.  הנאשם הציג את מעשיו כמעשים תמימים ונקט בעמדה השלכתית, בכך שטען כי  נגרר לביצוע העבירה ע"י אחרים. עם זאת, ביטא הנאשם הכרה בהתנהלותו הבעייתית, הנעוצה בכך ששתה אלכוהול באופן מופרז וקיים קשרים חברתיים עם גורמים שוליים. הנאשם סיפר, כי החל לשתות אלכוהול בגיל 20 בתדירות מזדמנת, אולם שלל תהליך התמכרותי. לטענתו, מאז מעצרו, הוא נמנע משימוש בחומרים </w:t>
      </w:r>
      <w:r>
        <w:rPr>
          <w:rFonts w:hint="cs"/>
          <w:rtl/>
        </w:rPr>
        <w:lastRenderedPageBreak/>
        <w:t xml:space="preserve">פסיכו-אקטיביים, ביודעו כי מדובר בהרגל הגובה מחיר אישי ומשפטי. אביו של הנאשם, הביע בפני שירות המבחן עמדה מגוננת כלפיו, בציינו שגורמים חיצוניים הביאו למעורבות הנאשם בביצוע העבירה. ברם, מאידך, ביטא האב ביקורת על כך שהנאשם, אשר בעבר הצטיין בלימודיו והתנהל באופן אחראי, חרג מהגבולות שהציב לו. </w:t>
      </w:r>
    </w:p>
    <w:p w14:paraId="19908790" w14:textId="77777777" w:rsidR="00E93158" w:rsidRDefault="00E93158" w:rsidP="00E93158">
      <w:pPr>
        <w:spacing w:line="360" w:lineRule="auto"/>
        <w:jc w:val="both"/>
        <w:rPr>
          <w:rtl/>
        </w:rPr>
      </w:pPr>
    </w:p>
    <w:p w14:paraId="58AD6C00" w14:textId="77777777" w:rsidR="00E93158" w:rsidRDefault="00E93158" w:rsidP="00E93158">
      <w:pPr>
        <w:spacing w:line="360" w:lineRule="auto"/>
        <w:jc w:val="both"/>
        <w:rPr>
          <w:rtl/>
        </w:rPr>
      </w:pPr>
      <w:r>
        <w:rPr>
          <w:rFonts w:hint="cs"/>
          <w:rtl/>
        </w:rPr>
        <w:t xml:space="preserve">9. </w:t>
      </w:r>
      <w:r>
        <w:rPr>
          <w:rFonts w:hint="cs"/>
          <w:rtl/>
        </w:rPr>
        <w:tab/>
        <w:t xml:space="preserve">שירות המבחן ציין בתסקירו הנ"ל, כי קיימים בעניינו של הנאשם גורמי סיכון רבים, בהיותו צעיר הנושא באחריות לפרנסה ולטיפול בבני משפחתו, נעדר בשלות, בעל זהות לא מגובשת ומתקשה בהפעלת שיקול דעת ובראיית ההשלכות הנובעות מהתנהגותו, תוך שהוא נוטה, במקרה של פגיעה, לתוקפנות ומתקשה להתמודד עם רגשות קשים.  כן צוין כי קיים פער משמעותי בין האמור בכתב האישום לבין התייחסותו של הנאשם לעבירה וקיימת סבירות לכך שהנאשם סובל משימוש לרעה באלכוהול. </w:t>
      </w:r>
    </w:p>
    <w:p w14:paraId="1015258A" w14:textId="77777777" w:rsidR="00E93158" w:rsidRDefault="00E93158" w:rsidP="00E93158">
      <w:pPr>
        <w:spacing w:line="360" w:lineRule="auto"/>
        <w:jc w:val="both"/>
        <w:rPr>
          <w:rtl/>
        </w:rPr>
      </w:pPr>
    </w:p>
    <w:p w14:paraId="164DDFB9" w14:textId="77777777" w:rsidR="00E93158" w:rsidRDefault="00E93158" w:rsidP="00E93158">
      <w:pPr>
        <w:spacing w:line="360" w:lineRule="auto"/>
        <w:jc w:val="both"/>
        <w:rPr>
          <w:rtl/>
        </w:rPr>
      </w:pPr>
      <w:r>
        <w:rPr>
          <w:rFonts w:hint="cs"/>
          <w:rtl/>
        </w:rPr>
        <w:t>10.</w:t>
      </w:r>
      <w:r>
        <w:rPr>
          <w:rFonts w:hint="cs"/>
          <w:rtl/>
        </w:rPr>
        <w:tab/>
        <w:t xml:space="preserve">במסגרת גורמי הסיכוי מנה שירות המבחן את עברו הנקי של הנאשם, אשר ניהל עד למעצרו אורח חיים יציב ומתפקד הן במישור התעסוקתי והן במישור הלימודי. כן צוין, כי אף משפחתו של הנאשם מתאפיינת באורח חיים נורמטיבי ומבקרת את חריגת הנאשם מגבולות החוק ואף הנאשם הורתע מתנאי מעצר הבית המגבילים בהם הוא נתון ושיתף פעולה במסגרת קבוצה של עצורי בית בשירות המבחן, הגם שמדובר בשלב התחלתי בלבד של טיפול.  </w:t>
      </w:r>
    </w:p>
    <w:p w14:paraId="448C85B6" w14:textId="77777777" w:rsidR="00E93158" w:rsidRDefault="00E93158" w:rsidP="00E93158">
      <w:pPr>
        <w:spacing w:line="360" w:lineRule="auto"/>
        <w:jc w:val="both"/>
        <w:rPr>
          <w:rtl/>
        </w:rPr>
      </w:pPr>
    </w:p>
    <w:p w14:paraId="5DF27839" w14:textId="77777777" w:rsidR="00E93158" w:rsidRDefault="00E93158" w:rsidP="00E93158">
      <w:pPr>
        <w:spacing w:line="360" w:lineRule="auto"/>
        <w:jc w:val="both"/>
        <w:rPr>
          <w:rtl/>
        </w:rPr>
      </w:pPr>
      <w:r>
        <w:rPr>
          <w:rFonts w:hint="cs"/>
          <w:rtl/>
        </w:rPr>
        <w:t xml:space="preserve">11. </w:t>
      </w:r>
      <w:r>
        <w:rPr>
          <w:rFonts w:hint="cs"/>
          <w:rtl/>
        </w:rPr>
        <w:tab/>
        <w:t xml:space="preserve">שירות המבחן הביע בתסקירו הנ"ל התרשמות, לפיה הנאשם מצוי כיום בתקופה קריטית בחייו  ובפרשת דרכים. הנאשם מבטא, מחד גיסא, כמיהה לנהל אורח חיים נורמטיבי. אולם, מאידך גיסא, עולה אינדיקציה להתנהלות בעייתית מצדו  עובר לביצוע העבירה.  </w:t>
      </w:r>
    </w:p>
    <w:p w14:paraId="39FB0C22" w14:textId="77777777" w:rsidR="00E93158" w:rsidRDefault="00E93158" w:rsidP="00E93158">
      <w:pPr>
        <w:spacing w:line="360" w:lineRule="auto"/>
        <w:jc w:val="both"/>
        <w:rPr>
          <w:rtl/>
        </w:rPr>
      </w:pPr>
    </w:p>
    <w:p w14:paraId="6F0D3DA1" w14:textId="77777777" w:rsidR="00E93158" w:rsidRDefault="00E93158" w:rsidP="00E93158">
      <w:pPr>
        <w:spacing w:line="360" w:lineRule="auto"/>
        <w:jc w:val="both"/>
        <w:rPr>
          <w:rtl/>
        </w:rPr>
      </w:pPr>
      <w:r>
        <w:rPr>
          <w:rFonts w:hint="cs"/>
          <w:rtl/>
        </w:rPr>
        <w:t xml:space="preserve">12. </w:t>
      </w:r>
      <w:r>
        <w:rPr>
          <w:rtl/>
        </w:rPr>
        <w:tab/>
      </w:r>
      <w:r>
        <w:rPr>
          <w:rFonts w:hint="cs"/>
          <w:rtl/>
        </w:rPr>
        <w:t xml:space="preserve">לצורך בחינת האפשרויות השיקומיות בעניינו של הנאשם, ביקש שירות המבחן דחייה על מנת לשלב את הנאשם בהליך אבחון בתחום האלכוהול ולבחון את יכולתו  להפיק תועלת מקשר טיפולי.  </w:t>
      </w:r>
    </w:p>
    <w:p w14:paraId="6A023C0D" w14:textId="77777777" w:rsidR="00E93158" w:rsidRDefault="00E93158" w:rsidP="00E93158">
      <w:pPr>
        <w:spacing w:line="360" w:lineRule="auto"/>
        <w:jc w:val="both"/>
        <w:rPr>
          <w:rtl/>
        </w:rPr>
      </w:pPr>
    </w:p>
    <w:p w14:paraId="72C6B495" w14:textId="77777777" w:rsidR="00E93158" w:rsidRDefault="00E93158" w:rsidP="00E93158">
      <w:pPr>
        <w:spacing w:line="360" w:lineRule="auto"/>
        <w:jc w:val="both"/>
        <w:rPr>
          <w:rFonts w:ascii=".David" w:hAnsi=".David"/>
          <w:rtl/>
        </w:rPr>
      </w:pPr>
      <w:r>
        <w:rPr>
          <w:rFonts w:hint="cs"/>
          <w:rtl/>
        </w:rPr>
        <w:t xml:space="preserve">13. </w:t>
      </w:r>
      <w:r>
        <w:rPr>
          <w:rtl/>
        </w:rPr>
        <w:tab/>
      </w:r>
      <w:r>
        <w:rPr>
          <w:rFonts w:hint="cs"/>
          <w:rtl/>
        </w:rPr>
        <w:t>ביום 26/6/18 הוגש תסקיר נוסף, במסגרתו הועלתה בקשת שירות המבחן לדחיית מועד הדיון בעניינו של הנאשם בשלושה חודשים לצורך השלמת הליך האבחון בעניינו. בבקשה צוין, כי הנאשם המשיך, עד ליום 14/5/18, להשתתף בקבוצה טיפולית לעצורי בית במסגרת שירות המבחן, שאז סיים את הטיפול בקבוצה על רקע שילובו בהליך אבחון בעמותת אפש"ר. מהשתתפותו בקבוצה עולה, כי הנאשם "</w:t>
      </w:r>
      <w:r w:rsidRPr="000D63CE">
        <w:rPr>
          <w:rFonts w:cs="Miriam" w:hint="cs"/>
          <w:rtl/>
        </w:rPr>
        <w:t>המשיך לשתף פעולה ולבטא נכונות להתבונן  בהתנהלותו ולהשתלב בהליך טיפולי בתחום האלכוהול"</w:t>
      </w:r>
      <w:r>
        <w:rPr>
          <w:rFonts w:cs="Miriam" w:hint="cs"/>
          <w:rtl/>
        </w:rPr>
        <w:t>.</w:t>
      </w:r>
      <w:r>
        <w:rPr>
          <w:rFonts w:ascii=".David" w:hAnsi=".David" w:hint="cs"/>
          <w:rtl/>
        </w:rPr>
        <w:t xml:space="preserve"> ביום  28/5/18 השתתף הנאשם בהליך אבחון בעמותת אפש"ר, אולם הספיק להשתתף בשלושה מפגשים בלבד, זאת בשל אילוצים שאינם קשורים בו. דווח לשרות המבחן, כי הנאשם משתף פעולה בהתאם לשלב ההתחלתי של הליך האבחון בו הוא מצוי ומבטא נכונות לערוך מאמצים לשקם  את חייו.</w:t>
      </w:r>
    </w:p>
    <w:p w14:paraId="4C0AAD9E" w14:textId="77777777" w:rsidR="00E93158" w:rsidRDefault="00E93158" w:rsidP="00E93158">
      <w:pPr>
        <w:spacing w:line="360" w:lineRule="auto"/>
        <w:jc w:val="both"/>
        <w:rPr>
          <w:rFonts w:ascii=".David" w:hAnsi=".David"/>
          <w:rtl/>
        </w:rPr>
      </w:pPr>
    </w:p>
    <w:p w14:paraId="50B3590B" w14:textId="77777777" w:rsidR="00E93158" w:rsidRDefault="00E93158" w:rsidP="00E93158">
      <w:pPr>
        <w:spacing w:line="360" w:lineRule="auto"/>
        <w:jc w:val="both"/>
        <w:rPr>
          <w:rFonts w:ascii=".David" w:hAnsi=".David"/>
          <w:rtl/>
        </w:rPr>
      </w:pPr>
      <w:r>
        <w:rPr>
          <w:rFonts w:ascii=".David" w:hAnsi=".David" w:hint="cs"/>
          <w:rtl/>
        </w:rPr>
        <w:t xml:space="preserve">14. </w:t>
      </w:r>
      <w:r>
        <w:rPr>
          <w:rFonts w:ascii=".David" w:hAnsi=".David" w:hint="cs"/>
          <w:rtl/>
        </w:rPr>
        <w:tab/>
        <w:t>נוכח האמור לעיל, ולאור השלב ההתחלתי של האבחון, התקשה שירות המבחן להשלים את הערכת הסיכון בעניינו של הנאשם. לפיכך, ביקש שירות המבחן לדחות את מועד הדיון בשלושה חודשים נוספים.</w:t>
      </w:r>
    </w:p>
    <w:p w14:paraId="0B6BE240" w14:textId="77777777" w:rsidR="00E93158" w:rsidRDefault="00E93158" w:rsidP="00E93158">
      <w:pPr>
        <w:spacing w:line="360" w:lineRule="auto"/>
        <w:jc w:val="both"/>
        <w:rPr>
          <w:rFonts w:ascii=".David" w:hAnsi=".David"/>
          <w:rtl/>
        </w:rPr>
      </w:pPr>
    </w:p>
    <w:p w14:paraId="44D37044" w14:textId="77777777" w:rsidR="00E93158" w:rsidRDefault="00E93158" w:rsidP="00E93158">
      <w:pPr>
        <w:spacing w:line="360" w:lineRule="auto"/>
        <w:jc w:val="both"/>
        <w:rPr>
          <w:rFonts w:ascii=".David" w:hAnsi=".David"/>
          <w:rtl/>
        </w:rPr>
      </w:pPr>
      <w:r>
        <w:rPr>
          <w:rFonts w:ascii=".David" w:hAnsi=".David" w:hint="cs"/>
          <w:rtl/>
        </w:rPr>
        <w:t>15.</w:t>
      </w:r>
      <w:r>
        <w:rPr>
          <w:rFonts w:ascii=".David" w:hAnsi=".David" w:hint="cs"/>
          <w:rtl/>
        </w:rPr>
        <w:tab/>
        <w:t>מהתסקיר השלישי שהוגש ביום 24/10/18 עולה, כי שירות המבחן קיבל בעת האחרונה דיווח מגורמי הטיפול בעמותת אפש"ר, המלמד כי מאז שילובו של הנאשם במסגרתה, הוא מקפיד להגיע לפגישות באופן סדיר ועקבי, משתף בקשיים אותם הוא חווה על רקע מעצר הבית הממושך, וכן מבטא רצון ומוטיבציה ללמוד כיצד להימנע ממצבי סיכון. הנאשם סיפר, כי בעבר השימוש שלו באלכוהול הביאו למצבים של אובדן שליטה ואף להרעלת אלכוהול, כשלדבריו הוא נמנע משתיית אלכוהול מאז שנעצר. בשיחות עמו ביטא הנאשם הכרה בכך שהוא נוטה לריגושים וסיכונים, תוך רצון להיות אהוב על סביבתו, דבר שהביאו להתחבר לחברה בעייתית ולנהוג באופן אימפולסיבי מבלי לחשוב על השלכת העניין לעתיד. עוד צוין בתסקיר השלישי, כי במסגרת הטיפול  מבטא הנאשם "יכולת להיפתח באופן הדרגתי" ונעזר בקרוביו על מנת להתמודד עם קשייו ולהתנתק מגורמים שוליים. בנוסף, מבטא הנאשם שאיפות לחזור ולנהל אורח חיים נורמטיבי. להערכת גורמי הטיפול, סובל הנאשם משימוש לרעה באלכוהול. מהמלצות העובדת הסוציאלית המטפלת בנאשם, עולה כי יש להמשיך בעניינו בהליך של טיפול פרטני לשם זיהוי מצבי סיכון, דפוסי התנהגות אימפולסיביים ופיתוח יכולת החשיבה לטווח רחוק.</w:t>
      </w:r>
    </w:p>
    <w:p w14:paraId="7E86B153" w14:textId="77777777" w:rsidR="00E93158" w:rsidRDefault="00E93158" w:rsidP="00E93158">
      <w:pPr>
        <w:spacing w:line="360" w:lineRule="auto"/>
        <w:jc w:val="both"/>
        <w:rPr>
          <w:rFonts w:ascii=".David" w:hAnsi=".David"/>
          <w:rtl/>
        </w:rPr>
      </w:pPr>
    </w:p>
    <w:p w14:paraId="104DA814" w14:textId="77777777" w:rsidR="00E93158" w:rsidRDefault="00E93158" w:rsidP="00E93158">
      <w:pPr>
        <w:spacing w:line="360" w:lineRule="auto"/>
        <w:jc w:val="both"/>
        <w:rPr>
          <w:rFonts w:ascii=".David" w:hAnsi=".David"/>
          <w:rtl/>
        </w:rPr>
      </w:pPr>
      <w:r>
        <w:rPr>
          <w:rFonts w:ascii=".David" w:hAnsi=".David" w:hint="cs"/>
          <w:rtl/>
        </w:rPr>
        <w:t>16.</w:t>
      </w:r>
      <w:r>
        <w:rPr>
          <w:rFonts w:ascii=".David" w:hAnsi=".David" w:hint="cs"/>
          <w:rtl/>
        </w:rPr>
        <w:tab/>
        <w:t xml:space="preserve">בשיחה שקיים שירות המבחן עם הנאשם, ביטא הלה שביעות רצון מההליך הטיפולי בו הוא משתתף במסגרת  עמותת </w:t>
      </w:r>
      <w:r w:rsidRPr="00164BA1">
        <w:rPr>
          <w:rFonts w:ascii=".David" w:hAnsi=".David" w:hint="cs"/>
          <w:rtl/>
        </w:rPr>
        <w:t>אפש</w:t>
      </w:r>
      <w:r>
        <w:rPr>
          <w:rFonts w:ascii=".David" w:hAnsi=".David" w:hint="cs"/>
          <w:rtl/>
        </w:rPr>
        <w:t>"</w:t>
      </w:r>
      <w:r w:rsidRPr="00164BA1">
        <w:rPr>
          <w:rFonts w:ascii=".David" w:hAnsi=".David" w:hint="cs"/>
          <w:rtl/>
        </w:rPr>
        <w:t>ר</w:t>
      </w:r>
      <w:r>
        <w:rPr>
          <w:rFonts w:ascii=".David" w:hAnsi=".David" w:hint="cs"/>
          <w:rtl/>
        </w:rPr>
        <w:t>, ובנוסף ביטא קושי נוכח התקופה הממושכת של למעלה משנה בא הוא נתון במעצר בית מלא. עוד צוין, כי הנאשם הביע נכונות להשתלב בהליך טיפולי במסגרת שירות המבחן.</w:t>
      </w:r>
    </w:p>
    <w:p w14:paraId="0E35C28A" w14:textId="77777777" w:rsidR="00E93158" w:rsidRDefault="00E93158" w:rsidP="00E93158">
      <w:pPr>
        <w:spacing w:line="360" w:lineRule="auto"/>
        <w:jc w:val="both"/>
        <w:rPr>
          <w:rFonts w:ascii=".David" w:hAnsi=".David"/>
          <w:rtl/>
        </w:rPr>
      </w:pPr>
    </w:p>
    <w:p w14:paraId="3F74CF3F" w14:textId="77777777" w:rsidR="00E93158" w:rsidRDefault="00E93158" w:rsidP="00E93158">
      <w:pPr>
        <w:spacing w:line="360" w:lineRule="auto"/>
        <w:jc w:val="both"/>
        <w:rPr>
          <w:rFonts w:ascii=".David" w:hAnsi=".David"/>
          <w:rtl/>
        </w:rPr>
      </w:pPr>
      <w:r>
        <w:rPr>
          <w:rFonts w:ascii=".David" w:hAnsi=".David" w:hint="cs"/>
          <w:rtl/>
        </w:rPr>
        <w:t>17.</w:t>
      </w:r>
      <w:r>
        <w:rPr>
          <w:rFonts w:ascii=".David" w:hAnsi=".David" w:hint="cs"/>
          <w:rtl/>
        </w:rPr>
        <w:tab/>
        <w:t>שירות המבחן התרשם מהיות הנאשם צעיר ללא רקע עברייני, אשר בעברו תפקוד תקין ויציב במסגרות השונות, אף כי טרם מעצרו ביטא התנהלות אימפולסיבית והתחברות לחברה שולית.  שירות המבחן מעריך, כי מעורבותו בביצוע  העבירה תרמה להרתעתו ולנכונותו לבחון לעומק את התנהלותו שהובילה לביצוע העבירה. שירות המבחן הוסיף וציין, כי השתלבותו של הנאשם בהליכים הטיפוליים שהוצעו לו תסייע לו להבין את המניעים שעמדו בבסיס התנהלותו בתקופה שקדמה לביצוע העבירה, וכן תסייע לו להימנע מצריכת אלכוהול ולרכוש כלים להתמודד עם קושי ללא אלכוהול.</w:t>
      </w:r>
    </w:p>
    <w:p w14:paraId="7F3F76AE" w14:textId="77777777" w:rsidR="00E93158" w:rsidRDefault="00E93158" w:rsidP="00E93158">
      <w:pPr>
        <w:spacing w:line="360" w:lineRule="auto"/>
        <w:jc w:val="both"/>
        <w:rPr>
          <w:rFonts w:ascii=".David" w:hAnsi=".David"/>
          <w:rtl/>
        </w:rPr>
      </w:pPr>
    </w:p>
    <w:p w14:paraId="40B8E666" w14:textId="77777777" w:rsidR="00E93158" w:rsidRDefault="00E93158" w:rsidP="00E93158">
      <w:pPr>
        <w:spacing w:line="360" w:lineRule="auto"/>
        <w:jc w:val="both"/>
        <w:rPr>
          <w:rFonts w:ascii=".David" w:hAnsi=".David"/>
          <w:rtl/>
        </w:rPr>
      </w:pPr>
      <w:r>
        <w:rPr>
          <w:rFonts w:ascii=".David" w:hAnsi=".David" w:hint="cs"/>
          <w:rtl/>
        </w:rPr>
        <w:t>18.</w:t>
      </w:r>
      <w:r>
        <w:rPr>
          <w:rFonts w:ascii=".David" w:hAnsi=".David" w:hint="cs"/>
          <w:rtl/>
        </w:rPr>
        <w:tab/>
        <w:t>שירות המבחן סבור, כי המשך טיפול בעמותת אפש"ר, תוך שילוב הנאשם במסגרת טיפולית במסגרת שירות המבחן, יסייעו בהפחתת סיכון להישנות התנהגות עוברת חוק מצדו. נוכח האמור לעיל, ממליץ שירות המבחן  לבכר בעניינו של הנאשם את האפיק השיקומי ולהשית עליו צו מבחן לשם מעקב אחר ההליך הטיפולי הן בעמותת אפש"ר והן במסגרת שרות המבחן.</w:t>
      </w:r>
    </w:p>
    <w:p w14:paraId="106BB432" w14:textId="77777777" w:rsidR="00E93158" w:rsidRDefault="00E93158" w:rsidP="00E93158">
      <w:pPr>
        <w:spacing w:line="360" w:lineRule="auto"/>
        <w:jc w:val="both"/>
        <w:rPr>
          <w:rFonts w:ascii=".David" w:hAnsi=".David"/>
          <w:rtl/>
        </w:rPr>
      </w:pPr>
    </w:p>
    <w:p w14:paraId="0EEC8D2D" w14:textId="77777777" w:rsidR="00E93158" w:rsidRDefault="00E93158" w:rsidP="00E93158">
      <w:pPr>
        <w:spacing w:line="360" w:lineRule="auto"/>
        <w:jc w:val="both"/>
        <w:rPr>
          <w:rFonts w:ascii=".David" w:hAnsi=".David"/>
          <w:rtl/>
        </w:rPr>
      </w:pPr>
      <w:r>
        <w:rPr>
          <w:rFonts w:ascii=".David" w:hAnsi=".David" w:hint="cs"/>
          <w:rtl/>
        </w:rPr>
        <w:t>19.</w:t>
      </w:r>
      <w:r>
        <w:rPr>
          <w:rFonts w:ascii=".David" w:hAnsi=".David" w:hint="cs"/>
          <w:rtl/>
        </w:rPr>
        <w:tab/>
        <w:t xml:space="preserve">נוכח היות הנאשם צעיר בן 22,  נעדר עבר פלילי, אשר לא נפתחו נגדו תיקי מב"ד חדשים, נרתם להליך טיפולי ומבטא רצון לערוך שינוי בהתנהלותו ולהימנע ממעורבות נוספת בפלילים, ממליץ שירות המבחן בתסקיר השלישי שלא למצות את הדין עם הנאשם ולהסתפק בתיק זה בתקופת מאסר בפועל שתרוצה בדרך של עבודות שירות שלא לתקופה המקסימלית, וזאת לצד צו מבחן למשך שנה וחצי. ביום 31/10/18 הוריתי על הגשת תסקיר נוסף, אשר ייתן דעתו לאופן השתלבותו של הנאשם בהליך הטיפולי בקבוצה הייעודית בנושא עבירות נשק, וזאת משהובהר לבית המשפט מיד לאחר הדיון הנ"ל מבקשה שהגיש שרות המבחן, כי החל מיום 1/11/18 עתיד הנאשם להשתתף מידי שבוע במשרדי שרות המבחן בעפולה  בקבוצה טיפולית בנושא עבירות נשק, אשר עתידה להתקיים במסגרת של 20 מפגשים. </w:t>
      </w:r>
    </w:p>
    <w:p w14:paraId="23F0B4DE" w14:textId="77777777" w:rsidR="00E93158" w:rsidRDefault="00E93158" w:rsidP="00E93158">
      <w:pPr>
        <w:spacing w:line="360" w:lineRule="auto"/>
        <w:jc w:val="both"/>
        <w:rPr>
          <w:rFonts w:ascii=".David" w:hAnsi=".David"/>
          <w:rtl/>
        </w:rPr>
      </w:pPr>
    </w:p>
    <w:p w14:paraId="645760FE" w14:textId="77777777" w:rsidR="00E93158" w:rsidRDefault="00E93158" w:rsidP="00E93158">
      <w:pPr>
        <w:spacing w:line="360" w:lineRule="auto"/>
        <w:jc w:val="both"/>
        <w:rPr>
          <w:rFonts w:ascii=".David" w:hAnsi=".David"/>
          <w:rtl/>
        </w:rPr>
      </w:pPr>
      <w:r>
        <w:rPr>
          <w:rFonts w:ascii=".David" w:hAnsi=".David" w:hint="cs"/>
          <w:rtl/>
        </w:rPr>
        <w:t xml:space="preserve">20. </w:t>
      </w:r>
      <w:r>
        <w:rPr>
          <w:rFonts w:ascii=".David" w:hAnsi=".David"/>
          <w:rtl/>
        </w:rPr>
        <w:tab/>
      </w:r>
      <w:r>
        <w:rPr>
          <w:rFonts w:ascii=".David" w:hAnsi=".David" w:hint="cs"/>
          <w:rtl/>
        </w:rPr>
        <w:t>מהתסקיר העדכני שנערך ביום 12/12/2018, עולה כי הנאשם אכן השתלב בקבוצה טיפולית בתחום הנשק, שהחלה ביום 01/11/2018. הנאשם הגיע לכל המפגשים שהתקיימו עד כה (5 מפגשים). בשני המפגשים הראשונים חשש הנאשם לבטא עצמו, ובמפגשים הבאים, הוא ביטא חיבור למטרות הקבוצה ולצורך בהליך הטיפולי,  תוך ביסוס אמון וביטחון בקבוצה. הנאשם הביע בפני שירות המבחן, בשיחה טלפונית, שביעות רצון מההליך הטיפולי בתחום הנשק בו הוא, כאמור, נוטל חלק, תוך שציין כי הוא לומד מהמנחה בקבוצה וממשתתפיה אודות הרקע למעורבות בעבירות נשק. לעניין זה ציין הנאשם כי מעורבותו בביצוע העבירה הייתה שלב נוסף בהתדרדרותו, שהחלה נוכח קיום "קשרים שוליים" וצריכת אלכוהול. אף עמותת "אפשר" ציינה בפני שירות המבחן, כי הנאשם מגיע למפגשים באופן עקבי וסדיר, החל מקליטתו בעמותה ביום 28/05/2018.  הנאשם מבטא מודעות לגורמי הסיכון בסביבת מגוריו ומבין כיום שנטייתו לחפש ריגושים וסיכונים, לצד רצונו להיות אהוב ומוערך ע"י הסביבה, עמדו ברקע להתדרדרותו.  הנאשם שואף כיום לערכים שהונחלו לו ע"י הוריו המעודדים להשקעה בלימודים, לתפקוד תעסוקתי יציב ולשמירה על אורח חיים נורמטיבי. הנאשם מסתייע בבני משפחתו לצורך התנתקות מגורמים מסכנים בסביבת מגוריו ושואף להתקדם מבחינה אישית ומקצועית.</w:t>
      </w:r>
    </w:p>
    <w:p w14:paraId="0730E0E5" w14:textId="77777777" w:rsidR="00E93158" w:rsidRDefault="00E93158" w:rsidP="00E93158">
      <w:pPr>
        <w:spacing w:line="360" w:lineRule="auto"/>
        <w:jc w:val="both"/>
        <w:rPr>
          <w:rFonts w:ascii=".David" w:hAnsi=".David"/>
          <w:rtl/>
        </w:rPr>
      </w:pPr>
    </w:p>
    <w:p w14:paraId="793064E4" w14:textId="77777777" w:rsidR="00E93158" w:rsidRDefault="00E93158" w:rsidP="00E93158">
      <w:pPr>
        <w:spacing w:line="360" w:lineRule="auto"/>
        <w:jc w:val="both"/>
        <w:rPr>
          <w:rFonts w:ascii=".David" w:hAnsi=".David"/>
          <w:rtl/>
        </w:rPr>
      </w:pPr>
      <w:r>
        <w:rPr>
          <w:rFonts w:ascii=".David" w:hAnsi=".David" w:hint="cs"/>
          <w:rtl/>
        </w:rPr>
        <w:t>21.</w:t>
      </w:r>
      <w:r>
        <w:rPr>
          <w:rFonts w:ascii=".David" w:hAnsi=".David"/>
          <w:rtl/>
        </w:rPr>
        <w:tab/>
      </w:r>
      <w:r>
        <w:rPr>
          <w:rFonts w:ascii=".David" w:hAnsi=".David" w:hint="cs"/>
          <w:rtl/>
        </w:rPr>
        <w:t xml:space="preserve">מהמלצת גורמי הטיפול עולה החשיבות לכך שהנאשם ימשיך בהליך הטיפולי  בו הוא נתון.  מהתסקיר העדכני עולה, כי התנהלות הנאשם  בקבוצה הטיפולית בתחום הנשק מבטאת אחריות ושיתוף פעולה אף שמדובר בשלב התחלתי של הטיפול,  והשתתפותו בטיפול בעמותת "אפשר" מבטאת היענות והתמדה בהליך הטיפולי במשך כחצי שנה. בסיכומו של דבר, מעריך שירות המבחן כי השתלבות הנאשם במישור הטיפולי תסייע בהפחתת סיכוי להישנות התנהגות עוברת חוק מצדו וסבור כי ישנה חשיבות לאפשר לו להשתתף  בהליכים הטיפוליים הנ"ל באמצעות הטלת צו מבחן למשך שנה.  נוכח עברו הנקי של הנאשם, העובדה שלא נפתחו נגדו תיקים נוספים במשטרה ושאיפתו לנהל אורח חיים נורמטיבי, כמו גם  השתלבותו בהליכים הטיפוליים , ממליץ שירות המבחן להשית על הנאשם, כאמור,  צו  מבחן לתקופה של שנה לצד מאסר בעבודות שירות המהווה ענישה מוחשית והרתעתית.  להערכת שירות המבחן, הענישה הנ"ל  לצד צו המבחן מגלמים בחובם סיכוי של ממש לשיקום הנאשם.  </w:t>
      </w:r>
    </w:p>
    <w:p w14:paraId="509B6567" w14:textId="77777777" w:rsidR="00E93158" w:rsidRDefault="00E93158" w:rsidP="00E93158">
      <w:pPr>
        <w:spacing w:line="360" w:lineRule="auto"/>
        <w:jc w:val="both"/>
        <w:rPr>
          <w:rFonts w:ascii=".David" w:hAnsi=".David"/>
          <w:rtl/>
        </w:rPr>
      </w:pPr>
    </w:p>
    <w:p w14:paraId="748E13E1" w14:textId="77777777" w:rsidR="00E93158" w:rsidRDefault="00E93158" w:rsidP="00E93158">
      <w:pPr>
        <w:spacing w:line="360" w:lineRule="auto"/>
        <w:jc w:val="both"/>
        <w:rPr>
          <w:rFonts w:ascii=".David" w:hAnsi=".David" w:cs="Miriam"/>
          <w:u w:val="single"/>
          <w:rtl/>
        </w:rPr>
      </w:pPr>
    </w:p>
    <w:p w14:paraId="099D9B6C" w14:textId="77777777" w:rsidR="00E93158" w:rsidRDefault="00E93158" w:rsidP="00E93158">
      <w:pPr>
        <w:spacing w:line="360" w:lineRule="auto"/>
        <w:jc w:val="both"/>
        <w:rPr>
          <w:rFonts w:ascii=".David" w:hAnsi=".David" w:cs="Miriam"/>
          <w:u w:val="single"/>
          <w:rtl/>
        </w:rPr>
      </w:pPr>
    </w:p>
    <w:p w14:paraId="7E603B4C" w14:textId="77777777" w:rsidR="00E93158" w:rsidRDefault="00E93158" w:rsidP="00E93158">
      <w:pPr>
        <w:spacing w:line="360" w:lineRule="auto"/>
        <w:jc w:val="both"/>
        <w:rPr>
          <w:rFonts w:ascii=".David" w:hAnsi=".David" w:cs="Miriam"/>
          <w:u w:val="single"/>
          <w:rtl/>
        </w:rPr>
      </w:pPr>
    </w:p>
    <w:p w14:paraId="4CCFD43C" w14:textId="77777777" w:rsidR="00E93158" w:rsidRDefault="00E93158" w:rsidP="00E93158">
      <w:pPr>
        <w:spacing w:line="360" w:lineRule="auto"/>
        <w:jc w:val="both"/>
        <w:rPr>
          <w:rFonts w:ascii=".David" w:hAnsi=".David" w:cs="Miriam"/>
          <w:u w:val="single"/>
          <w:rtl/>
        </w:rPr>
      </w:pPr>
      <w:r w:rsidRPr="007C5962">
        <w:rPr>
          <w:rFonts w:ascii=".David" w:hAnsi=".David" w:cs="Miriam" w:hint="cs"/>
          <w:u w:val="single"/>
          <w:rtl/>
        </w:rPr>
        <w:t>טיעוני ב"כ הצדדים לעונש</w:t>
      </w:r>
    </w:p>
    <w:p w14:paraId="5C0DE4ED" w14:textId="77777777" w:rsidR="00E93158" w:rsidRPr="007C5962" w:rsidRDefault="00E93158" w:rsidP="00E93158">
      <w:pPr>
        <w:spacing w:line="360" w:lineRule="auto"/>
        <w:jc w:val="both"/>
        <w:rPr>
          <w:rFonts w:ascii=".David" w:hAnsi=".David" w:cs="Miriam"/>
          <w:u w:val="single"/>
          <w:rtl/>
        </w:rPr>
      </w:pPr>
    </w:p>
    <w:p w14:paraId="1C143DDA" w14:textId="77777777" w:rsidR="00E93158" w:rsidRDefault="00E93158" w:rsidP="00E93158">
      <w:pPr>
        <w:spacing w:after="160" w:line="360" w:lineRule="auto"/>
        <w:jc w:val="both"/>
        <w:rPr>
          <w:rFonts w:ascii=".David" w:hAnsi=".David"/>
          <w:rtl/>
        </w:rPr>
      </w:pPr>
      <w:r>
        <w:rPr>
          <w:rFonts w:ascii=".David" w:hAnsi=".David" w:hint="cs"/>
          <w:rtl/>
        </w:rPr>
        <w:t>22.</w:t>
      </w:r>
      <w:r>
        <w:rPr>
          <w:rFonts w:ascii=".David" w:hAnsi=".David"/>
          <w:rtl/>
        </w:rPr>
        <w:tab/>
      </w:r>
      <w:r>
        <w:rPr>
          <w:rFonts w:ascii=".David" w:hAnsi=".David" w:hint="cs"/>
          <w:rtl/>
        </w:rPr>
        <w:t>ב"כ המאשימה הבהירה בדיון בפניי ביום 31/10/18 כי עברו של הנאשם נקי. כמו כן הגישה ב"כ המאשימה תמונות של כלי הנשק אותו נשא הנאשם, לצד המחסנית והכדורים (</w:t>
      </w:r>
      <w:r w:rsidRPr="0089293A">
        <w:rPr>
          <w:rFonts w:ascii=".David" w:hAnsi=".David" w:cs="Miriam" w:hint="cs"/>
          <w:rtl/>
        </w:rPr>
        <w:t>ט/1</w:t>
      </w:r>
      <w:r>
        <w:rPr>
          <w:rFonts w:ascii=".David" w:hAnsi=".David" w:hint="cs"/>
          <w:rtl/>
        </w:rPr>
        <w:t xml:space="preserve">). </w:t>
      </w:r>
    </w:p>
    <w:p w14:paraId="4F95A14C" w14:textId="77777777" w:rsidR="00E93158" w:rsidRDefault="00E93158" w:rsidP="00E93158">
      <w:pPr>
        <w:spacing w:after="160" w:line="360" w:lineRule="auto"/>
        <w:jc w:val="both"/>
        <w:rPr>
          <w:rFonts w:ascii=".David" w:hAnsi=".David"/>
          <w:rtl/>
        </w:rPr>
      </w:pPr>
    </w:p>
    <w:p w14:paraId="3A59B6ED" w14:textId="77777777" w:rsidR="00E93158" w:rsidRDefault="00E93158" w:rsidP="00E93158">
      <w:pPr>
        <w:spacing w:after="160" w:line="360" w:lineRule="auto"/>
        <w:jc w:val="both"/>
        <w:rPr>
          <w:rFonts w:ascii=".David" w:hAnsi=".David"/>
          <w:rtl/>
        </w:rPr>
      </w:pPr>
      <w:r>
        <w:rPr>
          <w:rFonts w:ascii=".David" w:hAnsi=".David" w:hint="cs"/>
          <w:rtl/>
        </w:rPr>
        <w:t>23.</w:t>
      </w:r>
      <w:r>
        <w:rPr>
          <w:rFonts w:ascii=".David" w:hAnsi=".David"/>
          <w:rtl/>
        </w:rPr>
        <w:tab/>
      </w:r>
      <w:r>
        <w:rPr>
          <w:rFonts w:ascii=".David" w:hAnsi=".David" w:hint="cs"/>
          <w:rtl/>
        </w:rPr>
        <w:t xml:space="preserve">ב"כ המאשימה הוסיפה וציינה כי הנאשם בן 22 ואת תקופת מעצרו בגין תיק זה מיום 16/7/17 עד ליום 28/8/17, שאז נעצר באיזוק אלקטרוני ובתאריך 26/7/18, בוטל האיזוק. </w:t>
      </w:r>
    </w:p>
    <w:p w14:paraId="1ECB8588" w14:textId="77777777" w:rsidR="00E93158" w:rsidRDefault="00E93158" w:rsidP="00E93158">
      <w:pPr>
        <w:spacing w:after="160" w:line="360" w:lineRule="auto"/>
        <w:jc w:val="both"/>
        <w:rPr>
          <w:rFonts w:ascii=".David" w:hAnsi=".David"/>
          <w:rtl/>
        </w:rPr>
      </w:pPr>
    </w:p>
    <w:p w14:paraId="00CE674F" w14:textId="77777777" w:rsidR="00E93158" w:rsidRDefault="00E93158" w:rsidP="00E93158">
      <w:pPr>
        <w:spacing w:after="160" w:line="360" w:lineRule="auto"/>
        <w:jc w:val="both"/>
        <w:rPr>
          <w:rFonts w:ascii=".David" w:hAnsi=".David"/>
          <w:rtl/>
        </w:rPr>
      </w:pPr>
      <w:r>
        <w:rPr>
          <w:rFonts w:ascii=".David" w:hAnsi=".David" w:hint="cs"/>
          <w:rtl/>
        </w:rPr>
        <w:t>24.</w:t>
      </w:r>
      <w:r>
        <w:rPr>
          <w:rFonts w:ascii=".David" w:hAnsi=".David" w:hint="cs"/>
          <w:rtl/>
        </w:rPr>
        <w:tab/>
        <w:t xml:space="preserve">ב"כ המאשימה הפנתה בטיעוניה לעונש לעובדות כתב האישום המתוקן ולהוראת החיקוק, תוך שציינה כי על בית המשפט להתחשב בקביעת מתחם העונש ההולם בערך החברתי שנפגע, במדיניות הענישה הנהוגה ובנסיבות הקשורות בביצוע העבירה. נטען כי במקרה זה נפגעים מספר ערכים מוגנים וביניהם הזכות לחיים ולשלמות הגוף, שלום הציבור ושלטון החוק. </w:t>
      </w:r>
    </w:p>
    <w:p w14:paraId="095DFE52" w14:textId="77777777" w:rsidR="00E93158" w:rsidRDefault="00E93158" w:rsidP="00E93158">
      <w:pPr>
        <w:spacing w:after="160" w:line="360" w:lineRule="auto"/>
        <w:jc w:val="both"/>
        <w:rPr>
          <w:rFonts w:ascii=".David" w:hAnsi=".David"/>
          <w:rtl/>
        </w:rPr>
      </w:pPr>
    </w:p>
    <w:p w14:paraId="75F2413D" w14:textId="77777777" w:rsidR="00E93158" w:rsidRDefault="00E93158" w:rsidP="00E93158">
      <w:pPr>
        <w:spacing w:after="160" w:line="360" w:lineRule="auto"/>
        <w:jc w:val="both"/>
        <w:rPr>
          <w:rFonts w:ascii=".David" w:hAnsi=".David"/>
          <w:rtl/>
        </w:rPr>
      </w:pPr>
      <w:r>
        <w:rPr>
          <w:rFonts w:ascii=".David" w:hAnsi=".David" w:hint="cs"/>
          <w:rtl/>
        </w:rPr>
        <w:t>25.</w:t>
      </w:r>
      <w:r>
        <w:rPr>
          <w:rFonts w:ascii=".David" w:hAnsi=".David" w:hint="cs"/>
          <w:rtl/>
        </w:rPr>
        <w:tab/>
        <w:t xml:space="preserve">כן נטען כי בית המשפט העליון נתן בפסיקתו דעתו להשלכות הרות האסון הנובעות מעבירות הנשק והסיכון הגלום בהם, כמו גם זמינות כלי הנשק העוברים אם לידיים עברייניות פליליות ואם לידי מפגעים, דבר התורם להגדלת מעגל האלימות ולתוצאות קשות. נטען כי נשיאת נשק חם ורב עוצמה שלא כדין, גם אם על ידי מי שאינו עבריין, מקרבת את הסיכון לאלימות קשה עד קטלנית. עוד נטען כי יש להילחם מלחמת חורמה ב"מכת המדינה" הקשורה בהחזקת כלי נשק באופן בלתי חוקי, וזאת בדרך של ענישה משמעותית. צוין לגבי הנשק שבפנינו כי מדובר בנשק שאיננו קטן ונושא אופי התקפי, וכן כי נשיאת הנשק התבצעה באזור מגורים לפנות בוקר, תוך שבנוסף נעשה ניסיון להחביא את הנשק שנמצא עם תחמושת מתאימה בהיקף רב. הוטעם כי כל הנתונים הנ"ל מעצימים את הסיכון הגלום בביצוע העבירה. </w:t>
      </w:r>
    </w:p>
    <w:p w14:paraId="69BDC85E" w14:textId="77777777" w:rsidR="00E93158" w:rsidRDefault="00E93158" w:rsidP="00E93158">
      <w:pPr>
        <w:spacing w:after="160" w:line="360" w:lineRule="auto"/>
        <w:jc w:val="both"/>
        <w:rPr>
          <w:rFonts w:ascii=".David" w:hAnsi=".David"/>
          <w:rtl/>
        </w:rPr>
      </w:pPr>
    </w:p>
    <w:p w14:paraId="30BCA27B" w14:textId="77777777" w:rsidR="00E93158" w:rsidRDefault="00E93158" w:rsidP="00E93158">
      <w:pPr>
        <w:spacing w:after="160" w:line="360" w:lineRule="auto"/>
        <w:jc w:val="both"/>
        <w:rPr>
          <w:rFonts w:ascii=".David" w:hAnsi=".David"/>
          <w:rtl/>
        </w:rPr>
      </w:pPr>
      <w:r>
        <w:rPr>
          <w:rFonts w:ascii=".David" w:hAnsi=".David" w:hint="cs"/>
          <w:rtl/>
        </w:rPr>
        <w:t>26.</w:t>
      </w:r>
      <w:r>
        <w:rPr>
          <w:rFonts w:ascii=".David" w:hAnsi=".David" w:hint="cs"/>
          <w:rtl/>
        </w:rPr>
        <w:tab/>
        <w:t>ב"כ המאשימה הגישה מספר פסקי דין להמחשת עמדתה לעונש של המאשימה בתיק זה (</w:t>
      </w:r>
      <w:r w:rsidRPr="0089293A">
        <w:rPr>
          <w:rFonts w:ascii=".David" w:hAnsi=".David" w:cs="Miriam" w:hint="cs"/>
          <w:rtl/>
        </w:rPr>
        <w:t>ט/2</w:t>
      </w:r>
      <w:r>
        <w:rPr>
          <w:rFonts w:ascii=".David" w:hAnsi=".David" w:hint="cs"/>
          <w:rtl/>
        </w:rPr>
        <w:t xml:space="preserve">). כאן יוער כי הדין עם הסנגור המלומד, בטיעונו בפניי, לפיו אין הנדון דומה לראיה. ודוק, הפסיקה שהוגשה על ידי המאשימה כללה פסק דין שהתייחס לנאשם בעל עבר מכביד, אשר ריצה מאסרים בפועל של ממש, וכן שני פסקי דין נוספים שנסיבותיהם חמורות מנסיבותיו של תיק זה, וזאת כפי שנטען ובצדק על ידי הסנגור. </w:t>
      </w:r>
    </w:p>
    <w:p w14:paraId="4FB2047A" w14:textId="77777777" w:rsidR="00E93158" w:rsidRDefault="00E93158" w:rsidP="00E93158">
      <w:pPr>
        <w:spacing w:after="160" w:line="360" w:lineRule="auto"/>
        <w:jc w:val="both"/>
        <w:rPr>
          <w:rFonts w:ascii=".David" w:hAnsi=".David"/>
          <w:rtl/>
        </w:rPr>
      </w:pPr>
    </w:p>
    <w:p w14:paraId="7B629435" w14:textId="77777777" w:rsidR="00E93158" w:rsidRDefault="00E93158" w:rsidP="00E93158">
      <w:pPr>
        <w:spacing w:after="160" w:line="360" w:lineRule="auto"/>
        <w:jc w:val="both"/>
        <w:rPr>
          <w:rFonts w:ascii=".David" w:hAnsi=".David"/>
          <w:rtl/>
        </w:rPr>
      </w:pPr>
      <w:r>
        <w:rPr>
          <w:rFonts w:ascii=".David" w:hAnsi=".David" w:hint="cs"/>
          <w:rtl/>
        </w:rPr>
        <w:t>27.</w:t>
      </w:r>
      <w:r>
        <w:rPr>
          <w:rFonts w:ascii=".David" w:hAnsi=".David" w:hint="cs"/>
          <w:rtl/>
        </w:rPr>
        <w:tab/>
        <w:t xml:space="preserve">ב"כ המאשימה ציינה כי המאשימה סבורה שמתחם העונש ההולם בתיק זה נע בין שנתיים וחצי מאסר בפועל ל- חמש שנות מאסר בפועל, לצד רכיבי ענישה של מאסר מותנה וקנס. בהתייחס לתסקיר שירות המבחן, טענה ב"כ המאשימה כי העובדה שנאשם לוקח חלק בהליך טיפולי היא אמנם מבורכת, אך המלצת שירות המבחן אינה מחליפה את שיקול דעת בית המשפט, המאזן בין מכלול השיקולים, לרבות חומרת העבירה. כן נטען ע"י המאשימה, בטיעוניה לעונש, כי ההתמכרות לאלכוהול של הנאשם אינה רלוונטית בענייננו לנשיאת הנשק, תוך ניסיון להחביאו, ואף אם ייגמל הנאשם מאלכוהול, לא ברורה הזיקה בין עובדה זו להימנעות מביצוע עבירות על ידו בעתיד. </w:t>
      </w:r>
    </w:p>
    <w:p w14:paraId="0FDCB7EF" w14:textId="77777777" w:rsidR="00E93158" w:rsidRDefault="00E93158" w:rsidP="00E93158">
      <w:pPr>
        <w:spacing w:after="160" w:line="360" w:lineRule="auto"/>
        <w:jc w:val="both"/>
        <w:rPr>
          <w:rFonts w:ascii=".David" w:hAnsi=".David"/>
          <w:rtl/>
        </w:rPr>
      </w:pPr>
    </w:p>
    <w:p w14:paraId="2188F6E9" w14:textId="77777777" w:rsidR="00E93158" w:rsidRDefault="00E93158" w:rsidP="00E93158">
      <w:pPr>
        <w:spacing w:after="160" w:line="360" w:lineRule="auto"/>
        <w:jc w:val="both"/>
        <w:rPr>
          <w:rFonts w:ascii=".David" w:hAnsi=".David"/>
          <w:rtl/>
        </w:rPr>
      </w:pPr>
      <w:r>
        <w:rPr>
          <w:rFonts w:ascii=".David" w:hAnsi=".David" w:hint="cs"/>
          <w:rtl/>
        </w:rPr>
        <w:t>28.</w:t>
      </w:r>
      <w:r>
        <w:rPr>
          <w:rFonts w:ascii=".David" w:hAnsi=".David"/>
          <w:rtl/>
        </w:rPr>
        <w:tab/>
      </w:r>
      <w:r>
        <w:rPr>
          <w:rFonts w:ascii=".David" w:hAnsi=".David" w:hint="cs"/>
          <w:rtl/>
        </w:rPr>
        <w:t xml:space="preserve">בסיכומו של דבר, ביקשה ב"כ המאשימה להשית על הנאשם עונש במחצית הראשונה של מתחם העונש ההולם הנ"ל, וזאת בהינתן עברו הנקי וגילו הצעיר. בדיון בפניי ביום 16/12/2018 שבה באת כוח המאשימה  על  עמדתה העונשית הנ"ל,  תוך שהתנגדה להפניית הנאשם לקבלת חוות דעת הממונה על עבודות שירות. </w:t>
      </w:r>
    </w:p>
    <w:p w14:paraId="1E750D22" w14:textId="77777777" w:rsidR="00E93158" w:rsidRDefault="00E93158" w:rsidP="00E93158">
      <w:pPr>
        <w:spacing w:after="160" w:line="360" w:lineRule="auto"/>
        <w:jc w:val="both"/>
        <w:rPr>
          <w:rFonts w:ascii=".David" w:hAnsi=".David"/>
          <w:rtl/>
        </w:rPr>
      </w:pPr>
    </w:p>
    <w:p w14:paraId="0B858595" w14:textId="77777777" w:rsidR="00E93158" w:rsidRDefault="00E93158" w:rsidP="00E93158">
      <w:pPr>
        <w:spacing w:after="160" w:line="360" w:lineRule="auto"/>
        <w:jc w:val="both"/>
        <w:rPr>
          <w:rFonts w:ascii=".David" w:hAnsi=".David"/>
          <w:rtl/>
        </w:rPr>
      </w:pPr>
      <w:r>
        <w:rPr>
          <w:rFonts w:ascii=".David" w:hAnsi=".David" w:hint="cs"/>
          <w:rtl/>
        </w:rPr>
        <w:t>29.</w:t>
      </w:r>
      <w:r>
        <w:rPr>
          <w:rFonts w:ascii=".David" w:hAnsi=".David" w:hint="cs"/>
          <w:rtl/>
        </w:rPr>
        <w:tab/>
        <w:t xml:space="preserve">ב"כ הנאשם, בטיעוניו לעונש בדיון הנ"ל, ביקש כי בית המשפט יאמץ את המלצות שירות המבחן וישית על הנאשם מאסר לתקופה קצרה בעבודות שירות וצו מבחן. נטען, כי הנאשם היה נתון במעצר של ממש בגין תיק זה במשך תקופה של כחודש וחצי ולאחר מכן היה עצור באיזוק אלקטרוני במשך 11 חודשים. כן נטען כי מאז ביטול האיזוק האלקטרוני ביום 26/7/18, נתון הנאשם במעצר בית מלא, למעט 4 שעות ביום של "חלון התאווררות". ב"כ הנאשם ציין, כי הנאשם הקפיד לקיים את תנאי שחרורו במלואם וכי הוא ראוי לאמון שניתן בו. </w:t>
      </w:r>
    </w:p>
    <w:p w14:paraId="1C624966" w14:textId="77777777" w:rsidR="00E93158" w:rsidRDefault="00E93158" w:rsidP="00E93158">
      <w:pPr>
        <w:spacing w:after="160" w:line="360" w:lineRule="auto"/>
        <w:jc w:val="both"/>
        <w:rPr>
          <w:rFonts w:ascii=".David" w:hAnsi=".David"/>
          <w:rtl/>
        </w:rPr>
      </w:pPr>
    </w:p>
    <w:p w14:paraId="01A67E3D" w14:textId="77777777" w:rsidR="00E93158" w:rsidRDefault="00E93158" w:rsidP="00E93158">
      <w:pPr>
        <w:spacing w:after="160" w:line="360" w:lineRule="auto"/>
        <w:jc w:val="both"/>
        <w:rPr>
          <w:rFonts w:ascii=".David" w:hAnsi=".David"/>
          <w:rtl/>
        </w:rPr>
      </w:pPr>
      <w:r>
        <w:rPr>
          <w:rFonts w:ascii=".David" w:hAnsi=".David" w:hint="cs"/>
          <w:rtl/>
        </w:rPr>
        <w:t>30.</w:t>
      </w:r>
      <w:r>
        <w:rPr>
          <w:rFonts w:ascii=".David" w:hAnsi=".David" w:hint="cs"/>
          <w:rtl/>
        </w:rPr>
        <w:tab/>
        <w:t xml:space="preserve">עוד נטען על ידי הסנגור, כי הנאשם שולב בהליך טיפולי כבר במסגרת צו פיקוח מעצרים, בששת החודשים הראשונים לאחר שחרורו, ובשלב מאוחר יותר של ההליך שולב הנאשם בעמותת אפש"ר וגם בשירות המבחן הוא נטל חלק בקבוצות טיפוליות. הסנגור הדגיש את הסכמת המאשימה שלא לטעון כי הנאשם החזיק בנשק לפני ירידתו מהרכב, תוך שטען כי המדובר בעובדה מהותית המשליכה על אחריות הנאשם בביצוע העבירה ועל חלקו השולי בביצועה, שכן לנאשם מיוחסת נשיאת נשק רק בשלב הירידה מהרכב, היינו לפרק זמן קצר ביותר. </w:t>
      </w:r>
    </w:p>
    <w:p w14:paraId="6B4595C4" w14:textId="77777777" w:rsidR="00E93158" w:rsidRDefault="00E93158" w:rsidP="00E93158">
      <w:pPr>
        <w:spacing w:after="160"/>
        <w:jc w:val="both"/>
        <w:rPr>
          <w:rFonts w:ascii=".David" w:hAnsi=".David"/>
          <w:rtl/>
        </w:rPr>
      </w:pPr>
    </w:p>
    <w:p w14:paraId="678F7577" w14:textId="77777777" w:rsidR="00E93158" w:rsidRDefault="00E93158" w:rsidP="00E93158">
      <w:pPr>
        <w:spacing w:after="160" w:line="360" w:lineRule="auto"/>
        <w:jc w:val="both"/>
        <w:rPr>
          <w:rFonts w:ascii=".David" w:hAnsi=".David"/>
          <w:rtl/>
        </w:rPr>
      </w:pPr>
      <w:r>
        <w:rPr>
          <w:rFonts w:ascii=".David" w:hAnsi=".David" w:hint="cs"/>
          <w:rtl/>
        </w:rPr>
        <w:t>31.</w:t>
      </w:r>
      <w:r>
        <w:rPr>
          <w:rFonts w:ascii=".David" w:hAnsi=".David"/>
          <w:rtl/>
        </w:rPr>
        <w:tab/>
      </w:r>
      <w:r>
        <w:rPr>
          <w:rFonts w:ascii=".David" w:hAnsi=".David" w:hint="cs"/>
          <w:rtl/>
        </w:rPr>
        <w:t>הסנגור הגיש פסיקה להמחשת עמדתה לעונש של ההגנה בתיק זה (</w:t>
      </w:r>
      <w:r w:rsidRPr="0089293A">
        <w:rPr>
          <w:rFonts w:ascii=".David" w:hAnsi=".David" w:cs="Miriam" w:hint="cs"/>
          <w:rtl/>
        </w:rPr>
        <w:t>נ/1-נ/3</w:t>
      </w:r>
      <w:r>
        <w:rPr>
          <w:rFonts w:ascii=".David" w:hAnsi=".David" w:hint="cs"/>
          <w:rtl/>
        </w:rPr>
        <w:t>), תוך שהדגיש את גזר הדין שניתן ב</w:t>
      </w:r>
      <w:hyperlink r:id="rId17" w:history="1">
        <w:r w:rsidR="002162AD" w:rsidRPr="002162AD">
          <w:rPr>
            <w:rFonts w:ascii=".David" w:hAnsi=".David" w:hint="eastAsia"/>
            <w:color w:val="0000FF"/>
            <w:u w:val="single"/>
            <w:rtl/>
          </w:rPr>
          <w:t>ת</w:t>
        </w:r>
        <w:r w:rsidR="002162AD" w:rsidRPr="002162AD">
          <w:rPr>
            <w:rFonts w:ascii=".David" w:hAnsi=".David"/>
            <w:color w:val="0000FF"/>
            <w:u w:val="single"/>
            <w:rtl/>
          </w:rPr>
          <w:t>"</w:t>
        </w:r>
        <w:r w:rsidR="002162AD" w:rsidRPr="002162AD">
          <w:rPr>
            <w:rFonts w:ascii=".David" w:hAnsi=".David" w:hint="eastAsia"/>
            <w:color w:val="0000FF"/>
            <w:u w:val="single"/>
            <w:rtl/>
          </w:rPr>
          <w:t>פ</w:t>
        </w:r>
        <w:r w:rsidR="002162AD" w:rsidRPr="002162AD">
          <w:rPr>
            <w:rFonts w:ascii=".David" w:hAnsi=".David"/>
            <w:color w:val="0000FF"/>
            <w:u w:val="single"/>
            <w:rtl/>
          </w:rPr>
          <w:t xml:space="preserve"> 41276-06-17</w:t>
        </w:r>
      </w:hyperlink>
      <w:r>
        <w:rPr>
          <w:rFonts w:ascii=".David" w:hAnsi=".David" w:hint="cs"/>
          <w:rtl/>
        </w:rPr>
        <w:t xml:space="preserve"> על ידי בית משפט זה (כב' השופט ליפשיץ). בגזר הדין הנ"ל (</w:t>
      </w:r>
      <w:r w:rsidRPr="0089293A">
        <w:rPr>
          <w:rFonts w:ascii=".David" w:hAnsi=".David" w:cs="Miriam" w:hint="cs"/>
          <w:rtl/>
        </w:rPr>
        <w:t>נ/1</w:t>
      </w:r>
      <w:r>
        <w:rPr>
          <w:rFonts w:ascii=".David" w:hAnsi=".David" w:hint="cs"/>
          <w:rtl/>
        </w:rPr>
        <w:t xml:space="preserve">) הושתו על שני הנאשמים עונשי מאסר בפועל לתקופה של 6 חודשים בדרך של עבודות שירות אף שדובר בנאשמים שמעבר לנשיאת הנשק, עשו בו שימוש תוך שירו כדורים. כן צוין, כי בגזר הדין הנ"ל דובר בנשיאת נשק מסוג דומה לנשק שבפנינו לפרק זמן קצר, דבר שהצדיק באותו מקרה סטיה של בית המשפט ממתחם העונש ההולם, וזאת אף שאחד מהנאשמים היה בעל משמעותי עבר בתחום התעבורה, בניגוד לנאשם שבפנינו שעברו הפלילי והתעבורתי  - נקי. </w:t>
      </w:r>
    </w:p>
    <w:p w14:paraId="059A45F4" w14:textId="77777777" w:rsidR="00E93158" w:rsidRDefault="00E93158" w:rsidP="00E93158">
      <w:pPr>
        <w:spacing w:after="160" w:line="360" w:lineRule="auto"/>
        <w:jc w:val="both"/>
        <w:rPr>
          <w:rFonts w:ascii=".David" w:hAnsi=".David"/>
          <w:rtl/>
        </w:rPr>
      </w:pPr>
    </w:p>
    <w:p w14:paraId="0A7A4E74" w14:textId="77777777" w:rsidR="00E93158" w:rsidRDefault="00E93158" w:rsidP="00E93158">
      <w:pPr>
        <w:spacing w:after="160" w:line="360" w:lineRule="auto"/>
        <w:jc w:val="both"/>
        <w:rPr>
          <w:rFonts w:ascii=".David" w:hAnsi=".David"/>
          <w:rtl/>
        </w:rPr>
      </w:pPr>
      <w:r>
        <w:rPr>
          <w:rFonts w:ascii=".David" w:hAnsi=".David" w:hint="cs"/>
          <w:rtl/>
        </w:rPr>
        <w:t>32.</w:t>
      </w:r>
      <w:r>
        <w:rPr>
          <w:rFonts w:ascii=".David" w:hAnsi=".David"/>
          <w:rtl/>
        </w:rPr>
        <w:tab/>
      </w:r>
      <w:r>
        <w:rPr>
          <w:rFonts w:ascii=".David" w:hAnsi=".David" w:hint="cs"/>
          <w:rtl/>
        </w:rPr>
        <w:t xml:space="preserve">הסנגור הוסיף והפנה, בטיעוניו לעונש, לתסקירי שירות המבחן שהוגשו בעניינו של הנאשם, תוך שציין את נסיבותיו האישיות הקשות של הנאשם ואת העובדה שהנאשם לקח אחריות מלאה והביע חרטה. הסנגור הדגיש את התרשמות שירות המבחן, כי סיכויי השיקום של הנאשם גבוהים, וכן את העובדה שהנאשם שיתף פעולה באופן מלא בעמותת אפש"ר ומבטא רצון ומוטיבציה לניצול ההזדמנות הטיפולית שמונחת בפניו. הסנגור הבהיר כי הנאשם מסכים לכך שיוטל עליו צו מבחן לתקופה ארוכה יותר, וכן טען כי באסופת הפסיקה </w:t>
      </w:r>
      <w:r w:rsidRPr="0089293A">
        <w:rPr>
          <w:rFonts w:ascii=".David" w:hAnsi=".David" w:cs="Miriam" w:hint="cs"/>
          <w:rtl/>
        </w:rPr>
        <w:t>נ/2</w:t>
      </w:r>
      <w:r>
        <w:rPr>
          <w:rFonts w:ascii=".David" w:hAnsi=".David" w:hint="cs"/>
          <w:rtl/>
        </w:rPr>
        <w:t xml:space="preserve"> הושתו על אותם נאשמים בגין עבירות של נשיאת תת מקלע ועבירות נוספות מאסר בפועל בעבודות שירות, תוך שבית המשפט ציין באותם תיקים כי יש בצו המבחן כדי להבטיח את האפשרות שהנאשם יישפט מחדש אם יפר את הצו. </w:t>
      </w:r>
    </w:p>
    <w:p w14:paraId="11205D15" w14:textId="77777777" w:rsidR="00E93158" w:rsidRDefault="00E93158" w:rsidP="00E93158">
      <w:pPr>
        <w:spacing w:after="160" w:line="360" w:lineRule="auto"/>
        <w:jc w:val="both"/>
        <w:rPr>
          <w:rFonts w:ascii=".David" w:hAnsi=".David"/>
          <w:rtl/>
        </w:rPr>
      </w:pPr>
    </w:p>
    <w:p w14:paraId="219FB729" w14:textId="77777777" w:rsidR="00E93158" w:rsidRDefault="00E93158" w:rsidP="00E93158">
      <w:pPr>
        <w:spacing w:after="160" w:line="360" w:lineRule="auto"/>
        <w:jc w:val="both"/>
        <w:rPr>
          <w:rFonts w:ascii=".David" w:hAnsi=".David"/>
          <w:rtl/>
        </w:rPr>
      </w:pPr>
      <w:r>
        <w:rPr>
          <w:rFonts w:ascii=".David" w:hAnsi=".David" w:hint="cs"/>
          <w:rtl/>
        </w:rPr>
        <w:t>33.</w:t>
      </w:r>
      <w:r>
        <w:rPr>
          <w:rFonts w:ascii=".David" w:hAnsi=".David" w:hint="cs"/>
          <w:rtl/>
        </w:rPr>
        <w:tab/>
        <w:t xml:space="preserve">בסיכומו של דבר, ביקש הסנגור לאמץ, כאמור, את המלצת שירות המבחן. בדיון בפניי ביום 16/12/2018 הפנה הסנגור לאמור בתסקיר העדכני, המלמד על השתלבותו של הנאשם גם בהליך הטיפולי בתחום  הנשק.  הסנגור טען כי מדובר בתסקיר חיובי וכי עד כה נטל הנאשם חלק ב-6 מפגשים במסגרת  הקבוצה הטיפולית בתחום הנשק, וזאת לצד השתלבותו העקבית והטובה בעמותת "אפשר". לפיכך, שב הסנגור על בקשתו הנ"ל לאמץ את המלצת  שירות המבחן, תוך שהותיר לשיקול דעת בית המשפט את תקופת המבחן שתושת על הנאשם. </w:t>
      </w:r>
    </w:p>
    <w:p w14:paraId="07427325" w14:textId="77777777" w:rsidR="00E93158" w:rsidRDefault="00E93158" w:rsidP="00E93158">
      <w:pPr>
        <w:spacing w:after="160" w:line="360" w:lineRule="auto"/>
        <w:jc w:val="both"/>
        <w:rPr>
          <w:rFonts w:ascii=".David" w:hAnsi=".David"/>
          <w:rtl/>
        </w:rPr>
      </w:pPr>
    </w:p>
    <w:p w14:paraId="1B47FE5A" w14:textId="77777777" w:rsidR="00E93158" w:rsidRPr="007C5962" w:rsidRDefault="00E93158" w:rsidP="00E93158">
      <w:pPr>
        <w:spacing w:after="160" w:line="360" w:lineRule="auto"/>
        <w:jc w:val="both"/>
        <w:rPr>
          <w:rFonts w:ascii=".David" w:hAnsi=".David" w:cs="Miriam"/>
          <w:u w:val="single"/>
          <w:rtl/>
        </w:rPr>
      </w:pPr>
      <w:r w:rsidRPr="007C5962">
        <w:rPr>
          <w:rFonts w:ascii=".David" w:hAnsi=".David" w:cs="Miriam" w:hint="cs"/>
          <w:u w:val="single"/>
          <w:rtl/>
        </w:rPr>
        <w:t xml:space="preserve">דבר הנאשם </w:t>
      </w:r>
    </w:p>
    <w:p w14:paraId="33F5871B" w14:textId="77777777" w:rsidR="00E93158" w:rsidRPr="00557E2D" w:rsidRDefault="00E93158" w:rsidP="00E93158">
      <w:pPr>
        <w:spacing w:line="360" w:lineRule="auto"/>
        <w:jc w:val="both"/>
        <w:rPr>
          <w:rFonts w:cs="Miriam"/>
        </w:rPr>
      </w:pPr>
      <w:r>
        <w:rPr>
          <w:rFonts w:ascii=".David" w:hAnsi=".David" w:hint="cs"/>
          <w:rtl/>
        </w:rPr>
        <w:t>34.</w:t>
      </w:r>
      <w:r>
        <w:rPr>
          <w:rFonts w:ascii=".David" w:hAnsi=".David" w:hint="cs"/>
          <w:rtl/>
        </w:rPr>
        <w:tab/>
        <w:t>הנאשם, בדברו בפני בית המשפט אמר את הדברים הבאים</w:t>
      </w:r>
      <w:r w:rsidRPr="00557E2D">
        <w:rPr>
          <w:rFonts w:ascii=".David" w:hAnsi=".David" w:cs="Miriam" w:hint="cs"/>
          <w:rtl/>
        </w:rPr>
        <w:t xml:space="preserve">:  </w:t>
      </w:r>
      <w:r w:rsidRPr="00557E2D">
        <w:rPr>
          <w:rFonts w:cs="Miriam" w:hint="cs"/>
          <w:rtl/>
        </w:rPr>
        <w:t xml:space="preserve">"אני יודע שאני טעיתי, אני חושב שמגיע לי עוד צ'אנס כדי להתקדם בחיים ומבטיח לא לעשות את זה עוד פעם". </w:t>
      </w:r>
    </w:p>
    <w:p w14:paraId="6D4CEA6D" w14:textId="77777777" w:rsidR="00E93158" w:rsidRPr="00557E2D" w:rsidRDefault="00E93158" w:rsidP="00E93158">
      <w:pPr>
        <w:spacing w:after="160" w:line="360" w:lineRule="auto"/>
        <w:jc w:val="both"/>
        <w:rPr>
          <w:rFonts w:ascii=".David" w:hAnsi=".David"/>
          <w:rtl/>
        </w:rPr>
      </w:pPr>
    </w:p>
    <w:p w14:paraId="3ACA4CB6" w14:textId="77777777" w:rsidR="00E93158" w:rsidRPr="007C5962" w:rsidRDefault="00E93158" w:rsidP="00E93158">
      <w:pPr>
        <w:spacing w:after="160" w:line="360" w:lineRule="auto"/>
        <w:jc w:val="both"/>
        <w:rPr>
          <w:rFonts w:ascii=".David" w:hAnsi=".David" w:cs="Miriam"/>
          <w:u w:val="single"/>
          <w:rtl/>
        </w:rPr>
      </w:pPr>
      <w:r w:rsidRPr="007C5962">
        <w:rPr>
          <w:rFonts w:ascii=".David" w:hAnsi=".David" w:cs="Miriam" w:hint="cs"/>
          <w:u w:val="single"/>
          <w:rtl/>
        </w:rPr>
        <w:t>דיון והכרעה</w:t>
      </w:r>
    </w:p>
    <w:p w14:paraId="7DEDB85B"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35.</w:t>
      </w:r>
      <w:r w:rsidRPr="00E93158">
        <w:rPr>
          <w:rFonts w:ascii="Calibri" w:hAnsi="Calibri" w:hint="cs"/>
          <w:rtl/>
        </w:rPr>
        <w:tab/>
        <w:t xml:space="preserve">תיקון מס' 113 מתווה את העיקרון המנחה כיום את ביהמ"ש בבואו לגזור דינו של נאשם, שהינו, לפי </w:t>
      </w:r>
      <w:hyperlink r:id="rId18" w:history="1">
        <w:r w:rsidR="00697C30" w:rsidRPr="00697C30">
          <w:rPr>
            <w:rStyle w:val="Hyperlink"/>
            <w:rFonts w:ascii="Calibri" w:hAnsi="Calibri" w:hint="eastAsia"/>
            <w:color w:val="0000FF"/>
            <w:rtl/>
          </w:rPr>
          <w:t>סעיף</w:t>
        </w:r>
        <w:r w:rsidR="00697C30" w:rsidRPr="00697C30">
          <w:rPr>
            <w:rStyle w:val="Hyperlink"/>
            <w:rFonts w:ascii="Calibri" w:hAnsi="Calibri"/>
            <w:color w:val="0000FF"/>
            <w:rtl/>
          </w:rPr>
          <w:t xml:space="preserve"> 40</w:t>
        </w:r>
        <w:r w:rsidR="00697C30" w:rsidRPr="00697C30">
          <w:rPr>
            <w:rStyle w:val="Hyperlink"/>
            <w:rFonts w:ascii="Calibri" w:hAnsi="Calibri" w:hint="eastAsia"/>
            <w:color w:val="0000FF"/>
            <w:rtl/>
          </w:rPr>
          <w:t>ב</w:t>
        </w:r>
      </w:hyperlink>
      <w:r w:rsidRPr="00E93158">
        <w:rPr>
          <w:rFonts w:ascii="Calibri" w:hAnsi="Calibri" w:hint="cs"/>
          <w:rtl/>
        </w:rPr>
        <w:t xml:space="preserve"> ל</w:t>
      </w:r>
      <w:hyperlink r:id="rId19"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hint="cs"/>
          <w:rtl/>
        </w:rPr>
        <w:t xml:space="preserve">,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0" w:history="1">
        <w:r w:rsidR="002162AD" w:rsidRPr="002162AD">
          <w:rPr>
            <w:rFonts w:ascii="Calibri" w:hAnsi="Calibri" w:hint="eastAsia"/>
            <w:color w:val="0000FF"/>
            <w:u w:val="single"/>
            <w:rtl/>
          </w:rPr>
          <w:t>ע</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1523/10</w:t>
        </w:r>
      </w:hyperlink>
      <w:r w:rsidRPr="00E93158">
        <w:rPr>
          <w:rFonts w:ascii="Calibri" w:hAnsi="Calibri" w:hint="cs"/>
          <w:rtl/>
        </w:rPr>
        <w:t xml:space="preserve"> </w:t>
      </w:r>
      <w:r w:rsidRPr="00E93158">
        <w:rPr>
          <w:rFonts w:ascii="Calibri" w:hAnsi="Calibri" w:cs="Miriam" w:hint="cs"/>
          <w:rtl/>
        </w:rPr>
        <w:t>פלוני נ' מדינת ישראל</w:t>
      </w:r>
      <w:r w:rsidRPr="00E93158">
        <w:rPr>
          <w:rFonts w:ascii="Calibri" w:hAnsi="Calibri" w:hint="cs"/>
          <w:rtl/>
        </w:rPr>
        <w:t xml:space="preserve">, 18/4/12). </w:t>
      </w:r>
      <w:hyperlink r:id="rId21" w:history="1">
        <w:r w:rsidR="00697C30" w:rsidRPr="00697C30">
          <w:rPr>
            <w:rStyle w:val="Hyperlink"/>
            <w:rFonts w:ascii="Calibri" w:hAnsi="Calibri" w:hint="eastAsia"/>
            <w:color w:val="0000FF"/>
            <w:rtl/>
          </w:rPr>
          <w:t>סעיף</w:t>
        </w:r>
        <w:r w:rsidR="00697C30" w:rsidRPr="00697C30">
          <w:rPr>
            <w:rStyle w:val="Hyperlink"/>
            <w:rFonts w:ascii="Calibri" w:hAnsi="Calibri"/>
            <w:color w:val="0000FF"/>
            <w:rtl/>
          </w:rPr>
          <w:t xml:space="preserve"> 40</w:t>
        </w:r>
        <w:r w:rsidR="00697C30" w:rsidRPr="00697C30">
          <w:rPr>
            <w:rStyle w:val="Hyperlink"/>
            <w:rFonts w:ascii="Calibri" w:hAnsi="Calibri" w:hint="eastAsia"/>
            <w:color w:val="0000FF"/>
            <w:rtl/>
          </w:rPr>
          <w:t>ג</w:t>
        </w:r>
      </w:hyperlink>
      <w:r w:rsidRPr="00E93158">
        <w:rPr>
          <w:rFonts w:ascii="Calibri" w:hAnsi="Calibri" w:hint="cs"/>
          <w:rtl/>
        </w:rPr>
        <w:t xml:space="preserve"> ל</w:t>
      </w:r>
      <w:hyperlink r:id="rId22"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hint="cs"/>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3" w:history="1">
        <w:r w:rsidR="00697C30" w:rsidRPr="00697C30">
          <w:rPr>
            <w:rStyle w:val="Hyperlink"/>
            <w:rFonts w:ascii="Calibri" w:hAnsi="Calibri" w:hint="eastAsia"/>
            <w:color w:val="0000FF"/>
            <w:rtl/>
          </w:rPr>
          <w:t>בסעיף</w:t>
        </w:r>
        <w:r w:rsidR="00697C30" w:rsidRPr="00697C30">
          <w:rPr>
            <w:rStyle w:val="Hyperlink"/>
            <w:rFonts w:ascii="Calibri" w:hAnsi="Calibri"/>
            <w:color w:val="0000FF"/>
            <w:rtl/>
          </w:rPr>
          <w:t xml:space="preserve"> 40</w:t>
        </w:r>
        <w:r w:rsidR="00697C30" w:rsidRPr="00697C30">
          <w:rPr>
            <w:rStyle w:val="Hyperlink"/>
            <w:rFonts w:ascii="Calibri" w:hAnsi="Calibri" w:hint="eastAsia"/>
            <w:color w:val="0000FF"/>
            <w:rtl/>
          </w:rPr>
          <w:t>ט</w:t>
        </w:r>
      </w:hyperlink>
      <w:r w:rsidRPr="00E93158">
        <w:rPr>
          <w:rFonts w:ascii="Calibri" w:hAnsi="Calibri" w:hint="cs"/>
          <w:rtl/>
        </w:rPr>
        <w:t xml:space="preserve"> ל</w:t>
      </w:r>
      <w:hyperlink r:id="rId24"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hint="cs"/>
          <w:rtl/>
        </w:rPr>
        <w:t>.</w:t>
      </w:r>
    </w:p>
    <w:p w14:paraId="23C67DE3" w14:textId="77777777" w:rsidR="00E93158" w:rsidRPr="00E93158" w:rsidRDefault="00E93158" w:rsidP="00E93158">
      <w:pPr>
        <w:spacing w:after="160" w:line="360" w:lineRule="auto"/>
        <w:jc w:val="both"/>
        <w:rPr>
          <w:rFonts w:ascii="Calibri" w:hAnsi="Calibri"/>
        </w:rPr>
      </w:pPr>
    </w:p>
    <w:p w14:paraId="10D826A3"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36.</w:t>
      </w:r>
      <w:r w:rsidRPr="00E93158">
        <w:rPr>
          <w:rFonts w:ascii="Calibri" w:hAnsi="Calibri" w:hint="cs"/>
          <w:rtl/>
        </w:rPr>
        <w:tab/>
        <w:t>הערך המוגן הנפגע כתוצאה מביצוע העבירה בתיק זה שעניינה, כאמור, נשיאת נשק שלא כדין, הוא שלום הציבור ובטחונו. "</w:t>
      </w:r>
      <w:r w:rsidRPr="00E93158">
        <w:rPr>
          <w:rFonts w:ascii="Calibri" w:hAnsi="Calibri" w:cs="Miriam" w:hint="cs"/>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sidRPr="00E93158">
        <w:rPr>
          <w:rFonts w:ascii="Calibri" w:hAnsi="Calibri" w:hint="cs"/>
          <w:rtl/>
        </w:rPr>
        <w:t>" (</w:t>
      </w:r>
      <w:hyperlink r:id="rId25" w:history="1">
        <w:r w:rsidR="002162AD" w:rsidRPr="002162AD">
          <w:rPr>
            <w:rFonts w:ascii="Calibri" w:hAnsi="Calibri" w:hint="eastAsia"/>
            <w:color w:val="0000FF"/>
            <w:u w:val="single"/>
            <w:rtl/>
          </w:rPr>
          <w:t>ע</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7502/12</w:t>
        </w:r>
      </w:hyperlink>
      <w:r w:rsidRPr="00E93158">
        <w:rPr>
          <w:rFonts w:ascii="Calibri" w:hAnsi="Calibri" w:hint="cs"/>
          <w:rtl/>
        </w:rPr>
        <w:t xml:space="preserve"> ‏</w:t>
      </w:r>
      <w:r w:rsidRPr="00E93158">
        <w:rPr>
          <w:rFonts w:ascii="Calibri" w:hAnsi="Calibri" w:cs="Miriam" w:hint="cs"/>
          <w:rtl/>
        </w:rPr>
        <w:t>כוויס נ' מדינת ישראל</w:t>
      </w:r>
      <w:r w:rsidRPr="00E93158">
        <w:rPr>
          <w:rFonts w:ascii="Calibri" w:hAnsi="Calibri" w:hint="cs"/>
          <w:rtl/>
        </w:rPr>
        <w:t xml:space="preserve"> (25.6.2013)). לחובת הנאשם, יצוין כי עסקינן בנשיאה על-ידו בתיק גב </w:t>
      </w:r>
      <w:r>
        <w:rPr>
          <w:rFonts w:ascii="Arial" w:hAnsi="Arial" w:hint="cs"/>
          <w:rtl/>
        </w:rPr>
        <w:t>של תת מקלע מאולתר מסוג "קרלו גוסטב", מחסנית תואמת מלאה בכדורים ו-18 כדורים נוספים בקוטר 9 מ"מ בתפזורת</w:t>
      </w:r>
      <w:r w:rsidRPr="00E93158">
        <w:rPr>
          <w:rFonts w:ascii="Calibri" w:hAnsi="Calibri" w:hint="cs"/>
          <w:rtl/>
        </w:rPr>
        <w:t>, דבר הממחיש את פוטנציאל המסוכנות הרב הטמון בנשק שבפנינו, מה גם שידוע כי ניתן לירות בנשק זה במצב אוטומטי. לגבי נשק מסוג זה עולה מפסק הדין שניתן ב</w:t>
      </w:r>
      <w:hyperlink r:id="rId26" w:history="1">
        <w:r w:rsidR="002162AD" w:rsidRPr="002162AD">
          <w:rPr>
            <w:rFonts w:ascii="Calibri" w:hAnsi="Calibri" w:hint="eastAsia"/>
            <w:color w:val="0000FF"/>
            <w:u w:val="single"/>
            <w:rtl/>
          </w:rPr>
          <w:t>ע</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4945/13</w:t>
        </w:r>
      </w:hyperlink>
      <w:r w:rsidRPr="00E93158">
        <w:rPr>
          <w:rFonts w:ascii="Calibri" w:hAnsi="Calibri" w:hint="cs"/>
          <w:rtl/>
        </w:rPr>
        <w:t xml:space="preserve"> </w:t>
      </w:r>
      <w:r w:rsidRPr="00E93158">
        <w:rPr>
          <w:rFonts w:ascii="Calibri" w:hAnsi="Calibri" w:cs="Miriam" w:hint="cs"/>
          <w:rtl/>
        </w:rPr>
        <w:t>מדינת ישראל נ' סלימאן</w:t>
      </w:r>
      <w:r w:rsidRPr="00E93158">
        <w:rPr>
          <w:rFonts w:ascii="Calibri" w:hAnsi="Calibri" w:hint="cs"/>
          <w:rtl/>
        </w:rPr>
        <w:t xml:space="preserve"> (19/1/14), כי "</w:t>
      </w:r>
      <w:r w:rsidRPr="00E93158">
        <w:rPr>
          <w:rFonts w:ascii="Calibri" w:hAnsi="Calibri" w:cs="Miriam" w:hint="cs"/>
          <w:rtl/>
        </w:rPr>
        <w:t>מדובר בנשק התקפי שבכוחו לגרום להרג ללא הבחנה. פוטנציאל הסיכון הגלום בו הוא אפוא גבוה, לא כל שכן משנרכש והוחזק לצד תחמושת מתאימה</w:t>
      </w:r>
      <w:r w:rsidRPr="00E93158">
        <w:rPr>
          <w:rFonts w:ascii="Calibri" w:hAnsi="Calibri" w:hint="cs"/>
          <w:rtl/>
        </w:rPr>
        <w:t xml:space="preserve">".  </w:t>
      </w:r>
    </w:p>
    <w:p w14:paraId="4F4F0565" w14:textId="77777777" w:rsidR="00E93158" w:rsidRDefault="00E93158" w:rsidP="00E93158">
      <w:pPr>
        <w:spacing w:line="360" w:lineRule="auto"/>
        <w:jc w:val="both"/>
        <w:rPr>
          <w:rtl/>
        </w:rPr>
      </w:pPr>
    </w:p>
    <w:p w14:paraId="258EC6CA" w14:textId="77777777" w:rsidR="00E93158" w:rsidRPr="00211091" w:rsidRDefault="00E93158" w:rsidP="00E93158">
      <w:pPr>
        <w:spacing w:line="360" w:lineRule="auto"/>
        <w:jc w:val="both"/>
        <w:rPr>
          <w:rtl/>
        </w:rPr>
      </w:pPr>
      <w:r>
        <w:rPr>
          <w:rFonts w:hint="cs"/>
          <w:rtl/>
        </w:rPr>
        <w:t>37.</w:t>
      </w:r>
      <w:r>
        <w:rPr>
          <w:rtl/>
        </w:rPr>
        <w:tab/>
      </w:r>
      <w:r>
        <w:rPr>
          <w:rFonts w:hint="cs"/>
          <w:rtl/>
        </w:rPr>
        <w:t xml:space="preserve"> דבריה הבאים של </w:t>
      </w:r>
      <w:r w:rsidRPr="00211091">
        <w:rPr>
          <w:rtl/>
        </w:rPr>
        <w:t>כב' השופטת ארבל</w:t>
      </w:r>
      <w:r>
        <w:rPr>
          <w:rFonts w:hint="cs"/>
          <w:rtl/>
        </w:rPr>
        <w:t xml:space="preserve"> שנאמרו</w:t>
      </w:r>
      <w:r w:rsidRPr="00211091">
        <w:rPr>
          <w:rtl/>
        </w:rPr>
        <w:t xml:space="preserve"> ב</w:t>
      </w:r>
      <w:hyperlink r:id="rId27" w:history="1">
        <w:r w:rsidR="002162AD" w:rsidRPr="002162AD">
          <w:rPr>
            <w:color w:val="0000FF"/>
            <w:u w:val="single"/>
            <w:rtl/>
          </w:rPr>
          <w:t>ע"פ 4945/13</w:t>
        </w:r>
      </w:hyperlink>
      <w:r w:rsidRPr="00211091">
        <w:rPr>
          <w:rtl/>
        </w:rPr>
        <w:t xml:space="preserve"> </w:t>
      </w:r>
      <w:r w:rsidRPr="00211091">
        <w:rPr>
          <w:rFonts w:cs="Miriam"/>
          <w:rtl/>
        </w:rPr>
        <w:t xml:space="preserve">מדינת ישראל נ' </w:t>
      </w:r>
      <w:r w:rsidRPr="00211091">
        <w:rPr>
          <w:rFonts w:ascii="Arial" w:hAnsi="Arial" w:cs="Miriam"/>
          <w:color w:val="333333"/>
          <w:rtl/>
        </w:rPr>
        <w:t>עבד אלכרים  סלימאן</w:t>
      </w:r>
      <w:r w:rsidRPr="00211091">
        <w:rPr>
          <w:rFonts w:ascii="Arial" w:hAnsi="Arial"/>
          <w:b/>
          <w:bCs/>
          <w:color w:val="333333"/>
          <w:rtl/>
        </w:rPr>
        <w:t xml:space="preserve"> </w:t>
      </w:r>
      <w:r w:rsidRPr="00211091">
        <w:rPr>
          <w:rFonts w:ascii="Arial" w:hAnsi="Arial"/>
          <w:rtl/>
        </w:rPr>
        <w:t>(19.01.14)</w:t>
      </w:r>
      <w:r>
        <w:rPr>
          <w:rFonts w:hint="cs"/>
          <w:rtl/>
        </w:rPr>
        <w:t xml:space="preserve"> ממחישים את  המסוכנות הפוטנציאלית לשלום הציבור ובטחונו, הטמונה בעבירות נשק</w:t>
      </w:r>
      <w:r w:rsidRPr="00211091">
        <w:rPr>
          <w:rtl/>
        </w:rPr>
        <w:t xml:space="preserve">: </w:t>
      </w:r>
    </w:p>
    <w:p w14:paraId="716CF7B7" w14:textId="77777777" w:rsidR="00E93158" w:rsidRDefault="00E93158" w:rsidP="00E93158">
      <w:pPr>
        <w:spacing w:line="276" w:lineRule="auto"/>
        <w:ind w:left="1513" w:right="1418"/>
        <w:jc w:val="both"/>
        <w:rPr>
          <w:rFonts w:cs="Miriam"/>
          <w:rtl/>
        </w:rPr>
      </w:pPr>
      <w:r w:rsidRPr="00211091">
        <w:rPr>
          <w:rFonts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Pr="00211091">
        <w:rPr>
          <w:rtl/>
        </w:rPr>
        <w:t xml:space="preserve"> </w:t>
      </w:r>
      <w:r w:rsidRPr="00211091">
        <w:rPr>
          <w:rFonts w:cs="Miriam"/>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7C681A7E" w14:textId="77777777" w:rsidR="00E93158" w:rsidRPr="00211091" w:rsidRDefault="00E93158" w:rsidP="00E93158">
      <w:pPr>
        <w:spacing w:line="276" w:lineRule="auto"/>
        <w:ind w:left="1513" w:right="1418"/>
        <w:jc w:val="both"/>
        <w:rPr>
          <w:rFonts w:cs="Miriam"/>
          <w:rtl/>
        </w:rPr>
      </w:pPr>
    </w:p>
    <w:p w14:paraId="40CD4D15" w14:textId="77777777" w:rsidR="00E93158" w:rsidRPr="00211091" w:rsidRDefault="00E93158" w:rsidP="00E93158">
      <w:pPr>
        <w:spacing w:line="276" w:lineRule="auto"/>
        <w:ind w:left="1513" w:right="1418"/>
        <w:jc w:val="both"/>
        <w:rPr>
          <w:rFonts w:cs="Miriam"/>
          <w:rtl/>
        </w:rPr>
      </w:pPr>
    </w:p>
    <w:p w14:paraId="1F12FB78" w14:textId="77777777" w:rsidR="00E93158" w:rsidRPr="00211091" w:rsidRDefault="00E93158" w:rsidP="00E93158">
      <w:pPr>
        <w:spacing w:line="360" w:lineRule="auto"/>
        <w:jc w:val="both"/>
        <w:rPr>
          <w:rtl/>
        </w:rPr>
      </w:pPr>
      <w:r>
        <w:rPr>
          <w:rFonts w:hint="cs"/>
          <w:rtl/>
        </w:rPr>
        <w:t>38.</w:t>
      </w:r>
      <w:r>
        <w:rPr>
          <w:rFonts w:hint="cs"/>
          <w:rtl/>
        </w:rPr>
        <w:tab/>
        <w:t xml:space="preserve">כמו כן, אביא את </w:t>
      </w:r>
      <w:r>
        <w:rPr>
          <w:rtl/>
        </w:rPr>
        <w:t xml:space="preserve">דבריו </w:t>
      </w:r>
      <w:r>
        <w:rPr>
          <w:rFonts w:hint="cs"/>
          <w:rtl/>
        </w:rPr>
        <w:t xml:space="preserve">הבאים </w:t>
      </w:r>
      <w:r>
        <w:rPr>
          <w:rtl/>
        </w:rPr>
        <w:t>של כב' השופט י' עמית ב</w:t>
      </w:r>
      <w:hyperlink r:id="rId28" w:history="1">
        <w:r w:rsidR="002162AD" w:rsidRPr="002162AD">
          <w:rPr>
            <w:color w:val="0000FF"/>
            <w:u w:val="single"/>
            <w:rtl/>
          </w:rPr>
          <w:t>ע"פ 2398/14</w:t>
        </w:r>
      </w:hyperlink>
      <w:r w:rsidRPr="00211091">
        <w:rPr>
          <w:rtl/>
        </w:rPr>
        <w:t xml:space="preserve"> </w:t>
      </w:r>
      <w:r w:rsidRPr="00211091">
        <w:rPr>
          <w:rFonts w:cs="Miriam"/>
          <w:rtl/>
        </w:rPr>
        <w:t>אלהזייל נ' מדינת ישראל</w:t>
      </w:r>
      <w:r w:rsidRPr="00211091">
        <w:rPr>
          <w:rtl/>
        </w:rPr>
        <w:t xml:space="preserve"> ( 8.7.14), </w:t>
      </w:r>
      <w:r>
        <w:rPr>
          <w:rFonts w:hint="cs"/>
          <w:rtl/>
        </w:rPr>
        <w:t>המדגישים את מגמת ההחמרה בענישה בעבירות נשק, שהינן עבירות המגלמות בחובן סכנה של ממש לביטחון הציבור</w:t>
      </w:r>
      <w:r w:rsidRPr="00211091">
        <w:rPr>
          <w:rtl/>
        </w:rPr>
        <w:t xml:space="preserve">: </w:t>
      </w:r>
    </w:p>
    <w:p w14:paraId="3645E018" w14:textId="77777777" w:rsidR="00E93158" w:rsidRDefault="00E93158" w:rsidP="00E93158">
      <w:pPr>
        <w:spacing w:line="276" w:lineRule="auto"/>
        <w:ind w:left="1513" w:right="993"/>
        <w:jc w:val="both"/>
        <w:rPr>
          <w:rFonts w:cs="Miriam"/>
          <w:rtl/>
        </w:rPr>
      </w:pPr>
      <w:r w:rsidRPr="00211091">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29" w:history="1">
        <w:r w:rsidR="002162AD" w:rsidRPr="002162AD">
          <w:rPr>
            <w:rFonts w:cs="Miriam"/>
            <w:color w:val="0000FF"/>
            <w:u w:val="single"/>
            <w:rtl/>
          </w:rPr>
          <w:t>ע"פ 4945/13</w:t>
        </w:r>
      </w:hyperlink>
      <w:r w:rsidRPr="00211091">
        <w:rPr>
          <w:rFonts w:cs="Miriam"/>
          <w:rtl/>
        </w:rPr>
        <w:t xml:space="preserve"> </w:t>
      </w:r>
      <w:r w:rsidRPr="00211091">
        <w:rPr>
          <w:rFonts w:cs="Miriam"/>
          <w:sz w:val="28"/>
          <w:rtl/>
        </w:rPr>
        <w:t>מדינת ישראל נ' עבד אלכרים סלימאן</w:t>
      </w:r>
      <w:r w:rsidRPr="00211091">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31B2C6B8" w14:textId="77777777" w:rsidR="00E93158" w:rsidRDefault="00E93158" w:rsidP="00E93158">
      <w:pPr>
        <w:spacing w:line="276" w:lineRule="auto"/>
        <w:ind w:left="1513" w:right="993"/>
        <w:jc w:val="both"/>
        <w:rPr>
          <w:rFonts w:cs="Miriam"/>
          <w:rtl/>
        </w:rPr>
      </w:pPr>
    </w:p>
    <w:p w14:paraId="327E5E0E" w14:textId="77777777" w:rsidR="00E93158" w:rsidRPr="00211091" w:rsidRDefault="00E93158" w:rsidP="00E93158">
      <w:pPr>
        <w:spacing w:line="276" w:lineRule="auto"/>
        <w:ind w:left="1513" w:right="993"/>
        <w:jc w:val="both"/>
        <w:rPr>
          <w:rFonts w:cs="Miriam"/>
          <w:rtl/>
        </w:rPr>
      </w:pPr>
    </w:p>
    <w:p w14:paraId="34EB176D" w14:textId="77777777" w:rsidR="00E93158" w:rsidRPr="00211091" w:rsidRDefault="00E93158" w:rsidP="00E93158">
      <w:pPr>
        <w:jc w:val="both"/>
        <w:rPr>
          <w:b/>
          <w:bCs/>
          <w:u w:val="single"/>
          <w:rtl/>
        </w:rPr>
      </w:pPr>
    </w:p>
    <w:p w14:paraId="39EE905B" w14:textId="77777777" w:rsidR="00E93158" w:rsidRDefault="00E93158" w:rsidP="00E93158">
      <w:pPr>
        <w:spacing w:line="360" w:lineRule="auto"/>
        <w:jc w:val="both"/>
        <w:rPr>
          <w:rFonts w:cs="Miriam"/>
          <w:rtl/>
        </w:rPr>
      </w:pPr>
      <w:r>
        <w:rPr>
          <w:rFonts w:hint="cs"/>
          <w:rtl/>
        </w:rPr>
        <w:t>39.</w:t>
      </w:r>
      <w:r>
        <w:rPr>
          <w:rFonts w:hint="cs"/>
          <w:rtl/>
        </w:rPr>
        <w:tab/>
      </w:r>
      <w:r w:rsidRPr="00AC11C5">
        <w:rPr>
          <w:rFonts w:hint="cs"/>
          <w:rtl/>
        </w:rPr>
        <w:t xml:space="preserve">עם זאת, לטובת הנאשם, במסגרת סקירת הנסיבות הקשורות בביצוע העבירה, אציין כי מתמונת העובדות העולה מכתב האישום המתוקן עולה, כי הנאשם נשא נשיאה קצרה את תיק הגב ובתוכו הנשק, המחסנית והכדורים, מה גם שהמאשימה, כאמור, אינה טוענת, כי הנאשם החזיק בנשק עובר לירידתו </w:t>
      </w:r>
      <w:r>
        <w:rPr>
          <w:rFonts w:hint="cs"/>
          <w:rtl/>
        </w:rPr>
        <w:t>מה</w:t>
      </w:r>
      <w:r w:rsidRPr="00AC11C5">
        <w:rPr>
          <w:rFonts w:hint="cs"/>
          <w:rtl/>
        </w:rPr>
        <w:t xml:space="preserve">רכב. אם כך, נשיאת הנשק, עפ"י כתב האישום המתוקן, באה לידי ביטוי בפרק  זמן קצר יחסית, מאז שיצא הנאשם מהרכב ועד שהחביא את תיק הגב מתחת לחלקו הקדמי של רכב מסוג פז'ו בו ישבו הבחורים עמם שוחח. </w:t>
      </w:r>
    </w:p>
    <w:p w14:paraId="1024D225" w14:textId="77777777" w:rsidR="00E93158" w:rsidRDefault="00E93158" w:rsidP="00E93158">
      <w:pPr>
        <w:spacing w:line="360" w:lineRule="auto"/>
        <w:jc w:val="both"/>
        <w:rPr>
          <w:rFonts w:cs="Miriam"/>
          <w:rtl/>
        </w:rPr>
      </w:pPr>
    </w:p>
    <w:p w14:paraId="6F9E9C2C" w14:textId="77777777" w:rsidR="00E93158" w:rsidRDefault="00E93158" w:rsidP="00E93158">
      <w:pPr>
        <w:spacing w:line="360" w:lineRule="auto"/>
        <w:jc w:val="both"/>
        <w:rPr>
          <w:rFonts w:cs="Miriam"/>
          <w:rtl/>
        </w:rPr>
      </w:pPr>
    </w:p>
    <w:p w14:paraId="32DA2FCF" w14:textId="77777777" w:rsidR="00E93158" w:rsidRDefault="00E93158" w:rsidP="00E93158">
      <w:pPr>
        <w:spacing w:line="360" w:lineRule="auto"/>
        <w:jc w:val="both"/>
        <w:rPr>
          <w:rFonts w:cs="Miriam"/>
          <w:rtl/>
        </w:rPr>
      </w:pPr>
      <w:r w:rsidRPr="008725A7">
        <w:rPr>
          <w:rFonts w:hint="cs"/>
          <w:rtl/>
        </w:rPr>
        <w:t>40</w:t>
      </w:r>
      <w:r>
        <w:rPr>
          <w:rFonts w:cs="Miriam" w:hint="cs"/>
          <w:rtl/>
        </w:rPr>
        <w:t>.</w:t>
      </w:r>
      <w:r>
        <w:rPr>
          <w:rFonts w:cs="Miriam" w:hint="cs"/>
          <w:rtl/>
        </w:rPr>
        <w:tab/>
      </w:r>
      <w:r w:rsidRPr="00127DD9">
        <w:rPr>
          <w:rFonts w:hint="cs"/>
          <w:rtl/>
        </w:rPr>
        <w:t>במסגרת סקירת מדיניות הענישה הנהוגה בגין העבירה של נשיאת נשק אביא את הפסיקה הבאה</w:t>
      </w:r>
      <w:r>
        <w:rPr>
          <w:rFonts w:cs="Miriam" w:hint="cs"/>
          <w:rtl/>
        </w:rPr>
        <w:t>:</w:t>
      </w:r>
    </w:p>
    <w:p w14:paraId="7768DA5C" w14:textId="77777777" w:rsidR="00E93158" w:rsidRDefault="00E93158" w:rsidP="00E93158">
      <w:pPr>
        <w:spacing w:line="360" w:lineRule="auto"/>
        <w:jc w:val="both"/>
        <w:rPr>
          <w:rFonts w:cs="Miriam"/>
          <w:rtl/>
        </w:rPr>
      </w:pPr>
    </w:p>
    <w:p w14:paraId="0C8DE42D" w14:textId="77777777" w:rsidR="00E93158" w:rsidRPr="00E93158" w:rsidRDefault="00E93158" w:rsidP="00E93158">
      <w:pPr>
        <w:pStyle w:val="ListParagraph"/>
        <w:numPr>
          <w:ilvl w:val="0"/>
          <w:numId w:val="1"/>
        </w:numPr>
        <w:spacing w:after="160" w:line="360" w:lineRule="auto"/>
        <w:jc w:val="both"/>
        <w:rPr>
          <w:rFonts w:ascii="Calibri" w:hAnsi="Calibri"/>
        </w:rPr>
      </w:pPr>
      <w:r w:rsidRPr="00E93158">
        <w:rPr>
          <w:rFonts w:ascii="Calibri" w:hAnsi="Calibri" w:hint="cs"/>
          <w:rtl/>
        </w:rPr>
        <w:t>ב</w:t>
      </w:r>
      <w:hyperlink r:id="rId30"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נצרת</w:t>
        </w:r>
        <w:r w:rsidR="002162AD" w:rsidRPr="002162AD">
          <w:rPr>
            <w:rFonts w:ascii="Calibri" w:hAnsi="Calibri"/>
            <w:color w:val="0000FF"/>
            <w:u w:val="single"/>
            <w:rtl/>
          </w:rPr>
          <w:t>) 35007-04-13</w:t>
        </w:r>
      </w:hyperlink>
      <w:r w:rsidRPr="00E93158">
        <w:rPr>
          <w:rFonts w:ascii="Calibri" w:hAnsi="Calibri" w:hint="cs"/>
          <w:rtl/>
        </w:rPr>
        <w:t xml:space="preserve">  </w:t>
      </w:r>
      <w:r w:rsidRPr="00E93158">
        <w:rPr>
          <w:rFonts w:ascii="Calibri" w:hAnsi="Calibri" w:cs="Miriam" w:hint="cs"/>
          <w:rtl/>
        </w:rPr>
        <w:t>מדינת ישראל נ' איסלאם עזאיזה</w:t>
      </w:r>
      <w:r w:rsidRPr="00E93158">
        <w:rPr>
          <w:rFonts w:ascii="Calibri" w:hAnsi="Calibri" w:hint="cs"/>
          <w:rtl/>
        </w:rPr>
        <w:t xml:space="preserve"> (08/01/15) עסקינן בנאשם , "בגיר צעיר",  שהורשע, מכוח הודאתו בעובדות כתב אישום שתוקן במסגרת הסדר טיעון, בביצוע עבירות של החזקת ונשיאת נשק שלא כדין, לאחר שנשא אקדח טעון על רקע סכסוך. הושת על הנאשם הנ"ל  עונש של מאסר בפועל למשך 9 חודשים, רכיבי ענישה של מאסר מותנה וקנס בסך 5,000 ₪ , תוך קביעת  מתחם עונש הולם שנע בין 7 חודשי מאסר בפועל לבין 30 חודשי מאסר בפועל. </w:t>
      </w:r>
    </w:p>
    <w:p w14:paraId="3A77436D" w14:textId="77777777" w:rsidR="00E93158" w:rsidRPr="00E93158" w:rsidRDefault="00E93158" w:rsidP="00E93158">
      <w:pPr>
        <w:pStyle w:val="ListParagraph"/>
        <w:spacing w:after="160" w:line="360" w:lineRule="auto"/>
        <w:ind w:left="1440"/>
        <w:jc w:val="both"/>
        <w:rPr>
          <w:rFonts w:ascii="Calibri" w:hAnsi="Calibri"/>
        </w:rPr>
      </w:pPr>
    </w:p>
    <w:p w14:paraId="0C628577" w14:textId="77777777" w:rsidR="00E93158" w:rsidRPr="00E93158" w:rsidRDefault="00E93158" w:rsidP="00E93158">
      <w:pPr>
        <w:pStyle w:val="ListParagraph"/>
        <w:numPr>
          <w:ilvl w:val="0"/>
          <w:numId w:val="1"/>
        </w:numPr>
        <w:spacing w:after="160" w:line="360" w:lineRule="auto"/>
        <w:jc w:val="both"/>
        <w:rPr>
          <w:rFonts w:ascii="Calibri" w:hAnsi="Calibri"/>
          <w:rtl/>
        </w:rPr>
      </w:pPr>
      <w:r w:rsidRPr="00E93158">
        <w:rPr>
          <w:rFonts w:ascii="Calibri" w:hAnsi="Calibri" w:hint="cs"/>
          <w:rtl/>
        </w:rPr>
        <w:t>ב</w:t>
      </w:r>
      <w:hyperlink r:id="rId31"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חיפה</w:t>
        </w:r>
        <w:r w:rsidR="002162AD" w:rsidRPr="002162AD">
          <w:rPr>
            <w:rFonts w:ascii="Calibri" w:hAnsi="Calibri"/>
            <w:color w:val="0000FF"/>
            <w:u w:val="single"/>
            <w:rtl/>
          </w:rPr>
          <w:t>) 31862-05-13</w:t>
        </w:r>
      </w:hyperlink>
      <w:r w:rsidRPr="00E93158">
        <w:rPr>
          <w:rFonts w:ascii="Calibri" w:hAnsi="Calibri" w:hint="cs"/>
          <w:rtl/>
        </w:rPr>
        <w:t xml:space="preserve">  </w:t>
      </w:r>
      <w:r w:rsidRPr="00E93158">
        <w:rPr>
          <w:rFonts w:ascii="Calibri" w:hAnsi="Calibri" w:cs="Miriam" w:hint="cs"/>
          <w:rtl/>
        </w:rPr>
        <w:t>מ"י נ' מוחמד מחאמיד</w:t>
      </w:r>
      <w:r w:rsidRPr="00E93158">
        <w:rPr>
          <w:rFonts w:ascii="Calibri" w:hAnsi="Calibri" w:hint="cs"/>
          <w:rtl/>
        </w:rPr>
        <w:t xml:space="preserve"> (1/10/13) הוטל על נאשם צעיר, בן פחות מ- 21, עונש של 21 חודשי מאסר בפועל בגין עבירה של נשיאת נשק (אקדח) שלא כדין בצד עבירה של הפרעה לשוטר בשעת מילוי תפקידו כדין.   </w:t>
      </w:r>
    </w:p>
    <w:p w14:paraId="3AA6EA0B" w14:textId="77777777" w:rsidR="00E93158" w:rsidRPr="00E93158" w:rsidRDefault="00E93158" w:rsidP="00E93158">
      <w:pPr>
        <w:spacing w:after="160" w:line="360" w:lineRule="auto"/>
        <w:jc w:val="both"/>
        <w:rPr>
          <w:rFonts w:ascii="Calibri" w:hAnsi="Calibri"/>
          <w:rtl/>
        </w:rPr>
      </w:pPr>
    </w:p>
    <w:p w14:paraId="306D6A3C" w14:textId="77777777" w:rsidR="00E93158" w:rsidRPr="00E93158" w:rsidRDefault="00E93158" w:rsidP="00E93158">
      <w:pPr>
        <w:pStyle w:val="ListParagraph"/>
        <w:numPr>
          <w:ilvl w:val="0"/>
          <w:numId w:val="2"/>
        </w:numPr>
        <w:spacing w:after="160" w:line="360" w:lineRule="auto"/>
        <w:jc w:val="both"/>
        <w:rPr>
          <w:rFonts w:ascii="Calibri" w:hAnsi="Calibri"/>
          <w:rtl/>
        </w:rPr>
      </w:pPr>
      <w:r w:rsidRPr="00E93158">
        <w:rPr>
          <w:rFonts w:ascii="Calibri" w:hAnsi="Calibri" w:hint="cs"/>
          <w:rtl/>
        </w:rPr>
        <w:t>ב</w:t>
      </w:r>
      <w:hyperlink r:id="rId32"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חיפה</w:t>
        </w:r>
        <w:r w:rsidR="002162AD" w:rsidRPr="002162AD">
          <w:rPr>
            <w:rFonts w:ascii="Calibri" w:hAnsi="Calibri"/>
            <w:color w:val="0000FF"/>
            <w:u w:val="single"/>
            <w:rtl/>
          </w:rPr>
          <w:t>) 3451-02-14</w:t>
        </w:r>
      </w:hyperlink>
      <w:r w:rsidRPr="00E93158">
        <w:rPr>
          <w:rFonts w:ascii="Calibri" w:hAnsi="Calibri" w:hint="cs"/>
          <w:rtl/>
        </w:rPr>
        <w:t xml:space="preserve"> </w:t>
      </w:r>
      <w:r w:rsidRPr="00E93158">
        <w:rPr>
          <w:rFonts w:ascii="Calibri" w:hAnsi="Calibri" w:cs="Miriam" w:hint="cs"/>
          <w:rtl/>
        </w:rPr>
        <w:t>מדינת ישראל נ' עבד אלעאל</w:t>
      </w:r>
      <w:r w:rsidRPr="00E93158">
        <w:rPr>
          <w:rFonts w:ascii="Calibri" w:hAnsi="Calibri" w:hint="cs"/>
          <w:rtl/>
        </w:rPr>
        <w:t xml:space="preserve"> (23/9/14) הושת על נאשם בן 21 בעל עבר נקי שהורשע, לאחר שמיעת ראיות, בביצוע עבירות של נשיאת והחזקת נשק (תת מקלע מאולתר ובתוכו מחסנית וכדורים), בצד עבירה של הפרעה לשוטר במילוי תפקידו כדין, עונש של 18 חודשי מאסר בפועל, וכן ענישה נלווית.</w:t>
      </w:r>
    </w:p>
    <w:p w14:paraId="70914926" w14:textId="77777777" w:rsidR="00E93158" w:rsidRPr="00E93158" w:rsidRDefault="00E93158" w:rsidP="00E93158">
      <w:pPr>
        <w:spacing w:after="160" w:line="360" w:lineRule="auto"/>
        <w:jc w:val="both"/>
        <w:rPr>
          <w:rFonts w:ascii="Calibri" w:hAnsi="Calibri"/>
          <w:rtl/>
        </w:rPr>
      </w:pPr>
    </w:p>
    <w:p w14:paraId="10B03057" w14:textId="77777777" w:rsidR="00E93158" w:rsidRDefault="00E93158" w:rsidP="00E93158">
      <w:pPr>
        <w:pStyle w:val="ListParagraph"/>
        <w:numPr>
          <w:ilvl w:val="0"/>
          <w:numId w:val="2"/>
        </w:numPr>
        <w:spacing w:line="360" w:lineRule="auto"/>
        <w:jc w:val="both"/>
        <w:rPr>
          <w:rFonts w:ascii="Arial" w:hAnsi="Arial"/>
          <w:rtl/>
        </w:rPr>
      </w:pPr>
      <w:r>
        <w:rPr>
          <w:rFonts w:hint="cs"/>
          <w:rtl/>
        </w:rPr>
        <w:t>ב</w:t>
      </w:r>
      <w:hyperlink r:id="rId33" w:history="1">
        <w:r w:rsidR="002162AD" w:rsidRPr="002162AD">
          <w:rPr>
            <w:color w:val="0000FF"/>
            <w:u w:val="single"/>
            <w:rtl/>
          </w:rPr>
          <w:t>ת"פ 17520-03-14</w:t>
        </w:r>
      </w:hyperlink>
      <w:r>
        <w:rPr>
          <w:rFonts w:hint="cs"/>
          <w:rtl/>
        </w:rPr>
        <w:t xml:space="preserve"> </w:t>
      </w:r>
      <w:r>
        <w:rPr>
          <w:rFonts w:cs="Miriam" w:hint="cs"/>
          <w:rtl/>
        </w:rPr>
        <w:t>מדינת ישראל נ' אבו אלהווה</w:t>
      </w:r>
      <w:r>
        <w:rPr>
          <w:rFonts w:hint="cs"/>
          <w:rtl/>
        </w:rPr>
        <w:t xml:space="preserve"> (31/12/14) גזר בית המשפט המחוזי בירושלים על הנאשם עונש שעיקרו מאסר בפועל בן 20 חודשים לריצוי בפועל,</w:t>
      </w:r>
      <w:r>
        <w:rPr>
          <w:rFonts w:ascii="Arial" w:hAnsi="Arial" w:hint="cs"/>
          <w:rtl/>
        </w:rPr>
        <w:t xml:space="preserve"> בגין ביצועה של עבירה שעניינה הובלת נשק (תת מקלע מאולתר). </w:t>
      </w:r>
    </w:p>
    <w:p w14:paraId="523B450F" w14:textId="77777777" w:rsidR="00E93158" w:rsidRPr="00E93158" w:rsidRDefault="00E93158" w:rsidP="00E93158">
      <w:pPr>
        <w:spacing w:after="160" w:line="360" w:lineRule="auto"/>
        <w:jc w:val="both"/>
        <w:rPr>
          <w:rFonts w:ascii="Calibri" w:hAnsi="Calibri"/>
          <w:rtl/>
        </w:rPr>
      </w:pPr>
    </w:p>
    <w:p w14:paraId="46D526EB" w14:textId="77777777" w:rsidR="00E93158" w:rsidRPr="00E93158" w:rsidRDefault="00E93158" w:rsidP="00E93158">
      <w:pPr>
        <w:pStyle w:val="ListParagraph"/>
        <w:numPr>
          <w:ilvl w:val="0"/>
          <w:numId w:val="2"/>
        </w:numPr>
        <w:spacing w:after="160" w:line="360" w:lineRule="auto"/>
        <w:jc w:val="both"/>
        <w:rPr>
          <w:rFonts w:ascii="Calibri" w:hAnsi="Calibri"/>
          <w:rtl/>
        </w:rPr>
      </w:pPr>
      <w:r w:rsidRPr="00E93158">
        <w:rPr>
          <w:rFonts w:ascii="Calibri" w:hAnsi="Calibri" w:hint="cs"/>
          <w:rtl/>
        </w:rPr>
        <w:t>ב</w:t>
      </w:r>
      <w:hyperlink r:id="rId34"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מחוזי</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באר</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שבע</w:t>
        </w:r>
        <w:r w:rsidR="002162AD" w:rsidRPr="002162AD">
          <w:rPr>
            <w:rFonts w:ascii="Calibri" w:hAnsi="Calibri"/>
            <w:color w:val="0000FF"/>
            <w:u w:val="single"/>
            <w:rtl/>
          </w:rPr>
          <w:t>) 4338-04-13</w:t>
        </w:r>
      </w:hyperlink>
      <w:r w:rsidRPr="00E93158">
        <w:rPr>
          <w:rFonts w:ascii="Calibri" w:hAnsi="Calibri" w:hint="cs"/>
          <w:rtl/>
        </w:rPr>
        <w:t xml:space="preserve">  </w:t>
      </w:r>
      <w:r w:rsidRPr="00E93158">
        <w:rPr>
          <w:rFonts w:ascii="Calibri" w:hAnsi="Calibri" w:cs="Miriam" w:hint="cs"/>
          <w:rtl/>
        </w:rPr>
        <w:t>מדינת ישראל נ' אביעוז</w:t>
      </w:r>
      <w:r w:rsidRPr="00E93158">
        <w:rPr>
          <w:rFonts w:ascii="Calibri" w:hAnsi="Calibri" w:hint="cs"/>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w:t>
      </w:r>
    </w:p>
    <w:p w14:paraId="7A42D05F" w14:textId="77777777" w:rsidR="00E93158" w:rsidRPr="00E93158" w:rsidRDefault="00E93158" w:rsidP="00E93158">
      <w:pPr>
        <w:pStyle w:val="ListParagraph"/>
        <w:jc w:val="both"/>
        <w:rPr>
          <w:rFonts w:ascii="Calibri" w:hAnsi="Calibri"/>
        </w:rPr>
      </w:pPr>
    </w:p>
    <w:p w14:paraId="7040C5E5" w14:textId="77777777" w:rsidR="00E93158" w:rsidRPr="00E93158" w:rsidRDefault="00E93158" w:rsidP="00E93158">
      <w:pPr>
        <w:pStyle w:val="ListParagraph"/>
        <w:numPr>
          <w:ilvl w:val="0"/>
          <w:numId w:val="2"/>
        </w:numPr>
        <w:spacing w:after="160" w:line="360" w:lineRule="auto"/>
        <w:jc w:val="both"/>
        <w:rPr>
          <w:rFonts w:ascii="Calibri" w:hAnsi="Calibri"/>
        </w:rPr>
      </w:pPr>
      <w:r w:rsidRPr="00E93158">
        <w:rPr>
          <w:rFonts w:ascii="Calibri" w:hAnsi="Calibri" w:hint="cs"/>
          <w:rtl/>
        </w:rPr>
        <w:t>ב</w:t>
      </w:r>
      <w:hyperlink r:id="rId35"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31034-06-17</w:t>
        </w:r>
      </w:hyperlink>
      <w:r w:rsidRPr="00E93158">
        <w:rPr>
          <w:rFonts w:ascii="Calibri" w:hAnsi="Calibri" w:hint="cs"/>
          <w:rtl/>
        </w:rPr>
        <w:t xml:space="preserve"> (מחוזי חיפה) </w:t>
      </w:r>
      <w:r w:rsidRPr="00E93158">
        <w:rPr>
          <w:rFonts w:ascii="Calibri" w:hAnsi="Calibri" w:cs="Miriam" w:hint="cs"/>
          <w:rtl/>
        </w:rPr>
        <w:t>מדינת ישראל נ' מסרי</w:t>
      </w:r>
      <w:r w:rsidRPr="00E93158">
        <w:rPr>
          <w:rFonts w:ascii="Calibri" w:hAnsi="Calibri" w:hint="cs"/>
          <w:rtl/>
        </w:rPr>
        <w:t xml:space="preserve"> (17/4/18)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w:t>
      </w:r>
    </w:p>
    <w:p w14:paraId="7FF4C5EB" w14:textId="77777777" w:rsidR="00E93158" w:rsidRPr="00E93158" w:rsidRDefault="00E93158" w:rsidP="00E93158">
      <w:pPr>
        <w:pStyle w:val="ListParagraph"/>
        <w:rPr>
          <w:rFonts w:ascii="Calibri" w:hAnsi="Calibri"/>
          <w:rtl/>
        </w:rPr>
      </w:pPr>
    </w:p>
    <w:p w14:paraId="6C59BF94" w14:textId="77777777" w:rsidR="00E93158" w:rsidRPr="00E93158" w:rsidRDefault="00E93158" w:rsidP="00E93158">
      <w:pPr>
        <w:pStyle w:val="ListParagraph"/>
        <w:spacing w:after="160" w:line="360" w:lineRule="auto"/>
        <w:ind w:left="1440"/>
        <w:jc w:val="both"/>
        <w:rPr>
          <w:rFonts w:ascii="Calibri" w:hAnsi="Calibri"/>
        </w:rPr>
      </w:pPr>
    </w:p>
    <w:p w14:paraId="4A1790AB" w14:textId="77777777" w:rsidR="00E93158" w:rsidRPr="00E93158" w:rsidRDefault="00E93158" w:rsidP="00E93158">
      <w:pPr>
        <w:pStyle w:val="ListParagraph"/>
        <w:spacing w:line="360" w:lineRule="auto"/>
        <w:ind w:left="141"/>
        <w:jc w:val="both"/>
        <w:rPr>
          <w:rFonts w:ascii="Calibri" w:hAnsi="Calibri"/>
          <w:rtl/>
        </w:rPr>
      </w:pPr>
      <w:r w:rsidRPr="00E93158">
        <w:rPr>
          <w:rFonts w:ascii="Calibri" w:hAnsi="Calibri" w:hint="cs"/>
          <w:rtl/>
        </w:rPr>
        <w:t>41.</w:t>
      </w:r>
      <w:r w:rsidRPr="00E93158">
        <w:rPr>
          <w:rFonts w:ascii="Calibri" w:hAnsi="Calibri" w:hint="cs"/>
          <w:rtl/>
        </w:rPr>
        <w:tab/>
        <w:t>לאחר שבחנתי, כאמור, את הערך החברתי שנפגע כתוצאה מביצוע העבירה של נשיאת נשק שלא כדין, את נסיבות ביצוע העבירה וכן נתתי דעתי למדיניות הענישה הנהוגה, הגעתי לכלל מסקנה, כי מתחם העונש ההולם בתיק זה נע בין עונש של 12 חודשי מאסר בפועל ל-36 חודשי מאסר בפועל, וזאת לצד רכיב ענישה של מאסר מותנה.</w:t>
      </w:r>
    </w:p>
    <w:p w14:paraId="0515CC5D" w14:textId="77777777" w:rsidR="00E93158" w:rsidRPr="00E93158" w:rsidRDefault="00E93158" w:rsidP="00E93158">
      <w:pPr>
        <w:pStyle w:val="ListParagraph"/>
        <w:spacing w:line="360" w:lineRule="auto"/>
        <w:ind w:left="141"/>
        <w:jc w:val="both"/>
        <w:rPr>
          <w:rFonts w:ascii="Calibri" w:hAnsi="Calibri"/>
          <w:rtl/>
        </w:rPr>
      </w:pPr>
    </w:p>
    <w:p w14:paraId="304DAFE7" w14:textId="77777777" w:rsidR="00E93158" w:rsidRPr="00E93158" w:rsidRDefault="00E93158" w:rsidP="00E93158">
      <w:pPr>
        <w:pStyle w:val="ListParagraph"/>
        <w:spacing w:line="360" w:lineRule="auto"/>
        <w:ind w:left="141"/>
        <w:jc w:val="both"/>
        <w:rPr>
          <w:rFonts w:ascii="Calibri" w:hAnsi="Calibri"/>
          <w:rtl/>
        </w:rPr>
      </w:pPr>
      <w:r w:rsidRPr="00E93158">
        <w:rPr>
          <w:rFonts w:ascii="Calibri" w:hAnsi="Calibri" w:hint="cs"/>
          <w:rtl/>
        </w:rPr>
        <w:t xml:space="preserve">42. </w:t>
      </w:r>
      <w:r w:rsidRPr="00E93158">
        <w:rPr>
          <w:rFonts w:ascii="Calibri" w:hAnsi="Calibri" w:hint="cs"/>
          <w:rtl/>
        </w:rPr>
        <w:tab/>
        <w:t>ממקרא תסקירי שרות המבחן, אשר הוגשו בעניינו של הנאשם בתיק זה, עולה כי הנאשם תפקד בעבר באורח תקין ונורמטיבי. אולם, לפני מעצרו הוא התנהל בדרך אימפולסיבית, שתה אלכוהול והתחבר לחברה שולית. מעורבותו של הנאשם הצעיר בביצוע העבירה וההליך המשפטי תרמו להרתעתו ולנכונותו לבחון לעומק את התנהלותו. הנאשם משתף פעולה באופן סדיר ועקבי במסגרת ההליך הטיפולי בעמותת אפש"ר במשך תקופה לא מבוטלת, והוא אף משתף פעולה בקבוצה הטיפולית הנוספת בתחום הנשק, במסגרת שירות המבחן שהחלה, כאמור, ביום 1/11/18, תוך שהוא מגיע למפגשים באופן עקבי וסדיר, ומבטא בהם מודעות לגורמי הסיכון שהביאו אותו לביצוע עבירת הנשק, זאת לצד שאיפה  לנהל אורח חיים נורמטיבי. ההליכים הטיפוליים הנ"ל יפחיתו, להערכת שרות המבחן, את הסיכון שהנאשם ישוב ויפר את החוק, מה גם שהוא נעזר במשפחתו שאינה עבריינית להתמודד עם קשייו ולהתרחק מגורמים שוליים בחברה. הנאשם לוקח אחריות על מעשיו ואף מביע חרטה, דבר הבא לידי ביטוי הן בתסקירים והן בדבריו הנ"ל בפניי. תמונת מצב זו ממחישה קיומו של סיכוי של ממש לכך שהנאשם ישתקם ויסור מדרך הפשע ומהתחברות לחברה עבריינית. כאן ראוי לציין, כי שילובו של הנאשם בחברה הנורמטיבית משרתת לא רק את אינטרס הנאשם, כי אם גם את האינטרס הציבורי לבל ימעד שוב.</w:t>
      </w:r>
    </w:p>
    <w:p w14:paraId="2F61F986" w14:textId="77777777" w:rsidR="00E93158" w:rsidRPr="00E93158" w:rsidRDefault="00E93158" w:rsidP="00E93158">
      <w:pPr>
        <w:pStyle w:val="ListParagraph"/>
        <w:spacing w:after="160" w:line="360" w:lineRule="auto"/>
        <w:ind w:left="567"/>
        <w:jc w:val="both"/>
        <w:rPr>
          <w:rFonts w:ascii="Calibri" w:hAnsi="Calibri"/>
          <w:rtl/>
        </w:rPr>
      </w:pPr>
    </w:p>
    <w:p w14:paraId="5CAE63E4" w14:textId="77777777" w:rsidR="00E93158" w:rsidRPr="00E93158" w:rsidRDefault="00E93158" w:rsidP="00E93158">
      <w:pPr>
        <w:spacing w:line="360" w:lineRule="auto"/>
        <w:jc w:val="both"/>
        <w:rPr>
          <w:rFonts w:ascii="Calibri" w:hAnsi="Calibri" w:cs="Miriam"/>
          <w:rtl/>
        </w:rPr>
      </w:pPr>
      <w:r w:rsidRPr="00E93158">
        <w:rPr>
          <w:rFonts w:ascii="Calibri" w:hAnsi="Calibri" w:hint="cs"/>
          <w:rtl/>
        </w:rPr>
        <w:t>43.</w:t>
      </w:r>
      <w:r w:rsidRPr="00E93158">
        <w:rPr>
          <w:rFonts w:ascii="Calibri" w:hAnsi="Calibri" w:hint="cs"/>
          <w:rtl/>
        </w:rPr>
        <w:tab/>
        <w:t xml:space="preserve">אי לכך, </w:t>
      </w:r>
      <w:r w:rsidRPr="00E93158">
        <w:rPr>
          <w:rFonts w:ascii="Calibri" w:hAnsi="Calibri" w:hint="eastAsia"/>
          <w:rtl/>
        </w:rPr>
        <w:t>מן</w:t>
      </w:r>
      <w:r w:rsidRPr="00E93158">
        <w:rPr>
          <w:rFonts w:ascii="Calibri" w:hAnsi="Calibri"/>
          <w:rtl/>
        </w:rPr>
        <w:t xml:space="preserve"> </w:t>
      </w:r>
      <w:r w:rsidRPr="00E93158">
        <w:rPr>
          <w:rFonts w:ascii="Calibri" w:hAnsi="Calibri" w:hint="eastAsia"/>
          <w:rtl/>
        </w:rPr>
        <w:t>הראוי</w:t>
      </w:r>
      <w:r w:rsidRPr="00E93158">
        <w:rPr>
          <w:rFonts w:ascii="Calibri" w:hAnsi="Calibri"/>
          <w:rtl/>
        </w:rPr>
        <w:t xml:space="preserve"> </w:t>
      </w:r>
      <w:r w:rsidRPr="00E93158">
        <w:rPr>
          <w:rFonts w:ascii="Calibri" w:hAnsi="Calibri" w:hint="eastAsia"/>
          <w:rtl/>
        </w:rPr>
        <w:t>לחרוג</w:t>
      </w:r>
      <w:r w:rsidRPr="00E93158">
        <w:rPr>
          <w:rFonts w:ascii="Calibri" w:hAnsi="Calibri" w:hint="cs"/>
          <w:rtl/>
        </w:rPr>
        <w:t>, לדידי, בתיק זה</w:t>
      </w:r>
      <w:r w:rsidRPr="00E93158">
        <w:rPr>
          <w:rFonts w:ascii="Calibri" w:hAnsi="Calibri"/>
          <w:rtl/>
        </w:rPr>
        <w:t xml:space="preserve"> </w:t>
      </w:r>
      <w:r w:rsidRPr="00E93158">
        <w:rPr>
          <w:rFonts w:ascii="Calibri" w:hAnsi="Calibri" w:hint="eastAsia"/>
          <w:rtl/>
        </w:rPr>
        <w:t>ממתחם</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ההולם</w:t>
      </w:r>
      <w:r w:rsidRPr="00E93158">
        <w:rPr>
          <w:rFonts w:ascii="Calibri" w:hAnsi="Calibri"/>
          <w:rtl/>
        </w:rPr>
        <w:t xml:space="preserve"> </w:t>
      </w:r>
      <w:r w:rsidRPr="00E93158">
        <w:rPr>
          <w:rFonts w:ascii="Calibri" w:hAnsi="Calibri" w:hint="eastAsia"/>
          <w:rtl/>
        </w:rPr>
        <w:t>מטעמים</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שיקום</w:t>
      </w:r>
      <w:r w:rsidRPr="00E93158">
        <w:rPr>
          <w:rFonts w:ascii="Calibri" w:hAnsi="Calibri"/>
          <w:rtl/>
        </w:rPr>
        <w:t xml:space="preserve">, </w:t>
      </w:r>
      <w:r w:rsidRPr="00E93158">
        <w:rPr>
          <w:rFonts w:ascii="Calibri" w:hAnsi="Calibri" w:hint="eastAsia"/>
          <w:rtl/>
        </w:rPr>
        <w:t>זאת</w:t>
      </w:r>
      <w:r w:rsidRPr="00E93158">
        <w:rPr>
          <w:rFonts w:ascii="Calibri" w:hAnsi="Calibri"/>
          <w:rtl/>
        </w:rPr>
        <w:t xml:space="preserve"> </w:t>
      </w:r>
      <w:r w:rsidRPr="00E93158">
        <w:rPr>
          <w:rFonts w:ascii="Calibri" w:hAnsi="Calibri" w:hint="eastAsia"/>
          <w:rtl/>
        </w:rPr>
        <w:t>מכוח</w:t>
      </w:r>
      <w:r w:rsidRPr="00E93158">
        <w:rPr>
          <w:rFonts w:ascii="Calibri" w:hAnsi="Calibri"/>
          <w:rtl/>
        </w:rPr>
        <w:t xml:space="preserve"> </w:t>
      </w:r>
      <w:hyperlink r:id="rId36" w:history="1">
        <w:r w:rsidR="00697C30" w:rsidRPr="00697C30">
          <w:rPr>
            <w:rFonts w:ascii="Calibri" w:hAnsi="Calibri" w:hint="eastAsia"/>
            <w:color w:val="0000FF"/>
            <w:u w:val="single"/>
            <w:rtl/>
          </w:rPr>
          <w:t>סעיף</w:t>
        </w:r>
        <w:r w:rsidR="00697C30" w:rsidRPr="00697C30">
          <w:rPr>
            <w:rFonts w:ascii="Calibri" w:hAnsi="Calibri"/>
            <w:color w:val="0000FF"/>
            <w:u w:val="single"/>
            <w:rtl/>
          </w:rPr>
          <w:t xml:space="preserve"> 40 </w:t>
        </w:r>
        <w:r w:rsidR="00697C30" w:rsidRPr="00697C30">
          <w:rPr>
            <w:rFonts w:ascii="Calibri" w:hAnsi="Calibri" w:hint="eastAsia"/>
            <w:color w:val="0000FF"/>
            <w:u w:val="single"/>
            <w:rtl/>
          </w:rPr>
          <w:t>ד</w:t>
        </w:r>
        <w:r w:rsidR="00697C30" w:rsidRPr="00697C30">
          <w:rPr>
            <w:rFonts w:ascii="Calibri" w:hAnsi="Calibri"/>
            <w:color w:val="0000FF"/>
            <w:u w:val="single"/>
            <w:rtl/>
          </w:rPr>
          <w:t>(</w:t>
        </w:r>
        <w:r w:rsidR="00697C30" w:rsidRPr="00697C30">
          <w:rPr>
            <w:rFonts w:ascii="Calibri" w:hAnsi="Calibri" w:hint="eastAsia"/>
            <w:color w:val="0000FF"/>
            <w:u w:val="single"/>
            <w:rtl/>
          </w:rPr>
          <w:t>א</w:t>
        </w:r>
        <w:r w:rsidR="00697C30" w:rsidRPr="00697C30">
          <w:rPr>
            <w:rFonts w:ascii="Calibri" w:hAnsi="Calibri"/>
            <w:color w:val="0000FF"/>
            <w:u w:val="single"/>
            <w:rtl/>
          </w:rPr>
          <w:t>)</w:t>
        </w:r>
      </w:hyperlink>
      <w:r w:rsidRPr="00E93158">
        <w:rPr>
          <w:rFonts w:ascii="Calibri" w:hAnsi="Calibri"/>
          <w:rtl/>
        </w:rPr>
        <w:t xml:space="preserve"> </w:t>
      </w:r>
      <w:r w:rsidRPr="00E93158">
        <w:rPr>
          <w:rFonts w:ascii="Calibri" w:hAnsi="Calibri" w:hint="eastAsia"/>
          <w:rtl/>
        </w:rPr>
        <w:t>ל</w:t>
      </w:r>
      <w:hyperlink r:id="rId37"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rtl/>
        </w:rPr>
        <w:t xml:space="preserve">, </w:t>
      </w:r>
      <w:r w:rsidRPr="00E93158">
        <w:rPr>
          <w:rFonts w:ascii="Calibri" w:hAnsi="Calibri" w:hint="eastAsia"/>
          <w:rtl/>
        </w:rPr>
        <w:t>הקובע</w:t>
      </w:r>
      <w:r w:rsidRPr="00E93158">
        <w:rPr>
          <w:rFonts w:ascii="Calibri" w:hAnsi="Calibri"/>
          <w:rtl/>
        </w:rPr>
        <w:t xml:space="preserve">, </w:t>
      </w:r>
      <w:r w:rsidRPr="00E93158">
        <w:rPr>
          <w:rFonts w:ascii="Calibri" w:hAnsi="Calibri" w:hint="eastAsia"/>
          <w:rtl/>
        </w:rPr>
        <w:t>כהאי</w:t>
      </w:r>
      <w:r w:rsidRPr="00E93158">
        <w:rPr>
          <w:rFonts w:ascii="Calibri" w:hAnsi="Calibri"/>
          <w:rtl/>
        </w:rPr>
        <w:t xml:space="preserve"> </w:t>
      </w:r>
      <w:r w:rsidRPr="00E93158">
        <w:rPr>
          <w:rFonts w:ascii="Calibri" w:hAnsi="Calibri" w:hint="eastAsia"/>
          <w:rtl/>
        </w:rPr>
        <w:t>לישנא</w:t>
      </w:r>
      <w:r w:rsidRPr="00E93158">
        <w:rPr>
          <w:rFonts w:ascii="Calibri" w:hAnsi="Calibri" w:cs="Arial"/>
          <w:sz w:val="22"/>
          <w:szCs w:val="22"/>
          <w:rtl/>
        </w:rPr>
        <w:t>: "</w:t>
      </w:r>
      <w:r w:rsidRPr="00E93158">
        <w:rPr>
          <w:rFonts w:ascii="Calibri" w:hAnsi="Calibri" w:cs="Miriam" w:hint="eastAsia"/>
          <w:rtl/>
        </w:rPr>
        <w:t>קבע</w:t>
      </w:r>
      <w:r w:rsidRPr="00E93158">
        <w:rPr>
          <w:rFonts w:ascii="Calibri" w:hAnsi="Calibri" w:cs="Miriam"/>
          <w:rtl/>
        </w:rPr>
        <w:t xml:space="preserve"> </w:t>
      </w:r>
      <w:r w:rsidRPr="00E93158">
        <w:rPr>
          <w:rFonts w:ascii="Calibri" w:hAnsi="Calibri" w:cs="Miriam" w:hint="eastAsia"/>
          <w:rtl/>
        </w:rPr>
        <w:t>בית</w:t>
      </w:r>
      <w:r w:rsidRPr="00E93158">
        <w:rPr>
          <w:rFonts w:ascii="Calibri" w:hAnsi="Calibri" w:cs="Miriam"/>
          <w:rtl/>
        </w:rPr>
        <w:t xml:space="preserve"> </w:t>
      </w:r>
      <w:r w:rsidRPr="00E93158">
        <w:rPr>
          <w:rFonts w:ascii="Calibri" w:hAnsi="Calibri" w:cs="Miriam" w:hint="eastAsia"/>
          <w:rtl/>
        </w:rPr>
        <w:t>המשפט</w:t>
      </w:r>
      <w:r w:rsidRPr="00E93158">
        <w:rPr>
          <w:rFonts w:ascii="Calibri" w:hAnsi="Calibri" w:cs="Miriam"/>
          <w:rtl/>
        </w:rPr>
        <w:t xml:space="preserve"> </w:t>
      </w:r>
      <w:r w:rsidRPr="00E93158">
        <w:rPr>
          <w:rFonts w:ascii="Calibri" w:hAnsi="Calibri" w:cs="Miriam" w:hint="eastAsia"/>
          <w:rtl/>
        </w:rPr>
        <w:t>את</w:t>
      </w:r>
      <w:r w:rsidRPr="00E93158">
        <w:rPr>
          <w:rFonts w:ascii="Calibri" w:hAnsi="Calibri" w:cs="Miriam"/>
          <w:rtl/>
        </w:rPr>
        <w:t xml:space="preserve"> </w:t>
      </w:r>
      <w:r w:rsidRPr="00E93158">
        <w:rPr>
          <w:rFonts w:ascii="Calibri" w:hAnsi="Calibri" w:cs="Miriam" w:hint="eastAsia"/>
          <w:rtl/>
        </w:rPr>
        <w:t>מתחם</w:t>
      </w:r>
      <w:r w:rsidRPr="00E93158">
        <w:rPr>
          <w:rFonts w:ascii="Calibri" w:hAnsi="Calibri" w:cs="Miriam"/>
          <w:rtl/>
        </w:rPr>
        <w:t xml:space="preserve"> </w:t>
      </w:r>
      <w:r w:rsidRPr="00E93158">
        <w:rPr>
          <w:rFonts w:ascii="Calibri" w:hAnsi="Calibri" w:cs="Miriam" w:hint="eastAsia"/>
          <w:rtl/>
        </w:rPr>
        <w:t>העונש</w:t>
      </w:r>
      <w:r w:rsidRPr="00E93158">
        <w:rPr>
          <w:rFonts w:ascii="Calibri" w:hAnsi="Calibri" w:cs="Miriam"/>
          <w:rtl/>
        </w:rPr>
        <w:t xml:space="preserve"> </w:t>
      </w:r>
      <w:r w:rsidRPr="00E93158">
        <w:rPr>
          <w:rFonts w:ascii="Calibri" w:hAnsi="Calibri" w:cs="Miriam" w:hint="eastAsia"/>
          <w:rtl/>
        </w:rPr>
        <w:t>ההולם</w:t>
      </w:r>
      <w:r w:rsidRPr="00E93158">
        <w:rPr>
          <w:rFonts w:ascii="Calibri" w:hAnsi="Calibri" w:cs="Miriam"/>
          <w:rtl/>
        </w:rPr>
        <w:t xml:space="preserve"> </w:t>
      </w:r>
      <w:r w:rsidRPr="00E93158">
        <w:rPr>
          <w:rFonts w:ascii="Calibri" w:hAnsi="Calibri" w:cs="Miriam" w:hint="eastAsia"/>
          <w:rtl/>
        </w:rPr>
        <w:t>בהתאם</w:t>
      </w:r>
      <w:r w:rsidRPr="00E93158">
        <w:rPr>
          <w:rFonts w:ascii="Calibri" w:hAnsi="Calibri" w:cs="Miriam"/>
          <w:rtl/>
        </w:rPr>
        <w:t xml:space="preserve"> </w:t>
      </w:r>
      <w:r w:rsidRPr="00E93158">
        <w:rPr>
          <w:rFonts w:ascii="Calibri" w:hAnsi="Calibri" w:cs="Miriam" w:hint="eastAsia"/>
          <w:rtl/>
        </w:rPr>
        <w:t>לעיקרון</w:t>
      </w:r>
      <w:r w:rsidRPr="00E93158">
        <w:rPr>
          <w:rFonts w:ascii="Calibri" w:hAnsi="Calibri" w:cs="Miriam"/>
          <w:rtl/>
        </w:rPr>
        <w:t xml:space="preserve"> </w:t>
      </w:r>
      <w:r w:rsidRPr="00E93158">
        <w:rPr>
          <w:rFonts w:ascii="Calibri" w:hAnsi="Calibri" w:cs="Miriam" w:hint="eastAsia"/>
          <w:rtl/>
        </w:rPr>
        <w:t>המנחה</w:t>
      </w:r>
      <w:r w:rsidRPr="00E93158">
        <w:rPr>
          <w:rFonts w:ascii="Calibri" w:hAnsi="Calibri" w:cs="Miriam"/>
          <w:rtl/>
        </w:rPr>
        <w:t xml:space="preserve"> </w:t>
      </w:r>
      <w:r w:rsidRPr="00E93158">
        <w:rPr>
          <w:rFonts w:ascii="Calibri" w:hAnsi="Calibri" w:cs="Miriam" w:hint="eastAsia"/>
          <w:rtl/>
        </w:rPr>
        <w:t>ומצא</w:t>
      </w:r>
      <w:r w:rsidRPr="00E93158">
        <w:rPr>
          <w:rFonts w:ascii="Calibri" w:hAnsi="Calibri" w:cs="Miriam"/>
          <w:rtl/>
        </w:rPr>
        <w:t xml:space="preserve"> </w:t>
      </w:r>
      <w:r w:rsidRPr="00E93158">
        <w:rPr>
          <w:rFonts w:ascii="Calibri" w:hAnsi="Calibri" w:cs="Miriam" w:hint="eastAsia"/>
          <w:rtl/>
        </w:rPr>
        <w:t>כי</w:t>
      </w:r>
      <w:r w:rsidRPr="00E93158">
        <w:rPr>
          <w:rFonts w:ascii="Calibri" w:hAnsi="Calibri" w:cs="Miriam"/>
          <w:rtl/>
        </w:rPr>
        <w:t xml:space="preserve"> </w:t>
      </w:r>
      <w:r w:rsidRPr="00E93158">
        <w:rPr>
          <w:rFonts w:ascii="Calibri" w:hAnsi="Calibri" w:cs="Miriam" w:hint="eastAsia"/>
          <w:rtl/>
        </w:rPr>
        <w:t>הנאשם</w:t>
      </w:r>
      <w:r w:rsidRPr="00E93158">
        <w:rPr>
          <w:rFonts w:ascii="Calibri" w:hAnsi="Calibri" w:cs="Miriam"/>
          <w:rtl/>
        </w:rPr>
        <w:t xml:space="preserve"> </w:t>
      </w:r>
      <w:r w:rsidRPr="00E93158">
        <w:rPr>
          <w:rFonts w:ascii="Calibri" w:hAnsi="Calibri" w:cs="Miriam" w:hint="eastAsia"/>
          <w:rtl/>
        </w:rPr>
        <w:t>השתקם</w:t>
      </w:r>
      <w:r w:rsidRPr="00E93158">
        <w:rPr>
          <w:rFonts w:ascii="Calibri" w:hAnsi="Calibri" w:cs="Miriam"/>
          <w:rtl/>
        </w:rPr>
        <w:t xml:space="preserve"> </w:t>
      </w:r>
      <w:r w:rsidRPr="00E93158">
        <w:rPr>
          <w:rFonts w:ascii="Calibri" w:hAnsi="Calibri" w:cs="Miriam" w:hint="eastAsia"/>
          <w:rtl/>
        </w:rPr>
        <w:t>או</w:t>
      </w:r>
      <w:r w:rsidRPr="00E93158">
        <w:rPr>
          <w:rFonts w:ascii="Calibri" w:hAnsi="Calibri" w:cs="Miriam"/>
          <w:rtl/>
        </w:rPr>
        <w:t xml:space="preserve"> </w:t>
      </w:r>
      <w:r w:rsidRPr="00E93158">
        <w:rPr>
          <w:rFonts w:ascii="Calibri" w:hAnsi="Calibri" w:cs="Miriam" w:hint="eastAsia"/>
          <w:rtl/>
        </w:rPr>
        <w:t>כי</w:t>
      </w:r>
      <w:r w:rsidRPr="00E93158">
        <w:rPr>
          <w:rFonts w:ascii="Calibri" w:hAnsi="Calibri" w:cs="Miriam"/>
          <w:rtl/>
        </w:rPr>
        <w:t xml:space="preserve"> </w:t>
      </w:r>
      <w:r w:rsidRPr="00E93158">
        <w:rPr>
          <w:rFonts w:ascii="Calibri" w:hAnsi="Calibri" w:cs="Miriam" w:hint="eastAsia"/>
          <w:rtl/>
        </w:rPr>
        <w:t>יש</w:t>
      </w:r>
      <w:r w:rsidRPr="00E93158">
        <w:rPr>
          <w:rFonts w:ascii="Calibri" w:hAnsi="Calibri" w:cs="Miriam"/>
          <w:rtl/>
        </w:rPr>
        <w:t xml:space="preserve"> </w:t>
      </w:r>
      <w:r w:rsidRPr="00E93158">
        <w:rPr>
          <w:rFonts w:ascii="Calibri" w:hAnsi="Calibri" w:cs="Miriam" w:hint="eastAsia"/>
          <w:rtl/>
        </w:rPr>
        <w:t>סיכוי</w:t>
      </w:r>
      <w:r w:rsidRPr="00E93158">
        <w:rPr>
          <w:rFonts w:ascii="Calibri" w:hAnsi="Calibri" w:cs="Miriam"/>
          <w:rtl/>
        </w:rPr>
        <w:t xml:space="preserve"> </w:t>
      </w:r>
      <w:r w:rsidRPr="00E93158">
        <w:rPr>
          <w:rFonts w:ascii="Calibri" w:hAnsi="Calibri" w:cs="Miriam" w:hint="eastAsia"/>
          <w:rtl/>
        </w:rPr>
        <w:t>של</w:t>
      </w:r>
      <w:r w:rsidRPr="00E93158">
        <w:rPr>
          <w:rFonts w:ascii="Calibri" w:hAnsi="Calibri" w:cs="Miriam"/>
          <w:rtl/>
        </w:rPr>
        <w:t xml:space="preserve"> </w:t>
      </w:r>
      <w:r w:rsidRPr="00E93158">
        <w:rPr>
          <w:rFonts w:ascii="Calibri" w:hAnsi="Calibri" w:cs="Miriam" w:hint="eastAsia"/>
          <w:rtl/>
        </w:rPr>
        <w:t>ממש</w:t>
      </w:r>
      <w:r w:rsidRPr="00E93158">
        <w:rPr>
          <w:rFonts w:ascii="Calibri" w:hAnsi="Calibri" w:cs="Miriam"/>
          <w:rtl/>
        </w:rPr>
        <w:t xml:space="preserve"> </w:t>
      </w:r>
      <w:r w:rsidRPr="00E93158">
        <w:rPr>
          <w:rFonts w:ascii="Calibri" w:hAnsi="Calibri" w:cs="Miriam" w:hint="eastAsia"/>
          <w:rtl/>
        </w:rPr>
        <w:t>שישתקם</w:t>
      </w:r>
      <w:r w:rsidRPr="00E93158">
        <w:rPr>
          <w:rFonts w:ascii="Calibri" w:hAnsi="Calibri" w:cs="Miriam"/>
          <w:rtl/>
        </w:rPr>
        <w:t xml:space="preserve">, </w:t>
      </w:r>
      <w:r w:rsidRPr="00E93158">
        <w:rPr>
          <w:rFonts w:ascii="Calibri" w:hAnsi="Calibri" w:cs="Miriam" w:hint="eastAsia"/>
          <w:rtl/>
        </w:rPr>
        <w:t>רשאי</w:t>
      </w:r>
      <w:r w:rsidRPr="00E93158">
        <w:rPr>
          <w:rFonts w:ascii="Calibri" w:hAnsi="Calibri" w:cs="Miriam"/>
          <w:rtl/>
        </w:rPr>
        <w:t xml:space="preserve"> </w:t>
      </w:r>
      <w:r w:rsidRPr="00E93158">
        <w:rPr>
          <w:rFonts w:ascii="Calibri" w:hAnsi="Calibri" w:cs="Miriam" w:hint="eastAsia"/>
          <w:rtl/>
        </w:rPr>
        <w:t>הוא</w:t>
      </w:r>
      <w:r w:rsidRPr="00E93158">
        <w:rPr>
          <w:rFonts w:ascii="Calibri" w:hAnsi="Calibri" w:cs="Miriam"/>
          <w:rtl/>
        </w:rPr>
        <w:t xml:space="preserve"> </w:t>
      </w:r>
      <w:r w:rsidRPr="00E93158">
        <w:rPr>
          <w:rFonts w:ascii="Calibri" w:hAnsi="Calibri" w:cs="Miriam" w:hint="eastAsia"/>
          <w:rtl/>
        </w:rPr>
        <w:t>לחרוג</w:t>
      </w:r>
      <w:r w:rsidRPr="00E93158">
        <w:rPr>
          <w:rFonts w:ascii="Calibri" w:hAnsi="Calibri" w:cs="Miriam"/>
          <w:rtl/>
        </w:rPr>
        <w:t xml:space="preserve"> </w:t>
      </w:r>
      <w:r w:rsidRPr="00E93158">
        <w:rPr>
          <w:rFonts w:ascii="Calibri" w:hAnsi="Calibri" w:cs="Miriam" w:hint="eastAsia"/>
          <w:rtl/>
        </w:rPr>
        <w:t>ממתחם</w:t>
      </w:r>
      <w:r w:rsidRPr="00E93158">
        <w:rPr>
          <w:rFonts w:ascii="Calibri" w:hAnsi="Calibri" w:cs="Miriam"/>
          <w:rtl/>
        </w:rPr>
        <w:t xml:space="preserve"> </w:t>
      </w:r>
      <w:r w:rsidRPr="00E93158">
        <w:rPr>
          <w:rFonts w:ascii="Calibri" w:hAnsi="Calibri" w:cs="Miriam" w:hint="eastAsia"/>
          <w:rtl/>
        </w:rPr>
        <w:t>העונש</w:t>
      </w:r>
      <w:r w:rsidRPr="00E93158">
        <w:rPr>
          <w:rFonts w:ascii="Calibri" w:hAnsi="Calibri" w:cs="Miriam"/>
          <w:rtl/>
        </w:rPr>
        <w:t xml:space="preserve"> </w:t>
      </w:r>
      <w:r w:rsidRPr="00E93158">
        <w:rPr>
          <w:rFonts w:ascii="Calibri" w:hAnsi="Calibri" w:cs="Miriam" w:hint="eastAsia"/>
          <w:rtl/>
        </w:rPr>
        <w:t>ההולם</w:t>
      </w:r>
      <w:r w:rsidRPr="00E93158">
        <w:rPr>
          <w:rFonts w:ascii="Calibri" w:hAnsi="Calibri" w:cs="Miriam"/>
          <w:rtl/>
        </w:rPr>
        <w:t xml:space="preserve"> </w:t>
      </w:r>
      <w:r w:rsidRPr="00E93158">
        <w:rPr>
          <w:rFonts w:ascii="Calibri" w:hAnsi="Calibri" w:cs="Miriam" w:hint="eastAsia"/>
          <w:rtl/>
        </w:rPr>
        <w:t>ולקבוע</w:t>
      </w:r>
      <w:r w:rsidRPr="00E93158">
        <w:rPr>
          <w:rFonts w:ascii="Calibri" w:hAnsi="Calibri" w:cs="Miriam"/>
          <w:rtl/>
        </w:rPr>
        <w:t xml:space="preserve"> </w:t>
      </w:r>
      <w:r w:rsidRPr="00E93158">
        <w:rPr>
          <w:rFonts w:ascii="Calibri" w:hAnsi="Calibri" w:cs="Miriam" w:hint="eastAsia"/>
          <w:rtl/>
        </w:rPr>
        <w:t>את</w:t>
      </w:r>
      <w:r w:rsidRPr="00E93158">
        <w:rPr>
          <w:rFonts w:ascii="Calibri" w:hAnsi="Calibri" w:cs="Miriam"/>
          <w:rtl/>
        </w:rPr>
        <w:t xml:space="preserve"> </w:t>
      </w:r>
      <w:r w:rsidRPr="00E93158">
        <w:rPr>
          <w:rFonts w:ascii="Calibri" w:hAnsi="Calibri" w:cs="Miriam" w:hint="eastAsia"/>
          <w:rtl/>
        </w:rPr>
        <w:t>עונשו</w:t>
      </w:r>
      <w:r w:rsidRPr="00E93158">
        <w:rPr>
          <w:rFonts w:ascii="Calibri" w:hAnsi="Calibri" w:cs="Miriam"/>
          <w:rtl/>
        </w:rPr>
        <w:t xml:space="preserve"> </w:t>
      </w:r>
      <w:r w:rsidRPr="00E93158">
        <w:rPr>
          <w:rFonts w:ascii="Calibri" w:hAnsi="Calibri" w:cs="Miriam" w:hint="eastAsia"/>
          <w:rtl/>
        </w:rPr>
        <w:t>של</w:t>
      </w:r>
      <w:r w:rsidRPr="00E93158">
        <w:rPr>
          <w:rFonts w:ascii="Calibri" w:hAnsi="Calibri" w:cs="Miriam"/>
          <w:rtl/>
        </w:rPr>
        <w:t xml:space="preserve"> </w:t>
      </w:r>
      <w:r w:rsidRPr="00E93158">
        <w:rPr>
          <w:rFonts w:ascii="Calibri" w:hAnsi="Calibri" w:cs="Miriam" w:hint="eastAsia"/>
          <w:rtl/>
        </w:rPr>
        <w:t>הנאשם</w:t>
      </w:r>
      <w:r w:rsidRPr="00E93158">
        <w:rPr>
          <w:rFonts w:ascii="Calibri" w:hAnsi="Calibri" w:cs="Miriam"/>
          <w:rtl/>
        </w:rPr>
        <w:t xml:space="preserve"> </w:t>
      </w:r>
      <w:r w:rsidRPr="00E93158">
        <w:rPr>
          <w:rFonts w:ascii="Calibri" w:hAnsi="Calibri" w:cs="Miriam" w:hint="eastAsia"/>
          <w:rtl/>
        </w:rPr>
        <w:t>לפי</w:t>
      </w:r>
      <w:r w:rsidRPr="00E93158">
        <w:rPr>
          <w:rFonts w:ascii="Calibri" w:hAnsi="Calibri" w:cs="Miriam"/>
          <w:rtl/>
        </w:rPr>
        <w:t xml:space="preserve"> </w:t>
      </w:r>
      <w:r w:rsidRPr="00E93158">
        <w:rPr>
          <w:rFonts w:ascii="Calibri" w:hAnsi="Calibri" w:cs="Miriam" w:hint="eastAsia"/>
          <w:rtl/>
        </w:rPr>
        <w:t>שיקולי</w:t>
      </w:r>
      <w:r w:rsidRPr="00E93158">
        <w:rPr>
          <w:rFonts w:ascii="Calibri" w:hAnsi="Calibri" w:cs="Miriam"/>
          <w:rtl/>
        </w:rPr>
        <w:t xml:space="preserve"> </w:t>
      </w:r>
      <w:r w:rsidRPr="00E93158">
        <w:rPr>
          <w:rFonts w:ascii="Calibri" w:hAnsi="Calibri" w:cs="Miriam" w:hint="eastAsia"/>
          <w:rtl/>
        </w:rPr>
        <w:t>שיקומו</w:t>
      </w:r>
      <w:r w:rsidRPr="00E93158">
        <w:rPr>
          <w:rFonts w:ascii="Calibri" w:hAnsi="Calibri" w:cs="Miriam"/>
          <w:rtl/>
        </w:rPr>
        <w:t xml:space="preserve">, </w:t>
      </w:r>
      <w:r w:rsidRPr="00E93158">
        <w:rPr>
          <w:rFonts w:ascii="Calibri" w:hAnsi="Calibri" w:cs="Miriam" w:hint="eastAsia"/>
          <w:rtl/>
        </w:rPr>
        <w:t>וכן</w:t>
      </w:r>
      <w:r w:rsidRPr="00E93158">
        <w:rPr>
          <w:rFonts w:ascii="Calibri" w:hAnsi="Calibri" w:cs="Miriam"/>
          <w:rtl/>
        </w:rPr>
        <w:t xml:space="preserve"> </w:t>
      </w:r>
      <w:r w:rsidRPr="00E93158">
        <w:rPr>
          <w:rFonts w:ascii="Calibri" w:hAnsi="Calibri" w:cs="Miriam" w:hint="eastAsia"/>
          <w:rtl/>
        </w:rPr>
        <w:t>להורות</w:t>
      </w:r>
      <w:r w:rsidRPr="00E93158">
        <w:rPr>
          <w:rFonts w:ascii="Calibri" w:hAnsi="Calibri" w:cs="Miriam"/>
          <w:rtl/>
        </w:rPr>
        <w:t xml:space="preserve"> </w:t>
      </w:r>
      <w:r w:rsidRPr="00E93158">
        <w:rPr>
          <w:rFonts w:ascii="Calibri" w:hAnsi="Calibri" w:cs="Miriam" w:hint="eastAsia"/>
          <w:rtl/>
        </w:rPr>
        <w:t>על</w:t>
      </w:r>
      <w:r w:rsidRPr="00E93158">
        <w:rPr>
          <w:rFonts w:ascii="Calibri" w:hAnsi="Calibri" w:cs="Miriam"/>
          <w:rtl/>
        </w:rPr>
        <w:t xml:space="preserve"> </w:t>
      </w:r>
      <w:r w:rsidRPr="00E93158">
        <w:rPr>
          <w:rFonts w:ascii="Calibri" w:hAnsi="Calibri" w:cs="Miriam" w:hint="eastAsia"/>
          <w:rtl/>
        </w:rPr>
        <w:t>נקיטת</w:t>
      </w:r>
      <w:r w:rsidRPr="00E93158">
        <w:rPr>
          <w:rFonts w:ascii="Calibri" w:hAnsi="Calibri" w:cs="Miriam"/>
          <w:rtl/>
        </w:rPr>
        <w:t xml:space="preserve"> </w:t>
      </w:r>
      <w:r w:rsidRPr="00E93158">
        <w:rPr>
          <w:rFonts w:ascii="Calibri" w:hAnsi="Calibri" w:cs="Miriam" w:hint="eastAsia"/>
          <w:rtl/>
        </w:rPr>
        <w:t>אמצעי</w:t>
      </w:r>
      <w:r w:rsidRPr="00E93158">
        <w:rPr>
          <w:rFonts w:ascii="Calibri" w:hAnsi="Calibri" w:cs="Miriam"/>
          <w:rtl/>
        </w:rPr>
        <w:t xml:space="preserve"> </w:t>
      </w:r>
      <w:r w:rsidRPr="00E93158">
        <w:rPr>
          <w:rFonts w:ascii="Calibri" w:hAnsi="Calibri" w:cs="Miriam" w:hint="eastAsia"/>
          <w:rtl/>
        </w:rPr>
        <w:t>שיקומי</w:t>
      </w:r>
      <w:r w:rsidRPr="00E93158">
        <w:rPr>
          <w:rFonts w:ascii="Calibri" w:hAnsi="Calibri" w:cs="Miriam"/>
          <w:rtl/>
        </w:rPr>
        <w:t xml:space="preserve"> </w:t>
      </w:r>
      <w:r w:rsidRPr="00E93158">
        <w:rPr>
          <w:rFonts w:ascii="Calibri" w:hAnsi="Calibri" w:cs="Miriam" w:hint="eastAsia"/>
          <w:rtl/>
        </w:rPr>
        <w:t>כלפי</w:t>
      </w:r>
      <w:r w:rsidRPr="00E93158">
        <w:rPr>
          <w:rFonts w:ascii="Calibri" w:hAnsi="Calibri" w:cs="Miriam"/>
          <w:rtl/>
        </w:rPr>
        <w:t xml:space="preserve"> </w:t>
      </w:r>
      <w:r w:rsidRPr="00E93158">
        <w:rPr>
          <w:rFonts w:ascii="Calibri" w:hAnsi="Calibri" w:cs="Miriam" w:hint="eastAsia"/>
          <w:rtl/>
        </w:rPr>
        <w:t>הנאשם</w:t>
      </w:r>
      <w:r w:rsidRPr="00E93158">
        <w:rPr>
          <w:rFonts w:ascii="Calibri" w:hAnsi="Calibri" w:cs="Miriam"/>
          <w:rtl/>
        </w:rPr>
        <w:t xml:space="preserve">, </w:t>
      </w:r>
      <w:r w:rsidRPr="00E93158">
        <w:rPr>
          <w:rFonts w:ascii="Calibri" w:hAnsi="Calibri" w:cs="Miriam" w:hint="eastAsia"/>
          <w:rtl/>
        </w:rPr>
        <w:t>לרבות</w:t>
      </w:r>
      <w:r w:rsidRPr="00E93158">
        <w:rPr>
          <w:rFonts w:ascii="Calibri" w:hAnsi="Calibri" w:cs="Miriam"/>
          <w:rtl/>
        </w:rPr>
        <w:t xml:space="preserve"> </w:t>
      </w:r>
      <w:r w:rsidRPr="00E93158">
        <w:rPr>
          <w:rFonts w:ascii="Calibri" w:hAnsi="Calibri" w:cs="Miriam" w:hint="eastAsia"/>
          <w:rtl/>
        </w:rPr>
        <w:t>העמדתו</w:t>
      </w:r>
      <w:r w:rsidRPr="00E93158">
        <w:rPr>
          <w:rFonts w:ascii="Calibri" w:hAnsi="Calibri" w:cs="Miriam"/>
          <w:rtl/>
        </w:rPr>
        <w:t xml:space="preserve"> </w:t>
      </w:r>
      <w:r w:rsidRPr="00E93158">
        <w:rPr>
          <w:rFonts w:ascii="Calibri" w:hAnsi="Calibri" w:cs="Miriam" w:hint="eastAsia"/>
          <w:rtl/>
        </w:rPr>
        <w:t>במבחן</w:t>
      </w:r>
      <w:r w:rsidRPr="00E93158">
        <w:rPr>
          <w:rFonts w:ascii="Calibri" w:hAnsi="Calibri" w:cs="Miriam"/>
          <w:rtl/>
        </w:rPr>
        <w:t xml:space="preserve"> </w:t>
      </w:r>
      <w:r w:rsidRPr="00E93158">
        <w:rPr>
          <w:rFonts w:ascii="Calibri" w:hAnsi="Calibri" w:cs="Miriam" w:hint="eastAsia"/>
          <w:rtl/>
        </w:rPr>
        <w:t>לפי</w:t>
      </w:r>
      <w:r w:rsidRPr="00E93158">
        <w:rPr>
          <w:rFonts w:ascii="Calibri" w:hAnsi="Calibri" w:cs="Miriam"/>
          <w:rtl/>
        </w:rPr>
        <w:t xml:space="preserve"> </w:t>
      </w:r>
      <w:r w:rsidRPr="00E93158">
        <w:rPr>
          <w:rFonts w:ascii="Calibri" w:hAnsi="Calibri" w:cs="Miriam" w:hint="eastAsia"/>
          <w:rtl/>
        </w:rPr>
        <w:t>סעיפים</w:t>
      </w:r>
      <w:r w:rsidRPr="00E93158">
        <w:rPr>
          <w:rFonts w:ascii="Calibri" w:hAnsi="Calibri" w:cs="Miriam"/>
          <w:rtl/>
        </w:rPr>
        <w:t xml:space="preserve"> 82 </w:t>
      </w:r>
      <w:r w:rsidRPr="00E93158">
        <w:rPr>
          <w:rFonts w:ascii="Calibri" w:hAnsi="Calibri" w:cs="Miriam" w:hint="eastAsia"/>
          <w:rtl/>
        </w:rPr>
        <w:t>או</w:t>
      </w:r>
      <w:r w:rsidRPr="00E93158">
        <w:rPr>
          <w:rFonts w:ascii="Calibri" w:hAnsi="Calibri" w:cs="Miriam"/>
          <w:rtl/>
        </w:rPr>
        <w:t xml:space="preserve"> 86 </w:t>
      </w:r>
      <w:r w:rsidRPr="00E93158">
        <w:rPr>
          <w:rFonts w:ascii="Calibri" w:hAnsi="Calibri" w:cs="Miriam" w:hint="eastAsia"/>
          <w:rtl/>
        </w:rPr>
        <w:t>או</w:t>
      </w:r>
      <w:r w:rsidRPr="00E93158">
        <w:rPr>
          <w:rFonts w:ascii="Calibri" w:hAnsi="Calibri" w:cs="Miriam"/>
          <w:rtl/>
        </w:rPr>
        <w:t xml:space="preserve"> </w:t>
      </w:r>
      <w:r w:rsidRPr="00E93158">
        <w:rPr>
          <w:rFonts w:ascii="Calibri" w:hAnsi="Calibri" w:cs="Miriam" w:hint="eastAsia"/>
          <w:rtl/>
        </w:rPr>
        <w:t>לפי</w:t>
      </w:r>
      <w:r w:rsidRPr="00E93158">
        <w:rPr>
          <w:rFonts w:ascii="Calibri" w:hAnsi="Calibri" w:cs="Miriam"/>
          <w:rtl/>
        </w:rPr>
        <w:t xml:space="preserve"> </w:t>
      </w:r>
      <w:hyperlink r:id="rId38" w:history="1">
        <w:r w:rsidR="002162AD" w:rsidRPr="002162AD">
          <w:rPr>
            <w:rFonts w:ascii="Calibri" w:hAnsi="Calibri" w:cs="Miriam" w:hint="eastAsia"/>
            <w:color w:val="0000FF"/>
            <w:u w:val="single"/>
            <w:rtl/>
          </w:rPr>
          <w:t>פקודת</w:t>
        </w:r>
        <w:r w:rsidR="002162AD" w:rsidRPr="002162AD">
          <w:rPr>
            <w:rFonts w:ascii="Calibri" w:hAnsi="Calibri" w:cs="Miriam"/>
            <w:color w:val="0000FF"/>
            <w:u w:val="single"/>
            <w:rtl/>
          </w:rPr>
          <w:t xml:space="preserve"> </w:t>
        </w:r>
        <w:r w:rsidR="002162AD" w:rsidRPr="002162AD">
          <w:rPr>
            <w:rFonts w:ascii="Calibri" w:hAnsi="Calibri" w:cs="Miriam" w:hint="eastAsia"/>
            <w:color w:val="0000FF"/>
            <w:u w:val="single"/>
            <w:rtl/>
          </w:rPr>
          <w:t>המבחן</w:t>
        </w:r>
      </w:hyperlink>
      <w:r w:rsidRPr="00E93158">
        <w:rPr>
          <w:rFonts w:ascii="Calibri" w:hAnsi="Calibri" w:cs="Miriam"/>
          <w:rtl/>
        </w:rPr>
        <w:t xml:space="preserve"> [</w:t>
      </w:r>
      <w:r w:rsidRPr="00E93158">
        <w:rPr>
          <w:rFonts w:ascii="Calibri" w:hAnsi="Calibri" w:cs="Miriam" w:hint="eastAsia"/>
          <w:rtl/>
        </w:rPr>
        <w:t>נוסח</w:t>
      </w:r>
      <w:r w:rsidRPr="00E93158">
        <w:rPr>
          <w:rFonts w:ascii="Calibri" w:hAnsi="Calibri" w:cs="Miriam"/>
          <w:rtl/>
        </w:rPr>
        <w:t xml:space="preserve"> </w:t>
      </w:r>
      <w:r w:rsidRPr="00E93158">
        <w:rPr>
          <w:rFonts w:ascii="Calibri" w:hAnsi="Calibri" w:cs="Miriam" w:hint="eastAsia"/>
          <w:rtl/>
        </w:rPr>
        <w:t>חדש</w:t>
      </w:r>
      <w:r w:rsidRPr="00E93158">
        <w:rPr>
          <w:rFonts w:ascii="Calibri" w:hAnsi="Calibri" w:cs="Miriam"/>
          <w:rtl/>
        </w:rPr>
        <w:t xml:space="preserve">], </w:t>
      </w:r>
      <w:r w:rsidRPr="00E93158">
        <w:rPr>
          <w:rFonts w:ascii="Calibri" w:hAnsi="Calibri" w:cs="Miriam" w:hint="eastAsia"/>
          <w:rtl/>
        </w:rPr>
        <w:t>התשכ</w:t>
      </w:r>
      <w:r w:rsidRPr="00E93158">
        <w:rPr>
          <w:rFonts w:ascii="Calibri" w:hAnsi="Calibri" w:cs="Miriam"/>
          <w:rtl/>
        </w:rPr>
        <w:t>"</w:t>
      </w:r>
      <w:r w:rsidRPr="00E93158">
        <w:rPr>
          <w:rFonts w:ascii="Calibri" w:hAnsi="Calibri" w:cs="Miriam" w:hint="eastAsia"/>
          <w:rtl/>
        </w:rPr>
        <w:t>ט</w:t>
      </w:r>
      <w:r w:rsidRPr="00E93158">
        <w:rPr>
          <w:rFonts w:ascii="Calibri" w:hAnsi="Calibri" w:cs="Miriam"/>
          <w:rtl/>
        </w:rPr>
        <w:t xml:space="preserve">-1969". </w:t>
      </w:r>
    </w:p>
    <w:p w14:paraId="293B1658" w14:textId="77777777" w:rsidR="00E93158" w:rsidRPr="00E93158" w:rsidRDefault="00E93158" w:rsidP="00E93158">
      <w:pPr>
        <w:spacing w:after="160" w:line="259" w:lineRule="auto"/>
        <w:jc w:val="both"/>
        <w:rPr>
          <w:rFonts w:ascii="Calibri" w:hAnsi="Calibri" w:cs="Arial"/>
          <w:sz w:val="22"/>
          <w:szCs w:val="22"/>
          <w:rtl/>
        </w:rPr>
      </w:pPr>
    </w:p>
    <w:p w14:paraId="5AD4F2C0"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44</w:t>
      </w:r>
      <w:r w:rsidRPr="00E93158">
        <w:rPr>
          <w:rFonts w:ascii="Calibri" w:hAnsi="Calibri" w:cs="Arial" w:hint="cs"/>
          <w:sz w:val="22"/>
          <w:szCs w:val="22"/>
          <w:rtl/>
        </w:rPr>
        <w:t>.</w:t>
      </w:r>
      <w:r w:rsidRPr="00E93158">
        <w:rPr>
          <w:rFonts w:ascii="Calibri" w:hAnsi="Calibri" w:cs="Arial" w:hint="cs"/>
          <w:sz w:val="22"/>
          <w:szCs w:val="22"/>
          <w:rtl/>
        </w:rPr>
        <w:tab/>
      </w:r>
      <w:r w:rsidRPr="00E93158">
        <w:rPr>
          <w:rFonts w:ascii="Calibri" w:hAnsi="Calibri" w:hint="cs"/>
          <w:rtl/>
        </w:rPr>
        <w:t>אינני מתעלמת מחומרת העבירה שבפנינו. אולם, בד בבד אני בדעה כי ניתן בתיק זה להעניק לשיקולי השיקום משקל גדול מזה הניתן לשיקולי הגמול וההרתעה, בין היתר, בהתחשב בכך שעסקינן, עפ"י כתב האישום המתוקן, בנשיאת הנשק ע"י הנאשם לפרק זמן קצר, מבלי שנעשה בו שימוש.  כן אוסיף כי מדובר במעידה חד-פעמית של הנאשם, אשר עברו, הן הפלילי והן התעבורתי, נקי ללא רבב. כמו כן, מקפיד הנאשם, כאמור, למלא אחר התנאים המגבילים בהם הוא נתון מזה תקופה ממושכת. זאת ועוד, לא נפתחו נגדו במהלך תקופה זו, תיקים נוספים במשטרת ישראל. בנקודה זו אפנה לגזר הדין שניתן בבית משפט זה ע"י כב' השופט ליפשיץ ב</w:t>
      </w:r>
      <w:hyperlink r:id="rId39" w:history="1">
        <w:r w:rsidR="002162AD" w:rsidRPr="002162AD">
          <w:rPr>
            <w:rFonts w:ascii="Calibri" w:hAnsi="Calibri" w:hint="eastAsia"/>
            <w:color w:val="0000FF"/>
            <w:u w:val="single"/>
            <w:rtl/>
          </w:rPr>
          <w:t>ת</w:t>
        </w:r>
        <w:r w:rsidR="002162AD" w:rsidRPr="002162AD">
          <w:rPr>
            <w:rFonts w:ascii="Calibri" w:hAnsi="Calibri"/>
            <w:color w:val="0000FF"/>
            <w:u w:val="single"/>
            <w:rtl/>
          </w:rPr>
          <w:t>.</w:t>
        </w:r>
        <w:r w:rsidR="002162AD" w:rsidRPr="002162AD">
          <w:rPr>
            <w:rFonts w:ascii="Calibri" w:hAnsi="Calibri" w:hint="eastAsia"/>
            <w:color w:val="0000FF"/>
            <w:u w:val="single"/>
            <w:rtl/>
          </w:rPr>
          <w:t>פ</w:t>
        </w:r>
        <w:r w:rsidR="002162AD" w:rsidRPr="002162AD">
          <w:rPr>
            <w:rFonts w:ascii="Calibri" w:hAnsi="Calibri"/>
            <w:color w:val="0000FF"/>
            <w:u w:val="single"/>
            <w:rtl/>
          </w:rPr>
          <w:t>. 41276-06-17</w:t>
        </w:r>
      </w:hyperlink>
      <w:r w:rsidRPr="00E93158">
        <w:rPr>
          <w:rFonts w:ascii="Calibri" w:hAnsi="Calibri" w:hint="cs"/>
          <w:rtl/>
        </w:rPr>
        <w:t xml:space="preserve"> </w:t>
      </w:r>
      <w:r w:rsidRPr="00E93158">
        <w:rPr>
          <w:rFonts w:ascii="Calibri" w:hAnsi="Calibri" w:cs="Miriam" w:hint="cs"/>
          <w:rtl/>
        </w:rPr>
        <w:t>מדינת ישראל נ' ג'בארין ואח'</w:t>
      </w:r>
      <w:r w:rsidRPr="00E93158">
        <w:rPr>
          <w:rFonts w:ascii="Calibri" w:hAnsi="Calibri" w:hint="cs"/>
          <w:rtl/>
        </w:rPr>
        <w:t xml:space="preserve"> (17/7/18) (להלן: </w:t>
      </w:r>
      <w:r w:rsidRPr="00E93158">
        <w:rPr>
          <w:rFonts w:ascii="Calibri" w:hAnsi="Calibri" w:cs="Miriam" w:hint="cs"/>
          <w:rtl/>
        </w:rPr>
        <w:t>עניין ג'בארין</w:t>
      </w:r>
      <w:r w:rsidRPr="00E93158">
        <w:rPr>
          <w:rFonts w:ascii="Calibri" w:hAnsi="Calibri" w:hint="cs"/>
          <w:rtl/>
        </w:rPr>
        <w:t xml:space="preserve">) (ראו </w:t>
      </w:r>
      <w:r w:rsidRPr="00E93158">
        <w:rPr>
          <w:rFonts w:ascii="Calibri" w:hAnsi="Calibri" w:cs="Miriam" w:hint="cs"/>
          <w:rtl/>
        </w:rPr>
        <w:t>נ/1</w:t>
      </w:r>
      <w:r w:rsidRPr="00E93158">
        <w:rPr>
          <w:rFonts w:ascii="Calibri" w:hAnsi="Calibri" w:hint="cs"/>
          <w:rtl/>
        </w:rPr>
        <w:t xml:space="preserve">). בעניין ג'בארין הורשעו שני הנאשמים, מכוח הודאתם, בעבירה שעניינה נשיאת נשק ותחמושת. השניים נשאו באזור מיוער נשק מסוג קרל גוסטב ומחסנית תואמת, תוך שנאשם 1 החזיק בכיסו 12 כדורי 9 מ"מ. יתרה מכך, אותם נאשמים גם ירו בנשק במקום בו שהו. בית המשפט ביכר בתיק הנ"ל את הפן השיקומי, בין היתר, בהתחשב בכך שנשיאת הנשק יוחסה לנאשמים רק לגבי שהייתם בשטח המיוער ולא נטען ע"י המאשימה כי הם הביאו את הנשק למקום. בסופו של דבר, אימץ בית המשפט את המלצות שירות המבחן והשית בתיק הנ"ל על כל אחד מהנאשמים עונש של מאסר בפועל בעבודות שרות, מאסרים על תנאי וצו מבחן. </w:t>
      </w:r>
    </w:p>
    <w:p w14:paraId="3671A636"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ומהתם להכא: אף בתיק זה בו גם עסקינן, עפ"י הנטען, בנשיאה קצרה של הנשק, מן הראוי, בנסיבות שבפנינו המלמדות על סיכוי של ממש לשיקומו של הנאשם, לסטות ממתחם העונש ההולם. שליחת הנאשם למאסר מאחורי סורג ובריח עלולה להביא חלילה להשתלבותו  במעגל הפשיעה, דבר אינו עולה בקנה אחד עם האינטרס הציבורי כי  הנאשם הצעיר ישקם את חייו ויפתח דף חדש שיביא לשילובו בחברה הנורמטיבית.</w:t>
      </w:r>
    </w:p>
    <w:p w14:paraId="41024620" w14:textId="77777777" w:rsidR="00E93158" w:rsidRPr="00E93158" w:rsidRDefault="00E93158" w:rsidP="00E93158">
      <w:pPr>
        <w:spacing w:after="160"/>
        <w:jc w:val="both"/>
        <w:rPr>
          <w:rFonts w:ascii="Calibri" w:hAnsi="Calibri" w:cs="Arial"/>
          <w:sz w:val="22"/>
          <w:szCs w:val="22"/>
          <w:rtl/>
        </w:rPr>
      </w:pPr>
    </w:p>
    <w:p w14:paraId="0F4911AB"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45.</w:t>
      </w:r>
      <w:r w:rsidRPr="00E93158">
        <w:rPr>
          <w:rFonts w:ascii="Calibri" w:hAnsi="Calibri" w:hint="cs"/>
          <w:rtl/>
        </w:rPr>
        <w:tab/>
        <w:t xml:space="preserve">נוכח הסיכוי הממשי לשיקום הנאשם, ובהתחשב בכך שהנאשם בעל העבר הנקי היה נתון כחודש וחצי במעצר של ממש לראשונה בחייו, כמו גם במעצר באיזוק אלקטרוני למשך תקופה של 11 חודשים, ואף במעצר בית כמעט מלא עד כה, וכן בהתחשב בנסיבותיו האישיות של הנאשם העולות מהתסקירים ובהודאתו בהזדמנות הראשונה שחסכה את העדת עדי התביעה ומזמנו היקר של בית המשפט, הרי שיש מקום בתיק זה לתת לנאשם הזדמנות לשיקום ולסטות ממתחם העונש ההולם לקולא מטעמים של שיקום. אי לכך, יושת על הנאשם בתיק זה עונש של 6 חודשי מאסר בפועל שירוצו בדרך של עבודות שרות, כאמור בחוות דעת הממונה על עבודות שרות, וזאת לצד רכיב ענישה משמעותי של מאסר על תנאי וצו מבחן לתקופה המרבית של שלוש שנים. </w:t>
      </w:r>
    </w:p>
    <w:p w14:paraId="01379103" w14:textId="77777777" w:rsidR="00E93158" w:rsidRPr="00E93158" w:rsidRDefault="00E93158" w:rsidP="00E93158">
      <w:pPr>
        <w:spacing w:after="160"/>
        <w:jc w:val="both"/>
        <w:rPr>
          <w:rFonts w:ascii="Calibri" w:hAnsi="Calibri"/>
          <w:rtl/>
        </w:rPr>
      </w:pPr>
    </w:p>
    <w:p w14:paraId="4BC2C2EE" w14:textId="77777777" w:rsidR="00E93158" w:rsidRPr="00E93158" w:rsidRDefault="00E93158" w:rsidP="00E93158">
      <w:pPr>
        <w:spacing w:after="160" w:line="360" w:lineRule="auto"/>
        <w:jc w:val="both"/>
        <w:rPr>
          <w:rFonts w:ascii="Calibri" w:hAnsi="Calibri"/>
          <w:rtl/>
        </w:rPr>
      </w:pPr>
      <w:r w:rsidRPr="00E93158">
        <w:rPr>
          <w:rFonts w:ascii="Calibri" w:hAnsi="Calibri" w:hint="cs"/>
          <w:rtl/>
        </w:rPr>
        <w:t>46.</w:t>
      </w:r>
      <w:r w:rsidRPr="00E93158">
        <w:rPr>
          <w:rFonts w:ascii="Calibri" w:hAnsi="Calibri" w:hint="cs"/>
          <w:rtl/>
        </w:rPr>
        <w:tab/>
        <w:t>בסיכומו של דבר, אני דנה את הנאשם, כדלקמן:</w:t>
      </w:r>
    </w:p>
    <w:p w14:paraId="09BD1010"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cs="Arial" w:hint="cs"/>
          <w:sz w:val="22"/>
          <w:szCs w:val="22"/>
          <w:rtl/>
        </w:rPr>
        <w:t>א.</w:t>
      </w:r>
      <w:r w:rsidRPr="00E93158">
        <w:rPr>
          <w:rFonts w:ascii="Calibri" w:hAnsi="Calibri" w:cs="Arial" w:hint="cs"/>
          <w:sz w:val="22"/>
          <w:szCs w:val="22"/>
          <w:rtl/>
        </w:rPr>
        <w:tab/>
      </w:r>
      <w:r w:rsidRPr="00E93158">
        <w:rPr>
          <w:rFonts w:ascii="Calibri" w:hAnsi="Calibri" w:hint="eastAsia"/>
          <w:rtl/>
        </w:rPr>
        <w:t>למאסר</w:t>
      </w:r>
      <w:r w:rsidRPr="00E93158">
        <w:rPr>
          <w:rFonts w:ascii="Calibri" w:hAnsi="Calibri"/>
          <w:rtl/>
        </w:rPr>
        <w:t xml:space="preserve"> </w:t>
      </w:r>
      <w:r w:rsidRPr="00E93158">
        <w:rPr>
          <w:rFonts w:ascii="Calibri" w:hAnsi="Calibri" w:hint="eastAsia"/>
          <w:rtl/>
        </w:rPr>
        <w:t>בפועל</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cs"/>
          <w:rtl/>
        </w:rPr>
        <w:t>6</w:t>
      </w:r>
      <w:r w:rsidRPr="00E93158">
        <w:rPr>
          <w:rFonts w:ascii="Calibri" w:hAnsi="Calibri"/>
          <w:rtl/>
        </w:rPr>
        <w:t xml:space="preserve"> </w:t>
      </w:r>
      <w:r w:rsidRPr="00E93158">
        <w:rPr>
          <w:rFonts w:ascii="Calibri" w:hAnsi="Calibri" w:hint="eastAsia"/>
          <w:rtl/>
        </w:rPr>
        <w:t>חודשים</w:t>
      </w:r>
      <w:r w:rsidRPr="00E93158">
        <w:rPr>
          <w:rFonts w:ascii="Calibri" w:hAnsi="Calibri" w:hint="cs"/>
          <w:rtl/>
        </w:rPr>
        <w:t xml:space="preserve">.  המאסר הנ"ל </w:t>
      </w:r>
      <w:r w:rsidRPr="00E93158">
        <w:rPr>
          <w:rFonts w:ascii="Calibri" w:hAnsi="Calibri" w:hint="eastAsia"/>
          <w:rtl/>
        </w:rPr>
        <w:t>ירוצה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ידי</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בדרך</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שירות</w:t>
      </w:r>
      <w:r w:rsidRPr="00E93158">
        <w:rPr>
          <w:rFonts w:ascii="Calibri" w:hAnsi="Calibri"/>
          <w:rtl/>
        </w:rPr>
        <w:t xml:space="preserve">, </w:t>
      </w:r>
      <w:r w:rsidRPr="00E93158">
        <w:rPr>
          <w:rFonts w:ascii="Calibri" w:hAnsi="Calibri" w:hint="eastAsia"/>
          <w:rtl/>
        </w:rPr>
        <w:t>כאמור</w:t>
      </w:r>
      <w:r w:rsidRPr="00E93158">
        <w:rPr>
          <w:rFonts w:ascii="Calibri" w:hAnsi="Calibri"/>
          <w:rtl/>
        </w:rPr>
        <w:t xml:space="preserve"> </w:t>
      </w:r>
      <w:r w:rsidRPr="00E93158">
        <w:rPr>
          <w:rFonts w:ascii="Calibri" w:hAnsi="Calibri" w:hint="eastAsia"/>
          <w:rtl/>
        </w:rPr>
        <w:t>בחוות</w:t>
      </w:r>
      <w:r w:rsidRPr="00E93158">
        <w:rPr>
          <w:rFonts w:ascii="Calibri" w:hAnsi="Calibri"/>
          <w:rtl/>
        </w:rPr>
        <w:t xml:space="preserve"> </w:t>
      </w:r>
      <w:r w:rsidRPr="00E93158">
        <w:rPr>
          <w:rFonts w:ascii="Calibri" w:hAnsi="Calibri" w:hint="eastAsia"/>
          <w:rtl/>
        </w:rPr>
        <w:t>דעת</w:t>
      </w:r>
      <w:r w:rsidRPr="00E93158">
        <w:rPr>
          <w:rFonts w:ascii="Calibri" w:hAnsi="Calibri"/>
          <w:rtl/>
        </w:rPr>
        <w:t xml:space="preserve"> </w:t>
      </w:r>
      <w:r w:rsidRPr="00E93158">
        <w:rPr>
          <w:rFonts w:ascii="Calibri" w:hAnsi="Calibri" w:hint="eastAsia"/>
          <w:rtl/>
        </w:rPr>
        <w:t>הממונה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היינו</w:t>
      </w:r>
      <w:r w:rsidRPr="00E93158">
        <w:rPr>
          <w:rFonts w:ascii="Calibri" w:hAnsi="Calibri"/>
          <w:rtl/>
        </w:rPr>
        <w:t xml:space="preserve">  </w:t>
      </w:r>
      <w:r w:rsidRPr="00E93158">
        <w:rPr>
          <w:rFonts w:ascii="Calibri" w:hAnsi="Calibri" w:hint="eastAsia"/>
          <w:rtl/>
        </w:rPr>
        <w:t>ב</w:t>
      </w:r>
      <w:r w:rsidRPr="00E93158">
        <w:rPr>
          <w:rFonts w:ascii="Calibri" w:hAnsi="Calibri" w:hint="cs"/>
          <w:rtl/>
        </w:rPr>
        <w:t>מרכז בריאות הנפש בטירת הכרמל.</w:t>
      </w:r>
    </w:p>
    <w:p w14:paraId="351DEE76"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יתייצב</w:t>
      </w:r>
      <w:r w:rsidRPr="00E93158">
        <w:rPr>
          <w:rFonts w:ascii="Calibri" w:hAnsi="Calibri"/>
          <w:rtl/>
        </w:rPr>
        <w:t xml:space="preserve"> </w:t>
      </w:r>
      <w:r w:rsidRPr="00E93158">
        <w:rPr>
          <w:rFonts w:ascii="Calibri" w:hAnsi="Calibri" w:hint="eastAsia"/>
          <w:rtl/>
        </w:rPr>
        <w:t>ביום</w:t>
      </w:r>
      <w:r w:rsidRPr="00E93158">
        <w:rPr>
          <w:rFonts w:ascii="Calibri" w:hAnsi="Calibri"/>
          <w:rtl/>
        </w:rPr>
        <w:t xml:space="preserve"> </w:t>
      </w:r>
      <w:r w:rsidRPr="00E93158">
        <w:rPr>
          <w:rFonts w:ascii="Calibri" w:hAnsi="Calibri" w:hint="cs"/>
          <w:rtl/>
        </w:rPr>
        <w:t xml:space="preserve"> 4/2/19 </w:t>
      </w:r>
      <w:r w:rsidRPr="00E93158">
        <w:rPr>
          <w:rFonts w:ascii="Calibri" w:hAnsi="Calibri" w:hint="eastAsia"/>
          <w:rtl/>
        </w:rPr>
        <w:t>בשעה</w:t>
      </w:r>
      <w:r w:rsidRPr="00E93158">
        <w:rPr>
          <w:rFonts w:ascii="Calibri" w:hAnsi="Calibri"/>
          <w:rtl/>
        </w:rPr>
        <w:t xml:space="preserve"> 8:00 </w:t>
      </w:r>
      <w:r w:rsidRPr="00E93158">
        <w:rPr>
          <w:rFonts w:ascii="Calibri" w:hAnsi="Calibri" w:hint="eastAsia"/>
          <w:rtl/>
        </w:rPr>
        <w:t>לצורך</w:t>
      </w:r>
      <w:r w:rsidRPr="00E93158">
        <w:rPr>
          <w:rFonts w:ascii="Calibri" w:hAnsi="Calibri"/>
          <w:rtl/>
        </w:rPr>
        <w:t xml:space="preserve"> </w:t>
      </w:r>
      <w:r w:rsidRPr="00E93158">
        <w:rPr>
          <w:rFonts w:ascii="Calibri" w:hAnsi="Calibri" w:hint="eastAsia"/>
          <w:rtl/>
        </w:rPr>
        <w:t>קליטה</w:t>
      </w:r>
      <w:r w:rsidRPr="00E93158">
        <w:rPr>
          <w:rFonts w:ascii="Calibri" w:hAnsi="Calibri"/>
          <w:rtl/>
        </w:rPr>
        <w:t xml:space="preserve"> </w:t>
      </w:r>
      <w:r w:rsidRPr="00E93158">
        <w:rPr>
          <w:rFonts w:ascii="Calibri" w:hAnsi="Calibri" w:hint="eastAsia"/>
          <w:rtl/>
        </w:rPr>
        <w:t>והצבה</w:t>
      </w:r>
      <w:r w:rsidRPr="00E93158">
        <w:rPr>
          <w:rFonts w:ascii="Calibri" w:hAnsi="Calibri"/>
          <w:rtl/>
        </w:rPr>
        <w:t xml:space="preserve">, </w:t>
      </w:r>
      <w:r w:rsidRPr="00E93158">
        <w:rPr>
          <w:rFonts w:ascii="Calibri" w:hAnsi="Calibri" w:hint="eastAsia"/>
          <w:rtl/>
        </w:rPr>
        <w:t>בתאריך</w:t>
      </w:r>
      <w:r w:rsidRPr="00E93158">
        <w:rPr>
          <w:rFonts w:ascii="Calibri" w:hAnsi="Calibri"/>
          <w:rtl/>
        </w:rPr>
        <w:t xml:space="preserve"> </w:t>
      </w:r>
      <w:r w:rsidRPr="00E93158">
        <w:rPr>
          <w:rFonts w:ascii="Calibri" w:hAnsi="Calibri" w:hint="eastAsia"/>
          <w:rtl/>
        </w:rPr>
        <w:t>תחילת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ביחידת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שירות</w:t>
      </w:r>
      <w:r w:rsidRPr="00E93158">
        <w:rPr>
          <w:rFonts w:ascii="Calibri" w:hAnsi="Calibri"/>
          <w:rtl/>
        </w:rPr>
        <w:t xml:space="preserve">, </w:t>
      </w:r>
      <w:r w:rsidRPr="00E93158">
        <w:rPr>
          <w:rFonts w:ascii="Calibri" w:hAnsi="Calibri" w:hint="eastAsia"/>
          <w:rtl/>
        </w:rPr>
        <w:t>מפקדת</w:t>
      </w:r>
      <w:r w:rsidRPr="00E93158">
        <w:rPr>
          <w:rFonts w:ascii="Calibri" w:hAnsi="Calibri"/>
          <w:rtl/>
        </w:rPr>
        <w:t xml:space="preserve"> </w:t>
      </w:r>
      <w:r w:rsidRPr="00E93158">
        <w:rPr>
          <w:rFonts w:ascii="Calibri" w:hAnsi="Calibri" w:hint="eastAsia"/>
          <w:rtl/>
        </w:rPr>
        <w:t>צפון</w:t>
      </w:r>
      <w:r w:rsidRPr="00E93158">
        <w:rPr>
          <w:rFonts w:ascii="Calibri" w:hAnsi="Calibri"/>
          <w:rtl/>
        </w:rPr>
        <w:t xml:space="preserve">, </w:t>
      </w:r>
      <w:r w:rsidRPr="00E93158">
        <w:rPr>
          <w:rFonts w:ascii="Calibri" w:hAnsi="Calibri" w:hint="eastAsia"/>
          <w:rtl/>
        </w:rPr>
        <w:t>בכתובת</w:t>
      </w:r>
      <w:r w:rsidRPr="00E93158">
        <w:rPr>
          <w:rFonts w:ascii="Calibri" w:hAnsi="Calibri"/>
          <w:rtl/>
        </w:rPr>
        <w:t xml:space="preserve"> </w:t>
      </w:r>
      <w:r w:rsidRPr="00E93158">
        <w:rPr>
          <w:rFonts w:ascii="Calibri" w:hAnsi="Calibri" w:hint="eastAsia"/>
          <w:rtl/>
        </w:rPr>
        <w:t>דרך</w:t>
      </w:r>
      <w:r w:rsidRPr="00E93158">
        <w:rPr>
          <w:rFonts w:ascii="Calibri" w:hAnsi="Calibri"/>
          <w:rtl/>
        </w:rPr>
        <w:t xml:space="preserve"> </w:t>
      </w:r>
      <w:r w:rsidRPr="00E93158">
        <w:rPr>
          <w:rFonts w:ascii="Calibri" w:hAnsi="Calibri" w:hint="eastAsia"/>
          <w:rtl/>
        </w:rPr>
        <w:t>הציונות</w:t>
      </w:r>
      <w:r w:rsidRPr="00E93158">
        <w:rPr>
          <w:rFonts w:ascii="Calibri" w:hAnsi="Calibri"/>
          <w:rtl/>
        </w:rPr>
        <w:t xml:space="preserve"> 14 </w:t>
      </w:r>
      <w:r w:rsidRPr="00E93158">
        <w:rPr>
          <w:rFonts w:ascii="Calibri" w:hAnsi="Calibri" w:hint="eastAsia"/>
          <w:rtl/>
        </w:rPr>
        <w:t>טבריה</w:t>
      </w:r>
      <w:r w:rsidRPr="00E93158">
        <w:rPr>
          <w:rFonts w:ascii="Calibri" w:hAnsi="Calibri"/>
          <w:rtl/>
        </w:rPr>
        <w:t xml:space="preserve">. </w:t>
      </w:r>
    </w:p>
    <w:p w14:paraId="5851E4A1"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מוזהר</w:t>
      </w:r>
      <w:r w:rsidRPr="00E93158">
        <w:rPr>
          <w:rFonts w:ascii="Calibri" w:hAnsi="Calibri"/>
          <w:rtl/>
        </w:rPr>
        <w:t xml:space="preserve"> </w:t>
      </w:r>
      <w:r w:rsidRPr="00E93158">
        <w:rPr>
          <w:rFonts w:ascii="Calibri" w:hAnsi="Calibri" w:hint="eastAsia"/>
          <w:rtl/>
        </w:rPr>
        <w:t>בזה</w:t>
      </w:r>
      <w:r w:rsidRPr="00E93158">
        <w:rPr>
          <w:rFonts w:ascii="Calibri" w:hAnsi="Calibri"/>
          <w:rtl/>
        </w:rPr>
        <w:t xml:space="preserve">, </w:t>
      </w:r>
      <w:r w:rsidRPr="00E93158">
        <w:rPr>
          <w:rFonts w:ascii="Calibri" w:hAnsi="Calibri" w:hint="eastAsia"/>
          <w:rtl/>
        </w:rPr>
        <w:t>לבקשת</w:t>
      </w:r>
      <w:r w:rsidRPr="00E93158">
        <w:rPr>
          <w:rFonts w:ascii="Calibri" w:hAnsi="Calibri"/>
          <w:rtl/>
        </w:rPr>
        <w:t xml:space="preserve"> </w:t>
      </w:r>
      <w:r w:rsidRPr="00E93158">
        <w:rPr>
          <w:rFonts w:ascii="Calibri" w:hAnsi="Calibri" w:hint="eastAsia"/>
          <w:rtl/>
        </w:rPr>
        <w:t>הממונה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נאסר</w:t>
      </w:r>
      <w:r w:rsidRPr="00E93158">
        <w:rPr>
          <w:rFonts w:ascii="Calibri" w:hAnsi="Calibri"/>
          <w:rtl/>
        </w:rPr>
        <w:t xml:space="preserve"> </w:t>
      </w:r>
      <w:r w:rsidRPr="00E93158">
        <w:rPr>
          <w:rFonts w:ascii="Calibri" w:hAnsi="Calibri" w:hint="eastAsia"/>
          <w:rtl/>
        </w:rPr>
        <w:t>עליו</w:t>
      </w:r>
      <w:r w:rsidRPr="00E93158">
        <w:rPr>
          <w:rFonts w:ascii="Calibri" w:hAnsi="Calibri"/>
          <w:rtl/>
        </w:rPr>
        <w:t xml:space="preserve"> </w:t>
      </w:r>
      <w:r w:rsidRPr="00E93158">
        <w:rPr>
          <w:rFonts w:ascii="Calibri" w:hAnsi="Calibri" w:hint="eastAsia"/>
          <w:rtl/>
        </w:rPr>
        <w:t>לשתות</w:t>
      </w:r>
      <w:r w:rsidRPr="00E93158">
        <w:rPr>
          <w:rFonts w:ascii="Calibri" w:hAnsi="Calibri"/>
          <w:rtl/>
        </w:rPr>
        <w:t xml:space="preserve"> </w:t>
      </w:r>
      <w:r w:rsidRPr="00E93158">
        <w:rPr>
          <w:rFonts w:ascii="Calibri" w:hAnsi="Calibri" w:hint="eastAsia"/>
          <w:rtl/>
        </w:rPr>
        <w:t>אלכוהול</w:t>
      </w:r>
      <w:r w:rsidRPr="00E93158">
        <w:rPr>
          <w:rFonts w:ascii="Calibri" w:hAnsi="Calibri"/>
          <w:rtl/>
        </w:rPr>
        <w:t xml:space="preserve"> </w:t>
      </w:r>
      <w:r w:rsidRPr="00E93158">
        <w:rPr>
          <w:rFonts w:ascii="Calibri" w:hAnsi="Calibri" w:hint="eastAsia"/>
          <w:rtl/>
        </w:rPr>
        <w:t>במסגרת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השרות</w:t>
      </w:r>
      <w:r w:rsidRPr="00E93158">
        <w:rPr>
          <w:rFonts w:ascii="Calibri" w:hAnsi="Calibri"/>
          <w:rtl/>
        </w:rPr>
        <w:t xml:space="preserve"> </w:t>
      </w:r>
      <w:r w:rsidRPr="00E93158">
        <w:rPr>
          <w:rFonts w:ascii="Calibri" w:hAnsi="Calibri" w:hint="eastAsia"/>
          <w:rtl/>
        </w:rPr>
        <w:t>או</w:t>
      </w:r>
      <w:r w:rsidRPr="00E93158">
        <w:rPr>
          <w:rFonts w:ascii="Calibri" w:hAnsi="Calibri"/>
          <w:rtl/>
        </w:rPr>
        <w:t xml:space="preserve"> </w:t>
      </w:r>
      <w:r w:rsidRPr="00E93158">
        <w:rPr>
          <w:rFonts w:ascii="Calibri" w:hAnsi="Calibri" w:hint="eastAsia"/>
          <w:rtl/>
        </w:rPr>
        <w:t>להגיע</w:t>
      </w:r>
      <w:r w:rsidRPr="00E93158">
        <w:rPr>
          <w:rFonts w:ascii="Calibri" w:hAnsi="Calibri"/>
          <w:rtl/>
        </w:rPr>
        <w:t xml:space="preserve"> </w:t>
      </w:r>
      <w:r w:rsidRPr="00E93158">
        <w:rPr>
          <w:rFonts w:ascii="Calibri" w:hAnsi="Calibri" w:hint="eastAsia"/>
          <w:rtl/>
        </w:rPr>
        <w:t>בגילופין</w:t>
      </w:r>
      <w:r w:rsidRPr="00E93158">
        <w:rPr>
          <w:rFonts w:ascii="Calibri" w:hAnsi="Calibri"/>
          <w:rtl/>
        </w:rPr>
        <w:t xml:space="preserve"> </w:t>
      </w:r>
      <w:r w:rsidRPr="00E93158">
        <w:rPr>
          <w:rFonts w:ascii="Calibri" w:hAnsi="Calibri" w:hint="eastAsia"/>
          <w:rtl/>
        </w:rPr>
        <w:t>לעבודה</w:t>
      </w:r>
      <w:r w:rsidRPr="00E93158">
        <w:rPr>
          <w:rFonts w:ascii="Calibri" w:hAnsi="Calibri"/>
          <w:rtl/>
        </w:rPr>
        <w:t xml:space="preserve">, </w:t>
      </w:r>
      <w:r w:rsidRPr="00E93158">
        <w:rPr>
          <w:rFonts w:ascii="Calibri" w:hAnsi="Calibri" w:hint="cs"/>
          <w:rtl/>
        </w:rPr>
        <w:t xml:space="preserve">דבר העשוי להוות </w:t>
      </w:r>
      <w:r w:rsidRPr="00E93158">
        <w:rPr>
          <w:rFonts w:ascii="Calibri" w:hAnsi="Calibri" w:hint="eastAsia"/>
          <w:rtl/>
        </w:rPr>
        <w:t>עילה</w:t>
      </w:r>
      <w:r w:rsidRPr="00E93158">
        <w:rPr>
          <w:rFonts w:ascii="Calibri" w:hAnsi="Calibri"/>
          <w:rtl/>
        </w:rPr>
        <w:t xml:space="preserve"> </w:t>
      </w:r>
      <w:r w:rsidRPr="00E93158">
        <w:rPr>
          <w:rFonts w:ascii="Calibri" w:hAnsi="Calibri" w:hint="eastAsia"/>
          <w:rtl/>
        </w:rPr>
        <w:t>להפסקה</w:t>
      </w:r>
      <w:r w:rsidRPr="00E93158">
        <w:rPr>
          <w:rFonts w:ascii="Calibri" w:hAnsi="Calibri"/>
          <w:rtl/>
        </w:rPr>
        <w:t xml:space="preserve"> </w:t>
      </w:r>
      <w:r w:rsidRPr="00E93158">
        <w:rPr>
          <w:rFonts w:ascii="Calibri" w:hAnsi="Calibri" w:hint="eastAsia"/>
          <w:rtl/>
        </w:rPr>
        <w:t>מנהלית</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השרות</w:t>
      </w:r>
      <w:r w:rsidRPr="00E93158">
        <w:rPr>
          <w:rFonts w:ascii="Calibri" w:hAnsi="Calibri"/>
          <w:rtl/>
        </w:rPr>
        <w:t xml:space="preserve"> </w:t>
      </w:r>
      <w:r w:rsidRPr="00E93158">
        <w:rPr>
          <w:rFonts w:ascii="Calibri" w:hAnsi="Calibri" w:hint="eastAsia"/>
          <w:rtl/>
        </w:rPr>
        <w:t>ולריצוי</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במאסר</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ממש</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מוזהר</w:t>
      </w:r>
      <w:r w:rsidRPr="00E93158">
        <w:rPr>
          <w:rFonts w:ascii="Calibri" w:hAnsi="Calibri"/>
          <w:rtl/>
        </w:rPr>
        <w:t xml:space="preserve"> </w:t>
      </w:r>
      <w:r w:rsidRPr="00E93158">
        <w:rPr>
          <w:rFonts w:ascii="Calibri" w:hAnsi="Calibri" w:hint="eastAsia"/>
          <w:rtl/>
        </w:rPr>
        <w:t>בזה</w:t>
      </w:r>
      <w:r w:rsidRPr="00E93158">
        <w:rPr>
          <w:rFonts w:ascii="Calibri" w:hAnsi="Calibri"/>
          <w:rtl/>
        </w:rPr>
        <w:t xml:space="preserve">, </w:t>
      </w:r>
      <w:r w:rsidRPr="00E93158">
        <w:rPr>
          <w:rFonts w:ascii="Calibri" w:hAnsi="Calibri" w:hint="eastAsia"/>
          <w:rtl/>
        </w:rPr>
        <w:t>בנוסף</w:t>
      </w:r>
      <w:r w:rsidRPr="00E93158">
        <w:rPr>
          <w:rFonts w:ascii="Calibri" w:hAnsi="Calibri"/>
          <w:rtl/>
        </w:rPr>
        <w:t xml:space="preserve">, </w:t>
      </w:r>
      <w:r w:rsidRPr="00E93158">
        <w:rPr>
          <w:rFonts w:ascii="Calibri" w:hAnsi="Calibri" w:hint="eastAsia"/>
          <w:rtl/>
        </w:rPr>
        <w:t>לבקשת</w:t>
      </w:r>
      <w:r w:rsidRPr="00E93158">
        <w:rPr>
          <w:rFonts w:ascii="Calibri" w:hAnsi="Calibri"/>
          <w:rtl/>
        </w:rPr>
        <w:t xml:space="preserve"> </w:t>
      </w:r>
      <w:r w:rsidRPr="00E93158">
        <w:rPr>
          <w:rFonts w:ascii="Calibri" w:hAnsi="Calibri" w:hint="eastAsia"/>
          <w:rtl/>
        </w:rPr>
        <w:t>הממונה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שרות</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עסקינן</w:t>
      </w:r>
      <w:r w:rsidRPr="00E93158">
        <w:rPr>
          <w:rFonts w:ascii="Calibri" w:hAnsi="Calibri"/>
          <w:rtl/>
        </w:rPr>
        <w:t xml:space="preserve"> </w:t>
      </w:r>
      <w:r w:rsidRPr="00E93158">
        <w:rPr>
          <w:rFonts w:ascii="Calibri" w:hAnsi="Calibri" w:hint="eastAsia"/>
          <w:rtl/>
        </w:rPr>
        <w:t>בתנאי</w:t>
      </w:r>
      <w:r w:rsidRPr="00E93158">
        <w:rPr>
          <w:rFonts w:ascii="Calibri" w:hAnsi="Calibri"/>
          <w:rtl/>
        </w:rPr>
        <w:t xml:space="preserve"> </w:t>
      </w:r>
      <w:r w:rsidRPr="00E93158">
        <w:rPr>
          <w:rFonts w:ascii="Calibri" w:hAnsi="Calibri" w:hint="eastAsia"/>
          <w:rtl/>
        </w:rPr>
        <w:t>העסקה</w:t>
      </w:r>
      <w:r w:rsidRPr="00E93158">
        <w:rPr>
          <w:rFonts w:ascii="Calibri" w:hAnsi="Calibri"/>
          <w:rtl/>
        </w:rPr>
        <w:t xml:space="preserve"> </w:t>
      </w:r>
      <w:r w:rsidRPr="00E93158">
        <w:rPr>
          <w:rFonts w:ascii="Calibri" w:hAnsi="Calibri" w:hint="eastAsia"/>
          <w:rtl/>
        </w:rPr>
        <w:t>קפדניים</w:t>
      </w:r>
      <w:r w:rsidRPr="00E93158">
        <w:rPr>
          <w:rFonts w:ascii="Calibri" w:hAnsi="Calibri"/>
          <w:rtl/>
        </w:rPr>
        <w:t xml:space="preserve"> </w:t>
      </w:r>
      <w:r w:rsidRPr="00E93158">
        <w:rPr>
          <w:rFonts w:ascii="Calibri" w:hAnsi="Calibri" w:hint="eastAsia"/>
          <w:rtl/>
        </w:rPr>
        <w:t>במסגרת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וכי</w:t>
      </w:r>
      <w:r w:rsidRPr="00E93158">
        <w:rPr>
          <w:rFonts w:ascii="Calibri" w:hAnsi="Calibri"/>
          <w:rtl/>
        </w:rPr>
        <w:t xml:space="preserve"> </w:t>
      </w:r>
      <w:r w:rsidRPr="00E93158">
        <w:rPr>
          <w:rFonts w:ascii="Calibri" w:hAnsi="Calibri" w:hint="eastAsia"/>
          <w:rtl/>
        </w:rPr>
        <w:t>הפרת</w:t>
      </w:r>
      <w:r w:rsidRPr="00E93158">
        <w:rPr>
          <w:rFonts w:ascii="Calibri" w:hAnsi="Calibri"/>
          <w:rtl/>
        </w:rPr>
        <w:t xml:space="preserve"> </w:t>
      </w:r>
      <w:r w:rsidRPr="00E93158">
        <w:rPr>
          <w:rFonts w:ascii="Calibri" w:hAnsi="Calibri" w:hint="eastAsia"/>
          <w:rtl/>
        </w:rPr>
        <w:t>תנאים</w:t>
      </w:r>
      <w:r w:rsidRPr="00E93158">
        <w:rPr>
          <w:rFonts w:ascii="Calibri" w:hAnsi="Calibri"/>
          <w:rtl/>
        </w:rPr>
        <w:t xml:space="preserve"> </w:t>
      </w:r>
      <w:r w:rsidRPr="00E93158">
        <w:rPr>
          <w:rFonts w:ascii="Calibri" w:hAnsi="Calibri" w:hint="eastAsia"/>
          <w:rtl/>
        </w:rPr>
        <w:t>אלה</w:t>
      </w:r>
      <w:r w:rsidRPr="00E93158">
        <w:rPr>
          <w:rFonts w:ascii="Calibri" w:hAnsi="Calibri"/>
          <w:rtl/>
        </w:rPr>
        <w:t xml:space="preserve"> </w:t>
      </w:r>
      <w:r w:rsidRPr="00E93158">
        <w:rPr>
          <w:rFonts w:ascii="Calibri" w:hAnsi="Calibri" w:hint="eastAsia"/>
          <w:rtl/>
        </w:rPr>
        <w:t>עלולה</w:t>
      </w:r>
      <w:r w:rsidRPr="00E93158">
        <w:rPr>
          <w:rFonts w:ascii="Calibri" w:hAnsi="Calibri"/>
          <w:rtl/>
        </w:rPr>
        <w:t xml:space="preserve"> </w:t>
      </w:r>
      <w:r w:rsidRPr="00E93158">
        <w:rPr>
          <w:rFonts w:ascii="Calibri" w:hAnsi="Calibri" w:hint="eastAsia"/>
          <w:rtl/>
        </w:rPr>
        <w:t>להוביל</w:t>
      </w:r>
      <w:r w:rsidRPr="00E93158">
        <w:rPr>
          <w:rFonts w:ascii="Calibri" w:hAnsi="Calibri"/>
          <w:rtl/>
        </w:rPr>
        <w:t xml:space="preserve"> </w:t>
      </w:r>
      <w:r w:rsidRPr="00E93158">
        <w:rPr>
          <w:rFonts w:ascii="Calibri" w:hAnsi="Calibri" w:hint="eastAsia"/>
          <w:rtl/>
        </w:rPr>
        <w:t>להפסקת</w:t>
      </w:r>
      <w:r w:rsidRPr="00E93158">
        <w:rPr>
          <w:rFonts w:ascii="Calibri" w:hAnsi="Calibri"/>
          <w:rtl/>
        </w:rPr>
        <w:t xml:space="preserve"> </w:t>
      </w:r>
      <w:r w:rsidRPr="00E93158">
        <w:rPr>
          <w:rFonts w:ascii="Calibri" w:hAnsi="Calibri" w:hint="eastAsia"/>
          <w:rtl/>
        </w:rPr>
        <w:t>עבודות</w:t>
      </w:r>
      <w:r w:rsidRPr="00E93158">
        <w:rPr>
          <w:rFonts w:ascii="Calibri" w:hAnsi="Calibri"/>
          <w:rtl/>
        </w:rPr>
        <w:t xml:space="preserve"> </w:t>
      </w:r>
      <w:r w:rsidRPr="00E93158">
        <w:rPr>
          <w:rFonts w:ascii="Calibri" w:hAnsi="Calibri" w:hint="eastAsia"/>
          <w:rtl/>
        </w:rPr>
        <w:t>השירות</w:t>
      </w:r>
      <w:r w:rsidRPr="00E93158">
        <w:rPr>
          <w:rFonts w:ascii="Calibri" w:hAnsi="Calibri"/>
          <w:rtl/>
        </w:rPr>
        <w:t xml:space="preserve"> </w:t>
      </w:r>
      <w:r w:rsidRPr="00E93158">
        <w:rPr>
          <w:rFonts w:ascii="Calibri" w:hAnsi="Calibri" w:hint="eastAsia"/>
          <w:rtl/>
        </w:rPr>
        <w:t>ולריצוי</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במאסר</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ממש</w:t>
      </w:r>
      <w:r w:rsidRPr="00E93158">
        <w:rPr>
          <w:rFonts w:ascii="Calibri" w:hAnsi="Calibri"/>
          <w:rtl/>
        </w:rPr>
        <w:t>.</w:t>
      </w:r>
    </w:p>
    <w:p w14:paraId="58BCE46E"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cs"/>
          <w:rtl/>
        </w:rPr>
        <w:t>ב</w:t>
      </w:r>
      <w:r w:rsidRPr="00E93158">
        <w:rPr>
          <w:rFonts w:ascii="Calibri" w:hAnsi="Calibri"/>
          <w:rtl/>
        </w:rPr>
        <w:t>.</w:t>
      </w:r>
      <w:r w:rsidRPr="00E93158">
        <w:rPr>
          <w:rFonts w:ascii="Calibri" w:hAnsi="Calibri"/>
          <w:rtl/>
        </w:rPr>
        <w:tab/>
      </w:r>
      <w:r w:rsidRPr="00E93158">
        <w:rPr>
          <w:rFonts w:ascii="Calibri" w:hAnsi="Calibri" w:hint="eastAsia"/>
          <w:rtl/>
        </w:rPr>
        <w:t>למאסר</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תנאי</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12 </w:t>
      </w:r>
      <w:r w:rsidRPr="00E93158">
        <w:rPr>
          <w:rFonts w:ascii="Calibri" w:hAnsi="Calibri" w:hint="eastAsia"/>
          <w:rtl/>
        </w:rPr>
        <w:t>חודשים</w:t>
      </w:r>
      <w:r w:rsidRPr="00E93158">
        <w:rPr>
          <w:rFonts w:ascii="Calibri" w:hAnsi="Calibri"/>
          <w:rtl/>
        </w:rPr>
        <w:t xml:space="preserve"> </w:t>
      </w:r>
      <w:r w:rsidRPr="00E93158">
        <w:rPr>
          <w:rFonts w:ascii="Calibri" w:hAnsi="Calibri" w:hint="eastAsia"/>
          <w:rtl/>
        </w:rPr>
        <w:t>למשך</w:t>
      </w:r>
      <w:r w:rsidRPr="00E93158">
        <w:rPr>
          <w:rFonts w:ascii="Calibri" w:hAnsi="Calibri"/>
          <w:rtl/>
        </w:rPr>
        <w:t xml:space="preserve"> 3 </w:t>
      </w:r>
      <w:r w:rsidRPr="00E93158">
        <w:rPr>
          <w:rFonts w:ascii="Calibri" w:hAnsi="Calibri" w:hint="eastAsia"/>
          <w:rtl/>
        </w:rPr>
        <w:t>שנים</w:t>
      </w:r>
      <w:r w:rsidRPr="00E93158">
        <w:rPr>
          <w:rFonts w:ascii="Calibri" w:hAnsi="Calibri"/>
          <w:rtl/>
        </w:rPr>
        <w:t xml:space="preserve">, </w:t>
      </w:r>
      <w:r w:rsidRPr="00E93158">
        <w:rPr>
          <w:rFonts w:ascii="Calibri" w:hAnsi="Calibri" w:hint="eastAsia"/>
          <w:rtl/>
        </w:rPr>
        <w:t>והתנאי</w:t>
      </w:r>
      <w:r w:rsidRPr="00E93158">
        <w:rPr>
          <w:rFonts w:ascii="Calibri" w:hAnsi="Calibri"/>
          <w:rtl/>
        </w:rPr>
        <w:t xml:space="preserve"> </w:t>
      </w:r>
      <w:r w:rsidRPr="00E93158">
        <w:rPr>
          <w:rFonts w:ascii="Calibri" w:hAnsi="Calibri" w:hint="eastAsia"/>
          <w:rtl/>
        </w:rPr>
        <w:t>הוא</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לא</w:t>
      </w:r>
      <w:r w:rsidRPr="00E93158">
        <w:rPr>
          <w:rFonts w:ascii="Calibri" w:hAnsi="Calibri"/>
          <w:rtl/>
        </w:rPr>
        <w:t xml:space="preserve"> </w:t>
      </w:r>
      <w:r w:rsidRPr="00E93158">
        <w:rPr>
          <w:rFonts w:ascii="Calibri" w:hAnsi="Calibri" w:hint="eastAsia"/>
          <w:rtl/>
        </w:rPr>
        <w:t>יעבור</w:t>
      </w:r>
      <w:r w:rsidRPr="00E93158">
        <w:rPr>
          <w:rFonts w:ascii="Calibri" w:hAnsi="Calibri"/>
          <w:rtl/>
        </w:rPr>
        <w:t xml:space="preserve"> </w:t>
      </w:r>
      <w:r w:rsidRPr="00E93158">
        <w:rPr>
          <w:rFonts w:ascii="Calibri" w:hAnsi="Calibri" w:hint="eastAsia"/>
          <w:rtl/>
        </w:rPr>
        <w:t>עביר</w:t>
      </w:r>
      <w:r w:rsidRPr="00E93158">
        <w:rPr>
          <w:rFonts w:ascii="Calibri" w:hAnsi="Calibri" w:hint="cs"/>
          <w:rtl/>
        </w:rPr>
        <w:t xml:space="preserve">ה </w:t>
      </w:r>
      <w:r w:rsidRPr="00E93158">
        <w:rPr>
          <w:rFonts w:ascii="Calibri" w:hAnsi="Calibri" w:hint="eastAsia"/>
          <w:rtl/>
        </w:rPr>
        <w:t>מסוג</w:t>
      </w:r>
      <w:r w:rsidRPr="00E93158">
        <w:rPr>
          <w:rFonts w:ascii="Calibri" w:hAnsi="Calibri"/>
          <w:rtl/>
        </w:rPr>
        <w:t xml:space="preserve"> </w:t>
      </w:r>
      <w:r w:rsidRPr="00E93158">
        <w:rPr>
          <w:rFonts w:ascii="Calibri" w:hAnsi="Calibri" w:hint="eastAsia"/>
          <w:rtl/>
        </w:rPr>
        <w:t>פשע</w:t>
      </w:r>
      <w:r w:rsidRPr="00E93158">
        <w:rPr>
          <w:rFonts w:ascii="Calibri" w:hAnsi="Calibri"/>
          <w:rtl/>
        </w:rPr>
        <w:t xml:space="preserve"> </w:t>
      </w:r>
      <w:r w:rsidRPr="00E93158">
        <w:rPr>
          <w:rFonts w:ascii="Calibri" w:hAnsi="Calibri" w:hint="eastAsia"/>
          <w:rtl/>
        </w:rPr>
        <w:t>לפי</w:t>
      </w:r>
      <w:r w:rsidRPr="00E93158">
        <w:rPr>
          <w:rFonts w:ascii="Calibri" w:hAnsi="Calibri"/>
          <w:rtl/>
        </w:rPr>
        <w:t xml:space="preserve"> </w:t>
      </w:r>
      <w:hyperlink r:id="rId40" w:history="1">
        <w:r w:rsidR="00697C30" w:rsidRPr="00697C30">
          <w:rPr>
            <w:rFonts w:ascii="Calibri" w:hAnsi="Calibri" w:hint="eastAsia"/>
            <w:color w:val="0000FF"/>
            <w:u w:val="single"/>
            <w:rtl/>
          </w:rPr>
          <w:t>סעיף</w:t>
        </w:r>
        <w:r w:rsidR="00697C30" w:rsidRPr="00697C30">
          <w:rPr>
            <w:rFonts w:ascii="Calibri" w:hAnsi="Calibri"/>
            <w:color w:val="0000FF"/>
            <w:u w:val="single"/>
            <w:rtl/>
          </w:rPr>
          <w:t xml:space="preserve"> 144</w:t>
        </w:r>
      </w:hyperlink>
      <w:r w:rsidRPr="00E93158">
        <w:rPr>
          <w:rFonts w:ascii="Calibri" w:hAnsi="Calibri" w:hint="cs"/>
          <w:rtl/>
        </w:rPr>
        <w:t xml:space="preserve"> ל</w:t>
      </w:r>
      <w:hyperlink r:id="rId41"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rtl/>
        </w:rPr>
        <w:t xml:space="preserve">, </w:t>
      </w:r>
      <w:r w:rsidRPr="00E93158">
        <w:rPr>
          <w:rFonts w:ascii="Calibri" w:hAnsi="Calibri" w:hint="eastAsia"/>
          <w:rtl/>
        </w:rPr>
        <w:t>התשל</w:t>
      </w:r>
      <w:r w:rsidRPr="00E93158">
        <w:rPr>
          <w:rFonts w:ascii="Calibri" w:hAnsi="Calibri"/>
          <w:rtl/>
        </w:rPr>
        <w:t>"</w:t>
      </w:r>
      <w:r w:rsidRPr="00E93158">
        <w:rPr>
          <w:rFonts w:ascii="Calibri" w:hAnsi="Calibri" w:hint="eastAsia"/>
          <w:rtl/>
        </w:rPr>
        <w:t>ז</w:t>
      </w:r>
      <w:r w:rsidRPr="00E93158">
        <w:rPr>
          <w:rFonts w:ascii="Calibri" w:hAnsi="Calibri"/>
          <w:rtl/>
        </w:rPr>
        <w:t xml:space="preserve"> – 1977.</w:t>
      </w:r>
    </w:p>
    <w:p w14:paraId="61943809" w14:textId="77777777" w:rsidR="00E93158" w:rsidRPr="00E93158" w:rsidRDefault="00E93158" w:rsidP="00E93158">
      <w:pPr>
        <w:spacing w:after="160" w:line="360" w:lineRule="auto"/>
        <w:jc w:val="both"/>
        <w:rPr>
          <w:rFonts w:ascii="Calibri" w:hAnsi="Calibri"/>
          <w:rtl/>
        </w:rPr>
      </w:pPr>
    </w:p>
    <w:p w14:paraId="0E369693" w14:textId="77777777" w:rsidR="00E93158" w:rsidRPr="00E93158" w:rsidRDefault="00E93158" w:rsidP="00E93158">
      <w:pPr>
        <w:spacing w:after="160" w:line="360" w:lineRule="auto"/>
        <w:ind w:left="720"/>
        <w:jc w:val="both"/>
        <w:rPr>
          <w:rFonts w:ascii="Calibri" w:hAnsi="Calibri"/>
          <w:rtl/>
        </w:rPr>
      </w:pPr>
      <w:r w:rsidRPr="00E93158">
        <w:rPr>
          <w:rFonts w:ascii="Calibri" w:hAnsi="Calibri" w:hint="cs"/>
          <w:rtl/>
        </w:rPr>
        <w:t>ג</w:t>
      </w:r>
      <w:r w:rsidRPr="00E93158">
        <w:rPr>
          <w:rFonts w:ascii="Calibri" w:hAnsi="Calibri"/>
          <w:rtl/>
        </w:rPr>
        <w:t>.</w:t>
      </w:r>
      <w:r w:rsidRPr="00E93158">
        <w:rPr>
          <w:rFonts w:ascii="Calibri" w:hAnsi="Calibri"/>
          <w:rtl/>
        </w:rPr>
        <w:tab/>
      </w:r>
      <w:r w:rsidRPr="00E93158">
        <w:rPr>
          <w:rFonts w:ascii="Calibri" w:hAnsi="Calibri" w:hint="eastAsia"/>
          <w:rtl/>
        </w:rPr>
        <w:t>למאסר</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תנאי</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6 </w:t>
      </w:r>
      <w:r w:rsidRPr="00E93158">
        <w:rPr>
          <w:rFonts w:ascii="Calibri" w:hAnsi="Calibri" w:hint="eastAsia"/>
          <w:rtl/>
        </w:rPr>
        <w:t>חודשים</w:t>
      </w:r>
      <w:r w:rsidRPr="00E93158">
        <w:rPr>
          <w:rFonts w:ascii="Calibri" w:hAnsi="Calibri"/>
          <w:rtl/>
        </w:rPr>
        <w:t xml:space="preserve"> </w:t>
      </w:r>
      <w:r w:rsidRPr="00E93158">
        <w:rPr>
          <w:rFonts w:ascii="Calibri" w:hAnsi="Calibri" w:hint="eastAsia"/>
          <w:rtl/>
        </w:rPr>
        <w:t>למשך</w:t>
      </w:r>
      <w:r w:rsidRPr="00E93158">
        <w:rPr>
          <w:rFonts w:ascii="Calibri" w:hAnsi="Calibri"/>
          <w:rtl/>
        </w:rPr>
        <w:t xml:space="preserve"> 3 </w:t>
      </w:r>
      <w:r w:rsidRPr="00E93158">
        <w:rPr>
          <w:rFonts w:ascii="Calibri" w:hAnsi="Calibri" w:hint="eastAsia"/>
          <w:rtl/>
        </w:rPr>
        <w:t>שנים</w:t>
      </w:r>
      <w:r w:rsidRPr="00E93158">
        <w:rPr>
          <w:rFonts w:ascii="Calibri" w:hAnsi="Calibri"/>
          <w:rtl/>
        </w:rPr>
        <w:t xml:space="preserve">, </w:t>
      </w:r>
      <w:r w:rsidRPr="00E93158">
        <w:rPr>
          <w:rFonts w:ascii="Calibri" w:hAnsi="Calibri" w:hint="eastAsia"/>
          <w:rtl/>
        </w:rPr>
        <w:t>והתנאי</w:t>
      </w:r>
      <w:r w:rsidRPr="00E93158">
        <w:rPr>
          <w:rFonts w:ascii="Calibri" w:hAnsi="Calibri"/>
          <w:rtl/>
        </w:rPr>
        <w:t xml:space="preserve"> </w:t>
      </w:r>
      <w:r w:rsidRPr="00E93158">
        <w:rPr>
          <w:rFonts w:ascii="Calibri" w:hAnsi="Calibri" w:hint="eastAsia"/>
          <w:rtl/>
        </w:rPr>
        <w:t>הוא</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לא</w:t>
      </w:r>
      <w:r w:rsidRPr="00E93158">
        <w:rPr>
          <w:rFonts w:ascii="Calibri" w:hAnsi="Calibri"/>
          <w:rtl/>
        </w:rPr>
        <w:t xml:space="preserve"> </w:t>
      </w:r>
      <w:r w:rsidRPr="00E93158">
        <w:rPr>
          <w:rFonts w:ascii="Calibri" w:hAnsi="Calibri" w:hint="eastAsia"/>
          <w:rtl/>
        </w:rPr>
        <w:t>יעבור</w:t>
      </w:r>
      <w:r w:rsidRPr="00E93158">
        <w:rPr>
          <w:rFonts w:ascii="Calibri" w:hAnsi="Calibri"/>
          <w:rtl/>
        </w:rPr>
        <w:t xml:space="preserve"> </w:t>
      </w:r>
      <w:r w:rsidRPr="00E93158">
        <w:rPr>
          <w:rFonts w:ascii="Calibri" w:hAnsi="Calibri" w:hint="eastAsia"/>
          <w:rtl/>
        </w:rPr>
        <w:t>עביר</w:t>
      </w:r>
      <w:r w:rsidRPr="00E93158">
        <w:rPr>
          <w:rFonts w:ascii="Calibri" w:hAnsi="Calibri" w:hint="cs"/>
          <w:rtl/>
        </w:rPr>
        <w:t xml:space="preserve">ה </w:t>
      </w:r>
      <w:r w:rsidRPr="00E93158">
        <w:rPr>
          <w:rFonts w:ascii="Calibri" w:hAnsi="Calibri" w:hint="eastAsia"/>
          <w:rtl/>
        </w:rPr>
        <w:t>מסוג</w:t>
      </w:r>
      <w:r w:rsidRPr="00E93158">
        <w:rPr>
          <w:rFonts w:ascii="Calibri" w:hAnsi="Calibri"/>
          <w:rtl/>
        </w:rPr>
        <w:t xml:space="preserve"> </w:t>
      </w:r>
      <w:r w:rsidRPr="00E93158">
        <w:rPr>
          <w:rFonts w:ascii="Calibri" w:hAnsi="Calibri" w:hint="cs"/>
          <w:rtl/>
        </w:rPr>
        <w:t>עוון</w:t>
      </w:r>
      <w:r w:rsidRPr="00E93158">
        <w:rPr>
          <w:rFonts w:ascii="Calibri" w:hAnsi="Calibri"/>
          <w:rtl/>
        </w:rPr>
        <w:t xml:space="preserve"> </w:t>
      </w:r>
      <w:r w:rsidRPr="00E93158">
        <w:rPr>
          <w:rFonts w:ascii="Calibri" w:hAnsi="Calibri" w:hint="eastAsia"/>
          <w:rtl/>
        </w:rPr>
        <w:t>לפי</w:t>
      </w:r>
      <w:r w:rsidRPr="00E93158">
        <w:rPr>
          <w:rFonts w:ascii="Calibri" w:hAnsi="Calibri"/>
          <w:rtl/>
        </w:rPr>
        <w:t xml:space="preserve"> </w:t>
      </w:r>
      <w:hyperlink r:id="rId42" w:history="1">
        <w:r w:rsidR="00697C30" w:rsidRPr="00697C30">
          <w:rPr>
            <w:rFonts w:ascii="Calibri" w:hAnsi="Calibri" w:hint="eastAsia"/>
            <w:color w:val="0000FF"/>
            <w:u w:val="single"/>
            <w:rtl/>
          </w:rPr>
          <w:t>סעיף</w:t>
        </w:r>
        <w:r w:rsidR="00697C30" w:rsidRPr="00697C30">
          <w:rPr>
            <w:rFonts w:ascii="Calibri" w:hAnsi="Calibri"/>
            <w:color w:val="0000FF"/>
            <w:u w:val="single"/>
            <w:rtl/>
          </w:rPr>
          <w:t xml:space="preserve"> 144</w:t>
        </w:r>
      </w:hyperlink>
      <w:r w:rsidRPr="00E93158">
        <w:rPr>
          <w:rFonts w:ascii="Calibri" w:hAnsi="Calibri" w:hint="cs"/>
          <w:rtl/>
        </w:rPr>
        <w:t xml:space="preserve"> ל</w:t>
      </w:r>
      <w:hyperlink r:id="rId43" w:history="1">
        <w:r w:rsidR="002162AD" w:rsidRPr="002162AD">
          <w:rPr>
            <w:rFonts w:ascii="Calibri" w:hAnsi="Calibri" w:hint="eastAsia"/>
            <w:color w:val="0000FF"/>
            <w:u w:val="single"/>
            <w:rtl/>
          </w:rPr>
          <w:t>חוק</w:t>
        </w:r>
        <w:r w:rsidR="002162AD" w:rsidRPr="002162AD">
          <w:rPr>
            <w:rFonts w:ascii="Calibri" w:hAnsi="Calibri"/>
            <w:color w:val="0000FF"/>
            <w:u w:val="single"/>
            <w:rtl/>
          </w:rPr>
          <w:t xml:space="preserve"> </w:t>
        </w:r>
        <w:r w:rsidR="002162AD" w:rsidRPr="002162AD">
          <w:rPr>
            <w:rFonts w:ascii="Calibri" w:hAnsi="Calibri" w:hint="eastAsia"/>
            <w:color w:val="0000FF"/>
            <w:u w:val="single"/>
            <w:rtl/>
          </w:rPr>
          <w:t>העונשין</w:t>
        </w:r>
      </w:hyperlink>
      <w:r w:rsidRPr="00E93158">
        <w:rPr>
          <w:rFonts w:ascii="Calibri" w:hAnsi="Calibri"/>
          <w:rtl/>
        </w:rPr>
        <w:t xml:space="preserve">, </w:t>
      </w:r>
      <w:r w:rsidRPr="00E93158">
        <w:rPr>
          <w:rFonts w:ascii="Calibri" w:hAnsi="Calibri" w:hint="eastAsia"/>
          <w:rtl/>
        </w:rPr>
        <w:t>התשל</w:t>
      </w:r>
      <w:r w:rsidRPr="00E93158">
        <w:rPr>
          <w:rFonts w:ascii="Calibri" w:hAnsi="Calibri"/>
          <w:rtl/>
        </w:rPr>
        <w:t>"</w:t>
      </w:r>
      <w:r w:rsidRPr="00E93158">
        <w:rPr>
          <w:rFonts w:ascii="Calibri" w:hAnsi="Calibri" w:hint="eastAsia"/>
          <w:rtl/>
        </w:rPr>
        <w:t>ז</w:t>
      </w:r>
      <w:r w:rsidRPr="00E93158">
        <w:rPr>
          <w:rFonts w:ascii="Calibri" w:hAnsi="Calibri"/>
          <w:rtl/>
        </w:rPr>
        <w:t xml:space="preserve"> – 1977.</w:t>
      </w:r>
    </w:p>
    <w:p w14:paraId="5F3B4F0E" w14:textId="77777777" w:rsidR="00E93158" w:rsidRPr="00E93158" w:rsidRDefault="00E93158" w:rsidP="00E93158">
      <w:pPr>
        <w:spacing w:after="160" w:line="360" w:lineRule="auto"/>
        <w:jc w:val="both"/>
        <w:rPr>
          <w:rFonts w:ascii="Calibri" w:hAnsi="Calibri"/>
          <w:rtl/>
        </w:rPr>
      </w:pPr>
    </w:p>
    <w:p w14:paraId="0154BB22" w14:textId="77777777" w:rsidR="00E93158" w:rsidRPr="00E93158" w:rsidRDefault="00E93158" w:rsidP="00E93158">
      <w:pPr>
        <w:spacing w:line="360" w:lineRule="auto"/>
        <w:ind w:left="720"/>
        <w:jc w:val="both"/>
        <w:rPr>
          <w:rFonts w:ascii="Calibri" w:hAnsi="Calibri"/>
          <w:rtl/>
        </w:rPr>
      </w:pPr>
      <w:r w:rsidRPr="00E93158">
        <w:rPr>
          <w:rFonts w:ascii="Calibri" w:hAnsi="Calibri" w:hint="cs"/>
          <w:rtl/>
        </w:rPr>
        <w:t>ד.</w:t>
      </w:r>
      <w:r w:rsidRPr="00E93158">
        <w:rPr>
          <w:rFonts w:ascii="Calibri" w:hAnsi="Calibri"/>
          <w:rtl/>
        </w:rPr>
        <w:tab/>
      </w:r>
      <w:r w:rsidRPr="00E93158">
        <w:rPr>
          <w:rFonts w:ascii="Calibri" w:hAnsi="Calibri" w:hint="cs"/>
          <w:rtl/>
        </w:rPr>
        <w:t xml:space="preserve"> אני</w:t>
      </w:r>
      <w:r w:rsidRPr="00E93158">
        <w:rPr>
          <w:rFonts w:ascii="Calibri" w:hAnsi="Calibri"/>
          <w:rtl/>
        </w:rPr>
        <w:t xml:space="preserve"> </w:t>
      </w:r>
      <w:r w:rsidRPr="00E93158">
        <w:rPr>
          <w:rFonts w:ascii="Calibri" w:hAnsi="Calibri" w:hint="eastAsia"/>
          <w:rtl/>
        </w:rPr>
        <w:t>מורה</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הטלת</w:t>
      </w:r>
      <w:r w:rsidRPr="00E93158">
        <w:rPr>
          <w:rFonts w:ascii="Calibri" w:hAnsi="Calibri"/>
          <w:rtl/>
        </w:rPr>
        <w:t xml:space="preserve"> </w:t>
      </w:r>
      <w:r w:rsidRPr="00E93158">
        <w:rPr>
          <w:rFonts w:ascii="Calibri" w:hAnsi="Calibri" w:hint="eastAsia"/>
          <w:rtl/>
        </w:rPr>
        <w:t>צו</w:t>
      </w:r>
      <w:r w:rsidRPr="00E93158">
        <w:rPr>
          <w:rFonts w:ascii="Calibri" w:hAnsi="Calibri"/>
          <w:rtl/>
        </w:rPr>
        <w:t xml:space="preserve"> </w:t>
      </w:r>
      <w:r w:rsidRPr="00E93158">
        <w:rPr>
          <w:rFonts w:ascii="Calibri" w:hAnsi="Calibri" w:hint="eastAsia"/>
          <w:rtl/>
        </w:rPr>
        <w:t>מבחן</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לתקופה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ש</w:t>
      </w:r>
      <w:r w:rsidRPr="00E93158">
        <w:rPr>
          <w:rFonts w:ascii="Calibri" w:hAnsi="Calibri" w:hint="cs"/>
          <w:rtl/>
        </w:rPr>
        <w:t>לוש שנים</w:t>
      </w:r>
      <w:r w:rsidRPr="00E93158">
        <w:rPr>
          <w:rFonts w:ascii="Calibri" w:hAnsi="Calibri"/>
          <w:rtl/>
        </w:rPr>
        <w:t xml:space="preserve">, </w:t>
      </w:r>
      <w:r w:rsidRPr="00E93158">
        <w:rPr>
          <w:rFonts w:ascii="Calibri" w:hAnsi="Calibri" w:hint="cs"/>
          <w:rtl/>
        </w:rPr>
        <w:t>לשם פיקוח שרות המבחן אחר ההליך הטיפולי בו נתון הנאשם בעמותת אפש"ר ובמסגרת שרות המבחן (קבוצה טיפולית בנושא עבירות נשק).</w:t>
      </w:r>
      <w:r w:rsidRPr="00E93158">
        <w:rPr>
          <w:rFonts w:ascii="Calibri" w:hAnsi="Calibri"/>
          <w:rtl/>
        </w:rPr>
        <w:t xml:space="preserve"> </w:t>
      </w:r>
    </w:p>
    <w:p w14:paraId="2A9BC22C" w14:textId="77777777" w:rsidR="00E93158" w:rsidRPr="00E93158" w:rsidRDefault="00E93158" w:rsidP="00E93158">
      <w:pPr>
        <w:spacing w:line="360" w:lineRule="auto"/>
        <w:jc w:val="both"/>
        <w:rPr>
          <w:rFonts w:ascii="Calibri" w:hAnsi="Calibri"/>
          <w:rtl/>
        </w:rPr>
      </w:pPr>
    </w:p>
    <w:p w14:paraId="3474DC04" w14:textId="77777777" w:rsidR="00E93158" w:rsidRPr="00E93158" w:rsidRDefault="00E93158" w:rsidP="00E93158">
      <w:pPr>
        <w:spacing w:line="360" w:lineRule="auto"/>
        <w:ind w:left="720"/>
        <w:jc w:val="both"/>
        <w:rPr>
          <w:rFonts w:ascii="Calibri" w:hAnsi="Calibri"/>
          <w:rtl/>
        </w:rPr>
      </w:pPr>
      <w:r w:rsidRPr="00E93158">
        <w:rPr>
          <w:rFonts w:ascii="Calibri" w:hAnsi="Calibri" w:hint="eastAsia"/>
          <w:rtl/>
        </w:rPr>
        <w:t>הנאשם</w:t>
      </w:r>
      <w:r w:rsidRPr="00E93158">
        <w:rPr>
          <w:rFonts w:ascii="Calibri" w:hAnsi="Calibri"/>
          <w:rtl/>
        </w:rPr>
        <w:t xml:space="preserve"> </w:t>
      </w:r>
      <w:r w:rsidRPr="00E93158">
        <w:rPr>
          <w:rFonts w:ascii="Calibri" w:hAnsi="Calibri" w:hint="eastAsia"/>
          <w:rtl/>
        </w:rPr>
        <w:t>מוזהר</w:t>
      </w:r>
      <w:r w:rsidRPr="00E93158">
        <w:rPr>
          <w:rFonts w:ascii="Calibri" w:hAnsi="Calibri"/>
          <w:rtl/>
        </w:rPr>
        <w:t xml:space="preserve"> </w:t>
      </w:r>
      <w:r w:rsidRPr="00E93158">
        <w:rPr>
          <w:rFonts w:ascii="Calibri" w:hAnsi="Calibri" w:hint="eastAsia"/>
          <w:rtl/>
        </w:rPr>
        <w:t>בזה</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במידה</w:t>
      </w:r>
      <w:r w:rsidRPr="00E93158">
        <w:rPr>
          <w:rFonts w:ascii="Calibri" w:hAnsi="Calibri"/>
          <w:rtl/>
        </w:rPr>
        <w:t xml:space="preserve"> </w:t>
      </w:r>
      <w:r w:rsidRPr="00E93158">
        <w:rPr>
          <w:rFonts w:ascii="Calibri" w:hAnsi="Calibri" w:hint="eastAsia"/>
          <w:rtl/>
        </w:rPr>
        <w:t>שלא</w:t>
      </w:r>
      <w:r w:rsidRPr="00E93158">
        <w:rPr>
          <w:rFonts w:ascii="Calibri" w:hAnsi="Calibri"/>
          <w:rtl/>
        </w:rPr>
        <w:t xml:space="preserve"> </w:t>
      </w:r>
      <w:r w:rsidRPr="00E93158">
        <w:rPr>
          <w:rFonts w:ascii="Calibri" w:hAnsi="Calibri" w:hint="eastAsia"/>
          <w:rtl/>
        </w:rPr>
        <w:t>יעמוד</w:t>
      </w:r>
      <w:r w:rsidRPr="00E93158">
        <w:rPr>
          <w:rFonts w:ascii="Calibri" w:hAnsi="Calibri"/>
          <w:rtl/>
        </w:rPr>
        <w:t xml:space="preserve"> </w:t>
      </w:r>
      <w:r w:rsidRPr="00E93158">
        <w:rPr>
          <w:rFonts w:ascii="Calibri" w:hAnsi="Calibri" w:hint="eastAsia"/>
          <w:rtl/>
        </w:rPr>
        <w:t>בתנאי</w:t>
      </w:r>
      <w:r w:rsidRPr="00E93158">
        <w:rPr>
          <w:rFonts w:ascii="Calibri" w:hAnsi="Calibri"/>
          <w:rtl/>
        </w:rPr>
        <w:t xml:space="preserve"> </w:t>
      </w:r>
      <w:r w:rsidRPr="00E93158">
        <w:rPr>
          <w:rFonts w:ascii="Calibri" w:hAnsi="Calibri" w:hint="eastAsia"/>
          <w:rtl/>
        </w:rPr>
        <w:t>צו</w:t>
      </w:r>
      <w:r w:rsidRPr="00E93158">
        <w:rPr>
          <w:rFonts w:ascii="Calibri" w:hAnsi="Calibri"/>
          <w:rtl/>
        </w:rPr>
        <w:t xml:space="preserve"> </w:t>
      </w:r>
      <w:r w:rsidRPr="00E93158">
        <w:rPr>
          <w:rFonts w:ascii="Calibri" w:hAnsi="Calibri" w:hint="eastAsia"/>
          <w:rtl/>
        </w:rPr>
        <w:t>המבחן</w:t>
      </w:r>
      <w:r w:rsidRPr="00E93158">
        <w:rPr>
          <w:rFonts w:ascii="Calibri" w:hAnsi="Calibri"/>
          <w:rtl/>
        </w:rPr>
        <w:t xml:space="preserve"> </w:t>
      </w:r>
      <w:r w:rsidRPr="00E93158">
        <w:rPr>
          <w:rFonts w:ascii="Calibri" w:hAnsi="Calibri" w:hint="eastAsia"/>
          <w:rtl/>
        </w:rPr>
        <w:t>או</w:t>
      </w:r>
      <w:r w:rsidRPr="00E93158">
        <w:rPr>
          <w:rFonts w:ascii="Calibri" w:hAnsi="Calibri"/>
          <w:rtl/>
        </w:rPr>
        <w:t xml:space="preserve"> </w:t>
      </w:r>
      <w:r w:rsidRPr="00E93158">
        <w:rPr>
          <w:rFonts w:ascii="Calibri" w:hAnsi="Calibri" w:hint="eastAsia"/>
          <w:rtl/>
        </w:rPr>
        <w:t>יבצע</w:t>
      </w:r>
      <w:r w:rsidRPr="00E93158">
        <w:rPr>
          <w:rFonts w:ascii="Calibri" w:hAnsi="Calibri"/>
          <w:rtl/>
        </w:rPr>
        <w:t xml:space="preserve"> </w:t>
      </w:r>
      <w:r w:rsidRPr="00E93158">
        <w:rPr>
          <w:rFonts w:ascii="Calibri" w:hAnsi="Calibri" w:hint="eastAsia"/>
          <w:rtl/>
        </w:rPr>
        <w:t>עבירה</w:t>
      </w:r>
      <w:r w:rsidRPr="00E93158">
        <w:rPr>
          <w:rFonts w:ascii="Calibri" w:hAnsi="Calibri"/>
          <w:rtl/>
        </w:rPr>
        <w:t xml:space="preserve"> </w:t>
      </w:r>
      <w:r w:rsidRPr="00E93158">
        <w:rPr>
          <w:rFonts w:ascii="Calibri" w:hAnsi="Calibri" w:hint="eastAsia"/>
          <w:rtl/>
        </w:rPr>
        <w:t>נוספת</w:t>
      </w:r>
      <w:r w:rsidRPr="00E93158">
        <w:rPr>
          <w:rFonts w:ascii="Calibri" w:hAnsi="Calibri"/>
          <w:rtl/>
        </w:rPr>
        <w:t xml:space="preserve"> </w:t>
      </w:r>
      <w:r w:rsidRPr="00E93158">
        <w:rPr>
          <w:rFonts w:ascii="Calibri" w:hAnsi="Calibri" w:hint="eastAsia"/>
          <w:rtl/>
        </w:rPr>
        <w:t>בתקופת</w:t>
      </w:r>
      <w:r w:rsidRPr="00E93158">
        <w:rPr>
          <w:rFonts w:ascii="Calibri" w:hAnsi="Calibri"/>
          <w:rtl/>
        </w:rPr>
        <w:t xml:space="preserve"> </w:t>
      </w:r>
      <w:r w:rsidRPr="00E93158">
        <w:rPr>
          <w:rFonts w:ascii="Calibri" w:hAnsi="Calibri" w:hint="eastAsia"/>
          <w:rtl/>
        </w:rPr>
        <w:t>הצו</w:t>
      </w:r>
      <w:r w:rsidRPr="00E93158">
        <w:rPr>
          <w:rFonts w:ascii="Calibri" w:hAnsi="Calibri"/>
          <w:rtl/>
        </w:rPr>
        <w:t xml:space="preserve"> </w:t>
      </w:r>
      <w:r w:rsidRPr="00E93158">
        <w:rPr>
          <w:rFonts w:ascii="Calibri" w:hAnsi="Calibri" w:hint="eastAsia"/>
          <w:rtl/>
        </w:rPr>
        <w:t>והצו</w:t>
      </w:r>
      <w:r w:rsidRPr="00E93158">
        <w:rPr>
          <w:rFonts w:ascii="Calibri" w:hAnsi="Calibri"/>
          <w:rtl/>
        </w:rPr>
        <w:t xml:space="preserve"> </w:t>
      </w:r>
      <w:r w:rsidRPr="00E93158">
        <w:rPr>
          <w:rFonts w:ascii="Calibri" w:hAnsi="Calibri" w:hint="eastAsia"/>
          <w:rtl/>
        </w:rPr>
        <w:t>יופקע</w:t>
      </w:r>
      <w:r w:rsidRPr="00E93158">
        <w:rPr>
          <w:rFonts w:ascii="Calibri" w:hAnsi="Calibri"/>
          <w:rtl/>
        </w:rPr>
        <w:t xml:space="preserve">, </w:t>
      </w:r>
      <w:r w:rsidRPr="00E93158">
        <w:rPr>
          <w:rFonts w:ascii="Calibri" w:hAnsi="Calibri" w:hint="eastAsia"/>
          <w:rtl/>
        </w:rPr>
        <w:t>אזי</w:t>
      </w:r>
      <w:r w:rsidRPr="00E93158">
        <w:rPr>
          <w:rFonts w:ascii="Calibri" w:hAnsi="Calibri"/>
          <w:rtl/>
        </w:rPr>
        <w:t xml:space="preserve"> </w:t>
      </w:r>
      <w:r w:rsidRPr="00E93158">
        <w:rPr>
          <w:rFonts w:ascii="Calibri" w:hAnsi="Calibri" w:hint="cs"/>
          <w:rtl/>
        </w:rPr>
        <w:t xml:space="preserve">הוא </w:t>
      </w:r>
      <w:r w:rsidRPr="00E93158">
        <w:rPr>
          <w:rFonts w:ascii="Calibri" w:hAnsi="Calibri" w:hint="eastAsia"/>
          <w:rtl/>
        </w:rPr>
        <w:t>יהא</w:t>
      </w:r>
      <w:r w:rsidRPr="00E93158">
        <w:rPr>
          <w:rFonts w:ascii="Calibri" w:hAnsi="Calibri"/>
          <w:rtl/>
        </w:rPr>
        <w:t xml:space="preserve"> </w:t>
      </w:r>
      <w:r w:rsidRPr="00E93158">
        <w:rPr>
          <w:rFonts w:ascii="Calibri" w:hAnsi="Calibri" w:hint="eastAsia"/>
          <w:rtl/>
        </w:rPr>
        <w:t>צפוי</w:t>
      </w:r>
      <w:r w:rsidRPr="00E93158">
        <w:rPr>
          <w:rFonts w:ascii="Calibri" w:hAnsi="Calibri"/>
          <w:rtl/>
        </w:rPr>
        <w:t xml:space="preserve"> </w:t>
      </w:r>
      <w:r w:rsidRPr="00E93158">
        <w:rPr>
          <w:rFonts w:ascii="Calibri" w:hAnsi="Calibri" w:hint="eastAsia"/>
          <w:rtl/>
        </w:rPr>
        <w:t>לגזירת</w:t>
      </w:r>
      <w:r w:rsidRPr="00E93158">
        <w:rPr>
          <w:rFonts w:ascii="Calibri" w:hAnsi="Calibri"/>
          <w:rtl/>
        </w:rPr>
        <w:t xml:space="preserve"> </w:t>
      </w:r>
      <w:r w:rsidRPr="00E93158">
        <w:rPr>
          <w:rFonts w:ascii="Calibri" w:hAnsi="Calibri" w:hint="eastAsia"/>
          <w:rtl/>
        </w:rPr>
        <w:t>דינו</w:t>
      </w:r>
      <w:r w:rsidRPr="00E93158">
        <w:rPr>
          <w:rFonts w:ascii="Calibri" w:hAnsi="Calibri"/>
          <w:rtl/>
        </w:rPr>
        <w:t xml:space="preserve"> </w:t>
      </w:r>
      <w:r w:rsidRPr="00E93158">
        <w:rPr>
          <w:rFonts w:ascii="Calibri" w:hAnsi="Calibri" w:hint="eastAsia"/>
          <w:rtl/>
        </w:rPr>
        <w:t>מחדש</w:t>
      </w:r>
      <w:r w:rsidRPr="00E93158">
        <w:rPr>
          <w:rFonts w:ascii="Calibri" w:hAnsi="Calibri"/>
          <w:rtl/>
        </w:rPr>
        <w:t xml:space="preserve">, </w:t>
      </w:r>
      <w:r w:rsidRPr="00E93158">
        <w:rPr>
          <w:rFonts w:ascii="Calibri" w:hAnsi="Calibri" w:hint="eastAsia"/>
          <w:rtl/>
        </w:rPr>
        <w:t>לחומרה</w:t>
      </w:r>
      <w:r w:rsidRPr="00E93158">
        <w:rPr>
          <w:rFonts w:ascii="Calibri" w:hAnsi="Calibri"/>
          <w:rtl/>
        </w:rPr>
        <w:t xml:space="preserve">. </w:t>
      </w:r>
    </w:p>
    <w:p w14:paraId="0229561E" w14:textId="77777777" w:rsidR="00E93158" w:rsidRPr="00E93158" w:rsidRDefault="00E93158" w:rsidP="00E93158">
      <w:pPr>
        <w:spacing w:line="360" w:lineRule="auto"/>
        <w:jc w:val="both"/>
        <w:rPr>
          <w:rFonts w:ascii="Calibri" w:hAnsi="Calibri"/>
          <w:rtl/>
        </w:rPr>
      </w:pPr>
    </w:p>
    <w:p w14:paraId="06D971C4" w14:textId="77777777" w:rsidR="00E93158" w:rsidRPr="00E93158" w:rsidRDefault="00E93158" w:rsidP="00E93158">
      <w:pPr>
        <w:spacing w:line="360" w:lineRule="auto"/>
        <w:jc w:val="both"/>
        <w:rPr>
          <w:rFonts w:ascii="Calibri" w:hAnsi="Calibri"/>
          <w:rtl/>
        </w:rPr>
      </w:pPr>
      <w:r w:rsidRPr="00E93158">
        <w:rPr>
          <w:rFonts w:ascii="Calibri" w:hAnsi="Calibri" w:hint="cs"/>
          <w:rtl/>
        </w:rPr>
        <w:t>המזכירות תמציא העתק מגזר הדין לשרות המבחן ולממונה על עבודות שרות.</w:t>
      </w:r>
    </w:p>
    <w:p w14:paraId="5EEE1228" w14:textId="77777777" w:rsidR="00E93158" w:rsidRPr="00E93158" w:rsidRDefault="00E93158" w:rsidP="00E93158">
      <w:pPr>
        <w:spacing w:line="360" w:lineRule="auto"/>
        <w:jc w:val="both"/>
        <w:rPr>
          <w:rFonts w:ascii="Calibri" w:hAnsi="Calibri"/>
          <w:rtl/>
        </w:rPr>
      </w:pPr>
    </w:p>
    <w:p w14:paraId="6E3B6638" w14:textId="77777777" w:rsidR="00E93158" w:rsidRPr="00E93158" w:rsidRDefault="00E93158" w:rsidP="00E93158">
      <w:pPr>
        <w:spacing w:line="360" w:lineRule="auto"/>
        <w:jc w:val="both"/>
        <w:rPr>
          <w:rFonts w:ascii="Calibri" w:hAnsi="Calibri"/>
          <w:u w:val="single"/>
          <w:rtl/>
        </w:rPr>
      </w:pPr>
      <w:r w:rsidRPr="00E93158">
        <w:rPr>
          <w:rFonts w:ascii="Calibri" w:hAnsi="Calibri" w:hint="cs"/>
          <w:u w:val="single"/>
          <w:rtl/>
        </w:rPr>
        <w:t>זכות ערעור לבית המשפט העליון תוך 45 יום.</w:t>
      </w:r>
    </w:p>
    <w:p w14:paraId="77CD558C" w14:textId="77777777" w:rsidR="00E93158" w:rsidRPr="00E93158" w:rsidRDefault="00E93158" w:rsidP="00E93158">
      <w:pPr>
        <w:pStyle w:val="ListParagraph"/>
        <w:spacing w:line="360" w:lineRule="auto"/>
        <w:jc w:val="both"/>
        <w:rPr>
          <w:rFonts w:ascii="Calibri" w:hAnsi="Calibri"/>
          <w:rtl/>
        </w:rPr>
      </w:pPr>
    </w:p>
    <w:p w14:paraId="1B57C895" w14:textId="77777777" w:rsidR="00E93158" w:rsidRPr="00B05847" w:rsidRDefault="00E93158" w:rsidP="00E93158">
      <w:pPr>
        <w:jc w:val="both"/>
        <w:rPr>
          <w:rtl/>
        </w:rPr>
      </w:pPr>
    </w:p>
    <w:p w14:paraId="11B6C530" w14:textId="77777777" w:rsidR="00E93158" w:rsidRDefault="002162AD" w:rsidP="00E93158">
      <w:pPr>
        <w:spacing w:line="360" w:lineRule="auto"/>
        <w:jc w:val="both"/>
        <w:rPr>
          <w:rFonts w:ascii="Arial" w:hAnsi="Arial"/>
        </w:rPr>
      </w:pPr>
      <w:r w:rsidRPr="002162AD">
        <w:rPr>
          <w:rFonts w:ascii="Arial" w:hAnsi="Arial"/>
          <w:color w:val="FFFFFF"/>
          <w:sz w:val="2"/>
          <w:szCs w:val="2"/>
          <w:rtl/>
        </w:rPr>
        <w:t>5129371</w:t>
      </w:r>
      <w:r>
        <w:rPr>
          <w:rFonts w:ascii="Arial" w:hAnsi="Arial"/>
          <w:rtl/>
        </w:rPr>
        <w:t xml:space="preserve">ניתן היום  6/1/19 כ"ט טבת תשע"ח, במעמד ב"כ המאשימה עו"ד אדם סרי , ב"כ הנאשם עו"ד </w:t>
      </w:r>
      <w:r w:rsidR="00E93158">
        <w:rPr>
          <w:rFonts w:ascii="Arial" w:hAnsi="Arial" w:hint="cs"/>
          <w:rtl/>
        </w:rPr>
        <w:t>בויראת והנאשם בעצמו</w:t>
      </w:r>
      <w:r w:rsidR="00E93158">
        <w:rPr>
          <w:rFonts w:ascii="Arial" w:hAnsi="Arial"/>
          <w:rtl/>
        </w:rPr>
        <w:t>.</w:t>
      </w:r>
    </w:p>
    <w:p w14:paraId="2BB779BC" w14:textId="77777777" w:rsidR="00E93158" w:rsidRPr="002162AD" w:rsidRDefault="002162AD" w:rsidP="00E93158">
      <w:pPr>
        <w:jc w:val="both"/>
        <w:rPr>
          <w:rFonts w:cs="FrankRuehl"/>
          <w:color w:val="FFFFFF"/>
          <w:sz w:val="2"/>
          <w:szCs w:val="2"/>
          <w:rtl/>
        </w:rPr>
      </w:pPr>
      <w:r w:rsidRPr="002162AD">
        <w:rPr>
          <w:rFonts w:cs="FrankRuehl"/>
          <w:color w:val="FFFFFF"/>
          <w:sz w:val="2"/>
          <w:szCs w:val="2"/>
          <w:rtl/>
        </w:rPr>
        <w:t>54678313</w:t>
      </w:r>
    </w:p>
    <w:p w14:paraId="38C5FD16" w14:textId="77777777" w:rsidR="00E93158" w:rsidRDefault="00E93158" w:rsidP="00E93158">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8AFC07" w14:textId="77777777" w:rsidR="00E93158" w:rsidRDefault="00E93158" w:rsidP="00E93158">
      <w:pPr>
        <w:jc w:val="both"/>
        <w:rPr>
          <w:rFonts w:ascii="Arial" w:hAnsi="Arial" w:cs="FrankRuehl"/>
          <w:sz w:val="28"/>
          <w:szCs w:val="28"/>
          <w:rtl/>
        </w:rPr>
      </w:pPr>
    </w:p>
    <w:p w14:paraId="54F35383" w14:textId="77777777" w:rsidR="00E93158" w:rsidRDefault="00E93158" w:rsidP="00E93158">
      <w:pPr>
        <w:jc w:val="both"/>
        <w:rPr>
          <w:rFonts w:cs="FrankRuehl"/>
          <w:sz w:val="28"/>
          <w:szCs w:val="28"/>
          <w:rtl/>
        </w:rPr>
      </w:pPr>
    </w:p>
    <w:p w14:paraId="15D7A08F" w14:textId="77777777" w:rsidR="00E93158" w:rsidRPr="00697C30" w:rsidRDefault="00697C30" w:rsidP="00E93158">
      <w:pPr>
        <w:pStyle w:val="a3"/>
        <w:jc w:val="both"/>
        <w:rPr>
          <w:color w:val="FFFFFF"/>
          <w:sz w:val="2"/>
          <w:szCs w:val="2"/>
          <w:rtl/>
        </w:rPr>
      </w:pPr>
      <w:r w:rsidRPr="00697C30">
        <w:rPr>
          <w:color w:val="FFFFFF"/>
          <w:sz w:val="2"/>
          <w:szCs w:val="2"/>
          <w:rtl/>
        </w:rPr>
        <w:t>5129371</w:t>
      </w:r>
    </w:p>
    <w:p w14:paraId="0C374ADF" w14:textId="77777777" w:rsidR="00CD7A7C" w:rsidRPr="00697C30" w:rsidRDefault="00697C30" w:rsidP="002162AD">
      <w:pPr>
        <w:keepNext/>
        <w:rPr>
          <w:rFonts w:ascii="David" w:hAnsi="David"/>
          <w:color w:val="FFFFFF"/>
          <w:sz w:val="2"/>
          <w:szCs w:val="2"/>
          <w:rtl/>
        </w:rPr>
      </w:pPr>
      <w:r w:rsidRPr="00697C30">
        <w:rPr>
          <w:rFonts w:ascii="David" w:hAnsi="David"/>
          <w:color w:val="FFFFFF"/>
          <w:sz w:val="2"/>
          <w:szCs w:val="2"/>
          <w:rtl/>
        </w:rPr>
        <w:t>54678313</w:t>
      </w:r>
    </w:p>
    <w:p w14:paraId="403FF3FA" w14:textId="77777777" w:rsidR="002162AD" w:rsidRPr="002162AD" w:rsidRDefault="002162AD" w:rsidP="002162AD">
      <w:pPr>
        <w:keepNext/>
        <w:rPr>
          <w:rFonts w:ascii="David" w:hAnsi="David"/>
          <w:color w:val="000000"/>
          <w:sz w:val="22"/>
          <w:szCs w:val="22"/>
          <w:rtl/>
        </w:rPr>
      </w:pPr>
      <w:r w:rsidRPr="002162AD">
        <w:rPr>
          <w:rFonts w:ascii="David" w:hAnsi="David"/>
          <w:color w:val="000000"/>
          <w:sz w:val="22"/>
          <w:szCs w:val="22"/>
          <w:rtl/>
        </w:rPr>
        <w:t>רונית בש 54678313</w:t>
      </w:r>
    </w:p>
    <w:p w14:paraId="707F82AD" w14:textId="77777777" w:rsidR="002162AD" w:rsidRDefault="002162AD" w:rsidP="002162AD">
      <w:r w:rsidRPr="002162AD">
        <w:rPr>
          <w:color w:val="000000"/>
          <w:rtl/>
        </w:rPr>
        <w:t>נוסח מסמך זה כפוף לשינויי ניסוח ועריכה</w:t>
      </w:r>
    </w:p>
    <w:p w14:paraId="66C52447" w14:textId="77777777" w:rsidR="002162AD" w:rsidRDefault="002162AD" w:rsidP="002162AD">
      <w:pPr>
        <w:rPr>
          <w:rtl/>
        </w:rPr>
      </w:pPr>
    </w:p>
    <w:p w14:paraId="340D9455" w14:textId="77777777" w:rsidR="00697C30" w:rsidRPr="00697C30" w:rsidRDefault="002162AD" w:rsidP="00697C30">
      <w:pPr>
        <w:jc w:val="center"/>
        <w:rPr>
          <w:rFonts w:hint="cs"/>
          <w:color w:val="0000FF"/>
          <w:u w:val="single"/>
          <w:rtl/>
        </w:rPr>
      </w:pPr>
      <w:hyperlink r:id="rId44" w:history="1">
        <w:r>
          <w:rPr>
            <w:color w:val="0000FF"/>
            <w:u w:val="single"/>
            <w:rtl/>
          </w:rPr>
          <w:t>בעניין עריכה ושינויים במסמכי פסיקה, חקיקה ועוד באתר נבו – הקש כאן</w:t>
        </w:r>
      </w:hyperlink>
    </w:p>
    <w:sectPr w:rsidR="00697C30" w:rsidRPr="00697C30" w:rsidSect="00697C30">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EE6A0" w14:textId="77777777" w:rsidR="00F24A69" w:rsidRDefault="00F24A69" w:rsidP="008F110F">
      <w:r>
        <w:separator/>
      </w:r>
    </w:p>
  </w:endnote>
  <w:endnote w:type="continuationSeparator" w:id="0">
    <w:p w14:paraId="49D65C07" w14:textId="77777777" w:rsidR="00F24A69" w:rsidRDefault="00F24A69" w:rsidP="008F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David">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54B5D" w14:textId="77777777" w:rsidR="00697C30" w:rsidRDefault="00697C30" w:rsidP="00697C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0913CA" w14:textId="77777777" w:rsidR="0045580D" w:rsidRPr="00697C30" w:rsidRDefault="00697C30" w:rsidP="00697C30">
    <w:pPr>
      <w:pStyle w:val="a5"/>
      <w:pBdr>
        <w:top w:val="single" w:sz="4" w:space="1" w:color="auto"/>
        <w:between w:val="single" w:sz="4" w:space="0" w:color="auto"/>
      </w:pBdr>
      <w:spacing w:after="60"/>
      <w:jc w:val="center"/>
      <w:rPr>
        <w:rFonts w:ascii="FrankRuehl" w:hAnsi="FrankRuehl" w:cs="FrankRuehl"/>
        <w:color w:val="000000"/>
      </w:rPr>
    </w:pPr>
    <w:r w:rsidRPr="00697C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61436" w14:textId="77777777" w:rsidR="00697C30" w:rsidRDefault="00697C30" w:rsidP="00697C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29EC">
      <w:rPr>
        <w:rFonts w:ascii="FrankRuehl" w:hAnsi="FrankRuehl" w:cs="FrankRuehl"/>
        <w:noProof/>
        <w:rtl/>
      </w:rPr>
      <w:t>1</w:t>
    </w:r>
    <w:r>
      <w:rPr>
        <w:rFonts w:ascii="FrankRuehl" w:hAnsi="FrankRuehl" w:cs="FrankRuehl"/>
        <w:rtl/>
      </w:rPr>
      <w:fldChar w:fldCharType="end"/>
    </w:r>
  </w:p>
  <w:p w14:paraId="076214F1" w14:textId="77777777" w:rsidR="0045580D" w:rsidRPr="00697C30" w:rsidRDefault="00697C30" w:rsidP="00697C30">
    <w:pPr>
      <w:pStyle w:val="a5"/>
      <w:pBdr>
        <w:top w:val="single" w:sz="4" w:space="1" w:color="auto"/>
        <w:between w:val="single" w:sz="4" w:space="0" w:color="auto"/>
      </w:pBdr>
      <w:spacing w:after="60"/>
      <w:jc w:val="center"/>
      <w:rPr>
        <w:rFonts w:ascii="FrankRuehl" w:hAnsi="FrankRuehl" w:cs="FrankRuehl"/>
        <w:color w:val="000000"/>
      </w:rPr>
    </w:pPr>
    <w:r w:rsidRPr="00697C30">
      <w:rPr>
        <w:rFonts w:ascii="FrankRuehl" w:hAnsi="FrankRuehl" w:cs="FrankRuehl"/>
        <w:color w:val="000000"/>
      </w:rPr>
      <w:pict w14:anchorId="28EAB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56323" w14:textId="77777777" w:rsidR="00F24A69" w:rsidRDefault="00F24A69" w:rsidP="008F110F">
      <w:r>
        <w:separator/>
      </w:r>
    </w:p>
  </w:footnote>
  <w:footnote w:type="continuationSeparator" w:id="0">
    <w:p w14:paraId="38DEAB3E" w14:textId="77777777" w:rsidR="00F24A69" w:rsidRDefault="00F24A69" w:rsidP="008F1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95080" w14:textId="77777777" w:rsidR="002162AD" w:rsidRPr="00697C30" w:rsidRDefault="00697C30" w:rsidP="00697C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66310-07-17</w:t>
    </w:r>
    <w:r>
      <w:rPr>
        <w:rFonts w:ascii="David" w:hAnsi="David"/>
        <w:color w:val="000000"/>
        <w:sz w:val="22"/>
        <w:szCs w:val="22"/>
        <w:rtl/>
      </w:rPr>
      <w:tab/>
      <w:t xml:space="preserve"> מדינת ישראל נ' אחמד 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F417C" w14:textId="77777777" w:rsidR="002162AD" w:rsidRPr="00697C30" w:rsidRDefault="00697C30" w:rsidP="00697C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66310-07-17</w:t>
    </w:r>
    <w:r>
      <w:rPr>
        <w:rFonts w:ascii="David" w:hAnsi="David"/>
        <w:color w:val="000000"/>
        <w:sz w:val="22"/>
        <w:szCs w:val="22"/>
        <w:rtl/>
      </w:rPr>
      <w:tab/>
      <w:t xml:space="preserve"> מדינת ישראל נ' אחמד בריה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7E32"/>
    <w:multiLevelType w:val="hybridMultilevel"/>
    <w:tmpl w:val="1F2670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183203F"/>
    <w:multiLevelType w:val="hybridMultilevel"/>
    <w:tmpl w:val="AFC6B6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940719172">
    <w:abstractNumId w:val="1"/>
  </w:num>
  <w:num w:numId="2" w16cid:durableId="33489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3158"/>
    <w:rsid w:val="002162AD"/>
    <w:rsid w:val="00221E3C"/>
    <w:rsid w:val="0045580D"/>
    <w:rsid w:val="006623D2"/>
    <w:rsid w:val="00697C30"/>
    <w:rsid w:val="008129EC"/>
    <w:rsid w:val="008F110F"/>
    <w:rsid w:val="009C4C6F"/>
    <w:rsid w:val="00AE60AF"/>
    <w:rsid w:val="00CD7A7C"/>
    <w:rsid w:val="00D807B3"/>
    <w:rsid w:val="00D86119"/>
    <w:rsid w:val="00E93158"/>
    <w:rsid w:val="00F24A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B1F0EE"/>
  <w15:chartTrackingRefBased/>
  <w15:docId w15:val="{8C0F4B17-0D84-4B3A-8858-B2673C52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31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3158"/>
    <w:pPr>
      <w:tabs>
        <w:tab w:val="center" w:pos="4153"/>
        <w:tab w:val="right" w:pos="8306"/>
      </w:tabs>
    </w:pPr>
  </w:style>
  <w:style w:type="character" w:customStyle="1" w:styleId="a4">
    <w:name w:val="כותרת עליונה תו"/>
    <w:link w:val="a3"/>
    <w:rsid w:val="00E93158"/>
    <w:rPr>
      <w:rFonts w:ascii="Times New Roman" w:eastAsia="Times New Roman" w:hAnsi="Times New Roman" w:cs="David"/>
      <w:sz w:val="24"/>
      <w:szCs w:val="24"/>
    </w:rPr>
  </w:style>
  <w:style w:type="paragraph" w:styleId="a5">
    <w:name w:val="footer"/>
    <w:basedOn w:val="a"/>
    <w:link w:val="a6"/>
    <w:rsid w:val="00E93158"/>
    <w:pPr>
      <w:tabs>
        <w:tab w:val="center" w:pos="4153"/>
        <w:tab w:val="right" w:pos="8306"/>
      </w:tabs>
    </w:pPr>
  </w:style>
  <w:style w:type="character" w:customStyle="1" w:styleId="a6">
    <w:name w:val="כותרת תחתונה תו"/>
    <w:link w:val="a5"/>
    <w:rsid w:val="00E93158"/>
    <w:rPr>
      <w:rFonts w:ascii="Times New Roman" w:eastAsia="Times New Roman" w:hAnsi="Times New Roman" w:cs="David"/>
      <w:sz w:val="24"/>
      <w:szCs w:val="24"/>
    </w:rPr>
  </w:style>
  <w:style w:type="table" w:styleId="a7">
    <w:name w:val="Table Grid"/>
    <w:basedOn w:val="a1"/>
    <w:rsid w:val="00E931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3158"/>
  </w:style>
  <w:style w:type="paragraph" w:customStyle="1" w:styleId="ListParagraph">
    <w:name w:val="List Paragraph"/>
    <w:basedOn w:val="a"/>
    <w:qFormat/>
    <w:rsid w:val="00E93158"/>
    <w:pPr>
      <w:ind w:left="720"/>
      <w:contextualSpacing/>
    </w:pPr>
  </w:style>
  <w:style w:type="character" w:styleId="Hyperlink">
    <w:name w:val="Hyperlink"/>
    <w:rsid w:val="002162A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7791493" TargetMode="External"/><Relationship Id="rId39" Type="http://schemas.openxmlformats.org/officeDocument/2006/relationships/hyperlink" Target="http://www.nevo.co.il/case/22746666" TargetMode="External"/><Relationship Id="rId21" Type="http://schemas.openxmlformats.org/officeDocument/2006/relationships/hyperlink" Target="http://www.nevo.co.il/law/70301/40c" TargetMode="External"/><Relationship Id="rId34" Type="http://schemas.openxmlformats.org/officeDocument/2006/relationships/hyperlink" Target="http://www.nevo.co.il/case/6864329" TargetMode="External"/><Relationship Id="rId42" Type="http://schemas.openxmlformats.org/officeDocument/2006/relationships/hyperlink" Target="http://www.nevo.co.il/law/70301/14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791493"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1289545"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144"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13093744" TargetMode="External"/><Relationship Id="rId36" Type="http://schemas.openxmlformats.org/officeDocument/2006/relationships/hyperlink" Target="http://www.nevo.co.il/law/70301/40d.a" TargetMode="External"/><Relationship Id="rId49" Type="http://schemas.openxmlformats.org/officeDocument/2006/relationships/fontTable" Target="fontTable.xml"/><Relationship Id="rId10" Type="http://schemas.openxmlformats.org/officeDocument/2006/relationships/hyperlink" Target="http://www.nevo.co.il/law/70301/40d.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784069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155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7878510" TargetMode="External"/><Relationship Id="rId35" Type="http://schemas.openxmlformats.org/officeDocument/2006/relationships/hyperlink" Target="http://www.nevo.co.il/case/22733878"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case/22746666"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13042005" TargetMode="External"/><Relationship Id="rId38" Type="http://schemas.openxmlformats.org/officeDocument/2006/relationships/hyperlink" Target="http://www.nevo.co.il/law/71553" TargetMode="External"/><Relationship Id="rId46" Type="http://schemas.openxmlformats.org/officeDocument/2006/relationships/header" Target="header2.xml"/><Relationship Id="rId20" Type="http://schemas.openxmlformats.org/officeDocument/2006/relationships/hyperlink" Target="http://www.nevo.co.il/case/6243627"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4812</Words>
  <Characters>24061</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28816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3473524</vt:i4>
      </vt:variant>
      <vt:variant>
        <vt:i4>96</vt:i4>
      </vt:variant>
      <vt:variant>
        <vt:i4>0</vt:i4>
      </vt:variant>
      <vt:variant>
        <vt:i4>5</vt:i4>
      </vt:variant>
      <vt:variant>
        <vt:lpwstr>http://www.nevo.co.il/case/22746666</vt:lpwstr>
      </vt:variant>
      <vt:variant>
        <vt:lpwstr/>
      </vt:variant>
      <vt:variant>
        <vt:i4>8257634</vt:i4>
      </vt:variant>
      <vt:variant>
        <vt:i4>93</vt:i4>
      </vt:variant>
      <vt:variant>
        <vt:i4>0</vt:i4>
      </vt:variant>
      <vt:variant>
        <vt:i4>5</vt:i4>
      </vt:variant>
      <vt:variant>
        <vt:lpwstr>http://www.nevo.co.il/law/71553</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3211389</vt:i4>
      </vt:variant>
      <vt:variant>
        <vt:i4>84</vt:i4>
      </vt:variant>
      <vt:variant>
        <vt:i4>0</vt:i4>
      </vt:variant>
      <vt:variant>
        <vt:i4>5</vt:i4>
      </vt:variant>
      <vt:variant>
        <vt:lpwstr>http://www.nevo.co.il/case/22733878</vt:lpwstr>
      </vt:variant>
      <vt:variant>
        <vt:lpwstr/>
      </vt:variant>
      <vt:variant>
        <vt:i4>3801210</vt:i4>
      </vt:variant>
      <vt:variant>
        <vt:i4>81</vt:i4>
      </vt:variant>
      <vt:variant>
        <vt:i4>0</vt:i4>
      </vt:variant>
      <vt:variant>
        <vt:i4>5</vt:i4>
      </vt:variant>
      <vt:variant>
        <vt:lpwstr>http://www.nevo.co.il/case/6864329</vt:lpwstr>
      </vt:variant>
      <vt:variant>
        <vt:lpwstr/>
      </vt:variant>
      <vt:variant>
        <vt:i4>3342451</vt:i4>
      </vt:variant>
      <vt:variant>
        <vt:i4>78</vt:i4>
      </vt:variant>
      <vt:variant>
        <vt:i4>0</vt:i4>
      </vt:variant>
      <vt:variant>
        <vt:i4>5</vt:i4>
      </vt:variant>
      <vt:variant>
        <vt:lpwstr>http://www.nevo.co.il/case/13042005</vt:lpwstr>
      </vt:variant>
      <vt:variant>
        <vt:lpwstr/>
      </vt:variant>
      <vt:variant>
        <vt:i4>4063352</vt:i4>
      </vt:variant>
      <vt:variant>
        <vt:i4>75</vt:i4>
      </vt:variant>
      <vt:variant>
        <vt:i4>0</vt:i4>
      </vt:variant>
      <vt:variant>
        <vt:i4>5</vt:i4>
      </vt:variant>
      <vt:variant>
        <vt:lpwstr>http://www.nevo.co.il/case/11289545</vt:lpwstr>
      </vt:variant>
      <vt:variant>
        <vt:lpwstr/>
      </vt:variant>
      <vt:variant>
        <vt:i4>3932277</vt:i4>
      </vt:variant>
      <vt:variant>
        <vt:i4>72</vt:i4>
      </vt:variant>
      <vt:variant>
        <vt:i4>0</vt:i4>
      </vt:variant>
      <vt:variant>
        <vt:i4>5</vt:i4>
      </vt:variant>
      <vt:variant>
        <vt:lpwstr>http://www.nevo.co.il/case/7840699</vt:lpwstr>
      </vt:variant>
      <vt:variant>
        <vt:lpwstr/>
      </vt:variant>
      <vt:variant>
        <vt:i4>3473525</vt:i4>
      </vt:variant>
      <vt:variant>
        <vt:i4>69</vt:i4>
      </vt:variant>
      <vt:variant>
        <vt:i4>0</vt:i4>
      </vt:variant>
      <vt:variant>
        <vt:i4>5</vt:i4>
      </vt:variant>
      <vt:variant>
        <vt:lpwstr>http://www.nevo.co.il/case/7878510</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3342455</vt:i4>
      </vt:variant>
      <vt:variant>
        <vt:i4>39</vt:i4>
      </vt:variant>
      <vt:variant>
        <vt:i4>0</vt:i4>
      </vt:variant>
      <vt:variant>
        <vt:i4>5</vt:i4>
      </vt:variant>
      <vt:variant>
        <vt:lpwstr>http://www.nevo.co.il/case/6243627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3473524</vt:i4>
      </vt:variant>
      <vt:variant>
        <vt:i4>30</vt:i4>
      </vt:variant>
      <vt:variant>
        <vt:i4>0</vt:i4>
      </vt:variant>
      <vt:variant>
        <vt:i4>5</vt:i4>
      </vt:variant>
      <vt:variant>
        <vt:lpwstr>http://www.nevo.co.il/case/22746666</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8257634</vt:i4>
      </vt:variant>
      <vt:variant>
        <vt:i4>21</vt:i4>
      </vt:variant>
      <vt:variant>
        <vt:i4>0</vt:i4>
      </vt:variant>
      <vt:variant>
        <vt:i4>5</vt:i4>
      </vt:variant>
      <vt:variant>
        <vt:lpwstr>http://www.nevo.co.il/law/71553</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66310</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בריה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20190106</vt:lpwstr>
  </property>
  <property fmtid="{D5CDD505-2E9C-101B-9397-08002B2CF9AE}" pid="13" name="TYPE_N_DATE">
    <vt:lpwstr>39020190106</vt:lpwstr>
  </property>
  <property fmtid="{D5CDD505-2E9C-101B-9397-08002B2CF9AE}" pid="14" name="CASESLISTTMP1">
    <vt:lpwstr>22746666:2;6243627;5601503;7791493:3;13093744;7878510;7840699;11289545;13042005;6864329;22733878</vt:lpwstr>
  </property>
  <property fmtid="{D5CDD505-2E9C-101B-9397-08002B2CF9AE}" pid="15" name="WORDNUMPAGES">
    <vt:lpwstr>14</vt:lpwstr>
  </property>
  <property fmtid="{D5CDD505-2E9C-101B-9397-08002B2CF9AE}" pid="16" name="TYPE_ABS_DATE">
    <vt:lpwstr>390020190106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70301/144.b;040b;040c;040i;040d.a;144:2</vt:lpwstr>
  </property>
  <property fmtid="{D5CDD505-2E9C-101B-9397-08002B2CF9AE}" pid="37" name="LAWLISTTMP2">
    <vt:lpwstr>71553</vt:lpwstr>
  </property>
</Properties>
</file>