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811"/>
        <w:gridCol w:w="2694"/>
      </w:tblGrid>
      <w:tr w:rsidR="005A3CAB" w:rsidRPr="005334CF" w14:paraId="582C9790" w14:textId="77777777" w:rsidTr="00D92081">
        <w:trPr>
          <w:trHeight w:hRule="exact" w:val="1418"/>
          <w:jc w:val="center"/>
        </w:trPr>
        <w:tc>
          <w:tcPr>
            <w:tcW w:w="8505" w:type="dxa"/>
            <w:gridSpan w:val="2"/>
          </w:tcPr>
          <w:p w14:paraId="4E93F0EC" w14:textId="77777777" w:rsidR="005A3CAB" w:rsidRPr="005334CF" w:rsidRDefault="005A3CAB" w:rsidP="00D92081">
            <w:pPr>
              <w:pStyle w:val="a3"/>
              <w:jc w:val="center"/>
              <w:rPr>
                <w:rtl/>
              </w:rPr>
            </w:pPr>
            <w:r w:rsidRPr="005334CF">
              <w:rPr>
                <w:rFonts w:ascii="Tahoma" w:hAnsi="Tahoma" w:cs="Tahoma"/>
                <w:b/>
                <w:bCs/>
                <w:color w:val="000080"/>
                <w:rtl/>
              </w:rPr>
              <w:t>בית המשפט המחוזי בירושלים</w:t>
            </w:r>
          </w:p>
          <w:p w14:paraId="1C8E68B3" w14:textId="77777777" w:rsidR="005A3CAB" w:rsidRPr="005334CF" w:rsidRDefault="005A3CAB" w:rsidP="00D92081">
            <w:pPr>
              <w:pStyle w:val="a3"/>
              <w:jc w:val="center"/>
              <w:rPr>
                <w:rtl/>
              </w:rPr>
            </w:pPr>
          </w:p>
          <w:p w14:paraId="1E536223" w14:textId="77777777" w:rsidR="005A3CAB" w:rsidRPr="005334CF" w:rsidRDefault="005A3CAB" w:rsidP="00D92081">
            <w:pPr>
              <w:rPr>
                <w:b/>
                <w:bCs/>
                <w:sz w:val="28"/>
                <w:szCs w:val="28"/>
                <w:rtl/>
              </w:rPr>
            </w:pPr>
            <w:r w:rsidRPr="005334CF">
              <w:rPr>
                <w:rFonts w:hint="cs"/>
                <w:b/>
                <w:bCs/>
                <w:sz w:val="28"/>
                <w:szCs w:val="28"/>
                <w:rtl/>
              </w:rPr>
              <w:t>לפני כב' השופט רפי כרמל, אב"ד</w:t>
            </w:r>
          </w:p>
          <w:p w14:paraId="7FE89AA6" w14:textId="77777777" w:rsidR="005A3CAB" w:rsidRPr="005334CF" w:rsidRDefault="005A3CAB" w:rsidP="00D92081">
            <w:pPr>
              <w:rPr>
                <w:b/>
                <w:bCs/>
                <w:sz w:val="28"/>
                <w:szCs w:val="28"/>
                <w:rtl/>
              </w:rPr>
            </w:pPr>
            <w:r w:rsidRPr="005334CF">
              <w:rPr>
                <w:rFonts w:hint="cs"/>
                <w:b/>
                <w:bCs/>
                <w:sz w:val="28"/>
                <w:szCs w:val="28"/>
                <w:rtl/>
              </w:rPr>
              <w:t xml:space="preserve">       כב' השופט כרמי מוסק</w:t>
            </w:r>
          </w:p>
          <w:p w14:paraId="1981CC84" w14:textId="77777777" w:rsidR="005A3CAB" w:rsidRPr="005334CF" w:rsidRDefault="005A3CAB" w:rsidP="00D92081">
            <w:pPr>
              <w:rPr>
                <w:b/>
                <w:bCs/>
                <w:sz w:val="28"/>
                <w:szCs w:val="28"/>
              </w:rPr>
            </w:pPr>
            <w:r w:rsidRPr="005334CF">
              <w:rPr>
                <w:rFonts w:hint="cs"/>
                <w:b/>
                <w:bCs/>
                <w:sz w:val="28"/>
                <w:szCs w:val="28"/>
                <w:rtl/>
              </w:rPr>
              <w:t xml:space="preserve">       כב' השופטת שירלי רנר</w:t>
            </w:r>
          </w:p>
          <w:p w14:paraId="238FA152" w14:textId="77777777" w:rsidR="005A3CAB" w:rsidRPr="005334CF" w:rsidRDefault="005A3CAB" w:rsidP="00D92081">
            <w:pPr>
              <w:pStyle w:val="a3"/>
              <w:jc w:val="center"/>
              <w:rPr>
                <w:rFonts w:ascii="Tahoma" w:hAnsi="Tahoma" w:cs="Tahoma"/>
                <w:color w:val="000080"/>
                <w:rtl/>
              </w:rPr>
            </w:pPr>
          </w:p>
        </w:tc>
      </w:tr>
      <w:tr w:rsidR="005A3CAB" w:rsidRPr="005334CF" w14:paraId="4E2B3E36" w14:textId="77777777" w:rsidTr="00D92081">
        <w:trPr>
          <w:trHeight w:val="337"/>
          <w:jc w:val="center"/>
        </w:trPr>
        <w:tc>
          <w:tcPr>
            <w:tcW w:w="5811" w:type="dxa"/>
          </w:tcPr>
          <w:p w14:paraId="41BF41CF" w14:textId="77777777" w:rsidR="005A3CAB" w:rsidRPr="005334CF" w:rsidRDefault="005A3CAB" w:rsidP="00D92081">
            <w:pPr>
              <w:rPr>
                <w:rFonts w:cs="FrankRuehl"/>
                <w:sz w:val="28"/>
                <w:szCs w:val="28"/>
                <w:rtl/>
              </w:rPr>
            </w:pPr>
            <w:bookmarkStart w:id="0" w:name="LastJudge"/>
            <w:bookmarkEnd w:id="0"/>
          </w:p>
        </w:tc>
        <w:tc>
          <w:tcPr>
            <w:tcW w:w="2694" w:type="dxa"/>
          </w:tcPr>
          <w:p w14:paraId="614C7B83" w14:textId="77777777" w:rsidR="005A3CAB" w:rsidRPr="005334CF" w:rsidRDefault="005A3CAB" w:rsidP="00D92081">
            <w:pPr>
              <w:pStyle w:val="a3"/>
              <w:jc w:val="right"/>
              <w:rPr>
                <w:rFonts w:cs="FrankRuehl"/>
                <w:b/>
                <w:bCs/>
                <w:sz w:val="34"/>
                <w:szCs w:val="34"/>
                <w:rtl/>
              </w:rPr>
            </w:pPr>
            <w:r w:rsidRPr="005334CF">
              <w:rPr>
                <w:rFonts w:cs="FrankRuehl"/>
                <w:b/>
                <w:bCs/>
                <w:sz w:val="34"/>
                <w:szCs w:val="34"/>
                <w:rtl/>
              </w:rPr>
              <w:t>תפ"ח</w:t>
            </w:r>
            <w:r w:rsidRPr="005334CF">
              <w:rPr>
                <w:rFonts w:cs="FrankRuehl" w:hint="cs"/>
                <w:b/>
                <w:bCs/>
                <w:sz w:val="34"/>
                <w:szCs w:val="34"/>
                <w:rtl/>
              </w:rPr>
              <w:t xml:space="preserve"> </w:t>
            </w:r>
            <w:r w:rsidRPr="005334CF">
              <w:rPr>
                <w:rFonts w:cs="FrankRuehl"/>
                <w:b/>
                <w:bCs/>
                <w:sz w:val="34"/>
                <w:szCs w:val="34"/>
                <w:rtl/>
              </w:rPr>
              <w:t>28728-08-17</w:t>
            </w:r>
          </w:p>
        </w:tc>
      </w:tr>
    </w:tbl>
    <w:p w14:paraId="6BFE6D7D" w14:textId="77777777" w:rsidR="005A3CAB" w:rsidRPr="005334CF" w:rsidRDefault="005A3CAB" w:rsidP="005A3CAB">
      <w:pPr>
        <w:pStyle w:val="a3"/>
        <w:rPr>
          <w:rtl/>
        </w:rPr>
      </w:pPr>
      <w:r w:rsidRPr="005334CF">
        <w:rPr>
          <w:rFonts w:hint="cs"/>
          <w:rtl/>
        </w:rPr>
        <w:t xml:space="preserve"> </w:t>
      </w:r>
    </w:p>
    <w:p w14:paraId="1ABB4661" w14:textId="77777777" w:rsidR="005A3CAB" w:rsidRPr="005334CF" w:rsidRDefault="005A3CAB" w:rsidP="005A3CAB">
      <w:pPr>
        <w:rPr>
          <w:spacing w:val="22"/>
          <w:rtl/>
        </w:rPr>
      </w:pPr>
    </w:p>
    <w:tbl>
      <w:tblPr>
        <w:bidiVisual/>
        <w:tblW w:w="8530" w:type="dxa"/>
        <w:tblInd w:w="244" w:type="dxa"/>
        <w:tblLook w:val="01E0" w:firstRow="1" w:lastRow="1" w:firstColumn="1" w:lastColumn="1" w:noHBand="0" w:noVBand="0"/>
      </w:tblPr>
      <w:tblGrid>
        <w:gridCol w:w="2608"/>
        <w:gridCol w:w="5922"/>
      </w:tblGrid>
      <w:tr w:rsidR="005A3CAB" w:rsidRPr="005334CF" w14:paraId="045C060C" w14:textId="77777777" w:rsidTr="005A3CAB">
        <w:tc>
          <w:tcPr>
            <w:tcW w:w="2608" w:type="dxa"/>
            <w:shd w:val="clear" w:color="auto" w:fill="auto"/>
          </w:tcPr>
          <w:p w14:paraId="1D87B55B" w14:textId="77777777" w:rsidR="005A3CAB" w:rsidRPr="005334CF" w:rsidRDefault="005A3CAB" w:rsidP="005A3CAB">
            <w:pPr>
              <w:ind w:left="26"/>
              <w:rPr>
                <w:b/>
                <w:bCs/>
                <w:spacing w:val="22"/>
                <w:sz w:val="26"/>
                <w:szCs w:val="26"/>
              </w:rPr>
            </w:pPr>
            <w:bookmarkStart w:id="1" w:name="FirstAppellant"/>
            <w:r w:rsidRPr="005334CF">
              <w:rPr>
                <w:rFonts w:hint="cs"/>
                <w:b/>
                <w:bCs/>
                <w:spacing w:val="22"/>
                <w:sz w:val="26"/>
                <w:szCs w:val="26"/>
                <w:rtl/>
              </w:rPr>
              <w:t>המאשימה</w:t>
            </w:r>
          </w:p>
        </w:tc>
        <w:tc>
          <w:tcPr>
            <w:tcW w:w="5922" w:type="dxa"/>
            <w:shd w:val="clear" w:color="auto" w:fill="auto"/>
          </w:tcPr>
          <w:p w14:paraId="7A452DC9" w14:textId="77777777" w:rsidR="005A3CAB" w:rsidRPr="005334CF" w:rsidRDefault="005A3CAB" w:rsidP="00D92081">
            <w:pPr>
              <w:rPr>
                <w:b/>
                <w:bCs/>
                <w:spacing w:val="22"/>
                <w:sz w:val="26"/>
                <w:szCs w:val="26"/>
                <w:rtl/>
              </w:rPr>
            </w:pPr>
            <w:r w:rsidRPr="005334CF">
              <w:rPr>
                <w:rFonts w:hint="cs"/>
                <w:b/>
                <w:bCs/>
                <w:spacing w:val="22"/>
                <w:sz w:val="26"/>
                <w:szCs w:val="26"/>
                <w:rtl/>
              </w:rPr>
              <w:t xml:space="preserve"> מדינת ישראל</w:t>
            </w:r>
          </w:p>
          <w:p w14:paraId="4AFA6E08" w14:textId="77777777" w:rsidR="005A3CAB" w:rsidRPr="005334CF" w:rsidRDefault="005A3CAB" w:rsidP="00D92081">
            <w:pPr>
              <w:rPr>
                <w:b/>
                <w:bCs/>
                <w:spacing w:val="22"/>
                <w:sz w:val="26"/>
                <w:szCs w:val="26"/>
                <w:rtl/>
              </w:rPr>
            </w:pPr>
            <w:r w:rsidRPr="005334CF">
              <w:rPr>
                <w:rFonts w:hint="cs"/>
                <w:b/>
                <w:bCs/>
                <w:spacing w:val="22"/>
                <w:sz w:val="26"/>
                <w:szCs w:val="26"/>
                <w:rtl/>
              </w:rPr>
              <w:t>באמצעות פרקליטות מחוז ירושלים</w:t>
            </w:r>
          </w:p>
        </w:tc>
      </w:tr>
      <w:bookmarkEnd w:id="1"/>
      <w:tr w:rsidR="005A3CAB" w:rsidRPr="005334CF" w14:paraId="779269DD" w14:textId="77777777" w:rsidTr="005A3CAB">
        <w:tc>
          <w:tcPr>
            <w:tcW w:w="8530" w:type="dxa"/>
            <w:gridSpan w:val="2"/>
            <w:shd w:val="clear" w:color="auto" w:fill="auto"/>
          </w:tcPr>
          <w:p w14:paraId="5960A55E" w14:textId="77777777" w:rsidR="005A3CAB" w:rsidRPr="005334CF" w:rsidRDefault="005A3CAB" w:rsidP="005A3CAB">
            <w:pPr>
              <w:jc w:val="both"/>
              <w:rPr>
                <w:rFonts w:ascii="Arial" w:hAnsi="Arial"/>
                <w:b/>
                <w:bCs/>
                <w:spacing w:val="22"/>
                <w:sz w:val="26"/>
                <w:szCs w:val="26"/>
                <w:rtl/>
              </w:rPr>
            </w:pPr>
          </w:p>
          <w:p w14:paraId="6BB4EB07" w14:textId="77777777" w:rsidR="005A3CAB" w:rsidRPr="005334CF" w:rsidRDefault="005A3CAB" w:rsidP="005A3CAB">
            <w:pPr>
              <w:jc w:val="center"/>
              <w:rPr>
                <w:rFonts w:ascii="Arial" w:hAnsi="Arial"/>
                <w:b/>
                <w:bCs/>
                <w:spacing w:val="22"/>
                <w:sz w:val="26"/>
                <w:szCs w:val="26"/>
                <w:rtl/>
              </w:rPr>
            </w:pPr>
            <w:r w:rsidRPr="005334CF">
              <w:rPr>
                <w:rFonts w:ascii="Arial" w:hAnsi="Arial" w:hint="cs"/>
                <w:b/>
                <w:bCs/>
                <w:spacing w:val="22"/>
                <w:sz w:val="26"/>
                <w:szCs w:val="26"/>
                <w:rtl/>
              </w:rPr>
              <w:t>נגד</w:t>
            </w:r>
          </w:p>
          <w:p w14:paraId="16A94A41" w14:textId="77777777" w:rsidR="005A3CAB" w:rsidRPr="005334CF" w:rsidRDefault="005A3CAB" w:rsidP="005A3CAB">
            <w:pPr>
              <w:jc w:val="center"/>
              <w:rPr>
                <w:rFonts w:ascii="Arial" w:hAnsi="Arial"/>
                <w:b/>
                <w:bCs/>
                <w:spacing w:val="22"/>
                <w:sz w:val="26"/>
                <w:szCs w:val="26"/>
                <w:rtl/>
              </w:rPr>
            </w:pPr>
          </w:p>
        </w:tc>
      </w:tr>
      <w:tr w:rsidR="005A3CAB" w:rsidRPr="005334CF" w14:paraId="40E74723" w14:textId="77777777" w:rsidTr="005A3CAB">
        <w:tc>
          <w:tcPr>
            <w:tcW w:w="2608" w:type="dxa"/>
            <w:shd w:val="clear" w:color="auto" w:fill="auto"/>
          </w:tcPr>
          <w:p w14:paraId="46F443B6" w14:textId="77777777" w:rsidR="005A3CAB" w:rsidRPr="005334CF" w:rsidRDefault="005A3CAB" w:rsidP="005A3CAB">
            <w:pPr>
              <w:ind w:left="26"/>
              <w:rPr>
                <w:b/>
                <w:bCs/>
                <w:spacing w:val="22"/>
                <w:sz w:val="26"/>
                <w:szCs w:val="26"/>
              </w:rPr>
            </w:pPr>
            <w:bookmarkStart w:id="2" w:name="FirstLawyer"/>
            <w:r w:rsidRPr="005334CF">
              <w:rPr>
                <w:rFonts w:hint="cs"/>
                <w:b/>
                <w:bCs/>
                <w:spacing w:val="22"/>
                <w:sz w:val="26"/>
                <w:szCs w:val="26"/>
                <w:rtl/>
              </w:rPr>
              <w:t>הנאשמים</w:t>
            </w:r>
          </w:p>
        </w:tc>
        <w:tc>
          <w:tcPr>
            <w:tcW w:w="5922" w:type="dxa"/>
            <w:shd w:val="clear" w:color="auto" w:fill="auto"/>
          </w:tcPr>
          <w:p w14:paraId="23D683D9" w14:textId="77777777" w:rsidR="005A3CAB" w:rsidRPr="005334CF" w:rsidRDefault="005A3CAB" w:rsidP="00D92081">
            <w:pPr>
              <w:rPr>
                <w:b/>
                <w:bCs/>
                <w:spacing w:val="22"/>
                <w:sz w:val="26"/>
                <w:szCs w:val="26"/>
                <w:rtl/>
              </w:rPr>
            </w:pPr>
            <w:r w:rsidRPr="005334CF">
              <w:rPr>
                <w:b/>
                <w:bCs/>
                <w:spacing w:val="22"/>
                <w:sz w:val="26"/>
                <w:szCs w:val="26"/>
              </w:rPr>
              <w:t>.1</w:t>
            </w:r>
            <w:r w:rsidRPr="005334CF">
              <w:rPr>
                <w:rFonts w:hint="cs"/>
                <w:b/>
                <w:bCs/>
                <w:spacing w:val="22"/>
                <w:sz w:val="26"/>
                <w:szCs w:val="26"/>
                <w:rtl/>
              </w:rPr>
              <w:t xml:space="preserve"> מוחמד אבו ח'דיר</w:t>
            </w:r>
          </w:p>
          <w:p w14:paraId="778CD06E" w14:textId="77777777" w:rsidR="005A3CAB" w:rsidRPr="005334CF" w:rsidRDefault="005A3CAB" w:rsidP="00D92081">
            <w:pPr>
              <w:rPr>
                <w:b/>
                <w:bCs/>
                <w:spacing w:val="22"/>
                <w:sz w:val="26"/>
                <w:szCs w:val="26"/>
                <w:rtl/>
              </w:rPr>
            </w:pPr>
            <w:r w:rsidRPr="005334CF">
              <w:rPr>
                <w:rFonts w:hint="cs"/>
                <w:b/>
                <w:bCs/>
                <w:spacing w:val="22"/>
                <w:sz w:val="26"/>
                <w:szCs w:val="26"/>
                <w:rtl/>
              </w:rPr>
              <w:t>ע"י ב"כ עוה"ד לאה צמל ומוחמד מחמוד</w:t>
            </w:r>
          </w:p>
          <w:p w14:paraId="7024F96E" w14:textId="77777777" w:rsidR="005A3CAB" w:rsidRPr="005334CF" w:rsidRDefault="005A3CAB" w:rsidP="00D92081">
            <w:pPr>
              <w:rPr>
                <w:b/>
                <w:bCs/>
                <w:spacing w:val="22"/>
                <w:sz w:val="26"/>
                <w:szCs w:val="26"/>
                <w:rtl/>
              </w:rPr>
            </w:pPr>
          </w:p>
          <w:p w14:paraId="5581D956" w14:textId="77777777" w:rsidR="005A3CAB" w:rsidRPr="005334CF" w:rsidRDefault="005A3CAB" w:rsidP="00D92081">
            <w:pPr>
              <w:rPr>
                <w:b/>
                <w:bCs/>
                <w:spacing w:val="22"/>
                <w:sz w:val="26"/>
                <w:szCs w:val="26"/>
                <w:rtl/>
              </w:rPr>
            </w:pPr>
            <w:r w:rsidRPr="005334CF">
              <w:rPr>
                <w:b/>
                <w:bCs/>
                <w:spacing w:val="22"/>
                <w:sz w:val="26"/>
                <w:szCs w:val="26"/>
              </w:rPr>
              <w:t>.2</w:t>
            </w:r>
            <w:r w:rsidRPr="005334CF">
              <w:rPr>
                <w:rFonts w:hint="cs"/>
                <w:b/>
                <w:bCs/>
                <w:spacing w:val="22"/>
                <w:sz w:val="26"/>
                <w:szCs w:val="26"/>
                <w:rtl/>
              </w:rPr>
              <w:t xml:space="preserve"> עבאס סלחי </w:t>
            </w:r>
          </w:p>
          <w:p w14:paraId="717B9321" w14:textId="77777777" w:rsidR="005A3CAB" w:rsidRPr="005334CF" w:rsidRDefault="005A3CAB" w:rsidP="00D92081">
            <w:pPr>
              <w:rPr>
                <w:b/>
                <w:bCs/>
                <w:spacing w:val="22"/>
                <w:sz w:val="26"/>
                <w:szCs w:val="26"/>
                <w:rtl/>
              </w:rPr>
            </w:pPr>
            <w:r w:rsidRPr="005334CF">
              <w:rPr>
                <w:rFonts w:hint="cs"/>
                <w:b/>
                <w:bCs/>
                <w:spacing w:val="22"/>
                <w:sz w:val="26"/>
                <w:szCs w:val="26"/>
                <w:rtl/>
              </w:rPr>
              <w:t>ע"י ב"כ עו"ד נאיל זחאלקה</w:t>
            </w:r>
          </w:p>
          <w:p w14:paraId="2CC83F7E" w14:textId="77777777" w:rsidR="005A3CAB" w:rsidRPr="005334CF" w:rsidRDefault="005A3CAB" w:rsidP="00D92081">
            <w:pPr>
              <w:rPr>
                <w:b/>
                <w:bCs/>
                <w:spacing w:val="22"/>
                <w:sz w:val="26"/>
                <w:szCs w:val="26"/>
                <w:rtl/>
              </w:rPr>
            </w:pPr>
          </w:p>
          <w:p w14:paraId="19388AD6" w14:textId="77777777" w:rsidR="005A3CAB" w:rsidRPr="005334CF" w:rsidRDefault="005A3CAB" w:rsidP="00D92081">
            <w:pPr>
              <w:rPr>
                <w:b/>
                <w:bCs/>
                <w:spacing w:val="22"/>
                <w:sz w:val="26"/>
                <w:szCs w:val="26"/>
                <w:rtl/>
              </w:rPr>
            </w:pPr>
            <w:r w:rsidRPr="005334CF">
              <w:rPr>
                <w:b/>
                <w:bCs/>
                <w:spacing w:val="22"/>
                <w:sz w:val="26"/>
                <w:szCs w:val="26"/>
              </w:rPr>
              <w:t>.3</w:t>
            </w:r>
            <w:r w:rsidRPr="005334CF">
              <w:rPr>
                <w:rFonts w:hint="cs"/>
                <w:b/>
                <w:bCs/>
                <w:spacing w:val="22"/>
                <w:sz w:val="26"/>
                <w:szCs w:val="26"/>
                <w:rtl/>
              </w:rPr>
              <w:t xml:space="preserve"> עמרו מעתוק </w:t>
            </w:r>
          </w:p>
          <w:p w14:paraId="2932E0DA" w14:textId="77777777" w:rsidR="005A3CAB" w:rsidRPr="005334CF" w:rsidRDefault="005A3CAB" w:rsidP="00D92081">
            <w:pPr>
              <w:rPr>
                <w:b/>
                <w:bCs/>
                <w:spacing w:val="22"/>
                <w:sz w:val="26"/>
                <w:szCs w:val="26"/>
                <w:rtl/>
              </w:rPr>
            </w:pPr>
            <w:r w:rsidRPr="005334CF">
              <w:rPr>
                <w:rFonts w:hint="cs"/>
                <w:b/>
                <w:bCs/>
                <w:spacing w:val="22"/>
                <w:sz w:val="26"/>
                <w:szCs w:val="26"/>
                <w:rtl/>
              </w:rPr>
              <w:t>ע"י ב"כ עו"ד מוחמד מחמוד</w:t>
            </w:r>
          </w:p>
          <w:p w14:paraId="1FE8CC03" w14:textId="77777777" w:rsidR="005A3CAB" w:rsidRPr="005334CF" w:rsidRDefault="005A3CAB" w:rsidP="00D92081">
            <w:pPr>
              <w:rPr>
                <w:b/>
                <w:bCs/>
                <w:spacing w:val="22"/>
                <w:sz w:val="26"/>
                <w:szCs w:val="26"/>
                <w:rtl/>
              </w:rPr>
            </w:pPr>
          </w:p>
        </w:tc>
      </w:tr>
    </w:tbl>
    <w:p w14:paraId="03A0DE76" w14:textId="77777777" w:rsidR="00AD5B74" w:rsidRDefault="00AD5B74" w:rsidP="005A3CAB">
      <w:pPr>
        <w:rPr>
          <w:spacing w:val="22"/>
          <w:rtl/>
        </w:rPr>
      </w:pPr>
      <w:bookmarkStart w:id="3" w:name="LawTable"/>
      <w:bookmarkEnd w:id="2"/>
      <w:bookmarkEnd w:id="3"/>
    </w:p>
    <w:p w14:paraId="4D83190D" w14:textId="77777777" w:rsidR="00AD5B74" w:rsidRPr="00AD5B74" w:rsidRDefault="00461EE9" w:rsidP="00AD5B74">
      <w:pPr>
        <w:spacing w:after="120" w:line="240" w:lineRule="exact"/>
        <w:ind w:left="283" w:hanging="283"/>
        <w:jc w:val="both"/>
        <w:rPr>
          <w:rFonts w:ascii="FrankRuehl" w:hAnsi="FrankRuehl" w:cs="FrankRuehl" w:hint="cs"/>
          <w:rtl/>
        </w:rPr>
      </w:pPr>
      <w:r>
        <w:rPr>
          <w:rFonts w:ascii="FrankRuehl" w:hAnsi="FrankRuehl" w:cs="FrankRuehl" w:hint="cs"/>
          <w:rtl/>
        </w:rPr>
        <w:t xml:space="preserve"> </w:t>
      </w:r>
    </w:p>
    <w:p w14:paraId="3964ECCD" w14:textId="77777777" w:rsidR="00AD5B74" w:rsidRPr="00AD5B74" w:rsidRDefault="00AD5B74" w:rsidP="00AD5B74">
      <w:pPr>
        <w:spacing w:after="120" w:line="240" w:lineRule="exact"/>
        <w:ind w:left="283" w:hanging="283"/>
        <w:jc w:val="both"/>
        <w:rPr>
          <w:rFonts w:ascii="FrankRuehl" w:hAnsi="FrankRuehl" w:cs="FrankRuehl"/>
          <w:rtl/>
        </w:rPr>
      </w:pPr>
      <w:r w:rsidRPr="00AD5B74">
        <w:rPr>
          <w:rFonts w:ascii="FrankRuehl" w:hAnsi="FrankRuehl" w:cs="FrankRuehl"/>
          <w:rtl/>
        </w:rPr>
        <w:t xml:space="preserve">חקיקה שאוזכרה: </w:t>
      </w:r>
    </w:p>
    <w:p w14:paraId="6FDD4F95" w14:textId="77777777" w:rsidR="00AD5B74" w:rsidRPr="00AD5B74" w:rsidRDefault="00AD5B74" w:rsidP="00AD5B74">
      <w:pPr>
        <w:spacing w:after="120" w:line="240" w:lineRule="exact"/>
        <w:ind w:left="283" w:hanging="283"/>
        <w:jc w:val="both"/>
        <w:rPr>
          <w:rFonts w:ascii="FrankRuehl" w:hAnsi="FrankRuehl" w:cs="FrankRuehl"/>
          <w:rtl/>
        </w:rPr>
      </w:pPr>
      <w:hyperlink r:id="rId6" w:history="1">
        <w:r w:rsidRPr="00AD5B74">
          <w:rPr>
            <w:rFonts w:ascii="FrankRuehl" w:hAnsi="FrankRuehl" w:cs="FrankRuehl"/>
            <w:color w:val="0000FF"/>
            <w:u w:val="single"/>
            <w:rtl/>
          </w:rPr>
          <w:t>פקודת מניעת טרור</w:t>
        </w:r>
      </w:hyperlink>
      <w:r w:rsidRPr="00AD5B74">
        <w:rPr>
          <w:rFonts w:ascii="FrankRuehl" w:hAnsi="FrankRuehl" w:cs="FrankRuehl"/>
          <w:rtl/>
        </w:rPr>
        <w:t xml:space="preserve">: סע'  </w:t>
      </w:r>
      <w:hyperlink r:id="rId7" w:history="1">
        <w:r w:rsidRPr="00AD5B74">
          <w:rPr>
            <w:rFonts w:ascii="FrankRuehl" w:hAnsi="FrankRuehl" w:cs="FrankRuehl"/>
            <w:color w:val="0000FF"/>
            <w:u w:val="single"/>
            <w:rtl/>
          </w:rPr>
          <w:t>3</w:t>
        </w:r>
      </w:hyperlink>
    </w:p>
    <w:p w14:paraId="1843028A" w14:textId="77777777" w:rsidR="00AD5B74" w:rsidRPr="00AD5B74" w:rsidRDefault="00AD5B74" w:rsidP="00AD5B74">
      <w:pPr>
        <w:spacing w:after="120" w:line="240" w:lineRule="exact"/>
        <w:ind w:left="283" w:hanging="283"/>
        <w:jc w:val="both"/>
        <w:rPr>
          <w:rFonts w:ascii="FrankRuehl" w:hAnsi="FrankRuehl" w:cs="FrankRuehl"/>
          <w:rtl/>
        </w:rPr>
      </w:pPr>
      <w:hyperlink r:id="rId8" w:history="1">
        <w:r w:rsidRPr="00AD5B74">
          <w:rPr>
            <w:rFonts w:ascii="FrankRuehl" w:hAnsi="FrankRuehl" w:cs="FrankRuehl"/>
            <w:color w:val="0000FF"/>
            <w:u w:val="single"/>
            <w:rtl/>
          </w:rPr>
          <w:t>חוק המאבק בטרור, תשע"ו-2016</w:t>
        </w:r>
      </w:hyperlink>
      <w:r w:rsidRPr="00AD5B74">
        <w:rPr>
          <w:rFonts w:ascii="FrankRuehl" w:hAnsi="FrankRuehl" w:cs="FrankRuehl"/>
          <w:rtl/>
        </w:rPr>
        <w:t xml:space="preserve">: סע'  </w:t>
      </w:r>
      <w:hyperlink r:id="rId9" w:history="1">
        <w:r w:rsidRPr="00AD5B74">
          <w:rPr>
            <w:rFonts w:ascii="FrankRuehl" w:hAnsi="FrankRuehl" w:cs="FrankRuehl"/>
            <w:color w:val="0000FF"/>
            <w:u w:val="single"/>
            <w:rtl/>
          </w:rPr>
          <w:t>22 (ב)</w:t>
        </w:r>
      </w:hyperlink>
      <w:r w:rsidRPr="00AD5B74">
        <w:rPr>
          <w:rFonts w:ascii="FrankRuehl" w:hAnsi="FrankRuehl" w:cs="FrankRuehl"/>
          <w:rtl/>
        </w:rPr>
        <w:t xml:space="preserve">, </w:t>
      </w:r>
      <w:hyperlink r:id="rId10" w:history="1">
        <w:r w:rsidRPr="00AD5B74">
          <w:rPr>
            <w:rFonts w:ascii="FrankRuehl" w:hAnsi="FrankRuehl" w:cs="FrankRuehl"/>
            <w:color w:val="0000FF"/>
            <w:u w:val="single"/>
            <w:rtl/>
          </w:rPr>
          <w:t>22 (ג)</w:t>
        </w:r>
      </w:hyperlink>
      <w:r w:rsidRPr="00AD5B74">
        <w:rPr>
          <w:rFonts w:ascii="FrankRuehl" w:hAnsi="FrankRuehl" w:cs="FrankRuehl"/>
          <w:rtl/>
        </w:rPr>
        <w:t xml:space="preserve">, </w:t>
      </w:r>
      <w:hyperlink r:id="rId11" w:history="1">
        <w:r w:rsidRPr="00AD5B74">
          <w:rPr>
            <w:rFonts w:ascii="FrankRuehl" w:hAnsi="FrankRuehl" w:cs="FrankRuehl"/>
            <w:color w:val="0000FF"/>
            <w:u w:val="single"/>
            <w:rtl/>
          </w:rPr>
          <w:t>28(א)(3)</w:t>
        </w:r>
      </w:hyperlink>
      <w:r w:rsidRPr="00AD5B74">
        <w:rPr>
          <w:rFonts w:ascii="FrankRuehl" w:hAnsi="FrankRuehl" w:cs="FrankRuehl"/>
          <w:rtl/>
        </w:rPr>
        <w:t xml:space="preserve">, </w:t>
      </w:r>
      <w:hyperlink r:id="rId12" w:history="1">
        <w:r w:rsidRPr="00AD5B74">
          <w:rPr>
            <w:rFonts w:ascii="FrankRuehl" w:hAnsi="FrankRuehl" w:cs="FrankRuehl"/>
            <w:color w:val="0000FF"/>
            <w:u w:val="single"/>
            <w:rtl/>
          </w:rPr>
          <w:t>37 (א)</w:t>
        </w:r>
      </w:hyperlink>
    </w:p>
    <w:p w14:paraId="5DC521E7" w14:textId="77777777" w:rsidR="00AD5B74" w:rsidRPr="00AD5B74" w:rsidRDefault="00AD5B74" w:rsidP="00AD5B74">
      <w:pPr>
        <w:spacing w:after="120" w:line="240" w:lineRule="exact"/>
        <w:ind w:left="283" w:hanging="283"/>
        <w:jc w:val="both"/>
        <w:rPr>
          <w:rFonts w:ascii="FrankRuehl" w:hAnsi="FrankRuehl" w:cs="FrankRuehl"/>
          <w:rtl/>
        </w:rPr>
      </w:pPr>
      <w:hyperlink r:id="rId13" w:history="1">
        <w:r w:rsidRPr="00AD5B74">
          <w:rPr>
            <w:rFonts w:ascii="FrankRuehl" w:hAnsi="FrankRuehl" w:cs="FrankRuehl"/>
            <w:color w:val="0000FF"/>
            <w:u w:val="single"/>
            <w:rtl/>
          </w:rPr>
          <w:t>חוק העונשין, תשל"ז-1977</w:t>
        </w:r>
      </w:hyperlink>
      <w:r w:rsidRPr="00AD5B74">
        <w:rPr>
          <w:rFonts w:ascii="FrankRuehl" w:hAnsi="FrankRuehl" w:cs="FrankRuehl"/>
          <w:rtl/>
        </w:rPr>
        <w:t xml:space="preserve">: סע'  </w:t>
      </w:r>
      <w:hyperlink r:id="rId14" w:history="1">
        <w:r w:rsidRPr="00AD5B74">
          <w:rPr>
            <w:rFonts w:ascii="FrankRuehl" w:hAnsi="FrankRuehl" w:cs="FrankRuehl"/>
            <w:color w:val="0000FF"/>
            <w:u w:val="single"/>
            <w:rtl/>
          </w:rPr>
          <w:t>25</w:t>
        </w:r>
      </w:hyperlink>
      <w:r w:rsidRPr="00AD5B74">
        <w:rPr>
          <w:rFonts w:ascii="FrankRuehl" w:hAnsi="FrankRuehl" w:cs="FrankRuehl"/>
          <w:rtl/>
        </w:rPr>
        <w:t xml:space="preserve">, </w:t>
      </w:r>
      <w:hyperlink r:id="rId15" w:history="1">
        <w:r w:rsidRPr="00AD5B74">
          <w:rPr>
            <w:rFonts w:ascii="FrankRuehl" w:hAnsi="FrankRuehl" w:cs="FrankRuehl"/>
            <w:color w:val="0000FF"/>
            <w:u w:val="single"/>
            <w:rtl/>
          </w:rPr>
          <w:t>30</w:t>
        </w:r>
      </w:hyperlink>
      <w:r w:rsidRPr="00AD5B74">
        <w:rPr>
          <w:rFonts w:ascii="FrankRuehl" w:hAnsi="FrankRuehl" w:cs="FrankRuehl"/>
          <w:rtl/>
        </w:rPr>
        <w:t xml:space="preserve">, </w:t>
      </w:r>
      <w:hyperlink r:id="rId16" w:history="1">
        <w:r w:rsidRPr="00AD5B74">
          <w:rPr>
            <w:rFonts w:ascii="FrankRuehl" w:hAnsi="FrankRuehl" w:cs="FrankRuehl"/>
            <w:color w:val="0000FF"/>
            <w:u w:val="single"/>
            <w:rtl/>
          </w:rPr>
          <w:t>40 ב</w:t>
        </w:r>
      </w:hyperlink>
      <w:r w:rsidRPr="00AD5B74">
        <w:rPr>
          <w:rFonts w:ascii="FrankRuehl" w:hAnsi="FrankRuehl" w:cs="FrankRuehl"/>
          <w:rtl/>
        </w:rPr>
        <w:t xml:space="preserve">, </w:t>
      </w:r>
      <w:hyperlink r:id="rId17" w:history="1">
        <w:r w:rsidRPr="00AD5B74">
          <w:rPr>
            <w:rFonts w:ascii="FrankRuehl" w:hAnsi="FrankRuehl" w:cs="FrankRuehl"/>
            <w:color w:val="0000FF"/>
            <w:u w:val="single"/>
            <w:rtl/>
          </w:rPr>
          <w:t>40 ג (א)</w:t>
        </w:r>
      </w:hyperlink>
      <w:r w:rsidRPr="00AD5B74">
        <w:rPr>
          <w:rFonts w:ascii="FrankRuehl" w:hAnsi="FrankRuehl" w:cs="FrankRuehl"/>
          <w:rtl/>
        </w:rPr>
        <w:t xml:space="preserve">, </w:t>
      </w:r>
      <w:hyperlink r:id="rId18" w:history="1">
        <w:r w:rsidRPr="00AD5B74">
          <w:rPr>
            <w:rFonts w:ascii="FrankRuehl" w:hAnsi="FrankRuehl" w:cs="FrankRuehl"/>
            <w:color w:val="0000FF"/>
            <w:u w:val="single"/>
            <w:rtl/>
          </w:rPr>
          <w:t>40 ד</w:t>
        </w:r>
      </w:hyperlink>
      <w:r w:rsidRPr="00AD5B74">
        <w:rPr>
          <w:rFonts w:ascii="FrankRuehl" w:hAnsi="FrankRuehl" w:cs="FrankRuehl"/>
          <w:rtl/>
        </w:rPr>
        <w:t xml:space="preserve">, </w:t>
      </w:r>
      <w:hyperlink r:id="rId19" w:history="1">
        <w:r w:rsidRPr="00AD5B74">
          <w:rPr>
            <w:rFonts w:ascii="FrankRuehl" w:hAnsi="FrankRuehl" w:cs="FrankRuehl"/>
            <w:color w:val="0000FF"/>
            <w:u w:val="single"/>
            <w:rtl/>
          </w:rPr>
          <w:t>40ה'</w:t>
        </w:r>
      </w:hyperlink>
      <w:r w:rsidRPr="00AD5B74">
        <w:rPr>
          <w:rFonts w:ascii="FrankRuehl" w:hAnsi="FrankRuehl" w:cs="FrankRuehl"/>
          <w:rtl/>
        </w:rPr>
        <w:t xml:space="preserve">, </w:t>
      </w:r>
      <w:hyperlink r:id="rId20" w:history="1">
        <w:r w:rsidRPr="00AD5B74">
          <w:rPr>
            <w:rFonts w:ascii="FrankRuehl" w:hAnsi="FrankRuehl" w:cs="FrankRuehl"/>
            <w:color w:val="0000FF"/>
            <w:u w:val="single"/>
            <w:rtl/>
          </w:rPr>
          <w:t>40ו</w:t>
        </w:r>
      </w:hyperlink>
      <w:r w:rsidRPr="00AD5B74">
        <w:rPr>
          <w:rFonts w:ascii="FrankRuehl" w:hAnsi="FrankRuehl" w:cs="FrankRuehl"/>
          <w:rtl/>
        </w:rPr>
        <w:t xml:space="preserve">, </w:t>
      </w:r>
      <w:hyperlink r:id="rId21" w:history="1">
        <w:r w:rsidRPr="00AD5B74">
          <w:rPr>
            <w:rFonts w:ascii="FrankRuehl" w:hAnsi="FrankRuehl" w:cs="FrankRuehl"/>
            <w:color w:val="0000FF"/>
            <w:u w:val="single"/>
            <w:rtl/>
          </w:rPr>
          <w:t>40 ט</w:t>
        </w:r>
      </w:hyperlink>
      <w:r w:rsidRPr="00AD5B74">
        <w:rPr>
          <w:rFonts w:ascii="FrankRuehl" w:hAnsi="FrankRuehl" w:cs="FrankRuehl"/>
          <w:rtl/>
        </w:rPr>
        <w:t xml:space="preserve">, </w:t>
      </w:r>
      <w:hyperlink r:id="rId22" w:history="1">
        <w:r w:rsidRPr="00AD5B74">
          <w:rPr>
            <w:rFonts w:ascii="FrankRuehl" w:hAnsi="FrankRuehl" w:cs="FrankRuehl"/>
            <w:color w:val="0000FF"/>
            <w:u w:val="single"/>
            <w:rtl/>
          </w:rPr>
          <w:t>144(א)</w:t>
        </w:r>
      </w:hyperlink>
      <w:r w:rsidRPr="00AD5B74">
        <w:rPr>
          <w:rFonts w:ascii="FrankRuehl" w:hAnsi="FrankRuehl" w:cs="FrankRuehl"/>
          <w:rtl/>
        </w:rPr>
        <w:t xml:space="preserve">, </w:t>
      </w:r>
      <w:hyperlink r:id="rId23" w:history="1">
        <w:r w:rsidRPr="00AD5B74">
          <w:rPr>
            <w:rFonts w:ascii="FrankRuehl" w:hAnsi="FrankRuehl" w:cs="FrankRuehl"/>
            <w:color w:val="0000FF"/>
            <w:u w:val="single"/>
            <w:rtl/>
          </w:rPr>
          <w:t>152</w:t>
        </w:r>
      </w:hyperlink>
      <w:r w:rsidRPr="00AD5B74">
        <w:rPr>
          <w:rFonts w:ascii="FrankRuehl" w:hAnsi="FrankRuehl" w:cs="FrankRuehl"/>
          <w:rtl/>
        </w:rPr>
        <w:t xml:space="preserve">, </w:t>
      </w:r>
      <w:hyperlink r:id="rId24" w:history="1">
        <w:r w:rsidRPr="00AD5B74">
          <w:rPr>
            <w:rFonts w:ascii="FrankRuehl" w:hAnsi="FrankRuehl" w:cs="FrankRuehl"/>
            <w:color w:val="0000FF"/>
            <w:u w:val="single"/>
            <w:rtl/>
          </w:rPr>
          <w:t>274</w:t>
        </w:r>
      </w:hyperlink>
      <w:r w:rsidRPr="00AD5B74">
        <w:rPr>
          <w:rFonts w:ascii="FrankRuehl" w:hAnsi="FrankRuehl" w:cs="FrankRuehl"/>
          <w:rtl/>
        </w:rPr>
        <w:t xml:space="preserve">, </w:t>
      </w:r>
      <w:hyperlink r:id="rId25" w:history="1">
        <w:r w:rsidRPr="00AD5B74">
          <w:rPr>
            <w:rFonts w:ascii="FrankRuehl" w:hAnsi="FrankRuehl" w:cs="FrankRuehl"/>
            <w:color w:val="0000FF"/>
            <w:u w:val="single"/>
            <w:rtl/>
          </w:rPr>
          <w:t>300(א) (2)</w:t>
        </w:r>
      </w:hyperlink>
      <w:r w:rsidRPr="00AD5B74">
        <w:rPr>
          <w:rFonts w:ascii="FrankRuehl" w:hAnsi="FrankRuehl" w:cs="FrankRuehl"/>
          <w:rtl/>
        </w:rPr>
        <w:t xml:space="preserve">, </w:t>
      </w:r>
      <w:hyperlink r:id="rId26" w:history="1">
        <w:r w:rsidRPr="00AD5B74">
          <w:rPr>
            <w:rFonts w:ascii="FrankRuehl" w:hAnsi="FrankRuehl" w:cs="FrankRuehl"/>
            <w:color w:val="0000FF"/>
            <w:u w:val="single"/>
            <w:rtl/>
          </w:rPr>
          <w:t>329</w:t>
        </w:r>
      </w:hyperlink>
      <w:r w:rsidRPr="00AD5B74">
        <w:rPr>
          <w:rFonts w:ascii="FrankRuehl" w:hAnsi="FrankRuehl" w:cs="FrankRuehl"/>
          <w:rtl/>
        </w:rPr>
        <w:t xml:space="preserve">, </w:t>
      </w:r>
      <w:hyperlink r:id="rId27" w:history="1">
        <w:r w:rsidRPr="00AD5B74">
          <w:rPr>
            <w:rFonts w:ascii="FrankRuehl" w:hAnsi="FrankRuehl" w:cs="FrankRuehl"/>
            <w:color w:val="0000FF"/>
            <w:u w:val="single"/>
            <w:rtl/>
          </w:rPr>
          <w:t>338 (א)</w:t>
        </w:r>
      </w:hyperlink>
      <w:r w:rsidRPr="00AD5B74">
        <w:rPr>
          <w:rFonts w:ascii="FrankRuehl" w:hAnsi="FrankRuehl" w:cs="FrankRuehl"/>
          <w:rtl/>
        </w:rPr>
        <w:t xml:space="preserve">, </w:t>
      </w:r>
      <w:hyperlink r:id="rId28" w:history="1">
        <w:r w:rsidRPr="00AD5B74">
          <w:rPr>
            <w:rFonts w:ascii="FrankRuehl" w:hAnsi="FrankRuehl" w:cs="FrankRuehl"/>
            <w:color w:val="0000FF"/>
            <w:u w:val="single"/>
            <w:rtl/>
          </w:rPr>
          <w:t>340א</w:t>
        </w:r>
      </w:hyperlink>
      <w:r w:rsidRPr="00AD5B74">
        <w:rPr>
          <w:rFonts w:ascii="FrankRuehl" w:hAnsi="FrankRuehl" w:cs="FrankRuehl"/>
          <w:rtl/>
        </w:rPr>
        <w:t xml:space="preserve">, </w:t>
      </w:r>
      <w:hyperlink r:id="rId29" w:history="1">
        <w:r w:rsidRPr="00AD5B74">
          <w:rPr>
            <w:rFonts w:ascii="FrankRuehl" w:hAnsi="FrankRuehl" w:cs="FrankRuehl"/>
            <w:color w:val="0000FF"/>
            <w:u w:val="single"/>
            <w:rtl/>
          </w:rPr>
          <w:t>448(א)</w:t>
        </w:r>
      </w:hyperlink>
      <w:r w:rsidRPr="00AD5B74">
        <w:rPr>
          <w:rFonts w:ascii="FrankRuehl" w:hAnsi="FrankRuehl" w:cs="FrankRuehl"/>
          <w:rtl/>
        </w:rPr>
        <w:t xml:space="preserve">, </w:t>
      </w:r>
      <w:hyperlink r:id="rId30" w:history="1">
        <w:r w:rsidRPr="00AD5B74">
          <w:rPr>
            <w:rFonts w:ascii="FrankRuehl" w:hAnsi="FrankRuehl" w:cs="FrankRuehl"/>
            <w:color w:val="0000FF"/>
            <w:u w:val="single"/>
            <w:rtl/>
          </w:rPr>
          <w:t>499(א)</w:t>
        </w:r>
      </w:hyperlink>
    </w:p>
    <w:p w14:paraId="6EB2767A" w14:textId="77777777" w:rsidR="00AD5B74" w:rsidRPr="00AD5B74" w:rsidRDefault="00AD5B74" w:rsidP="00AD5B74">
      <w:pPr>
        <w:spacing w:after="120" w:line="240" w:lineRule="exact"/>
        <w:ind w:left="283" w:hanging="283"/>
        <w:jc w:val="both"/>
        <w:rPr>
          <w:rFonts w:ascii="FrankRuehl" w:hAnsi="FrankRuehl" w:cs="FrankRuehl"/>
          <w:rtl/>
        </w:rPr>
      </w:pPr>
    </w:p>
    <w:tbl>
      <w:tblPr>
        <w:bidiVisual/>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5"/>
      </w:tblGrid>
      <w:tr w:rsidR="005A3CAB" w:rsidRPr="006D5CB3" w14:paraId="0AA527ED" w14:textId="77777777" w:rsidTr="005A3CAB">
        <w:trPr>
          <w:trHeight w:val="355"/>
          <w:jc w:val="center"/>
        </w:trPr>
        <w:tc>
          <w:tcPr>
            <w:tcW w:w="8505" w:type="dxa"/>
            <w:tcBorders>
              <w:top w:val="nil"/>
              <w:left w:val="nil"/>
              <w:bottom w:val="nil"/>
              <w:right w:val="nil"/>
            </w:tcBorders>
            <w:shd w:val="clear" w:color="auto" w:fill="auto"/>
          </w:tcPr>
          <w:p w14:paraId="4F78252C" w14:textId="77777777" w:rsidR="005334CF" w:rsidRPr="005334CF" w:rsidRDefault="005334CF" w:rsidP="005334CF">
            <w:pPr>
              <w:jc w:val="center"/>
              <w:rPr>
                <w:rFonts w:ascii="Arial" w:hAnsi="Arial" w:cs="FrankRuehl"/>
                <w:b/>
                <w:bCs/>
                <w:spacing w:val="22"/>
                <w:sz w:val="46"/>
                <w:szCs w:val="46"/>
                <w:u w:val="single"/>
                <w:rtl/>
              </w:rPr>
            </w:pPr>
            <w:bookmarkStart w:id="4" w:name="LawTable_End"/>
            <w:bookmarkStart w:id="5" w:name="PsakDin" w:colFirst="0" w:colLast="0"/>
            <w:bookmarkEnd w:id="4"/>
            <w:r w:rsidRPr="005334CF">
              <w:rPr>
                <w:rFonts w:ascii="Arial" w:hAnsi="Arial" w:cs="FrankRuehl"/>
                <w:b/>
                <w:bCs/>
                <w:spacing w:val="22"/>
                <w:sz w:val="46"/>
                <w:szCs w:val="46"/>
                <w:u w:val="single"/>
                <w:rtl/>
              </w:rPr>
              <w:t>גזר דין</w:t>
            </w:r>
          </w:p>
          <w:p w14:paraId="4F36F6C1" w14:textId="77777777" w:rsidR="005A3CAB" w:rsidRPr="005334CF" w:rsidRDefault="005A3CAB" w:rsidP="005334CF">
            <w:pPr>
              <w:jc w:val="center"/>
              <w:rPr>
                <w:rFonts w:ascii="Arial" w:hAnsi="Arial" w:cs="FrankRuehl"/>
                <w:bCs/>
                <w:spacing w:val="22"/>
                <w:sz w:val="32"/>
                <w:szCs w:val="32"/>
                <w:u w:val="single"/>
                <w:rtl/>
              </w:rPr>
            </w:pPr>
          </w:p>
        </w:tc>
      </w:tr>
      <w:bookmarkEnd w:id="5"/>
    </w:tbl>
    <w:p w14:paraId="7CF97274" w14:textId="77777777" w:rsidR="005A3CAB" w:rsidRPr="006D5CB3" w:rsidRDefault="005A3CAB" w:rsidP="005A3CAB">
      <w:pPr>
        <w:rPr>
          <w:rFonts w:ascii="Arial" w:hAnsi="Arial"/>
          <w:spacing w:val="22"/>
          <w:rtl/>
        </w:rPr>
      </w:pPr>
    </w:p>
    <w:p w14:paraId="08A8D7A9" w14:textId="77777777" w:rsidR="005A3CAB" w:rsidRPr="006D5CB3" w:rsidRDefault="005A3CAB" w:rsidP="005A3CAB">
      <w:pPr>
        <w:rPr>
          <w:spacing w:val="22"/>
          <w:rtl/>
        </w:rPr>
      </w:pPr>
    </w:p>
    <w:p w14:paraId="50662A43" w14:textId="77777777" w:rsidR="005A3CAB" w:rsidRPr="006D5CB3" w:rsidRDefault="005A3CAB" w:rsidP="005A3CAB">
      <w:pPr>
        <w:rPr>
          <w:spacing w:val="22"/>
          <w:rtl/>
        </w:rPr>
      </w:pPr>
    </w:p>
    <w:p w14:paraId="7A702B32" w14:textId="77777777" w:rsidR="005A3CAB" w:rsidRPr="006D5CB3" w:rsidRDefault="005A3CAB" w:rsidP="005A3CAB">
      <w:pPr>
        <w:rPr>
          <w:spacing w:val="22"/>
          <w:rtl/>
        </w:rPr>
      </w:pPr>
    </w:p>
    <w:p w14:paraId="3C361BB8" w14:textId="77777777" w:rsidR="005A3CAB" w:rsidRPr="006D5CB3" w:rsidRDefault="005A3CAB" w:rsidP="005A3CAB">
      <w:pPr>
        <w:spacing w:line="360" w:lineRule="auto"/>
        <w:jc w:val="both"/>
        <w:rPr>
          <w:spacing w:val="22"/>
          <w:rtl/>
        </w:rPr>
      </w:pPr>
      <w:r w:rsidRPr="006D5CB3">
        <w:rPr>
          <w:rFonts w:hint="cs"/>
          <w:spacing w:val="22"/>
          <w:rtl/>
        </w:rPr>
        <w:t>1.</w:t>
      </w:r>
      <w:r w:rsidRPr="006D5CB3">
        <w:rPr>
          <w:rFonts w:hint="cs"/>
          <w:spacing w:val="22"/>
          <w:rtl/>
        </w:rPr>
        <w:tab/>
      </w:r>
      <w:bookmarkStart w:id="6" w:name="ABSTRACT_START"/>
      <w:bookmarkEnd w:id="6"/>
      <w:r w:rsidRPr="006D5CB3">
        <w:rPr>
          <w:rFonts w:hint="cs"/>
          <w:spacing w:val="22"/>
          <w:rtl/>
        </w:rPr>
        <w:t>הנאשמים הורשעו</w:t>
      </w:r>
      <w:r>
        <w:rPr>
          <w:rFonts w:hint="cs"/>
          <w:spacing w:val="22"/>
          <w:rtl/>
        </w:rPr>
        <w:t>,</w:t>
      </w:r>
      <w:r>
        <w:rPr>
          <w:rFonts w:hint="cs"/>
          <w:b/>
          <w:bCs/>
          <w:spacing w:val="22"/>
          <w:rtl/>
        </w:rPr>
        <w:t xml:space="preserve"> </w:t>
      </w:r>
      <w:r w:rsidRPr="006D5CB3">
        <w:rPr>
          <w:rFonts w:hint="cs"/>
          <w:b/>
          <w:bCs/>
          <w:spacing w:val="22"/>
          <w:rtl/>
        </w:rPr>
        <w:t>בגדר האישום הראשון</w:t>
      </w:r>
      <w:r w:rsidRPr="006D5CB3">
        <w:rPr>
          <w:rFonts w:hint="cs"/>
          <w:spacing w:val="22"/>
          <w:rtl/>
        </w:rPr>
        <w:t xml:space="preserve"> בעבירה של חברות בארגון טרוריסטי לפי </w:t>
      </w:r>
      <w:hyperlink r:id="rId31" w:history="1">
        <w:r w:rsidR="00A15FA0" w:rsidRPr="00A15FA0">
          <w:rPr>
            <w:color w:val="0000FF"/>
            <w:spacing w:val="22"/>
            <w:u w:val="single"/>
            <w:rtl/>
          </w:rPr>
          <w:t>סעיף 3</w:t>
        </w:r>
      </w:hyperlink>
      <w:r w:rsidRPr="006D5CB3">
        <w:rPr>
          <w:rFonts w:hint="cs"/>
          <w:spacing w:val="22"/>
          <w:rtl/>
        </w:rPr>
        <w:t xml:space="preserve"> </w:t>
      </w:r>
      <w:hyperlink r:id="rId32" w:history="1">
        <w:r w:rsidR="00A15FA0" w:rsidRPr="00A15FA0">
          <w:rPr>
            <w:rStyle w:val="Hyperlink"/>
            <w:rFonts w:hint="eastAsia"/>
            <w:color w:val="0000FF"/>
            <w:spacing w:val="22"/>
            <w:rtl/>
          </w:rPr>
          <w:t>לפקודה</w:t>
        </w:r>
        <w:r w:rsidR="00A15FA0" w:rsidRPr="00A15FA0">
          <w:rPr>
            <w:rStyle w:val="Hyperlink"/>
            <w:color w:val="0000FF"/>
            <w:spacing w:val="22"/>
            <w:rtl/>
          </w:rPr>
          <w:t xml:space="preserve"> למניעת טרור, תש"ח – 1948,</w:t>
        </w:r>
      </w:hyperlink>
      <w:r w:rsidRPr="006D5CB3">
        <w:rPr>
          <w:rFonts w:hint="cs"/>
          <w:spacing w:val="22"/>
          <w:rtl/>
        </w:rPr>
        <w:t xml:space="preserve"> אשר הוחלף בסעיף </w:t>
      </w:r>
      <w:hyperlink r:id="rId33" w:history="1">
        <w:r w:rsidR="00A15FA0" w:rsidRPr="00A15FA0">
          <w:rPr>
            <w:color w:val="0000FF"/>
            <w:spacing w:val="22"/>
            <w:u w:val="single"/>
            <w:rtl/>
          </w:rPr>
          <w:t>22 (ב)</w:t>
        </w:r>
      </w:hyperlink>
      <w:r w:rsidRPr="006D5CB3">
        <w:rPr>
          <w:rFonts w:hint="cs"/>
          <w:spacing w:val="22"/>
          <w:rtl/>
        </w:rPr>
        <w:t xml:space="preserve"> ל</w:t>
      </w:r>
      <w:hyperlink r:id="rId34" w:history="1">
        <w:r w:rsidR="005334CF" w:rsidRPr="005334CF">
          <w:rPr>
            <w:color w:val="0000FF"/>
            <w:spacing w:val="22"/>
            <w:u w:val="single"/>
            <w:rtl/>
          </w:rPr>
          <w:t>חוק המאבק בטרור, תשע"ו – 2016</w:t>
        </w:r>
      </w:hyperlink>
      <w:r w:rsidRPr="006D5CB3">
        <w:rPr>
          <w:rFonts w:hint="cs"/>
          <w:spacing w:val="22"/>
          <w:rtl/>
        </w:rPr>
        <w:t xml:space="preserve"> (תקופה שעד 1/1/16), בעבירה של חברות פעילה בארגון טרור לפי סעיף </w:t>
      </w:r>
      <w:hyperlink r:id="rId35" w:history="1">
        <w:r w:rsidR="00A15FA0" w:rsidRPr="00A15FA0">
          <w:rPr>
            <w:color w:val="0000FF"/>
            <w:spacing w:val="22"/>
            <w:u w:val="single"/>
            <w:rtl/>
          </w:rPr>
          <w:t>22 (ב)</w:t>
        </w:r>
      </w:hyperlink>
      <w:r w:rsidRPr="006D5CB3">
        <w:rPr>
          <w:rFonts w:hint="cs"/>
          <w:spacing w:val="22"/>
          <w:rtl/>
        </w:rPr>
        <w:t xml:space="preserve"> לחוק המאבק בטרור (לתקופה שלאחר 1/1/16). נאשם 1 הורשע</w:t>
      </w:r>
      <w:r>
        <w:rPr>
          <w:rFonts w:hint="cs"/>
          <w:spacing w:val="22"/>
          <w:rtl/>
        </w:rPr>
        <w:t>,</w:t>
      </w:r>
      <w:r w:rsidRPr="006D5CB3">
        <w:rPr>
          <w:rFonts w:hint="cs"/>
          <w:spacing w:val="22"/>
          <w:rtl/>
        </w:rPr>
        <w:t xml:space="preserve"> בנוסף, בעבירת שידול לחברות בארגון טרוריסטי לפי </w:t>
      </w:r>
      <w:hyperlink r:id="rId36" w:history="1">
        <w:r w:rsidR="00A15FA0" w:rsidRPr="00A15FA0">
          <w:rPr>
            <w:color w:val="0000FF"/>
            <w:spacing w:val="22"/>
            <w:u w:val="single"/>
            <w:rtl/>
          </w:rPr>
          <w:t>סעיף 3</w:t>
        </w:r>
      </w:hyperlink>
      <w:r w:rsidRPr="006D5CB3">
        <w:rPr>
          <w:rFonts w:hint="cs"/>
          <w:spacing w:val="22"/>
          <w:rtl/>
        </w:rPr>
        <w:t xml:space="preserve"> לפקודה בצירוף </w:t>
      </w:r>
      <w:hyperlink r:id="rId37" w:history="1">
        <w:r w:rsidR="00A15FA0" w:rsidRPr="00A15FA0">
          <w:rPr>
            <w:color w:val="0000FF"/>
            <w:spacing w:val="22"/>
            <w:u w:val="single"/>
            <w:rtl/>
          </w:rPr>
          <w:t>סעיף 30</w:t>
        </w:r>
      </w:hyperlink>
      <w:r w:rsidRPr="006D5CB3">
        <w:rPr>
          <w:rFonts w:hint="cs"/>
          <w:spacing w:val="22"/>
          <w:rtl/>
        </w:rPr>
        <w:t xml:space="preserve"> ל</w:t>
      </w:r>
      <w:hyperlink r:id="rId38" w:history="1">
        <w:r w:rsidR="005334CF" w:rsidRPr="005334CF">
          <w:rPr>
            <w:color w:val="0000FF"/>
            <w:spacing w:val="22"/>
            <w:u w:val="single"/>
            <w:rtl/>
          </w:rPr>
          <w:t>חוק העונשין</w:t>
        </w:r>
      </w:hyperlink>
      <w:r w:rsidRPr="006D5CB3">
        <w:rPr>
          <w:rFonts w:hint="cs"/>
          <w:spacing w:val="22"/>
          <w:rtl/>
        </w:rPr>
        <w:t xml:space="preserve">, אשר הוחלף בסעיף </w:t>
      </w:r>
      <w:hyperlink r:id="rId39" w:history="1">
        <w:r w:rsidR="00A15FA0" w:rsidRPr="00A15FA0">
          <w:rPr>
            <w:color w:val="0000FF"/>
            <w:spacing w:val="22"/>
            <w:u w:val="single"/>
            <w:rtl/>
          </w:rPr>
          <w:t>22 (ג)</w:t>
        </w:r>
      </w:hyperlink>
      <w:r w:rsidRPr="006D5CB3">
        <w:rPr>
          <w:rFonts w:hint="cs"/>
          <w:spacing w:val="22"/>
          <w:rtl/>
        </w:rPr>
        <w:t xml:space="preserve"> לחוק ה</w:t>
      </w:r>
      <w:r>
        <w:rPr>
          <w:rFonts w:hint="cs"/>
          <w:spacing w:val="22"/>
          <w:rtl/>
        </w:rPr>
        <w:t>מאבק ב</w:t>
      </w:r>
      <w:r w:rsidRPr="006D5CB3">
        <w:rPr>
          <w:rFonts w:hint="cs"/>
          <w:spacing w:val="22"/>
          <w:rtl/>
        </w:rPr>
        <w:t>טרור</w:t>
      </w:r>
      <w:bookmarkStart w:id="7" w:name="ABSTRACT_END"/>
      <w:bookmarkEnd w:id="7"/>
      <w:r w:rsidRPr="006D5CB3">
        <w:rPr>
          <w:rFonts w:hint="cs"/>
          <w:spacing w:val="22"/>
          <w:rtl/>
        </w:rPr>
        <w:t xml:space="preserve">. </w:t>
      </w:r>
      <w:r w:rsidRPr="006D5CB3">
        <w:rPr>
          <w:rFonts w:hint="cs"/>
          <w:b/>
          <w:bCs/>
          <w:spacing w:val="22"/>
          <w:rtl/>
        </w:rPr>
        <w:t>בגדר האישום השני</w:t>
      </w:r>
      <w:r w:rsidRPr="006D5CB3">
        <w:rPr>
          <w:rFonts w:hint="cs"/>
          <w:spacing w:val="22"/>
          <w:rtl/>
        </w:rPr>
        <w:t xml:space="preserve">, הורשעו הנאשמים בעבירה של מעשה טרור, </w:t>
      </w:r>
      <w:r>
        <w:rPr>
          <w:rFonts w:hint="cs"/>
          <w:spacing w:val="22"/>
          <w:rtl/>
        </w:rPr>
        <w:t xml:space="preserve">של </w:t>
      </w:r>
      <w:r w:rsidRPr="006D5CB3">
        <w:rPr>
          <w:rFonts w:hint="cs"/>
          <w:spacing w:val="22"/>
          <w:rtl/>
        </w:rPr>
        <w:t xml:space="preserve">קשירת קשר לביצוע פשע לפי </w:t>
      </w:r>
      <w:hyperlink r:id="rId40" w:history="1">
        <w:r w:rsidR="00A15FA0" w:rsidRPr="00A15FA0">
          <w:rPr>
            <w:color w:val="0000FF"/>
            <w:spacing w:val="22"/>
            <w:u w:val="single"/>
            <w:rtl/>
          </w:rPr>
          <w:t>סעיף 499(א)</w:t>
        </w:r>
      </w:hyperlink>
      <w:r w:rsidRPr="006D5CB3">
        <w:rPr>
          <w:rFonts w:hint="cs"/>
          <w:spacing w:val="22"/>
          <w:rtl/>
        </w:rPr>
        <w:t xml:space="preserve"> בצירוף </w:t>
      </w:r>
      <w:hyperlink r:id="rId41" w:history="1">
        <w:r w:rsidR="00A15FA0" w:rsidRPr="00A15FA0">
          <w:rPr>
            <w:color w:val="0000FF"/>
            <w:spacing w:val="22"/>
            <w:u w:val="single"/>
            <w:rtl/>
          </w:rPr>
          <w:t>סעיף 329</w:t>
        </w:r>
      </w:hyperlink>
      <w:r w:rsidRPr="006D5CB3">
        <w:rPr>
          <w:rFonts w:hint="cs"/>
          <w:spacing w:val="22"/>
          <w:rtl/>
        </w:rPr>
        <w:t xml:space="preserve"> ל</w:t>
      </w:r>
      <w:hyperlink r:id="rId42" w:history="1">
        <w:r w:rsidR="005334CF" w:rsidRPr="005334CF">
          <w:rPr>
            <w:color w:val="0000FF"/>
            <w:spacing w:val="22"/>
            <w:u w:val="single"/>
            <w:rtl/>
          </w:rPr>
          <w:t>חוק העונשין</w:t>
        </w:r>
      </w:hyperlink>
      <w:r w:rsidRPr="006D5CB3">
        <w:rPr>
          <w:rFonts w:hint="cs"/>
          <w:spacing w:val="22"/>
          <w:rtl/>
        </w:rPr>
        <w:t xml:space="preserve">, בצירוף סעיף </w:t>
      </w:r>
      <w:hyperlink r:id="rId43" w:history="1">
        <w:r w:rsidR="00A15FA0" w:rsidRPr="00A15FA0">
          <w:rPr>
            <w:rStyle w:val="Hyperlink"/>
            <w:color w:val="0000FF"/>
            <w:spacing w:val="22"/>
            <w:rtl/>
          </w:rPr>
          <w:t>37 (א)</w:t>
        </w:r>
      </w:hyperlink>
      <w:r w:rsidRPr="006D5CB3">
        <w:rPr>
          <w:rFonts w:hint="cs"/>
          <w:spacing w:val="22"/>
          <w:rtl/>
        </w:rPr>
        <w:t xml:space="preserve"> לחוק ה</w:t>
      </w:r>
      <w:r>
        <w:rPr>
          <w:rFonts w:hint="cs"/>
          <w:spacing w:val="22"/>
          <w:rtl/>
        </w:rPr>
        <w:t>מאבק ב</w:t>
      </w:r>
      <w:r w:rsidRPr="006D5CB3">
        <w:rPr>
          <w:rFonts w:hint="cs"/>
          <w:spacing w:val="22"/>
          <w:rtl/>
        </w:rPr>
        <w:t xml:space="preserve">טרור ובעבירה של הכנה למעשה טרור לפי </w:t>
      </w:r>
      <w:hyperlink r:id="rId44" w:history="1">
        <w:r w:rsidR="00A15FA0" w:rsidRPr="00A15FA0">
          <w:rPr>
            <w:rStyle w:val="Hyperlink"/>
            <w:rFonts w:hint="eastAsia"/>
            <w:color w:val="0000FF"/>
            <w:spacing w:val="22"/>
            <w:rtl/>
          </w:rPr>
          <w:t>סעיף</w:t>
        </w:r>
        <w:r w:rsidR="00A15FA0" w:rsidRPr="00A15FA0">
          <w:rPr>
            <w:rStyle w:val="Hyperlink"/>
            <w:color w:val="0000FF"/>
            <w:spacing w:val="22"/>
            <w:rtl/>
          </w:rPr>
          <w:t xml:space="preserve"> 28(א)(3)</w:t>
        </w:r>
      </w:hyperlink>
      <w:r w:rsidRPr="006D5CB3">
        <w:rPr>
          <w:rFonts w:hint="cs"/>
          <w:spacing w:val="22"/>
          <w:rtl/>
        </w:rPr>
        <w:t xml:space="preserve"> לחוק ה</w:t>
      </w:r>
      <w:r>
        <w:rPr>
          <w:rFonts w:hint="cs"/>
          <w:spacing w:val="22"/>
          <w:rtl/>
        </w:rPr>
        <w:t>מאבק ב</w:t>
      </w:r>
      <w:r w:rsidRPr="006D5CB3">
        <w:rPr>
          <w:rFonts w:hint="cs"/>
          <w:spacing w:val="22"/>
          <w:rtl/>
        </w:rPr>
        <w:t xml:space="preserve">טרור בצירוף עבירה לפי סעיף </w:t>
      </w:r>
      <w:hyperlink r:id="rId45" w:history="1">
        <w:r w:rsidR="00A15FA0" w:rsidRPr="00A15FA0">
          <w:rPr>
            <w:color w:val="0000FF"/>
            <w:spacing w:val="22"/>
            <w:u w:val="single"/>
            <w:rtl/>
          </w:rPr>
          <w:t>300(א) (2)</w:t>
        </w:r>
      </w:hyperlink>
      <w:r w:rsidRPr="006D5CB3">
        <w:rPr>
          <w:rFonts w:hint="cs"/>
          <w:spacing w:val="22"/>
          <w:rtl/>
        </w:rPr>
        <w:t xml:space="preserve"> לחוק העונשין.  </w:t>
      </w:r>
      <w:r w:rsidRPr="006D5CB3">
        <w:rPr>
          <w:rFonts w:hint="cs"/>
          <w:b/>
          <w:bCs/>
          <w:spacing w:val="22"/>
          <w:rtl/>
        </w:rPr>
        <w:t xml:space="preserve">בגדר האישום השלישי, </w:t>
      </w:r>
      <w:r w:rsidRPr="006D5CB3">
        <w:rPr>
          <w:rFonts w:hint="cs"/>
          <w:spacing w:val="22"/>
          <w:rtl/>
        </w:rPr>
        <w:t xml:space="preserve"> הורשעו הנאשמים בעבירה של החזקת נשק לפי </w:t>
      </w:r>
      <w:hyperlink r:id="rId46" w:history="1">
        <w:r w:rsidR="00A15FA0" w:rsidRPr="00A15FA0">
          <w:rPr>
            <w:color w:val="0000FF"/>
            <w:spacing w:val="22"/>
            <w:u w:val="single"/>
            <w:rtl/>
          </w:rPr>
          <w:t>סעיף 144(א)</w:t>
        </w:r>
      </w:hyperlink>
      <w:r w:rsidRPr="006D5CB3">
        <w:rPr>
          <w:rFonts w:hint="cs"/>
          <w:spacing w:val="22"/>
          <w:rtl/>
        </w:rPr>
        <w:t xml:space="preserve"> ל</w:t>
      </w:r>
      <w:hyperlink r:id="rId47" w:history="1">
        <w:r w:rsidR="005334CF" w:rsidRPr="005334CF">
          <w:rPr>
            <w:color w:val="0000FF"/>
            <w:spacing w:val="22"/>
            <w:u w:val="single"/>
            <w:rtl/>
          </w:rPr>
          <w:t>חוק העונשין</w:t>
        </w:r>
      </w:hyperlink>
      <w:r w:rsidRPr="006D5CB3">
        <w:rPr>
          <w:rFonts w:hint="cs"/>
          <w:spacing w:val="22"/>
          <w:rtl/>
        </w:rPr>
        <w:t xml:space="preserve"> ובעבירה של ירי באזור מגורים לפי </w:t>
      </w:r>
      <w:hyperlink r:id="rId48" w:history="1">
        <w:r w:rsidR="00A15FA0" w:rsidRPr="00A15FA0">
          <w:rPr>
            <w:color w:val="0000FF"/>
            <w:spacing w:val="22"/>
            <w:u w:val="single"/>
            <w:rtl/>
          </w:rPr>
          <w:t>סעיף 340א</w:t>
        </w:r>
      </w:hyperlink>
      <w:r w:rsidRPr="006D5CB3">
        <w:rPr>
          <w:rFonts w:hint="cs"/>
          <w:spacing w:val="22"/>
          <w:rtl/>
        </w:rPr>
        <w:t xml:space="preserve"> לחוק. </w:t>
      </w:r>
      <w:r w:rsidRPr="006D5CB3">
        <w:rPr>
          <w:rFonts w:hint="cs"/>
          <w:b/>
          <w:bCs/>
          <w:spacing w:val="22"/>
          <w:rtl/>
        </w:rPr>
        <w:t xml:space="preserve">בגדר האישום הרביעי, </w:t>
      </w:r>
      <w:r w:rsidRPr="006D5CB3">
        <w:rPr>
          <w:rFonts w:hint="cs"/>
          <w:spacing w:val="22"/>
          <w:rtl/>
        </w:rPr>
        <w:t xml:space="preserve"> הורשע </w:t>
      </w:r>
      <w:r w:rsidRPr="006D5CB3">
        <w:rPr>
          <w:rFonts w:hint="cs"/>
          <w:b/>
          <w:bCs/>
          <w:spacing w:val="22"/>
          <w:rtl/>
        </w:rPr>
        <w:t xml:space="preserve">נאשם 2 </w:t>
      </w:r>
      <w:r w:rsidRPr="006D5CB3">
        <w:rPr>
          <w:rFonts w:hint="cs"/>
          <w:spacing w:val="22"/>
          <w:rtl/>
        </w:rPr>
        <w:t xml:space="preserve"> בעבירה של קשירת קשר לרכישת נשק לפי </w:t>
      </w:r>
      <w:hyperlink r:id="rId49" w:history="1">
        <w:r w:rsidR="00A15FA0" w:rsidRPr="00A15FA0">
          <w:rPr>
            <w:color w:val="0000FF"/>
            <w:spacing w:val="22"/>
            <w:u w:val="single"/>
            <w:rtl/>
          </w:rPr>
          <w:t>סעיף 144(א)</w:t>
        </w:r>
      </w:hyperlink>
      <w:r w:rsidRPr="006D5CB3">
        <w:rPr>
          <w:rFonts w:hint="cs"/>
          <w:spacing w:val="22"/>
          <w:rtl/>
        </w:rPr>
        <w:t xml:space="preserve"> בצירוף </w:t>
      </w:r>
      <w:hyperlink r:id="rId50" w:history="1">
        <w:r w:rsidR="00A15FA0" w:rsidRPr="00A15FA0">
          <w:rPr>
            <w:color w:val="0000FF"/>
            <w:spacing w:val="22"/>
            <w:u w:val="single"/>
            <w:rtl/>
          </w:rPr>
          <w:t>סעיף 25</w:t>
        </w:r>
      </w:hyperlink>
      <w:r w:rsidRPr="006D5CB3">
        <w:rPr>
          <w:rFonts w:hint="cs"/>
          <w:spacing w:val="22"/>
          <w:rtl/>
        </w:rPr>
        <w:t xml:space="preserve"> ל</w:t>
      </w:r>
      <w:hyperlink r:id="rId51" w:history="1">
        <w:r w:rsidR="005334CF" w:rsidRPr="005334CF">
          <w:rPr>
            <w:color w:val="0000FF"/>
            <w:spacing w:val="22"/>
            <w:u w:val="single"/>
            <w:rtl/>
          </w:rPr>
          <w:t>חוק העונשין</w:t>
        </w:r>
      </w:hyperlink>
      <w:r w:rsidRPr="006D5CB3">
        <w:rPr>
          <w:rFonts w:hint="cs"/>
          <w:spacing w:val="22"/>
          <w:rtl/>
        </w:rPr>
        <w:t xml:space="preserve">. </w:t>
      </w:r>
      <w:r>
        <w:rPr>
          <w:rFonts w:hint="cs"/>
          <w:b/>
          <w:bCs/>
          <w:spacing w:val="22"/>
          <w:rtl/>
        </w:rPr>
        <w:t>ה</w:t>
      </w:r>
      <w:r w:rsidRPr="006D5CB3">
        <w:rPr>
          <w:rFonts w:hint="cs"/>
          <w:b/>
          <w:bCs/>
          <w:spacing w:val="22"/>
          <w:rtl/>
        </w:rPr>
        <w:t xml:space="preserve">אישום </w:t>
      </w:r>
      <w:r>
        <w:rPr>
          <w:rFonts w:hint="cs"/>
          <w:b/>
          <w:bCs/>
          <w:spacing w:val="22"/>
          <w:rtl/>
        </w:rPr>
        <w:t>ה</w:t>
      </w:r>
      <w:r w:rsidRPr="006D5CB3">
        <w:rPr>
          <w:rFonts w:hint="cs"/>
          <w:b/>
          <w:bCs/>
          <w:spacing w:val="22"/>
          <w:rtl/>
        </w:rPr>
        <w:t xml:space="preserve">חמישי - </w:t>
      </w:r>
      <w:r w:rsidRPr="006D5CB3">
        <w:rPr>
          <w:rFonts w:hint="cs"/>
          <w:spacing w:val="22"/>
          <w:rtl/>
        </w:rPr>
        <w:t xml:space="preserve"> בוטל. בגדר </w:t>
      </w:r>
      <w:r w:rsidRPr="006D5CB3">
        <w:rPr>
          <w:rFonts w:hint="cs"/>
          <w:b/>
          <w:bCs/>
          <w:spacing w:val="22"/>
          <w:rtl/>
        </w:rPr>
        <w:t xml:space="preserve">האישום השישי - </w:t>
      </w:r>
      <w:r w:rsidRPr="006D5CB3">
        <w:rPr>
          <w:rFonts w:hint="cs"/>
          <w:spacing w:val="22"/>
          <w:rtl/>
        </w:rPr>
        <w:t xml:space="preserve"> הורשעו נאשמים 2 ו- 3 בעבירה של </w:t>
      </w:r>
      <w:r>
        <w:rPr>
          <w:rFonts w:hint="cs"/>
          <w:spacing w:val="22"/>
          <w:rtl/>
        </w:rPr>
        <w:t xml:space="preserve">ניסיון </w:t>
      </w:r>
      <w:r w:rsidRPr="006D5CB3">
        <w:rPr>
          <w:rFonts w:hint="cs"/>
          <w:spacing w:val="22"/>
          <w:rtl/>
        </w:rPr>
        <w:t xml:space="preserve">תקיפת שוטר בנסיבות מחמירות לפי </w:t>
      </w:r>
      <w:hyperlink r:id="rId52" w:history="1">
        <w:r w:rsidR="00A15FA0" w:rsidRPr="00A15FA0">
          <w:rPr>
            <w:color w:val="0000FF"/>
            <w:spacing w:val="22"/>
            <w:u w:val="single"/>
            <w:rtl/>
          </w:rPr>
          <w:t>סעיפים 274</w:t>
        </w:r>
      </w:hyperlink>
      <w:r w:rsidRPr="006D5CB3">
        <w:rPr>
          <w:rFonts w:hint="cs"/>
          <w:spacing w:val="22"/>
          <w:rtl/>
        </w:rPr>
        <w:t xml:space="preserve">  ו </w:t>
      </w:r>
      <w:r w:rsidRPr="006D5CB3">
        <w:rPr>
          <w:spacing w:val="22"/>
          <w:rtl/>
        </w:rPr>
        <w:t>–</w:t>
      </w:r>
      <w:r w:rsidRPr="006D5CB3">
        <w:rPr>
          <w:rFonts w:hint="cs"/>
          <w:spacing w:val="22"/>
          <w:rtl/>
        </w:rPr>
        <w:t xml:space="preserve"> </w:t>
      </w:r>
      <w:hyperlink r:id="rId53" w:history="1">
        <w:r w:rsidR="00A15FA0" w:rsidRPr="00A15FA0">
          <w:rPr>
            <w:color w:val="0000FF"/>
            <w:spacing w:val="22"/>
            <w:u w:val="single"/>
            <w:rtl/>
          </w:rPr>
          <w:t>25</w:t>
        </w:r>
      </w:hyperlink>
      <w:r w:rsidRPr="006D5CB3">
        <w:rPr>
          <w:rFonts w:hint="cs"/>
          <w:spacing w:val="22"/>
          <w:rtl/>
        </w:rPr>
        <w:t xml:space="preserve"> ל</w:t>
      </w:r>
      <w:hyperlink r:id="rId54" w:history="1">
        <w:r w:rsidR="005334CF" w:rsidRPr="005334CF">
          <w:rPr>
            <w:color w:val="0000FF"/>
            <w:spacing w:val="22"/>
            <w:u w:val="single"/>
            <w:rtl/>
          </w:rPr>
          <w:t>חוק העונשין</w:t>
        </w:r>
      </w:hyperlink>
      <w:r w:rsidRPr="006D5CB3">
        <w:rPr>
          <w:rFonts w:hint="cs"/>
          <w:spacing w:val="22"/>
          <w:rtl/>
        </w:rPr>
        <w:t xml:space="preserve"> ובעבירת התפרעות לפי </w:t>
      </w:r>
      <w:hyperlink r:id="rId55" w:history="1">
        <w:r w:rsidR="00A15FA0" w:rsidRPr="00A15FA0">
          <w:rPr>
            <w:color w:val="0000FF"/>
            <w:spacing w:val="22"/>
            <w:u w:val="single"/>
            <w:rtl/>
          </w:rPr>
          <w:t>סעיף 152</w:t>
        </w:r>
      </w:hyperlink>
      <w:r w:rsidRPr="006D5CB3">
        <w:rPr>
          <w:rFonts w:hint="cs"/>
          <w:spacing w:val="22"/>
          <w:rtl/>
        </w:rPr>
        <w:t xml:space="preserve"> לחוק העונשין. </w:t>
      </w:r>
      <w:r w:rsidRPr="006D5CB3">
        <w:rPr>
          <w:rFonts w:hint="cs"/>
          <w:b/>
          <w:bCs/>
          <w:spacing w:val="22"/>
          <w:rtl/>
        </w:rPr>
        <w:t xml:space="preserve">בגדר האישום השביעי </w:t>
      </w:r>
      <w:r w:rsidRPr="006D5CB3">
        <w:rPr>
          <w:rFonts w:hint="cs"/>
          <w:spacing w:val="22"/>
          <w:rtl/>
        </w:rPr>
        <w:t xml:space="preserve"> - הורשע </w:t>
      </w:r>
      <w:r w:rsidRPr="006D5CB3">
        <w:rPr>
          <w:rFonts w:hint="cs"/>
          <w:b/>
          <w:bCs/>
          <w:spacing w:val="22"/>
          <w:rtl/>
        </w:rPr>
        <w:t xml:space="preserve">נאשם 3 </w:t>
      </w:r>
      <w:r w:rsidRPr="006D5CB3">
        <w:rPr>
          <w:rFonts w:hint="cs"/>
          <w:spacing w:val="22"/>
          <w:rtl/>
        </w:rPr>
        <w:t xml:space="preserve"> בעבירה של ניסיון הצתה לפי </w:t>
      </w:r>
      <w:hyperlink r:id="rId56" w:history="1">
        <w:r w:rsidR="00A15FA0" w:rsidRPr="00A15FA0">
          <w:rPr>
            <w:color w:val="0000FF"/>
            <w:spacing w:val="22"/>
            <w:u w:val="single"/>
            <w:rtl/>
          </w:rPr>
          <w:t>סעיפים 448(א)</w:t>
        </w:r>
      </w:hyperlink>
      <w:r w:rsidRPr="006D5CB3">
        <w:rPr>
          <w:rFonts w:hint="cs"/>
          <w:spacing w:val="22"/>
          <w:rtl/>
        </w:rPr>
        <w:t xml:space="preserve"> סיפא ו </w:t>
      </w:r>
      <w:r w:rsidRPr="006D5CB3">
        <w:rPr>
          <w:spacing w:val="22"/>
          <w:rtl/>
        </w:rPr>
        <w:t>–</w:t>
      </w:r>
      <w:r w:rsidRPr="006D5CB3">
        <w:rPr>
          <w:rFonts w:hint="cs"/>
          <w:spacing w:val="22"/>
          <w:rtl/>
        </w:rPr>
        <w:t xml:space="preserve"> </w:t>
      </w:r>
      <w:hyperlink r:id="rId57" w:history="1">
        <w:r w:rsidR="00A15FA0" w:rsidRPr="00A15FA0">
          <w:rPr>
            <w:color w:val="0000FF"/>
            <w:spacing w:val="22"/>
            <w:u w:val="single"/>
            <w:rtl/>
          </w:rPr>
          <w:t>25</w:t>
        </w:r>
      </w:hyperlink>
      <w:r w:rsidRPr="006D5CB3">
        <w:rPr>
          <w:rFonts w:hint="cs"/>
          <w:spacing w:val="22"/>
          <w:rtl/>
        </w:rPr>
        <w:t xml:space="preserve"> ל</w:t>
      </w:r>
      <w:hyperlink r:id="rId58" w:history="1">
        <w:r w:rsidR="005334CF" w:rsidRPr="005334CF">
          <w:rPr>
            <w:color w:val="0000FF"/>
            <w:spacing w:val="22"/>
            <w:u w:val="single"/>
            <w:rtl/>
          </w:rPr>
          <w:t>חוק העונשין</w:t>
        </w:r>
      </w:hyperlink>
      <w:r w:rsidRPr="006D5CB3">
        <w:rPr>
          <w:rFonts w:hint="cs"/>
          <w:spacing w:val="22"/>
          <w:rtl/>
        </w:rPr>
        <w:t xml:space="preserve">, בעבירת ניסיון תקיפת שוטר בנסיבות מחמירות לפי </w:t>
      </w:r>
      <w:hyperlink r:id="rId59" w:history="1">
        <w:r w:rsidR="00A15FA0" w:rsidRPr="00A15FA0">
          <w:rPr>
            <w:color w:val="0000FF"/>
            <w:spacing w:val="22"/>
            <w:u w:val="single"/>
            <w:rtl/>
          </w:rPr>
          <w:t>סעיף 274</w:t>
        </w:r>
      </w:hyperlink>
      <w:r w:rsidRPr="006D5CB3">
        <w:rPr>
          <w:rFonts w:hint="cs"/>
          <w:spacing w:val="22"/>
          <w:rtl/>
        </w:rPr>
        <w:t xml:space="preserve"> לחוק (שלוש עבירות), עבירת התפרעות לפי </w:t>
      </w:r>
      <w:hyperlink r:id="rId60" w:history="1">
        <w:r w:rsidR="00A15FA0" w:rsidRPr="00A15FA0">
          <w:rPr>
            <w:color w:val="0000FF"/>
            <w:spacing w:val="22"/>
            <w:u w:val="single"/>
            <w:rtl/>
          </w:rPr>
          <w:t>סעיף 152</w:t>
        </w:r>
      </w:hyperlink>
      <w:r w:rsidRPr="006D5CB3">
        <w:rPr>
          <w:rFonts w:hint="cs"/>
          <w:spacing w:val="22"/>
          <w:rtl/>
        </w:rPr>
        <w:t xml:space="preserve"> לחוק (שתי עבירות), עבירה של מעשה פזיזות ורשלנות לפי סעיף </w:t>
      </w:r>
      <w:hyperlink r:id="rId61" w:history="1">
        <w:r w:rsidR="00A15FA0" w:rsidRPr="00A15FA0">
          <w:rPr>
            <w:color w:val="0000FF"/>
            <w:spacing w:val="22"/>
            <w:u w:val="single"/>
            <w:rtl/>
          </w:rPr>
          <w:t xml:space="preserve">338 (א) </w:t>
        </w:r>
      </w:hyperlink>
      <w:r w:rsidRPr="006D5CB3">
        <w:rPr>
          <w:rFonts w:hint="cs"/>
          <w:spacing w:val="22"/>
          <w:rtl/>
        </w:rPr>
        <w:t xml:space="preserve">  לחוק. </w:t>
      </w:r>
    </w:p>
    <w:p w14:paraId="02D233BF" w14:textId="77777777" w:rsidR="005A3CAB" w:rsidRPr="006D5CB3" w:rsidRDefault="005A3CAB" w:rsidP="005A3CAB">
      <w:pPr>
        <w:spacing w:line="360" w:lineRule="auto"/>
        <w:jc w:val="both"/>
        <w:rPr>
          <w:spacing w:val="22"/>
          <w:rtl/>
        </w:rPr>
      </w:pPr>
    </w:p>
    <w:p w14:paraId="5517C7F4" w14:textId="77777777" w:rsidR="005A3CAB" w:rsidRPr="006D5CB3" w:rsidRDefault="005A3CAB" w:rsidP="005A3CAB">
      <w:pPr>
        <w:spacing w:line="360" w:lineRule="auto"/>
        <w:jc w:val="both"/>
        <w:rPr>
          <w:spacing w:val="22"/>
          <w:rtl/>
        </w:rPr>
      </w:pPr>
      <w:r w:rsidRPr="006D5CB3">
        <w:rPr>
          <w:rFonts w:hint="cs"/>
          <w:spacing w:val="22"/>
          <w:rtl/>
        </w:rPr>
        <w:t>2.</w:t>
      </w:r>
      <w:r w:rsidRPr="006D5CB3">
        <w:rPr>
          <w:spacing w:val="22"/>
          <w:rtl/>
        </w:rPr>
        <w:tab/>
      </w:r>
      <w:r w:rsidRPr="006D5CB3">
        <w:rPr>
          <w:rFonts w:hint="cs"/>
          <w:spacing w:val="22"/>
          <w:rtl/>
        </w:rPr>
        <w:t>על פי כתב האישום המתוקן</w:t>
      </w:r>
      <w:r>
        <w:rPr>
          <w:rFonts w:hint="cs"/>
          <w:spacing w:val="22"/>
          <w:rtl/>
        </w:rPr>
        <w:t xml:space="preserve">, </w:t>
      </w:r>
      <w:r w:rsidRPr="006D5CB3">
        <w:rPr>
          <w:rFonts w:hint="cs"/>
          <w:spacing w:val="22"/>
          <w:rtl/>
        </w:rPr>
        <w:t xml:space="preserve">במהלך חודש אוקטובר 2016 התגייסו הנאשמים לארגון החזית העממית ונטלו חלק בפעילויות של הארגון. עובר לחודש מרץ 2017, גמלה בליבם של הנאשמים </w:t>
      </w:r>
      <w:r>
        <w:rPr>
          <w:rFonts w:hint="cs"/>
          <w:spacing w:val="22"/>
          <w:rtl/>
        </w:rPr>
        <w:t xml:space="preserve">החליטו </w:t>
      </w:r>
      <w:r w:rsidRPr="006D5CB3">
        <w:rPr>
          <w:rFonts w:hint="cs"/>
          <w:spacing w:val="22"/>
          <w:rtl/>
        </w:rPr>
        <w:t>לבצע פיגוע נגד חיילים ישראליים, ו</w:t>
      </w:r>
      <w:r>
        <w:rPr>
          <w:rFonts w:hint="cs"/>
          <w:spacing w:val="22"/>
          <w:rtl/>
        </w:rPr>
        <w:t xml:space="preserve">הם </w:t>
      </w:r>
      <w:r w:rsidRPr="006D5CB3">
        <w:rPr>
          <w:rFonts w:hint="cs"/>
          <w:spacing w:val="22"/>
          <w:rtl/>
        </w:rPr>
        <w:t>החלו לתכנן הוצאתו לפועל ביחד עם אחד בשם יאסר, שהוא חבר נוסף בארגון</w:t>
      </w:r>
      <w:r>
        <w:rPr>
          <w:rFonts w:hint="cs"/>
          <w:spacing w:val="22"/>
          <w:rtl/>
        </w:rPr>
        <w:t>.</w:t>
      </w:r>
      <w:r w:rsidRPr="006D5CB3">
        <w:rPr>
          <w:rFonts w:hint="cs"/>
          <w:spacing w:val="22"/>
          <w:rtl/>
        </w:rPr>
        <w:t xml:space="preserve"> ביחד הקימו חוליה להוציא התוכנית לפועל. חברי החוליה נפגשו במספר הזדמנויות החל מחודש מרץ 2017 עד מעצרם, כארבעה חודשים לאחר מכן, והנאשמים ויאסר קשרו קשר לבצע פיגוע ירי נגד כלי רכב של חיילים ישראליים או כוחות הביטחון הנוסעים בכביש העוקף של שכם, ולהשתמש במטעני חבלה.  </w:t>
      </w:r>
      <w:r w:rsidRPr="00D60719">
        <w:rPr>
          <w:rFonts w:hint="cs"/>
          <w:b/>
          <w:bCs/>
          <w:spacing w:val="22"/>
          <w:rtl/>
        </w:rPr>
        <w:t>מהאישום הראשון</w:t>
      </w:r>
      <w:r w:rsidRPr="006D5CB3">
        <w:rPr>
          <w:rFonts w:hint="cs"/>
          <w:spacing w:val="22"/>
          <w:rtl/>
        </w:rPr>
        <w:t xml:space="preserve"> עולה כי </w:t>
      </w:r>
      <w:r>
        <w:rPr>
          <w:rFonts w:hint="cs"/>
          <w:spacing w:val="22"/>
          <w:rtl/>
        </w:rPr>
        <w:t xml:space="preserve">נאשם 1  הצטרף, עובר לאוקטובר 2016, </w:t>
      </w:r>
      <w:r w:rsidRPr="006D5CB3">
        <w:rPr>
          <w:rFonts w:hint="cs"/>
          <w:spacing w:val="22"/>
          <w:rtl/>
        </w:rPr>
        <w:t xml:space="preserve">לארגון החזית העממית אשר הוכרז עוד בשנת 1986 כארגון טרוריסטי. במהלך חודש אוקטובר 2016, נאשם 1 הציע לנאשמים 2 ו </w:t>
      </w:r>
      <w:r w:rsidRPr="006D5CB3">
        <w:rPr>
          <w:spacing w:val="22"/>
          <w:rtl/>
        </w:rPr>
        <w:t>–</w:t>
      </w:r>
      <w:r w:rsidRPr="006D5CB3">
        <w:rPr>
          <w:rFonts w:hint="cs"/>
          <w:spacing w:val="22"/>
          <w:rtl/>
        </w:rPr>
        <w:t xml:space="preserve"> 3 להתגייס לארגון, והם נענו בחיוב. נאשם 1 העביר לנאשמים 2 ו </w:t>
      </w:r>
      <w:r w:rsidRPr="006D5CB3">
        <w:rPr>
          <w:spacing w:val="22"/>
          <w:rtl/>
        </w:rPr>
        <w:t>–</w:t>
      </w:r>
      <w:r w:rsidRPr="006D5CB3">
        <w:rPr>
          <w:rFonts w:hint="cs"/>
          <w:spacing w:val="22"/>
          <w:rtl/>
        </w:rPr>
        <w:t xml:space="preserve"> 3 חוברת המלמדת דרכים להתמודד עם חקירות משטרה ושב"כ, כיצד להתנהל עם מכשיר סלולארי בכל הנוגע למעורבות בארגון ואמר לה</w:t>
      </w:r>
      <w:r>
        <w:rPr>
          <w:rFonts w:hint="cs"/>
          <w:spacing w:val="22"/>
          <w:rtl/>
        </w:rPr>
        <w:t>ם</w:t>
      </w:r>
      <w:r w:rsidRPr="006D5CB3">
        <w:rPr>
          <w:rFonts w:hint="cs"/>
          <w:spacing w:val="22"/>
          <w:rtl/>
        </w:rPr>
        <w:t xml:space="preserve"> כי במסגרת הפעילות בארגון, הם נדרשים לתלות פוסטרים של אסירים. לאחר שנאשמים 2 ו </w:t>
      </w:r>
      <w:r w:rsidRPr="006D5CB3">
        <w:rPr>
          <w:spacing w:val="22"/>
          <w:rtl/>
        </w:rPr>
        <w:t>–</w:t>
      </w:r>
      <w:r w:rsidRPr="006D5CB3">
        <w:rPr>
          <w:rFonts w:hint="cs"/>
          <w:spacing w:val="22"/>
          <w:rtl/>
        </w:rPr>
        <w:t xml:space="preserve"> 3 למדו את המידע שבחוברת, ערך להם נאשם 1 מבחן בכתב והודיע להם כי הם עברו את המבחן והם הצטרפו לארגון. נאשם 1 לימד את נאשמים 2 ו </w:t>
      </w:r>
      <w:r w:rsidRPr="006D5CB3">
        <w:rPr>
          <w:spacing w:val="22"/>
          <w:rtl/>
        </w:rPr>
        <w:t>–</w:t>
      </w:r>
      <w:r w:rsidRPr="006D5CB3">
        <w:rPr>
          <w:rFonts w:hint="cs"/>
          <w:spacing w:val="22"/>
          <w:rtl/>
        </w:rPr>
        <w:t xml:space="preserve"> 3 </w:t>
      </w:r>
      <w:r>
        <w:rPr>
          <w:rFonts w:hint="cs"/>
          <w:spacing w:val="22"/>
          <w:rtl/>
        </w:rPr>
        <w:t xml:space="preserve">את </w:t>
      </w:r>
      <w:r w:rsidRPr="006D5CB3">
        <w:rPr>
          <w:rFonts w:hint="cs"/>
          <w:spacing w:val="22"/>
          <w:rtl/>
        </w:rPr>
        <w:t xml:space="preserve">הידוע לו על חקירות שב"כ ועל ההיסטוריה של פלסטין והחזית העממית. במהלך יום האם הפלסטיני שחל ביום 21/3/17, ביוזמת נאשם 1, נסעו הנאשמים ברכבו של נאשם 3 לחלק פרחים לאימהות שבניהן נהרגו, </w:t>
      </w:r>
      <w:r w:rsidRPr="006D5CB3">
        <w:rPr>
          <w:rFonts w:hint="cs"/>
          <w:spacing w:val="22"/>
          <w:rtl/>
        </w:rPr>
        <w:lastRenderedPageBreak/>
        <w:t>והנאשמים השתתפו</w:t>
      </w:r>
      <w:r>
        <w:rPr>
          <w:rFonts w:hint="cs"/>
          <w:spacing w:val="22"/>
          <w:rtl/>
        </w:rPr>
        <w:t>,</w:t>
      </w:r>
      <w:r w:rsidRPr="006D5CB3">
        <w:rPr>
          <w:rFonts w:hint="cs"/>
          <w:spacing w:val="22"/>
          <w:rtl/>
        </w:rPr>
        <w:t xml:space="preserve"> </w:t>
      </w:r>
      <w:r>
        <w:rPr>
          <w:rFonts w:hint="cs"/>
          <w:spacing w:val="22"/>
          <w:rtl/>
        </w:rPr>
        <w:t>במהלך</w:t>
      </w:r>
      <w:r w:rsidRPr="006D5CB3">
        <w:rPr>
          <w:rFonts w:hint="cs"/>
          <w:spacing w:val="22"/>
          <w:rtl/>
        </w:rPr>
        <w:t xml:space="preserve"> חודש רמאדאן </w:t>
      </w:r>
      <w:r>
        <w:rPr>
          <w:rFonts w:hint="cs"/>
          <w:spacing w:val="22"/>
          <w:rtl/>
        </w:rPr>
        <w:t>של</w:t>
      </w:r>
      <w:r w:rsidRPr="006D5CB3">
        <w:rPr>
          <w:rFonts w:hint="cs"/>
          <w:spacing w:val="22"/>
          <w:rtl/>
        </w:rPr>
        <w:t xml:space="preserve"> שנת 2017</w:t>
      </w:r>
      <w:r>
        <w:rPr>
          <w:rFonts w:hint="cs"/>
          <w:spacing w:val="22"/>
          <w:rtl/>
        </w:rPr>
        <w:t>,</w:t>
      </w:r>
      <w:r w:rsidRPr="006D5CB3">
        <w:rPr>
          <w:rFonts w:hint="cs"/>
          <w:spacing w:val="22"/>
          <w:rtl/>
        </w:rPr>
        <w:t xml:space="preserve"> במסיבת הוקרה לאסירים מטעם הארגון. </w:t>
      </w:r>
      <w:r w:rsidRPr="00D60719">
        <w:rPr>
          <w:rFonts w:hint="cs"/>
          <w:b/>
          <w:bCs/>
          <w:spacing w:val="22"/>
          <w:rtl/>
        </w:rPr>
        <w:t>בגדר האישום השני</w:t>
      </w:r>
      <w:r w:rsidRPr="006D5CB3">
        <w:rPr>
          <w:rFonts w:hint="cs"/>
          <w:spacing w:val="22"/>
          <w:rtl/>
        </w:rPr>
        <w:t xml:space="preserve">, נפגש נאשם 1 עם יאסר, וגמלה בליבם החלטה להקים  חוליה לפיגוע נגד חיילים ישראליים. נאשם 1 הציע לנאשמים 2 ו- 3 להצטרף לחוליה זו, והם הסכימו. לביצוע התוכנית נפגשו הנאשמים בסמוך לחודש מרץ 2017 עם יאסר, שם הוחלט על הקמת החוליה ועל הצורך להצטייד בכלי נשק על מנת להוציא התוכנית לפועל. כעבור מספר ימים, נסעו הנאשמים ברכבו של נאשם 3 לביתו של יאסר בשכם, שם הראה להם יאסר את הכביש בו נוסעים כלי רכב ישראליים, והקבוצה החליטה לירות על כלי רכב של כוחות הביטחון במהלך נסיעתם באותו כביש. כן נמסר להם כי עליהם לרכוש כלי נשק ומדים צבאיים ולהתאמן בכלי הנשק. יאסר הציע לנאשמים להכין מטענים לפיגוע וחברי החוליה רכשו מי חמצן. בחודש אפריל 2017, נאשם 1 הכיר בחור המכונה שחס, ושאל אותו אם יש ברשותו כלי נשק, שחס השיב כי לחברו יש </w:t>
      </w:r>
      <w:r w:rsidRPr="006D5CB3">
        <w:rPr>
          <w:rFonts w:hint="cs"/>
          <w:spacing w:val="22"/>
        </w:rPr>
        <w:t>M</w:t>
      </w:r>
      <w:r w:rsidRPr="006D5CB3">
        <w:rPr>
          <w:rFonts w:hint="cs"/>
          <w:spacing w:val="22"/>
          <w:rtl/>
        </w:rPr>
        <w:t xml:space="preserve">16 בעלות של 30,000 ₪, אך ניסיון הרכישה לא יצא אל הפועל, אף שהנאשמים נפגשו עם אותו שחס לשם כך. בחודש רמאדאן 2017, נפגשו הנאשמים ויאסר באוהל התמיכה </w:t>
      </w:r>
      <w:r>
        <w:rPr>
          <w:rFonts w:hint="cs"/>
          <w:spacing w:val="22"/>
          <w:rtl/>
        </w:rPr>
        <w:t>בא</w:t>
      </w:r>
      <w:r w:rsidRPr="006D5CB3">
        <w:rPr>
          <w:rFonts w:hint="cs"/>
          <w:spacing w:val="22"/>
          <w:rtl/>
        </w:rPr>
        <w:t xml:space="preserve">סירים שובתי רעב, יאסר סיפר ליתר הנאשמים כי הוא יכול לרכוש ארבעה רובי קלשניקוב בעלות של 15,000 ₪ ויתכן כי לא כל כלי הנשק כשירים ואולי יוכלו להרכיב </w:t>
      </w:r>
      <w:r>
        <w:rPr>
          <w:rFonts w:hint="cs"/>
          <w:spacing w:val="22"/>
          <w:rtl/>
        </w:rPr>
        <w:t>מ</w:t>
      </w:r>
      <w:r w:rsidRPr="006D5CB3">
        <w:rPr>
          <w:rFonts w:hint="cs"/>
          <w:spacing w:val="22"/>
          <w:rtl/>
        </w:rPr>
        <w:t xml:space="preserve">ארבעת כלי הנשק כלי נשק אחד שיוכל לירות, והנאשמים החליטו כי עבור כלי נשק זה, ישלמו סך של 5,000 ₪, אך בסופו של דבר הרכישה לא התאפשרה.  הנאשמים ביצעו ניסיונות נוספים לרכוש כלי נשק. ביום 14/7/17, נאשם 3 הציע לנאשם 2 ואחרים להניח מטעני צד בסמוך לרכב משטרתי שעובר בשועפט, נאשם 2 התנגד להצעה. ביום 14/7/17, נאשמים 2 ו </w:t>
      </w:r>
      <w:r w:rsidRPr="006D5CB3">
        <w:rPr>
          <w:spacing w:val="22"/>
          <w:rtl/>
        </w:rPr>
        <w:t>–</w:t>
      </w:r>
      <w:r w:rsidRPr="006D5CB3">
        <w:rPr>
          <w:rFonts w:hint="cs"/>
          <w:spacing w:val="22"/>
          <w:rtl/>
        </w:rPr>
        <w:t xml:space="preserve"> 3 נסעו לפגוש את יאסר ברמאללה לקדם את תוכנית הפיגוע, אך המפגש לא יצא אל הפועל, אם כי נאשם 2 התקשר בהמשך ליאסר ואמר לו כי השיג תמיכה כלכלית לביצוע הפיגוע המתוכנן. </w:t>
      </w:r>
      <w:r w:rsidRPr="00D60719">
        <w:rPr>
          <w:rFonts w:hint="cs"/>
          <w:b/>
          <w:bCs/>
          <w:spacing w:val="22"/>
          <w:rtl/>
        </w:rPr>
        <w:t>באישום 3</w:t>
      </w:r>
      <w:r w:rsidRPr="006D5CB3">
        <w:rPr>
          <w:rFonts w:hint="cs"/>
          <w:spacing w:val="22"/>
          <w:rtl/>
        </w:rPr>
        <w:t xml:space="preserve"> מפורט כי במהלך חודש מרץ 2017, פנה אחד בשם סולטן לנאשם 1, וביקש ממנו לדאוג לתקן כלי נשק מסוג קרלו שברשותו, נאשם 1 אסף את הנשק ביחד עם נאשם 3 והחביאו בביתו של נאשם 1. כעבור מספר ימים, נאשם 2 תיקן את כלי הנשק בנוכחות כלל הנאשמים, ובהמשך, הנאשמים ביצעו ניסוי ירי של כדורים בודדים בכלי הנשק, ולאחר מכן הושב כלי הנשק לסולטן. בגדר </w:t>
      </w:r>
      <w:r>
        <w:rPr>
          <w:rFonts w:hint="cs"/>
          <w:b/>
          <w:bCs/>
          <w:spacing w:val="22"/>
          <w:rtl/>
        </w:rPr>
        <w:t xml:space="preserve">      </w:t>
      </w:r>
      <w:r w:rsidRPr="00D60719">
        <w:rPr>
          <w:rFonts w:hint="cs"/>
          <w:b/>
          <w:bCs/>
          <w:spacing w:val="22"/>
          <w:rtl/>
        </w:rPr>
        <w:t>אישום 4</w:t>
      </w:r>
      <w:r w:rsidRPr="006D5CB3">
        <w:rPr>
          <w:rFonts w:hint="cs"/>
          <w:spacing w:val="22"/>
          <w:rtl/>
        </w:rPr>
        <w:t xml:space="preserve"> </w:t>
      </w:r>
      <w:r>
        <w:rPr>
          <w:rFonts w:hint="cs"/>
          <w:spacing w:val="22"/>
          <w:rtl/>
        </w:rPr>
        <w:t xml:space="preserve"> </w:t>
      </w:r>
      <w:r w:rsidRPr="006D5CB3">
        <w:rPr>
          <w:rFonts w:hint="cs"/>
          <w:spacing w:val="22"/>
          <w:rtl/>
        </w:rPr>
        <w:t>(</w:t>
      </w:r>
      <w:r w:rsidRPr="00D60719">
        <w:rPr>
          <w:rFonts w:hint="cs"/>
          <w:b/>
          <w:bCs/>
          <w:spacing w:val="22"/>
          <w:rtl/>
        </w:rPr>
        <w:t>המיוחס לנאשם 2 בלבד</w:t>
      </w:r>
      <w:r w:rsidRPr="006D5CB3">
        <w:rPr>
          <w:rFonts w:hint="cs"/>
          <w:spacing w:val="22"/>
          <w:rtl/>
        </w:rPr>
        <w:t xml:space="preserve">), הציע אחד בשם שמאסנה לנאשם 2 כי ירכשו נשק ביחד ויתחלקו בעלויות הרכישה בסך של 20,000 ₪. נאשם 2 הסכים, אך הרעיון לא יצא אל הפועל. </w:t>
      </w:r>
      <w:r w:rsidRPr="00D60719">
        <w:rPr>
          <w:rFonts w:hint="cs"/>
          <w:b/>
          <w:bCs/>
          <w:spacing w:val="22"/>
          <w:rtl/>
        </w:rPr>
        <w:t>אישום מס' 6</w:t>
      </w:r>
      <w:r w:rsidRPr="006D5CB3">
        <w:rPr>
          <w:rFonts w:hint="cs"/>
          <w:spacing w:val="22"/>
          <w:rtl/>
        </w:rPr>
        <w:t xml:space="preserve"> (</w:t>
      </w:r>
      <w:r w:rsidRPr="00D60719">
        <w:rPr>
          <w:rFonts w:hint="cs"/>
          <w:b/>
          <w:bCs/>
          <w:spacing w:val="22"/>
          <w:rtl/>
        </w:rPr>
        <w:t>נאשמים 2 ו- 3</w:t>
      </w:r>
      <w:r w:rsidRPr="006D5CB3">
        <w:rPr>
          <w:rFonts w:hint="cs"/>
          <w:spacing w:val="22"/>
          <w:rtl/>
        </w:rPr>
        <w:t xml:space="preserve">), מייחס לנאשמים אלה זריקת שברי אבנים לעבר כוחות צה"ל שעמדו במרחק של כ </w:t>
      </w:r>
      <w:r w:rsidRPr="006D5CB3">
        <w:rPr>
          <w:spacing w:val="22"/>
          <w:rtl/>
        </w:rPr>
        <w:t>–</w:t>
      </w:r>
      <w:r w:rsidRPr="006D5CB3">
        <w:rPr>
          <w:rFonts w:hint="cs"/>
          <w:spacing w:val="22"/>
          <w:rtl/>
        </w:rPr>
        <w:t xml:space="preserve"> 100 מ', זאת בשנת 2014. שני הנאשמים נפגעו מירי כדורי גומי באותו אירוע. </w:t>
      </w:r>
      <w:r w:rsidRPr="00D60719">
        <w:rPr>
          <w:rFonts w:hint="cs"/>
          <w:b/>
          <w:bCs/>
          <w:spacing w:val="22"/>
          <w:rtl/>
        </w:rPr>
        <w:t>אישום מס' 7</w:t>
      </w:r>
      <w:r w:rsidRPr="006D5CB3">
        <w:rPr>
          <w:rFonts w:hint="cs"/>
          <w:spacing w:val="22"/>
          <w:rtl/>
        </w:rPr>
        <w:t xml:space="preserve"> (</w:t>
      </w:r>
      <w:r w:rsidRPr="00D60719">
        <w:rPr>
          <w:rFonts w:hint="cs"/>
          <w:b/>
          <w:bCs/>
          <w:spacing w:val="22"/>
          <w:rtl/>
        </w:rPr>
        <w:t>נאשם 3 בלבד</w:t>
      </w:r>
      <w:r w:rsidRPr="006D5CB3">
        <w:rPr>
          <w:rFonts w:hint="cs"/>
          <w:spacing w:val="22"/>
          <w:rtl/>
        </w:rPr>
        <w:t xml:space="preserve">), </w:t>
      </w:r>
      <w:r>
        <w:rPr>
          <w:rFonts w:hint="cs"/>
          <w:spacing w:val="22"/>
          <w:rtl/>
        </w:rPr>
        <w:t xml:space="preserve">נאשם זה </w:t>
      </w:r>
      <w:r w:rsidRPr="006D5CB3">
        <w:rPr>
          <w:rFonts w:hint="cs"/>
          <w:spacing w:val="22"/>
          <w:rtl/>
        </w:rPr>
        <w:t xml:space="preserve">השתתף בהתפרעות במהלך שנת 2014 במועד שאינו ידוע, במהלכה יודו אבנים רבות לעבר כוחות הביטחון. נאשם 3 זרק שני זיקוקים ממרחק של 100 מ' מכוחות הביטחון . ביום 3/7/14 השתתף נאשם 3 בהתפרעות נוספת בשועפט. נאשם 3 ידה בקבוק תבערה לעבר משאית שהתיזה מים לעבר המתפרעים. הבקבוק פגע במראה הצדדית של המשאית. למחרת ידה נאשם 3 אבנים לעבר כוחות הביטחון וכך גם ביום שלאחר מכן. </w:t>
      </w:r>
    </w:p>
    <w:p w14:paraId="0C5EC3DF" w14:textId="77777777" w:rsidR="005A3CAB" w:rsidRPr="006D5CB3" w:rsidRDefault="005A3CAB" w:rsidP="005A3CAB">
      <w:pPr>
        <w:spacing w:line="360" w:lineRule="auto"/>
        <w:jc w:val="both"/>
        <w:rPr>
          <w:spacing w:val="22"/>
          <w:rtl/>
        </w:rPr>
      </w:pPr>
    </w:p>
    <w:p w14:paraId="2A8CFF88" w14:textId="77777777" w:rsidR="005A3CAB" w:rsidRPr="006D5CB3" w:rsidRDefault="005A3CAB" w:rsidP="005A3CAB">
      <w:pPr>
        <w:spacing w:line="360" w:lineRule="auto"/>
        <w:jc w:val="both"/>
        <w:rPr>
          <w:spacing w:val="22"/>
          <w:rtl/>
        </w:rPr>
      </w:pPr>
      <w:r w:rsidRPr="006D5CB3">
        <w:rPr>
          <w:rFonts w:hint="cs"/>
          <w:spacing w:val="22"/>
          <w:rtl/>
        </w:rPr>
        <w:t>3.</w:t>
      </w:r>
      <w:r w:rsidRPr="006D5CB3">
        <w:rPr>
          <w:spacing w:val="22"/>
          <w:rtl/>
        </w:rPr>
        <w:tab/>
      </w:r>
      <w:r w:rsidRPr="006D5CB3">
        <w:rPr>
          <w:rFonts w:hint="cs"/>
          <w:spacing w:val="22"/>
          <w:rtl/>
        </w:rPr>
        <w:t xml:space="preserve">הנאשמים  1 ו </w:t>
      </w:r>
      <w:r w:rsidRPr="006D5CB3">
        <w:rPr>
          <w:spacing w:val="22"/>
          <w:rtl/>
        </w:rPr>
        <w:t>–</w:t>
      </w:r>
      <w:r w:rsidRPr="006D5CB3">
        <w:rPr>
          <w:rFonts w:hint="cs"/>
          <w:spacing w:val="22"/>
          <w:rtl/>
        </w:rPr>
        <w:t xml:space="preserve"> 3 הנם ילידי 1995. נאשם 2 יליד שנת 1994. </w:t>
      </w:r>
      <w:r w:rsidRPr="006D5CB3">
        <w:rPr>
          <w:rFonts w:hint="cs"/>
          <w:b/>
          <w:bCs/>
          <w:spacing w:val="22"/>
          <w:rtl/>
        </w:rPr>
        <w:t xml:space="preserve">לנאשם </w:t>
      </w:r>
      <w:r w:rsidRPr="006D5CB3">
        <w:rPr>
          <w:rFonts w:hint="cs"/>
          <w:spacing w:val="22"/>
          <w:rtl/>
        </w:rPr>
        <w:t xml:space="preserve">1 שלוש הרשעות קודמות, האחרונה משנת 2014 בעבירות התפרעות, ניסיון תקיפת שוטר ועוד, וכן שתי הרשעותיו הקודמות משנת 2014 (השתתפות בהתפרעות), משנת 2012 </w:t>
      </w:r>
      <w:r>
        <w:rPr>
          <w:rFonts w:hint="cs"/>
          <w:spacing w:val="22"/>
          <w:rtl/>
        </w:rPr>
        <w:t>(</w:t>
      </w:r>
      <w:r w:rsidRPr="006D5CB3">
        <w:rPr>
          <w:rFonts w:hint="cs"/>
          <w:spacing w:val="22"/>
          <w:rtl/>
        </w:rPr>
        <w:t>חבלה במזיד ברכב וסיכון אדם בנתיב תחבורה</w:t>
      </w:r>
      <w:r>
        <w:rPr>
          <w:rFonts w:hint="cs"/>
          <w:spacing w:val="22"/>
          <w:rtl/>
        </w:rPr>
        <w:t>)</w:t>
      </w:r>
      <w:r w:rsidRPr="006D5CB3">
        <w:rPr>
          <w:rFonts w:hint="cs"/>
          <w:spacing w:val="22"/>
          <w:rtl/>
        </w:rPr>
        <w:t xml:space="preserve">. בגין כל ההרשעות הקודמות, ריצה נאשם זה גם עונשי מאסר בפועל. </w:t>
      </w:r>
      <w:r w:rsidRPr="006D5CB3">
        <w:rPr>
          <w:rFonts w:hint="cs"/>
          <w:b/>
          <w:bCs/>
          <w:spacing w:val="22"/>
          <w:rtl/>
        </w:rPr>
        <w:t xml:space="preserve">לנאשם 3 </w:t>
      </w:r>
      <w:r w:rsidRPr="006D5CB3">
        <w:rPr>
          <w:rFonts w:hint="cs"/>
          <w:spacing w:val="22"/>
          <w:rtl/>
        </w:rPr>
        <w:t xml:space="preserve">הרשעה קודמת משנת 2014 בעבירת ניסיון תקיפה והיזק לרכוש, הוא נדון לעונש מאסר בפועל בגין הרשעה זו. </w:t>
      </w:r>
      <w:r>
        <w:rPr>
          <w:rFonts w:hint="cs"/>
          <w:spacing w:val="22"/>
          <w:rtl/>
        </w:rPr>
        <w:t xml:space="preserve">בעניין </w:t>
      </w:r>
      <w:r w:rsidRPr="006D5CB3">
        <w:rPr>
          <w:rFonts w:hint="cs"/>
          <w:spacing w:val="22"/>
          <w:rtl/>
        </w:rPr>
        <w:t xml:space="preserve">שלושת הנאשמים התקבלו תסקירי שירות מבחן. מהתסקיר הנוגע </w:t>
      </w:r>
      <w:r w:rsidRPr="00187979">
        <w:rPr>
          <w:rFonts w:hint="cs"/>
          <w:b/>
          <w:bCs/>
          <w:spacing w:val="22"/>
          <w:rtl/>
        </w:rPr>
        <w:t>לנאשם 1</w:t>
      </w:r>
      <w:r w:rsidRPr="006D5CB3">
        <w:rPr>
          <w:rFonts w:hint="cs"/>
          <w:spacing w:val="22"/>
          <w:rtl/>
        </w:rPr>
        <w:t xml:space="preserve"> עולה כי הוא רווק ללא ילדים, השתלב בלימודים אקדמאיים באוניברסיטת ביר זית בשנת 2016, עבד בעבודות מזדמנות, תיאר עצמו כאדם נורמטיבי וטען כי תנועת החזית העממית משקפת במידה מסויימת את תפיסת עולמו, שכן התנועה כוללת בתוכה גם ערכים לש</w:t>
      </w:r>
      <w:r>
        <w:rPr>
          <w:rFonts w:hint="cs"/>
          <w:spacing w:val="22"/>
          <w:rtl/>
        </w:rPr>
        <w:t>י</w:t>
      </w:r>
      <w:r w:rsidRPr="006D5CB3">
        <w:rPr>
          <w:rFonts w:hint="cs"/>
          <w:spacing w:val="22"/>
          <w:rtl/>
        </w:rPr>
        <w:t xml:space="preserve">וויון החשובים לו. הנאשם הסביר את מעשיו על רקע מחוייבות לארגון, התקשה להביע תחושת חרטה. שירות המבחן המליץ על עונש מאסר בפועל שיתכן שיציב גבול מרתיע לנאשם ועונשים מותנים ארוכים ומרתיעים, שיתכן שיהא בהם להפחית את הסיכונים להישנות התנהגותו. בתסקיר שניתן בעניינו של </w:t>
      </w:r>
      <w:r w:rsidRPr="006D5CB3">
        <w:rPr>
          <w:rFonts w:hint="cs"/>
          <w:b/>
          <w:bCs/>
          <w:spacing w:val="22"/>
          <w:rtl/>
        </w:rPr>
        <w:t xml:space="preserve">נאשם 2, </w:t>
      </w:r>
      <w:r w:rsidRPr="006D5CB3">
        <w:rPr>
          <w:rFonts w:hint="cs"/>
          <w:spacing w:val="22"/>
          <w:rtl/>
        </w:rPr>
        <w:t xml:space="preserve"> מפורט כי גם הוא רווק, סיים 12 שנות לימוד, ולאחר מכן לימודי מקצוע בתחום מיזוג אוויר, השתלב בתחום העבודה ביחד עם נאשם 3 באותו עסק.</w:t>
      </w:r>
      <w:r w:rsidRPr="006D5CB3">
        <w:rPr>
          <w:rFonts w:hint="cs"/>
          <w:b/>
          <w:bCs/>
          <w:spacing w:val="22"/>
          <w:rtl/>
        </w:rPr>
        <w:t xml:space="preserve"> </w:t>
      </w:r>
      <w:r w:rsidRPr="006D5CB3">
        <w:rPr>
          <w:rFonts w:hint="cs"/>
          <w:spacing w:val="22"/>
          <w:rtl/>
        </w:rPr>
        <w:t xml:space="preserve"> נאשם 2 צימצם את חלקו לפני שירות המבחן  וטען כי הוא לא יזם פעולות או </w:t>
      </w:r>
      <w:r>
        <w:rPr>
          <w:rFonts w:hint="cs"/>
          <w:spacing w:val="22"/>
          <w:rtl/>
        </w:rPr>
        <w:t xml:space="preserve">נטל </w:t>
      </w:r>
      <w:r w:rsidRPr="006D5CB3">
        <w:rPr>
          <w:rFonts w:hint="cs"/>
          <w:spacing w:val="22"/>
          <w:rtl/>
        </w:rPr>
        <w:t xml:space="preserve">חלק בתכנון. שירות המבחן המליץ בעניינו, כפי שהמליץ בעניינו של נאשם 1. בתסקיר בנוגע עם </w:t>
      </w:r>
      <w:r w:rsidRPr="00B64641">
        <w:rPr>
          <w:rFonts w:hint="cs"/>
          <w:b/>
          <w:bCs/>
          <w:spacing w:val="22"/>
          <w:rtl/>
        </w:rPr>
        <w:t>נאשם 3</w:t>
      </w:r>
      <w:r w:rsidRPr="006D5CB3">
        <w:rPr>
          <w:rFonts w:hint="cs"/>
          <w:spacing w:val="22"/>
          <w:rtl/>
        </w:rPr>
        <w:t xml:space="preserve">, מפורט כי הוא סיים 12 שנות לימוד, השתלב לאחר מכן בשוק העבודה, בהמשך עבד עם נאשם 2 באותו מקום עבודה. מפורט בתסקיר כי נאשם 3 סירב לקשרים עם הארגון במהלך מעצרו, קיבל אחריות על מעשיו, וטען כי פעל באותה תקופה ללא בקרה מספקת על מעשיו, ותפס חלק ממעשיו כשוליים.  לדבריו הוא לא ראה פסול להשתייכות לארגון, ותיאר את התנהלותו ככדור שלג שהלך וגדל.  המלצה בעניינו, כפי שבאה בעניין הנאשמים האחרים. </w:t>
      </w:r>
    </w:p>
    <w:p w14:paraId="7E33BCC0" w14:textId="77777777" w:rsidR="005A3CAB" w:rsidRPr="006D5CB3" w:rsidRDefault="005A3CAB" w:rsidP="005A3CAB">
      <w:pPr>
        <w:spacing w:line="360" w:lineRule="auto"/>
        <w:jc w:val="both"/>
        <w:rPr>
          <w:spacing w:val="22"/>
          <w:rtl/>
        </w:rPr>
      </w:pPr>
    </w:p>
    <w:p w14:paraId="21DD025F" w14:textId="77777777" w:rsidR="005A3CAB" w:rsidRPr="006D5CB3" w:rsidRDefault="005A3CAB" w:rsidP="005A3CAB">
      <w:pPr>
        <w:spacing w:line="360" w:lineRule="auto"/>
        <w:jc w:val="both"/>
        <w:rPr>
          <w:spacing w:val="22"/>
          <w:rtl/>
        </w:rPr>
      </w:pPr>
      <w:r w:rsidRPr="006D5CB3">
        <w:rPr>
          <w:rFonts w:hint="cs"/>
          <w:spacing w:val="22"/>
          <w:rtl/>
        </w:rPr>
        <w:t>4.</w:t>
      </w:r>
      <w:r w:rsidRPr="006D5CB3">
        <w:rPr>
          <w:spacing w:val="22"/>
          <w:rtl/>
        </w:rPr>
        <w:tab/>
      </w:r>
      <w:r w:rsidRPr="0081486B">
        <w:rPr>
          <w:rFonts w:hint="cs"/>
          <w:b/>
          <w:bCs/>
          <w:spacing w:val="22"/>
          <w:rtl/>
        </w:rPr>
        <w:t>ב"כ המאשימה</w:t>
      </w:r>
      <w:r w:rsidRPr="006D5CB3">
        <w:rPr>
          <w:rFonts w:hint="cs"/>
          <w:spacing w:val="22"/>
          <w:rtl/>
        </w:rPr>
        <w:t xml:space="preserve">  טענה כי נאשמים 1 ו </w:t>
      </w:r>
      <w:r w:rsidRPr="006D5CB3">
        <w:rPr>
          <w:spacing w:val="22"/>
          <w:rtl/>
        </w:rPr>
        <w:t>–</w:t>
      </w:r>
      <w:r w:rsidRPr="006D5CB3">
        <w:rPr>
          <w:rFonts w:hint="cs"/>
          <w:spacing w:val="22"/>
          <w:rtl/>
        </w:rPr>
        <w:t xml:space="preserve"> 3 הנם בבחינת שור מועד, שכן בעבר הורשעו בעבירות רלבנטיות, במיוחד נאשם 1, אשר לאחר כל עונש מאסר בגין העבירות שעבר החל מגיל 16, הוא חוזר לבצע עבירות נוספות, שהולכות ומחמירות. נטען כי נאשם 1 הנו הדומיננטי והמוביל מבין הנאשמים, אם כי נדרש עונש חמור יותר לנאשם 3, זאת בשל העבירות אותן עבר באישומים 6 ו- 7, והעונש המותנה לתקופת 6 חודשים, שניתן להפעילו. נטען כי הנאשמים ידעו שהם מצטרפים לארגון טרור, נאשם 1 גייס אותם, הדריך אותם, ערך להם מבחן קבלה והם התארגנו לביצוע פיגוע, תוכנית שלא צלחה, לא מאחר שלא היו רציניים, אלא להיפך, הם עשו מאמצים להשגת נשק, הגיעו לשלב של שימוש בנשק  (אימון ירי), עשו מאמצים להשגת נשק לצורך פעולות טרור</w:t>
      </w:r>
      <w:r>
        <w:rPr>
          <w:rFonts w:hint="cs"/>
          <w:spacing w:val="22"/>
          <w:rtl/>
        </w:rPr>
        <w:t>.</w:t>
      </w:r>
      <w:r w:rsidRPr="006D5CB3">
        <w:rPr>
          <w:rFonts w:hint="cs"/>
          <w:spacing w:val="22"/>
          <w:rtl/>
        </w:rPr>
        <w:t xml:space="preserve"> בא פירוט לעבירות הנוספות באישומים 6 ו- 7 ולחומרת</w:t>
      </w:r>
      <w:r>
        <w:rPr>
          <w:rFonts w:hint="cs"/>
          <w:spacing w:val="22"/>
          <w:rtl/>
        </w:rPr>
        <w:t>ן</w:t>
      </w:r>
      <w:r w:rsidRPr="006D5CB3">
        <w:rPr>
          <w:rFonts w:hint="cs"/>
          <w:spacing w:val="22"/>
          <w:rtl/>
        </w:rPr>
        <w:t xml:space="preserve">. נטען כי הערך שנפגע הנו שלום הציבור ובטחונו, </w:t>
      </w:r>
      <w:r>
        <w:rPr>
          <w:rFonts w:hint="cs"/>
          <w:spacing w:val="22"/>
          <w:rtl/>
        </w:rPr>
        <w:t>ה</w:t>
      </w:r>
      <w:r w:rsidRPr="006D5CB3">
        <w:rPr>
          <w:rFonts w:hint="cs"/>
          <w:spacing w:val="22"/>
          <w:rtl/>
        </w:rPr>
        <w:t>נזק שהיה צפוי הינו חמור:  תכנון פיגוע ירי לעבר כלי רכב של חיילים. באה הפנייה למתחמים שנקבעו לעבירות השונות. נטען גם כי שיקולי הרתעת הנאשמים</w:t>
      </w:r>
      <w:r>
        <w:rPr>
          <w:rFonts w:hint="cs"/>
          <w:spacing w:val="22"/>
          <w:rtl/>
        </w:rPr>
        <w:t>,</w:t>
      </w:r>
      <w:r w:rsidRPr="006D5CB3">
        <w:rPr>
          <w:rFonts w:hint="cs"/>
          <w:spacing w:val="22"/>
          <w:rtl/>
        </w:rPr>
        <w:t xml:space="preserve"> הרתעת הרבים</w:t>
      </w:r>
      <w:r>
        <w:rPr>
          <w:rFonts w:hint="cs"/>
          <w:spacing w:val="22"/>
          <w:rtl/>
        </w:rPr>
        <w:t>,</w:t>
      </w:r>
      <w:r w:rsidRPr="006D5CB3">
        <w:rPr>
          <w:rFonts w:hint="cs"/>
          <w:spacing w:val="22"/>
          <w:rtl/>
        </w:rPr>
        <w:t xml:space="preserve"> הוא שיקול מרכזי בענין זה</w:t>
      </w:r>
      <w:r>
        <w:rPr>
          <w:rFonts w:hint="cs"/>
          <w:spacing w:val="22"/>
          <w:rtl/>
        </w:rPr>
        <w:t xml:space="preserve">. </w:t>
      </w:r>
      <w:r w:rsidRPr="006D5CB3">
        <w:rPr>
          <w:rFonts w:hint="cs"/>
          <w:spacing w:val="22"/>
          <w:rtl/>
        </w:rPr>
        <w:t xml:space="preserve">עמדת המאשימה </w:t>
      </w:r>
      <w:r>
        <w:rPr>
          <w:rFonts w:hint="cs"/>
          <w:spacing w:val="22"/>
          <w:rtl/>
        </w:rPr>
        <w:t xml:space="preserve">הנה </w:t>
      </w:r>
      <w:r w:rsidRPr="006D5CB3">
        <w:rPr>
          <w:rFonts w:hint="cs"/>
          <w:spacing w:val="22"/>
          <w:rtl/>
        </w:rPr>
        <w:t xml:space="preserve">כי יש לגזור על נאשם 1 </w:t>
      </w:r>
      <w:r w:rsidRPr="006D5CB3">
        <w:rPr>
          <w:spacing w:val="22"/>
          <w:rtl/>
        </w:rPr>
        <w:t>–</w:t>
      </w:r>
      <w:r w:rsidRPr="006D5CB3">
        <w:rPr>
          <w:rFonts w:hint="cs"/>
          <w:spacing w:val="22"/>
          <w:rtl/>
        </w:rPr>
        <w:t xml:space="preserve"> עשר  שנות מאסר. על נאשם 2 </w:t>
      </w:r>
      <w:r w:rsidRPr="006D5CB3">
        <w:rPr>
          <w:spacing w:val="22"/>
          <w:rtl/>
        </w:rPr>
        <w:t>–</w:t>
      </w:r>
      <w:r w:rsidRPr="006D5CB3">
        <w:rPr>
          <w:rFonts w:hint="cs"/>
          <w:spacing w:val="22"/>
          <w:rtl/>
        </w:rPr>
        <w:t xml:space="preserve"> להטיל אותו עונש, שכן אף שאין לו הרשעות קודמות, הוא הורשע בעבירות נוספות, ועל נאשם 3 </w:t>
      </w:r>
      <w:r w:rsidRPr="006D5CB3">
        <w:rPr>
          <w:spacing w:val="22"/>
          <w:rtl/>
        </w:rPr>
        <w:t>–</w:t>
      </w:r>
      <w:r w:rsidRPr="006D5CB3">
        <w:rPr>
          <w:rFonts w:hint="cs"/>
          <w:spacing w:val="22"/>
          <w:rtl/>
        </w:rPr>
        <w:t xml:space="preserve"> עונש של 12 שנות מאסר בגין האישומים האחרים, וכן מאסר מותנה וקנס משמעותי. </w:t>
      </w:r>
    </w:p>
    <w:p w14:paraId="36B0AA4A" w14:textId="77777777" w:rsidR="005A3CAB" w:rsidRPr="006D5CB3" w:rsidRDefault="005A3CAB" w:rsidP="005A3CAB">
      <w:pPr>
        <w:spacing w:line="360" w:lineRule="auto"/>
        <w:jc w:val="both"/>
        <w:rPr>
          <w:spacing w:val="22"/>
          <w:rtl/>
        </w:rPr>
      </w:pPr>
    </w:p>
    <w:p w14:paraId="3281A011" w14:textId="77777777" w:rsidR="005A3CAB" w:rsidRPr="006D5CB3" w:rsidRDefault="005A3CAB" w:rsidP="005A3CAB">
      <w:pPr>
        <w:spacing w:line="360" w:lineRule="auto"/>
        <w:jc w:val="both"/>
        <w:rPr>
          <w:spacing w:val="22"/>
          <w:rtl/>
        </w:rPr>
      </w:pPr>
      <w:r w:rsidRPr="006D5CB3">
        <w:rPr>
          <w:rFonts w:hint="cs"/>
          <w:spacing w:val="22"/>
          <w:rtl/>
        </w:rPr>
        <w:t xml:space="preserve">5. </w:t>
      </w:r>
      <w:r w:rsidRPr="006D5CB3">
        <w:rPr>
          <w:rFonts w:hint="cs"/>
          <w:spacing w:val="22"/>
          <w:rtl/>
        </w:rPr>
        <w:tab/>
      </w:r>
      <w:r w:rsidRPr="006D5CB3">
        <w:rPr>
          <w:rFonts w:hint="cs"/>
          <w:b/>
          <w:bCs/>
          <w:spacing w:val="22"/>
          <w:rtl/>
        </w:rPr>
        <w:t xml:space="preserve">ב"כ נאשם 1, </w:t>
      </w:r>
      <w:r w:rsidRPr="006D5CB3">
        <w:rPr>
          <w:rFonts w:hint="cs"/>
          <w:spacing w:val="22"/>
          <w:rtl/>
        </w:rPr>
        <w:t xml:space="preserve"> ביקשה להציב פרופורציות למעשי הנאשמים. נטען כי כתב האישום עבר תיקון משמעותי כמפורט שם. נטען כי ההדרכה שהעביר נאשם 1 לנאשמים האחרים הייתה כושלת, זאת לאור התוצאות. הפעילות המסיבית של הנאשמים, כללה ביקורים אצל המשפחות ביום האם הפלסטיני. לעניין הרצון לבצע פיגוע נגד רכב חיילים והנ</w:t>
      </w:r>
      <w:r>
        <w:rPr>
          <w:rFonts w:hint="cs"/>
          <w:spacing w:val="22"/>
          <w:rtl/>
        </w:rPr>
        <w:t>י</w:t>
      </w:r>
      <w:r w:rsidRPr="006D5CB3">
        <w:rPr>
          <w:rFonts w:hint="cs"/>
          <w:spacing w:val="22"/>
          <w:rtl/>
        </w:rPr>
        <w:t xml:space="preserve">סיונות להשיג כלי נשק, </w:t>
      </w:r>
      <w:r>
        <w:rPr>
          <w:rFonts w:hint="cs"/>
          <w:spacing w:val="22"/>
          <w:rtl/>
        </w:rPr>
        <w:t xml:space="preserve">אלה </w:t>
      </w:r>
      <w:r w:rsidRPr="006D5CB3">
        <w:rPr>
          <w:rFonts w:hint="cs"/>
          <w:spacing w:val="22"/>
          <w:rtl/>
        </w:rPr>
        <w:t xml:space="preserve">נגמרו </w:t>
      </w:r>
      <w:r>
        <w:rPr>
          <w:rFonts w:hint="cs"/>
          <w:spacing w:val="22"/>
          <w:rtl/>
        </w:rPr>
        <w:t>ב</w:t>
      </w:r>
      <w:r w:rsidRPr="006D5CB3">
        <w:rPr>
          <w:rFonts w:hint="cs"/>
          <w:spacing w:val="22"/>
          <w:rtl/>
        </w:rPr>
        <w:t xml:space="preserve">לא כלום, תוך שלא יצאו אל הפועל. נאשם 1 הנו סטודנט כבן 23, קיבל אחריות על מעשיו. ב"כ נאשם 1 הפנתה למקרים חמורים יותר מעניינו של נאשם 1, שהם היו ראויים לעונש של כ </w:t>
      </w:r>
      <w:r w:rsidRPr="006D5CB3">
        <w:rPr>
          <w:spacing w:val="22"/>
          <w:rtl/>
        </w:rPr>
        <w:t>–</w:t>
      </w:r>
      <w:r w:rsidRPr="006D5CB3">
        <w:rPr>
          <w:rFonts w:hint="cs"/>
          <w:spacing w:val="22"/>
          <w:rtl/>
        </w:rPr>
        <w:t xml:space="preserve"> 10 שנות מאסר</w:t>
      </w:r>
      <w:r>
        <w:rPr>
          <w:rFonts w:hint="cs"/>
          <w:spacing w:val="22"/>
          <w:rtl/>
        </w:rPr>
        <w:t>,</w:t>
      </w:r>
      <w:r w:rsidRPr="006D5CB3">
        <w:rPr>
          <w:rFonts w:hint="cs"/>
          <w:spacing w:val="22"/>
          <w:rtl/>
        </w:rPr>
        <w:t xml:space="preserve"> כפי שטענה המאשימה</w:t>
      </w:r>
      <w:r>
        <w:rPr>
          <w:rFonts w:hint="cs"/>
          <w:spacing w:val="22"/>
          <w:rtl/>
        </w:rPr>
        <w:t>, להבדיל ממעשיו הקלים יותר של הנאשם.</w:t>
      </w:r>
      <w:r w:rsidRPr="006D5CB3">
        <w:rPr>
          <w:rFonts w:hint="cs"/>
          <w:spacing w:val="22"/>
          <w:rtl/>
        </w:rPr>
        <w:t xml:space="preserve"> לצד זאת הוגשה פסיקה גם מבתי דין צבאיים על מעשים דומים, שם הוטלו עונשים קלים בהרבה. לאור כך</w:t>
      </w:r>
      <w:r>
        <w:rPr>
          <w:rFonts w:hint="cs"/>
          <w:spacing w:val="22"/>
          <w:rtl/>
        </w:rPr>
        <w:t xml:space="preserve">, </w:t>
      </w:r>
      <w:r w:rsidRPr="006D5CB3">
        <w:rPr>
          <w:rFonts w:hint="cs"/>
          <w:spacing w:val="22"/>
          <w:rtl/>
        </w:rPr>
        <w:t xml:space="preserve">לאור אי הרחקת הלכת בתוכנית הנאשמים, ולאור הודאתו, טענה באת כוח נאשם 1, כי אין לגזור </w:t>
      </w:r>
      <w:r>
        <w:rPr>
          <w:rFonts w:hint="cs"/>
          <w:spacing w:val="22"/>
          <w:rtl/>
        </w:rPr>
        <w:t xml:space="preserve">על נאשם 1 </w:t>
      </w:r>
      <w:r w:rsidRPr="006D5CB3">
        <w:rPr>
          <w:rFonts w:hint="cs"/>
          <w:spacing w:val="22"/>
          <w:rtl/>
        </w:rPr>
        <w:t xml:space="preserve">יותר מארבע שנות מאסר בפועל. </w:t>
      </w:r>
    </w:p>
    <w:p w14:paraId="31E67515" w14:textId="77777777" w:rsidR="005A3CAB" w:rsidRPr="006D5CB3" w:rsidRDefault="005A3CAB" w:rsidP="005A3CAB">
      <w:pPr>
        <w:spacing w:line="360" w:lineRule="auto"/>
        <w:jc w:val="both"/>
        <w:rPr>
          <w:spacing w:val="22"/>
          <w:rtl/>
        </w:rPr>
      </w:pPr>
      <w:r w:rsidRPr="006D5CB3">
        <w:rPr>
          <w:spacing w:val="22"/>
          <w:rtl/>
        </w:rPr>
        <w:tab/>
      </w:r>
      <w:r w:rsidRPr="006D5CB3">
        <w:rPr>
          <w:rFonts w:hint="cs"/>
          <w:b/>
          <w:bCs/>
          <w:spacing w:val="22"/>
          <w:rtl/>
        </w:rPr>
        <w:t>ב"כ נאשם</w:t>
      </w:r>
      <w:r w:rsidRPr="006D5CB3">
        <w:rPr>
          <w:rFonts w:hint="cs"/>
          <w:spacing w:val="22"/>
          <w:rtl/>
        </w:rPr>
        <w:t xml:space="preserve"> 2 טען כי  אין מקום לגזור על נאשם 2 אותו עונש כמו העונש לו עתרה לגבי נאשם 1, מה עוד שהמתחמים להם טענה המאשימה אינם מבוססים. נטען כי קיימת כפילות בעבירות המיוחסות לנאשם (הכנה וקשירת קשר), והענישה, בכל מקרה, לכל היותר, מובילה לעונש של  14 שנות מאסר, ועל כן, אין מקום לטעון למתחם שקצהו העליון הנו 12 שנות מאסר, מה עוד שמדובר בנורמה חדשה אשר יישומה צריך להיות מיושם בהדרגה. נטען כי נאשם 1 הנו הדומיננטי והמוביל ומעמדו של נאשם 2 פחות, וקיים ביניהם פער תהומי, כאשר נאשם 2 הביע דעתו ברגע האמת, שאין לו תעוזה לבצע את המעשים.  נטען כי בין יתר השיקולים צריך להביא בחשבון את העובדה </w:t>
      </w:r>
      <w:r>
        <w:rPr>
          <w:rFonts w:hint="cs"/>
          <w:spacing w:val="22"/>
          <w:rtl/>
        </w:rPr>
        <w:t>ש</w:t>
      </w:r>
      <w:r w:rsidRPr="006D5CB3">
        <w:rPr>
          <w:rFonts w:hint="cs"/>
          <w:spacing w:val="22"/>
          <w:rtl/>
        </w:rPr>
        <w:t xml:space="preserve">יישום הרעיונות של הנאשמים, חמורים ככל שיהיו, היה רחוק מביצוע, כוללני, ולא נעשו מעשים ממשיים לקראת שלב הביצוע. נטען כי יש לגזור על נאשם 2 עונש שלא יעבור תקופה של שלוש שנות מאסר. נטען כי מעשיו האחרים של הנאשם, אינם בעלי משקל: מדובר על יידוי אבנים במרחק של 100 מ' בתקופה שלפני ארבע שנים והאישום בנוגע לרכישת נשק </w:t>
      </w:r>
      <w:r>
        <w:rPr>
          <w:rFonts w:hint="cs"/>
          <w:spacing w:val="22"/>
          <w:rtl/>
        </w:rPr>
        <w:t>אינו</w:t>
      </w:r>
      <w:r w:rsidRPr="006D5CB3">
        <w:rPr>
          <w:rFonts w:hint="cs"/>
          <w:spacing w:val="22"/>
          <w:rtl/>
        </w:rPr>
        <w:t xml:space="preserve"> אלא דיבורים בלבד. מדובר בצעיר ללא עבר קודם. מהתסקיר עולה כי הוא העמיד גבולות להתנהגותו, לרבות קבלת אחריות והודאה. באה הפנייה להחלטות שונות בנוגע עם מעשים חמורים יותר, שם הוטלו עונשים קלים בהרבה מאלה שנטענו על ידי המאשימה, ומנגד, הפנייה ל</w:t>
      </w:r>
      <w:hyperlink r:id="rId62" w:history="1">
        <w:r w:rsidR="005334CF" w:rsidRPr="005334CF">
          <w:rPr>
            <w:color w:val="0000FF"/>
            <w:spacing w:val="22"/>
            <w:u w:val="single"/>
            <w:rtl/>
          </w:rPr>
          <w:t>ע"פ 8457/15</w:t>
        </w:r>
      </w:hyperlink>
      <w:r w:rsidRPr="006D5CB3">
        <w:rPr>
          <w:rFonts w:hint="cs"/>
          <w:spacing w:val="22"/>
          <w:rtl/>
        </w:rPr>
        <w:t xml:space="preserve">, שם ניתנו עונשים לתקופה של 6 </w:t>
      </w:r>
      <w:r w:rsidRPr="006D5CB3">
        <w:rPr>
          <w:spacing w:val="22"/>
          <w:rtl/>
        </w:rPr>
        <w:t>–</w:t>
      </w:r>
      <w:r w:rsidRPr="006D5CB3">
        <w:rPr>
          <w:rFonts w:hint="cs"/>
          <w:spacing w:val="22"/>
          <w:rtl/>
        </w:rPr>
        <w:t xml:space="preserve"> 12 שנות מאסר על מעשים חמורים בהרבה. </w:t>
      </w:r>
    </w:p>
    <w:p w14:paraId="7126765A" w14:textId="77777777" w:rsidR="005A3CAB" w:rsidRPr="006D5CB3" w:rsidRDefault="005A3CAB" w:rsidP="005A3CAB">
      <w:pPr>
        <w:spacing w:line="360" w:lineRule="auto"/>
        <w:jc w:val="both"/>
        <w:rPr>
          <w:spacing w:val="22"/>
          <w:rtl/>
        </w:rPr>
      </w:pPr>
      <w:r w:rsidRPr="006D5CB3">
        <w:rPr>
          <w:spacing w:val="22"/>
          <w:rtl/>
        </w:rPr>
        <w:tab/>
      </w:r>
      <w:r w:rsidRPr="006D5CB3">
        <w:rPr>
          <w:rFonts w:hint="cs"/>
          <w:b/>
          <w:bCs/>
          <w:spacing w:val="22"/>
          <w:rtl/>
        </w:rPr>
        <w:t xml:space="preserve">ב"כ נאשם 3 </w:t>
      </w:r>
      <w:r w:rsidRPr="006D5CB3">
        <w:rPr>
          <w:rFonts w:hint="cs"/>
          <w:spacing w:val="22"/>
          <w:rtl/>
        </w:rPr>
        <w:t xml:space="preserve"> הצטרף לטיעוני חבריו. נטען כי נאשם </w:t>
      </w:r>
      <w:r>
        <w:rPr>
          <w:rFonts w:hint="cs"/>
          <w:spacing w:val="22"/>
          <w:rtl/>
        </w:rPr>
        <w:t>3</w:t>
      </w:r>
      <w:r w:rsidRPr="006D5CB3">
        <w:rPr>
          <w:rFonts w:hint="cs"/>
          <w:spacing w:val="22"/>
          <w:rtl/>
        </w:rPr>
        <w:t xml:space="preserve"> לא היה הדומיננטי, ועל כן כיצד מתבקש להטיל עליו את העונש החמור מבין השלושה, חלקו היה צר. האישום השלישי נוגע למעשים משנת 2014, שאז</w:t>
      </w:r>
      <w:r>
        <w:rPr>
          <w:rFonts w:hint="cs"/>
          <w:spacing w:val="22"/>
          <w:rtl/>
        </w:rPr>
        <w:t>,</w:t>
      </w:r>
      <w:r w:rsidRPr="006D5CB3">
        <w:rPr>
          <w:rFonts w:hint="cs"/>
          <w:spacing w:val="22"/>
          <w:rtl/>
        </w:rPr>
        <w:t xml:space="preserve"> הענישה בגין אותם מעשים, הייתה חודשי מאסר ספורים. נאשם 3 לא הציע לרכוש נשק, לא יזם את הקשר. אף שתסקיר שירות המבחן המליץ על מאסר בפועל, לא הומלץ על מאסר ממושך, ולכן, כך נטען, העונש המתאים לנאשם זה </w:t>
      </w:r>
      <w:r>
        <w:rPr>
          <w:rFonts w:hint="cs"/>
          <w:spacing w:val="22"/>
          <w:rtl/>
        </w:rPr>
        <w:t xml:space="preserve"> הנו 42 </w:t>
      </w:r>
      <w:r w:rsidRPr="006D5CB3">
        <w:rPr>
          <w:rFonts w:hint="cs"/>
          <w:spacing w:val="22"/>
          <w:rtl/>
        </w:rPr>
        <w:t xml:space="preserve">חודשי מאסר בפועל. </w:t>
      </w:r>
    </w:p>
    <w:p w14:paraId="6B973EB9" w14:textId="77777777" w:rsidR="005A3CAB" w:rsidRPr="006D5CB3" w:rsidRDefault="005A3CAB" w:rsidP="005A3CAB">
      <w:pPr>
        <w:spacing w:line="360" w:lineRule="auto"/>
        <w:jc w:val="both"/>
        <w:rPr>
          <w:spacing w:val="22"/>
          <w:rtl/>
        </w:rPr>
      </w:pPr>
    </w:p>
    <w:p w14:paraId="244E2BEE" w14:textId="77777777" w:rsidR="005A3CAB" w:rsidRPr="006D5CB3" w:rsidRDefault="005A3CAB" w:rsidP="005A3CAB">
      <w:pPr>
        <w:spacing w:line="360" w:lineRule="auto"/>
        <w:jc w:val="both"/>
        <w:rPr>
          <w:b/>
          <w:bCs/>
          <w:spacing w:val="22"/>
          <w:rtl/>
        </w:rPr>
      </w:pPr>
      <w:r w:rsidRPr="006D5CB3">
        <w:rPr>
          <w:spacing w:val="22"/>
          <w:rtl/>
        </w:rPr>
        <w:tab/>
      </w:r>
      <w:r w:rsidRPr="006D5CB3">
        <w:rPr>
          <w:rFonts w:hint="cs"/>
          <w:b/>
          <w:bCs/>
          <w:spacing w:val="22"/>
          <w:rtl/>
        </w:rPr>
        <w:t>דיון ומסקנות</w:t>
      </w:r>
    </w:p>
    <w:p w14:paraId="65F81284" w14:textId="77777777" w:rsidR="005A3CAB" w:rsidRDefault="005A3CAB" w:rsidP="005A3CAB">
      <w:pPr>
        <w:spacing w:line="360" w:lineRule="auto"/>
        <w:jc w:val="both"/>
        <w:rPr>
          <w:spacing w:val="22"/>
          <w:rtl/>
        </w:rPr>
      </w:pPr>
      <w:r w:rsidRPr="006D5CB3">
        <w:rPr>
          <w:rFonts w:hint="cs"/>
          <w:spacing w:val="22"/>
          <w:rtl/>
        </w:rPr>
        <w:t>6.</w:t>
      </w:r>
      <w:r w:rsidRPr="006D5CB3">
        <w:rPr>
          <w:rFonts w:cs="FrankRuehl"/>
          <w:spacing w:val="22"/>
          <w:sz w:val="28"/>
          <w:szCs w:val="28"/>
          <w:rtl/>
        </w:rPr>
        <w:t xml:space="preserve"> </w:t>
      </w:r>
      <w:r w:rsidRPr="006D5CB3">
        <w:rPr>
          <w:rFonts w:cs="FrankRuehl"/>
          <w:spacing w:val="22"/>
          <w:sz w:val="28"/>
          <w:szCs w:val="28"/>
          <w:rtl/>
        </w:rPr>
        <w:tab/>
      </w:r>
      <w:r w:rsidRPr="006D5CB3">
        <w:rPr>
          <w:spacing w:val="22"/>
          <w:rtl/>
        </w:rPr>
        <w:t>גזירת דינו של הנאשם באה במסגרת הוראת תיקון 113 ל</w:t>
      </w:r>
      <w:hyperlink r:id="rId63" w:history="1">
        <w:r w:rsidR="005334CF" w:rsidRPr="005334CF">
          <w:rPr>
            <w:color w:val="0000FF"/>
            <w:spacing w:val="22"/>
            <w:u w:val="single"/>
            <w:rtl/>
          </w:rPr>
          <w:t>חוק העונשין</w:t>
        </w:r>
      </w:hyperlink>
      <w:r w:rsidRPr="006D5CB3">
        <w:rPr>
          <w:spacing w:val="22"/>
          <w:rtl/>
        </w:rPr>
        <w:t xml:space="preserve"> – הבניית שיקול הדעת השיפוטי בענישה. בהתאם להוראת סעיף </w:t>
      </w:r>
      <w:hyperlink r:id="rId64" w:history="1">
        <w:r w:rsidR="00AD5B74" w:rsidRPr="00AD5B74">
          <w:rPr>
            <w:rStyle w:val="Hyperlink"/>
            <w:color w:val="0000FF"/>
            <w:spacing w:val="22"/>
            <w:rtl/>
          </w:rPr>
          <w:t>40 ב</w:t>
        </w:r>
      </w:hyperlink>
      <w:r w:rsidRPr="006D5CB3">
        <w:rPr>
          <w:spacing w:val="22"/>
          <w:rtl/>
        </w:rPr>
        <w:t xml:space="preserve"> ל</w:t>
      </w:r>
      <w:hyperlink r:id="rId65" w:history="1">
        <w:r w:rsidR="005334CF" w:rsidRPr="005334CF">
          <w:rPr>
            <w:color w:val="0000FF"/>
            <w:spacing w:val="22"/>
            <w:u w:val="single"/>
            <w:rtl/>
          </w:rPr>
          <w:t>חוק העונשין</w:t>
        </w:r>
      </w:hyperlink>
      <w:r w:rsidRPr="006D5CB3">
        <w:rPr>
          <w:spacing w:val="22"/>
          <w:rtl/>
        </w:rPr>
        <w:t xml:space="preserve">, העיקרון המנחה בענישה הנו קיומו של יחס הולם בין חומרת מעשה העבירה בנסיבותיו ומידת אשמתו של הנאשם, ובין סוג ומידת העונש המוטל עליו. הוראת סעיף </w:t>
      </w:r>
      <w:hyperlink r:id="rId66" w:history="1">
        <w:r w:rsidR="00AD5B74" w:rsidRPr="00AD5B74">
          <w:rPr>
            <w:color w:val="0000FF"/>
            <w:spacing w:val="22"/>
            <w:u w:val="single"/>
            <w:rtl/>
          </w:rPr>
          <w:t>40 ג (א)</w:t>
        </w:r>
      </w:hyperlink>
      <w:r w:rsidRPr="006D5CB3">
        <w:rPr>
          <w:spacing w:val="22"/>
          <w:rtl/>
        </w:rPr>
        <w:t xml:space="preserve"> קובעת כי יש לקבוע מתחם ענישה הולם למעשה העבירה שביצע הנאשם בהתאם לעיקרון המנחה, תוך התחשבות בערך החברתי שנפגע מביצוע העבירה, במידת הפגיעה בו, במדיניות הענישה הנהוגה ובנסיבות הקשורות בביצוע העבירה כמפורט בסעיף </w:t>
      </w:r>
      <w:hyperlink r:id="rId67" w:history="1">
        <w:r w:rsidR="00AD5B74" w:rsidRPr="00AD5B74">
          <w:rPr>
            <w:rStyle w:val="Hyperlink"/>
            <w:color w:val="0000FF"/>
            <w:spacing w:val="22"/>
            <w:rtl/>
          </w:rPr>
          <w:t>40 ט</w:t>
        </w:r>
      </w:hyperlink>
      <w:r w:rsidRPr="006D5CB3">
        <w:rPr>
          <w:spacing w:val="22"/>
          <w:rtl/>
        </w:rPr>
        <w:t xml:space="preserve"> לחוק (סעיף </w:t>
      </w:r>
      <w:hyperlink r:id="rId68" w:history="1">
        <w:r w:rsidR="00AD5B74" w:rsidRPr="00AD5B74">
          <w:rPr>
            <w:color w:val="0000FF"/>
            <w:spacing w:val="22"/>
            <w:u w:val="single"/>
            <w:rtl/>
          </w:rPr>
          <w:t>40 ט</w:t>
        </w:r>
      </w:hyperlink>
      <w:r w:rsidRPr="006D5CB3">
        <w:rPr>
          <w:spacing w:val="22"/>
          <w:rtl/>
        </w:rPr>
        <w:t xml:space="preserve"> מפרט נסיבות בהן יש להתחשב, במידה שהתקיימו וככל שהן משפיעות על חומרת מעשה העבירה ואשמו של הנאשם, ביניהן התכנון, חלקו היחסי של הנאשם, הנזק שנגרם וכמפורט באותו סעיף). כן קיימות הוראות בדבר אפשרות חריגה ממתחם הענישה (במקרה של אפשרות שיקום – סעיף </w:t>
      </w:r>
      <w:hyperlink r:id="rId69" w:history="1">
        <w:r w:rsidR="00AD5B74" w:rsidRPr="00AD5B74">
          <w:rPr>
            <w:color w:val="0000FF"/>
            <w:spacing w:val="22"/>
            <w:u w:val="single"/>
            <w:rtl/>
          </w:rPr>
          <w:t>40 ד</w:t>
        </w:r>
      </w:hyperlink>
      <w:r w:rsidRPr="006D5CB3">
        <w:rPr>
          <w:spacing w:val="22"/>
          <w:rtl/>
        </w:rPr>
        <w:t>), ובמקרים של הגנה על שלום הציבור, הרתעה אישית או הרתעת הרבים, מקום שנמצא לכך צורך (</w:t>
      </w:r>
      <w:hyperlink r:id="rId70" w:history="1">
        <w:r w:rsidR="00AD5B74" w:rsidRPr="00AD5B74">
          <w:rPr>
            <w:color w:val="0000FF"/>
            <w:spacing w:val="22"/>
            <w:u w:val="single"/>
            <w:rtl/>
          </w:rPr>
          <w:t>סעיפים 40ה'</w:t>
        </w:r>
      </w:hyperlink>
      <w:r w:rsidRPr="006D5CB3">
        <w:rPr>
          <w:spacing w:val="22"/>
          <w:rtl/>
        </w:rPr>
        <w:t xml:space="preserve">, </w:t>
      </w:r>
      <w:hyperlink r:id="rId71" w:history="1">
        <w:r w:rsidR="00AD5B74" w:rsidRPr="00AD5B74">
          <w:rPr>
            <w:color w:val="0000FF"/>
            <w:spacing w:val="22"/>
            <w:u w:val="single"/>
            <w:rtl/>
          </w:rPr>
          <w:t>40ו</w:t>
        </w:r>
      </w:hyperlink>
      <w:r w:rsidRPr="006D5CB3">
        <w:rPr>
          <w:spacing w:val="22"/>
          <w:rtl/>
        </w:rPr>
        <w:t xml:space="preserve">', 40ז') ובלבד שהעונש </w:t>
      </w:r>
      <w:r>
        <w:rPr>
          <w:rFonts w:hint="cs"/>
          <w:spacing w:val="22"/>
          <w:rtl/>
        </w:rPr>
        <w:t xml:space="preserve">לשם הרתעה אישית או הרתעת הרבים </w:t>
      </w:r>
      <w:r w:rsidRPr="006D5CB3">
        <w:rPr>
          <w:spacing w:val="22"/>
          <w:rtl/>
        </w:rPr>
        <w:t>לא יחרוג ממתחם הענישה.</w:t>
      </w:r>
    </w:p>
    <w:p w14:paraId="78EB2F9C" w14:textId="77777777" w:rsidR="005A3CAB" w:rsidRPr="006D5CB3" w:rsidRDefault="005A3CAB" w:rsidP="005A3CAB">
      <w:pPr>
        <w:spacing w:line="360" w:lineRule="auto"/>
        <w:jc w:val="both"/>
        <w:rPr>
          <w:spacing w:val="22"/>
          <w:rtl/>
        </w:rPr>
      </w:pPr>
      <w:r w:rsidRPr="00BA24D2">
        <w:rPr>
          <w:spacing w:val="22"/>
          <w:rtl/>
        </w:rPr>
        <w:tab/>
      </w:r>
    </w:p>
    <w:p w14:paraId="718E75D2" w14:textId="77777777" w:rsidR="005A3CAB" w:rsidRPr="006D5CB3" w:rsidRDefault="005A3CAB" w:rsidP="005A3CAB">
      <w:pPr>
        <w:spacing w:line="360" w:lineRule="auto"/>
        <w:jc w:val="both"/>
        <w:rPr>
          <w:spacing w:val="22"/>
          <w:rtl/>
        </w:rPr>
      </w:pPr>
      <w:r w:rsidRPr="006D5CB3">
        <w:rPr>
          <w:rFonts w:hint="cs"/>
          <w:spacing w:val="22"/>
          <w:rtl/>
        </w:rPr>
        <w:t>7.</w:t>
      </w:r>
      <w:r w:rsidRPr="006D5CB3">
        <w:rPr>
          <w:spacing w:val="22"/>
          <w:rtl/>
        </w:rPr>
        <w:tab/>
      </w:r>
      <w:r w:rsidRPr="006D5CB3">
        <w:rPr>
          <w:rFonts w:hint="cs"/>
          <w:spacing w:val="22"/>
          <w:rtl/>
        </w:rPr>
        <w:t>מעשי הנאשמים נועדו לפגוע בביטחון הציבור ובשלומו. אמנם מדובר במעשים (בכל הנוגע לאישומים המשותפים), ש</w:t>
      </w:r>
      <w:r>
        <w:rPr>
          <w:rFonts w:hint="cs"/>
          <w:spacing w:val="22"/>
          <w:rtl/>
        </w:rPr>
        <w:t xml:space="preserve">עיקרם </w:t>
      </w:r>
      <w:r w:rsidRPr="006D5CB3">
        <w:rPr>
          <w:rFonts w:hint="cs"/>
          <w:spacing w:val="22"/>
          <w:rtl/>
        </w:rPr>
        <w:t xml:space="preserve">לא יצא </w:t>
      </w:r>
      <w:r>
        <w:rPr>
          <w:rFonts w:hint="cs"/>
          <w:spacing w:val="22"/>
          <w:rtl/>
        </w:rPr>
        <w:t>א</w:t>
      </w:r>
      <w:r w:rsidRPr="006D5CB3">
        <w:rPr>
          <w:rFonts w:hint="cs"/>
          <w:spacing w:val="22"/>
          <w:rtl/>
        </w:rPr>
        <w:t>ל</w:t>
      </w:r>
      <w:r>
        <w:rPr>
          <w:rFonts w:hint="cs"/>
          <w:spacing w:val="22"/>
          <w:rtl/>
        </w:rPr>
        <w:t xml:space="preserve"> ה</w:t>
      </w:r>
      <w:r w:rsidRPr="006D5CB3">
        <w:rPr>
          <w:rFonts w:hint="cs"/>
          <w:spacing w:val="22"/>
          <w:rtl/>
        </w:rPr>
        <w:t>פועל, אך נעשו צעדים מעשיים לקראת יישומם</w:t>
      </w:r>
      <w:r>
        <w:rPr>
          <w:rFonts w:hint="cs"/>
          <w:spacing w:val="22"/>
          <w:rtl/>
        </w:rPr>
        <w:t>. ה</w:t>
      </w:r>
      <w:r w:rsidRPr="006D5CB3">
        <w:rPr>
          <w:rFonts w:hint="cs"/>
          <w:spacing w:val="22"/>
          <w:rtl/>
        </w:rPr>
        <w:t xml:space="preserve">הכנה לחקירות משטרה ושב"כ מעידה על </w:t>
      </w:r>
      <w:r>
        <w:rPr>
          <w:rFonts w:hint="cs"/>
          <w:spacing w:val="22"/>
          <w:rtl/>
        </w:rPr>
        <w:t>ה</w:t>
      </w:r>
      <w:r w:rsidRPr="006D5CB3">
        <w:rPr>
          <w:rFonts w:hint="cs"/>
          <w:spacing w:val="22"/>
          <w:rtl/>
        </w:rPr>
        <w:t xml:space="preserve">מחויבות שגילו הנאשמים לדרך בה ביקשו ללכת. הנאשמים היו חברים בארגון טרוריסטי, </w:t>
      </w:r>
      <w:r>
        <w:rPr>
          <w:rFonts w:hint="cs"/>
          <w:spacing w:val="22"/>
          <w:rtl/>
        </w:rPr>
        <w:t>חברותם הייתה</w:t>
      </w:r>
      <w:r w:rsidRPr="006D5CB3">
        <w:rPr>
          <w:rFonts w:hint="cs"/>
          <w:spacing w:val="22"/>
          <w:rtl/>
        </w:rPr>
        <w:t xml:space="preserve"> פעילה באותו ארגון. נאשם 1 הוא זה ששידל את חבריו לחברות בארגון זה. באשר לאישום 2 </w:t>
      </w:r>
      <w:r w:rsidRPr="006D5CB3">
        <w:rPr>
          <w:spacing w:val="22"/>
          <w:rtl/>
        </w:rPr>
        <w:t>–</w:t>
      </w:r>
      <w:r w:rsidRPr="006D5CB3">
        <w:rPr>
          <w:rFonts w:hint="cs"/>
          <w:spacing w:val="22"/>
          <w:rtl/>
        </w:rPr>
        <w:t xml:space="preserve"> תכנון פיגוע הירי </w:t>
      </w:r>
      <w:r w:rsidRPr="006D5CB3">
        <w:rPr>
          <w:spacing w:val="22"/>
          <w:rtl/>
        </w:rPr>
        <w:t>–</w:t>
      </w:r>
      <w:r w:rsidRPr="006D5CB3">
        <w:rPr>
          <w:rFonts w:hint="cs"/>
          <w:spacing w:val="22"/>
          <w:rtl/>
        </w:rPr>
        <w:t xml:space="preserve"> אמנם בסופו של דבר לא עלה ביד הנאשמים לרכוש רובים או נשק חם אחר, אך הם החליטו על הקמת חוליה ש</w:t>
      </w:r>
      <w:r>
        <w:rPr>
          <w:rFonts w:hint="cs"/>
          <w:spacing w:val="22"/>
          <w:rtl/>
        </w:rPr>
        <w:t xml:space="preserve">אמורה לבצע </w:t>
      </w:r>
      <w:r w:rsidRPr="006D5CB3">
        <w:rPr>
          <w:rFonts w:hint="cs"/>
          <w:spacing w:val="22"/>
          <w:rtl/>
        </w:rPr>
        <w:t xml:space="preserve">פיגוע נגד חיילים ישראליים, </w:t>
      </w:r>
      <w:r>
        <w:rPr>
          <w:rFonts w:hint="cs"/>
          <w:spacing w:val="22"/>
          <w:rtl/>
        </w:rPr>
        <w:t xml:space="preserve">הם </w:t>
      </w:r>
      <w:r w:rsidRPr="006D5CB3">
        <w:rPr>
          <w:rFonts w:hint="cs"/>
          <w:spacing w:val="22"/>
          <w:rtl/>
        </w:rPr>
        <w:t>מצאו אתר שמתאים להוצאת תוכניתם לפועל, הכולל ירי לעבר כלי רכב בו יסעו חי</w:t>
      </w:r>
      <w:r>
        <w:rPr>
          <w:rFonts w:hint="cs"/>
          <w:spacing w:val="22"/>
          <w:rtl/>
        </w:rPr>
        <w:t>י</w:t>
      </w:r>
      <w:r w:rsidRPr="006D5CB3">
        <w:rPr>
          <w:rFonts w:hint="cs"/>
          <w:spacing w:val="22"/>
          <w:rtl/>
        </w:rPr>
        <w:t>לים ישראלים, רכשו מי חמצן לצורך הכנת מטענים, וקיימו דיון ממשי ומעשי לגבי רכישת כלי הנשק מסוג קל</w:t>
      </w:r>
      <w:r>
        <w:rPr>
          <w:rFonts w:hint="cs"/>
          <w:spacing w:val="22"/>
          <w:rtl/>
        </w:rPr>
        <w:t>ש</w:t>
      </w:r>
      <w:r w:rsidRPr="006D5CB3">
        <w:rPr>
          <w:rFonts w:hint="cs"/>
          <w:spacing w:val="22"/>
          <w:rtl/>
        </w:rPr>
        <w:t>ניקוב והסכום אותו הם היו מוכנים לשלם עבור כלי נשק אחד מסוג זה</w:t>
      </w:r>
      <w:r>
        <w:rPr>
          <w:rFonts w:hint="cs"/>
          <w:spacing w:val="22"/>
          <w:rtl/>
        </w:rPr>
        <w:t>.</w:t>
      </w:r>
      <w:r w:rsidRPr="006D5CB3">
        <w:rPr>
          <w:rFonts w:hint="cs"/>
          <w:spacing w:val="22"/>
          <w:rtl/>
        </w:rPr>
        <w:t xml:space="preserve"> הנאשמים אף פנו</w:t>
      </w:r>
      <w:r>
        <w:rPr>
          <w:rFonts w:hint="cs"/>
          <w:spacing w:val="22"/>
          <w:rtl/>
        </w:rPr>
        <w:t>,</w:t>
      </w:r>
      <w:r w:rsidRPr="006D5CB3">
        <w:rPr>
          <w:rFonts w:hint="cs"/>
          <w:spacing w:val="22"/>
          <w:rtl/>
        </w:rPr>
        <w:t xml:space="preserve"> במספר הזדמנויות</w:t>
      </w:r>
      <w:r>
        <w:rPr>
          <w:rFonts w:hint="cs"/>
          <w:spacing w:val="22"/>
          <w:rtl/>
        </w:rPr>
        <w:t>,</w:t>
      </w:r>
      <w:r w:rsidRPr="006D5CB3">
        <w:rPr>
          <w:rFonts w:hint="cs"/>
          <w:spacing w:val="22"/>
          <w:rtl/>
        </w:rPr>
        <w:t xml:space="preserve"> לאחרים בניסיון להשגת כלי נשק לשם ביצוע פיגוע. הנאשמים, כל אחד כפי חלקו, פעל להוצאת התוכנית אל הפועל, תוכנית שנפגעה עקב מעצרם ולא עקב חרטה או הבנת הפסול שבמעשיהם. אישום מס' 3 מבשר על  עליית מדרגה: נאשם 1 אסף ביחד עם נאשם 3 כלי נשק, נ</w:t>
      </w:r>
      <w:r>
        <w:rPr>
          <w:rFonts w:hint="cs"/>
          <w:spacing w:val="22"/>
          <w:rtl/>
        </w:rPr>
        <w:t>אשם</w:t>
      </w:r>
      <w:r w:rsidRPr="006D5CB3">
        <w:rPr>
          <w:rFonts w:hint="cs"/>
          <w:spacing w:val="22"/>
          <w:rtl/>
        </w:rPr>
        <w:t xml:space="preserve"> 2 תיקן את כלי הנשק בנוכחות חבריו, והשלושה ערכו אימונים בנשק. </w:t>
      </w:r>
    </w:p>
    <w:p w14:paraId="014AE6C3" w14:textId="77777777" w:rsidR="005A3CAB" w:rsidRPr="006D5CB3" w:rsidRDefault="005A3CAB" w:rsidP="005A3CAB">
      <w:pPr>
        <w:spacing w:line="360" w:lineRule="auto"/>
        <w:jc w:val="both"/>
        <w:rPr>
          <w:spacing w:val="22"/>
          <w:rtl/>
        </w:rPr>
      </w:pPr>
      <w:r w:rsidRPr="006D5CB3">
        <w:rPr>
          <w:spacing w:val="22"/>
          <w:rtl/>
        </w:rPr>
        <w:tab/>
      </w:r>
      <w:r w:rsidRPr="006D5CB3">
        <w:rPr>
          <w:rFonts w:hint="cs"/>
          <w:spacing w:val="22"/>
          <w:rtl/>
        </w:rPr>
        <w:t xml:space="preserve">בכל הנוגע לאישומים 1 עד 3 המתחם הראוי לאישומים אלה, המשולבים אחד בשני, הנו </w:t>
      </w:r>
      <w:r>
        <w:rPr>
          <w:rFonts w:hint="cs"/>
          <w:spacing w:val="22"/>
          <w:rtl/>
        </w:rPr>
        <w:t xml:space="preserve">5 </w:t>
      </w:r>
      <w:r>
        <w:rPr>
          <w:spacing w:val="22"/>
          <w:rtl/>
        </w:rPr>
        <w:t>–</w:t>
      </w:r>
      <w:r>
        <w:rPr>
          <w:rFonts w:hint="cs"/>
          <w:spacing w:val="22"/>
          <w:rtl/>
        </w:rPr>
        <w:t xml:space="preserve"> 11 שנות מאסר</w:t>
      </w:r>
      <w:r w:rsidRPr="006D5CB3">
        <w:rPr>
          <w:rFonts w:hint="cs"/>
          <w:spacing w:val="22"/>
          <w:rtl/>
        </w:rPr>
        <w:t xml:space="preserve"> (</w:t>
      </w:r>
      <w:r>
        <w:rPr>
          <w:rFonts w:hint="cs"/>
          <w:spacing w:val="22"/>
          <w:rtl/>
        </w:rPr>
        <w:t>ו</w:t>
      </w:r>
      <w:r w:rsidRPr="006D5CB3">
        <w:rPr>
          <w:rFonts w:hint="cs"/>
          <w:spacing w:val="22"/>
          <w:rtl/>
        </w:rPr>
        <w:t xml:space="preserve">יש לזכור כי נאשם 1 הורשע בעבירה נוספת של שידול לחברות בארגון טרוריסטי). המתחם הראוי לאישום 4 הנו </w:t>
      </w:r>
      <w:r>
        <w:rPr>
          <w:rFonts w:hint="cs"/>
          <w:spacing w:val="22"/>
          <w:rtl/>
        </w:rPr>
        <w:t xml:space="preserve">9 חודשי מאסר עד 30 חודשי מאסר. </w:t>
      </w:r>
      <w:r w:rsidRPr="006D5CB3">
        <w:rPr>
          <w:rFonts w:hint="cs"/>
          <w:spacing w:val="22"/>
          <w:rtl/>
        </w:rPr>
        <w:t xml:space="preserve">המתחם הראוי לאישום 6 הנו </w:t>
      </w:r>
      <w:r>
        <w:rPr>
          <w:rFonts w:hint="cs"/>
          <w:spacing w:val="22"/>
          <w:rtl/>
        </w:rPr>
        <w:t>עד שנת מאסר</w:t>
      </w:r>
      <w:r w:rsidRPr="006D5CB3">
        <w:rPr>
          <w:rFonts w:hint="cs"/>
          <w:spacing w:val="22"/>
          <w:rtl/>
        </w:rPr>
        <w:t xml:space="preserve">. ולגבי אישום 7, המתחם הראוי הנו </w:t>
      </w:r>
      <w:r>
        <w:rPr>
          <w:rFonts w:hint="cs"/>
          <w:spacing w:val="22"/>
          <w:rtl/>
        </w:rPr>
        <w:t>12 עד 32 חודשי מאסר</w:t>
      </w:r>
      <w:r w:rsidRPr="006D5CB3">
        <w:rPr>
          <w:rFonts w:hint="cs"/>
          <w:spacing w:val="22"/>
          <w:rtl/>
        </w:rPr>
        <w:t xml:space="preserve">. </w:t>
      </w:r>
    </w:p>
    <w:p w14:paraId="318388DA" w14:textId="77777777" w:rsidR="005A3CAB" w:rsidRDefault="005A3CAB" w:rsidP="005A3CAB">
      <w:pPr>
        <w:spacing w:line="360" w:lineRule="auto"/>
        <w:jc w:val="both"/>
        <w:rPr>
          <w:spacing w:val="22"/>
          <w:rtl/>
        </w:rPr>
      </w:pPr>
      <w:r w:rsidRPr="006D5CB3">
        <w:rPr>
          <w:spacing w:val="22"/>
          <w:rtl/>
        </w:rPr>
        <w:tab/>
      </w:r>
      <w:r w:rsidRPr="006D5CB3">
        <w:rPr>
          <w:rFonts w:hint="cs"/>
          <w:spacing w:val="22"/>
          <w:rtl/>
        </w:rPr>
        <w:t>לצד זאת</w:t>
      </w:r>
      <w:r>
        <w:rPr>
          <w:rFonts w:hint="cs"/>
          <w:spacing w:val="22"/>
          <w:rtl/>
        </w:rPr>
        <w:t>,</w:t>
      </w:r>
      <w:r w:rsidRPr="006D5CB3">
        <w:rPr>
          <w:rFonts w:hint="cs"/>
          <w:spacing w:val="22"/>
          <w:rtl/>
        </w:rPr>
        <w:t xml:space="preserve">  יש להביא בחשבון את הודאת הנאשמים, את גילם הצעי</w:t>
      </w:r>
      <w:r>
        <w:rPr>
          <w:rFonts w:hint="cs"/>
          <w:spacing w:val="22"/>
          <w:rtl/>
        </w:rPr>
        <w:t>ר. אי</w:t>
      </w:r>
      <w:r w:rsidRPr="006D5CB3">
        <w:rPr>
          <w:rFonts w:hint="cs"/>
          <w:spacing w:val="22"/>
          <w:rtl/>
        </w:rPr>
        <w:t>ן להתעלם מהרשעותיהם הקודמ</w:t>
      </w:r>
      <w:r>
        <w:rPr>
          <w:rFonts w:hint="cs"/>
          <w:spacing w:val="22"/>
          <w:rtl/>
        </w:rPr>
        <w:t>ות של הנאשמים 1 ו - 3</w:t>
      </w:r>
      <w:r w:rsidRPr="006D5CB3">
        <w:rPr>
          <w:rFonts w:hint="cs"/>
          <w:spacing w:val="22"/>
          <w:rtl/>
        </w:rPr>
        <w:t xml:space="preserve">, הרשעות רלבנטיות לענייננו, ולצד זאת יש לזכור את עברו הנקי של נאשם 2. </w:t>
      </w:r>
    </w:p>
    <w:p w14:paraId="1E25EE03" w14:textId="77777777" w:rsidR="005A3CAB" w:rsidRPr="006D5CB3" w:rsidRDefault="005A3CAB" w:rsidP="005A3CAB">
      <w:pPr>
        <w:spacing w:line="360" w:lineRule="auto"/>
        <w:ind w:firstLine="720"/>
        <w:jc w:val="both"/>
        <w:rPr>
          <w:spacing w:val="22"/>
          <w:rtl/>
        </w:rPr>
      </w:pPr>
      <w:r>
        <w:rPr>
          <w:rFonts w:hint="cs"/>
          <w:spacing w:val="22"/>
          <w:rtl/>
        </w:rPr>
        <w:t xml:space="preserve">נאשם 1 היה אמנם הדומיננטי אך נאשם 2, שהנו נטול הרשעות קודמות, מעורב, בנוסף, באישומים 4 ו- 6 ונאשם 3 מעורב, בנוסף, באישומים 6 ו </w:t>
      </w:r>
      <w:r>
        <w:rPr>
          <w:spacing w:val="22"/>
          <w:rtl/>
        </w:rPr>
        <w:t>–</w:t>
      </w:r>
      <w:r>
        <w:rPr>
          <w:rFonts w:hint="cs"/>
          <w:spacing w:val="22"/>
          <w:rtl/>
        </w:rPr>
        <w:t xml:space="preserve"> 7. עיקר המשקל נוגע לאישומים 1 </w:t>
      </w:r>
      <w:r>
        <w:rPr>
          <w:spacing w:val="22"/>
          <w:rtl/>
        </w:rPr>
        <w:t>–</w:t>
      </w:r>
      <w:r>
        <w:rPr>
          <w:rFonts w:hint="cs"/>
          <w:spacing w:val="22"/>
          <w:rtl/>
        </w:rPr>
        <w:t xml:space="preserve"> 3, והדומיננטיות של נאשם 1 והרשעתו בעבירה נוספת בגדר אישום 1, "שוות ערך" להרשעות נאשמים 2 ו- 3 באישומים הנוספים, ועל כן עונשם אמור להיות דומה. </w:t>
      </w:r>
    </w:p>
    <w:p w14:paraId="3028ADC3" w14:textId="77777777" w:rsidR="005A3CAB" w:rsidRPr="006D5CB3" w:rsidRDefault="005A3CAB" w:rsidP="005A3CAB">
      <w:pPr>
        <w:spacing w:line="360" w:lineRule="auto"/>
        <w:jc w:val="both"/>
        <w:rPr>
          <w:spacing w:val="22"/>
          <w:rtl/>
        </w:rPr>
      </w:pPr>
    </w:p>
    <w:p w14:paraId="239EEAAB" w14:textId="77777777" w:rsidR="005A3CAB" w:rsidRPr="006D5CB3" w:rsidRDefault="005A3CAB" w:rsidP="005A3CAB">
      <w:pPr>
        <w:spacing w:line="360" w:lineRule="auto"/>
        <w:jc w:val="both"/>
        <w:rPr>
          <w:spacing w:val="22"/>
          <w:rtl/>
        </w:rPr>
      </w:pPr>
      <w:r w:rsidRPr="006D5CB3">
        <w:rPr>
          <w:spacing w:val="22"/>
          <w:rtl/>
        </w:rPr>
        <w:tab/>
      </w:r>
      <w:r w:rsidRPr="006D5CB3">
        <w:rPr>
          <w:rFonts w:hint="cs"/>
          <w:spacing w:val="22"/>
          <w:rtl/>
        </w:rPr>
        <w:t xml:space="preserve">התוצאה היא שאנו גוזרים על הנאשמים כלהלן: </w:t>
      </w:r>
    </w:p>
    <w:p w14:paraId="229D75A1" w14:textId="77777777" w:rsidR="005A3CAB" w:rsidRPr="006D5CB3" w:rsidRDefault="005A3CAB" w:rsidP="005A3CAB">
      <w:pPr>
        <w:spacing w:line="360" w:lineRule="auto"/>
        <w:jc w:val="both"/>
        <w:rPr>
          <w:spacing w:val="22"/>
          <w:rtl/>
        </w:rPr>
      </w:pPr>
    </w:p>
    <w:p w14:paraId="0DB678F8" w14:textId="77777777" w:rsidR="005A3CAB" w:rsidRDefault="005A3CAB" w:rsidP="005A3CAB">
      <w:pPr>
        <w:spacing w:line="360" w:lineRule="auto"/>
        <w:jc w:val="both"/>
        <w:rPr>
          <w:spacing w:val="22"/>
          <w:rtl/>
        </w:rPr>
      </w:pPr>
      <w:r w:rsidRPr="006D5CB3">
        <w:rPr>
          <w:spacing w:val="22"/>
          <w:rtl/>
        </w:rPr>
        <w:tab/>
      </w:r>
      <w:r w:rsidRPr="006D5CB3">
        <w:rPr>
          <w:rFonts w:hint="cs"/>
          <w:spacing w:val="22"/>
          <w:rtl/>
        </w:rPr>
        <w:t xml:space="preserve">א. </w:t>
      </w:r>
      <w:r w:rsidRPr="006D5CB3">
        <w:rPr>
          <w:rFonts w:hint="cs"/>
          <w:spacing w:val="22"/>
          <w:rtl/>
        </w:rPr>
        <w:tab/>
      </w:r>
      <w:r w:rsidRPr="00C3564B">
        <w:rPr>
          <w:rFonts w:hint="cs"/>
          <w:b/>
          <w:bCs/>
          <w:spacing w:val="22"/>
          <w:rtl/>
        </w:rPr>
        <w:t>נאשמים 1 ו - 3</w:t>
      </w:r>
      <w:r>
        <w:rPr>
          <w:rFonts w:hint="cs"/>
          <w:spacing w:val="22"/>
          <w:rtl/>
        </w:rPr>
        <w:t xml:space="preserve">, עונש של 6.5 שנות מאסר בניכוי ימי מעצרם. </w:t>
      </w:r>
    </w:p>
    <w:p w14:paraId="2C4B8B43" w14:textId="77777777" w:rsidR="005A3CAB" w:rsidRDefault="005A3CAB" w:rsidP="005A3CAB">
      <w:pPr>
        <w:spacing w:line="360" w:lineRule="auto"/>
        <w:jc w:val="both"/>
        <w:rPr>
          <w:spacing w:val="22"/>
          <w:rtl/>
        </w:rPr>
      </w:pPr>
    </w:p>
    <w:p w14:paraId="692A5E45" w14:textId="77777777" w:rsidR="005A3CAB" w:rsidRDefault="005A3CAB" w:rsidP="005A3CAB">
      <w:pPr>
        <w:spacing w:line="360" w:lineRule="auto"/>
        <w:jc w:val="both"/>
        <w:rPr>
          <w:spacing w:val="22"/>
          <w:rtl/>
        </w:rPr>
      </w:pPr>
      <w:r>
        <w:rPr>
          <w:spacing w:val="22"/>
          <w:rtl/>
        </w:rPr>
        <w:tab/>
      </w:r>
      <w:r>
        <w:rPr>
          <w:rFonts w:hint="cs"/>
          <w:spacing w:val="22"/>
          <w:rtl/>
        </w:rPr>
        <w:t>ב.</w:t>
      </w:r>
      <w:r>
        <w:rPr>
          <w:spacing w:val="22"/>
          <w:rtl/>
        </w:rPr>
        <w:tab/>
      </w:r>
      <w:r w:rsidRPr="00C3564B">
        <w:rPr>
          <w:rFonts w:hint="cs"/>
          <w:b/>
          <w:bCs/>
          <w:spacing w:val="22"/>
          <w:rtl/>
        </w:rPr>
        <w:t>נאשם 2</w:t>
      </w:r>
      <w:r>
        <w:rPr>
          <w:rFonts w:hint="cs"/>
          <w:spacing w:val="22"/>
          <w:rtl/>
        </w:rPr>
        <w:t xml:space="preserve"> </w:t>
      </w:r>
      <w:r>
        <w:rPr>
          <w:spacing w:val="22"/>
          <w:rtl/>
        </w:rPr>
        <w:t>–</w:t>
      </w:r>
      <w:r>
        <w:rPr>
          <w:rFonts w:hint="cs"/>
          <w:spacing w:val="22"/>
          <w:rtl/>
        </w:rPr>
        <w:t xml:space="preserve"> עונש של 6 שנות מאסר בניכוי ימי מעצרו. </w:t>
      </w:r>
    </w:p>
    <w:p w14:paraId="196F65DB" w14:textId="77777777" w:rsidR="005A3CAB" w:rsidRPr="006D5CB3" w:rsidRDefault="005A3CAB" w:rsidP="005A3CAB">
      <w:pPr>
        <w:spacing w:line="360" w:lineRule="auto"/>
        <w:jc w:val="both"/>
        <w:rPr>
          <w:spacing w:val="22"/>
          <w:rtl/>
        </w:rPr>
      </w:pPr>
      <w:r>
        <w:rPr>
          <w:spacing w:val="22"/>
          <w:rtl/>
        </w:rPr>
        <w:tab/>
      </w:r>
    </w:p>
    <w:p w14:paraId="61A34A30" w14:textId="77777777" w:rsidR="005A3CAB" w:rsidRPr="006D5CB3" w:rsidRDefault="005A3CAB" w:rsidP="005A3CAB">
      <w:pPr>
        <w:spacing w:line="360" w:lineRule="auto"/>
        <w:ind w:left="1440" w:hanging="720"/>
        <w:jc w:val="both"/>
        <w:rPr>
          <w:spacing w:val="22"/>
          <w:rtl/>
        </w:rPr>
      </w:pPr>
      <w:r>
        <w:rPr>
          <w:rFonts w:hint="cs"/>
          <w:spacing w:val="22"/>
          <w:rtl/>
        </w:rPr>
        <w:t>ג</w:t>
      </w:r>
      <w:r w:rsidRPr="006D5CB3">
        <w:rPr>
          <w:rFonts w:hint="cs"/>
          <w:spacing w:val="22"/>
          <w:rtl/>
        </w:rPr>
        <w:t>.</w:t>
      </w:r>
      <w:r w:rsidRPr="006D5CB3">
        <w:rPr>
          <w:rFonts w:hint="cs"/>
          <w:spacing w:val="22"/>
          <w:rtl/>
        </w:rPr>
        <w:tab/>
        <w:t xml:space="preserve">על שלושת הנאשמים מאסר מותנה לתקופה של 8 חודשים והתנאי הוא שהנאשמים לא יעברו עבירה מסוג פשע בתוך 3 שנים מיום שחרורם ממאסר. </w:t>
      </w:r>
    </w:p>
    <w:p w14:paraId="50620627" w14:textId="77777777" w:rsidR="005A3CAB" w:rsidRPr="006D5CB3" w:rsidRDefault="005A3CAB" w:rsidP="005A3CAB">
      <w:pPr>
        <w:spacing w:line="360" w:lineRule="auto"/>
        <w:jc w:val="both"/>
        <w:rPr>
          <w:spacing w:val="22"/>
          <w:rtl/>
        </w:rPr>
      </w:pPr>
      <w:r w:rsidRPr="006D5CB3">
        <w:rPr>
          <w:rFonts w:hint="cs"/>
          <w:spacing w:val="22"/>
          <w:rtl/>
        </w:rPr>
        <w:t xml:space="preserve"> </w:t>
      </w:r>
    </w:p>
    <w:p w14:paraId="5B92E387" w14:textId="77777777" w:rsidR="005A3CAB" w:rsidRPr="006D5CB3" w:rsidRDefault="005A3CAB" w:rsidP="005A3CAB">
      <w:pPr>
        <w:rPr>
          <w:spacing w:val="22"/>
          <w:rtl/>
        </w:rPr>
      </w:pPr>
      <w:r w:rsidRPr="006D5CB3">
        <w:rPr>
          <w:spacing w:val="22"/>
          <w:rtl/>
        </w:rPr>
        <w:tab/>
      </w:r>
      <w:r w:rsidRPr="006D5CB3">
        <w:rPr>
          <w:rFonts w:hint="cs"/>
          <w:spacing w:val="22"/>
          <w:rtl/>
        </w:rPr>
        <w:t>זכות ערעור לבית משפט העליון בתוך 45 יום מהיום.</w:t>
      </w:r>
    </w:p>
    <w:p w14:paraId="2D2F9852" w14:textId="77777777" w:rsidR="005A3CAB" w:rsidRPr="006D5CB3" w:rsidRDefault="005A3CAB" w:rsidP="005A3CAB">
      <w:pPr>
        <w:rPr>
          <w:spacing w:val="22"/>
          <w:rtl/>
        </w:rPr>
      </w:pPr>
    </w:p>
    <w:p w14:paraId="15F3594F" w14:textId="77777777" w:rsidR="005A3CAB" w:rsidRPr="006D5CB3" w:rsidRDefault="005A3CAB" w:rsidP="005A3CAB">
      <w:pPr>
        <w:rPr>
          <w:spacing w:val="22"/>
          <w:rtl/>
        </w:rPr>
      </w:pPr>
    </w:p>
    <w:p w14:paraId="33B5E52C" w14:textId="77777777" w:rsidR="005A3CAB" w:rsidRPr="006D5CB3" w:rsidRDefault="005334CF" w:rsidP="005A3CAB">
      <w:pPr>
        <w:spacing w:line="360" w:lineRule="auto"/>
        <w:ind w:firstLine="720"/>
        <w:jc w:val="both"/>
        <w:rPr>
          <w:rFonts w:ascii="Arial" w:hAnsi="Arial"/>
          <w:spacing w:val="22"/>
          <w:rtl/>
        </w:rPr>
      </w:pPr>
      <w:r>
        <w:rPr>
          <w:rFonts w:ascii="Arial" w:hAnsi="Arial"/>
          <w:spacing w:val="22"/>
          <w:rtl/>
        </w:rPr>
        <w:t xml:space="preserve">ניתן היום,  ב' שבט תשע"ט, 08 ינואר 2019, במעמד ב"כ המאשימה, באי </w:t>
      </w:r>
      <w:r w:rsidR="005A3CAB" w:rsidRPr="006D5CB3">
        <w:rPr>
          <w:rFonts w:ascii="Arial" w:hAnsi="Arial" w:hint="cs"/>
          <w:spacing w:val="22"/>
          <w:rtl/>
        </w:rPr>
        <w:t xml:space="preserve">כוח הנאשמים והנאשמים עצמם. </w:t>
      </w:r>
    </w:p>
    <w:p w14:paraId="642588AC" w14:textId="77777777" w:rsidR="005A3CAB" w:rsidRDefault="005A3CAB" w:rsidP="005A3CAB">
      <w:pPr>
        <w:spacing w:line="360" w:lineRule="auto"/>
        <w:ind w:firstLine="720"/>
        <w:jc w:val="both"/>
        <w:rPr>
          <w:rFonts w:ascii="Arial" w:hAnsi="Arial"/>
          <w:spacing w:val="22"/>
          <w:rtl/>
        </w:rPr>
      </w:pPr>
    </w:p>
    <w:p w14:paraId="0EF91776" w14:textId="77777777" w:rsidR="005A3CAB" w:rsidRPr="005334CF" w:rsidRDefault="005334CF" w:rsidP="005A3CAB">
      <w:pPr>
        <w:spacing w:line="360" w:lineRule="auto"/>
        <w:ind w:firstLine="720"/>
        <w:jc w:val="both"/>
        <w:rPr>
          <w:rFonts w:ascii="Arial" w:hAnsi="Arial"/>
          <w:color w:val="FFFFFF"/>
          <w:spacing w:val="22"/>
          <w:sz w:val="2"/>
          <w:szCs w:val="2"/>
        </w:rPr>
      </w:pPr>
      <w:r w:rsidRPr="005334CF">
        <w:rPr>
          <w:rFonts w:ascii="Arial" w:hAnsi="Arial"/>
          <w:color w:val="FFFFFF"/>
          <w:spacing w:val="22"/>
          <w:sz w:val="2"/>
          <w:szCs w:val="2"/>
          <w:rtl/>
        </w:rPr>
        <w:t>5129371</w:t>
      </w:r>
    </w:p>
    <w:tbl>
      <w:tblPr>
        <w:bidiVisual/>
        <w:tblW w:w="0" w:type="auto"/>
        <w:tblLayout w:type="fixed"/>
        <w:tblLook w:val="01E0" w:firstRow="1" w:lastRow="1" w:firstColumn="1" w:lastColumn="1" w:noHBand="0" w:noVBand="0"/>
      </w:tblPr>
      <w:tblGrid>
        <w:gridCol w:w="2654"/>
        <w:gridCol w:w="236"/>
        <w:gridCol w:w="2284"/>
        <w:gridCol w:w="236"/>
        <w:gridCol w:w="2284"/>
      </w:tblGrid>
      <w:tr w:rsidR="005A3CAB" w:rsidRPr="006D5CB3" w14:paraId="0E66E78E" w14:textId="77777777" w:rsidTr="005A3CAB">
        <w:tc>
          <w:tcPr>
            <w:tcW w:w="2654" w:type="dxa"/>
            <w:tcBorders>
              <w:top w:val="nil"/>
              <w:left w:val="nil"/>
              <w:bottom w:val="single" w:sz="4" w:space="0" w:color="auto"/>
              <w:right w:val="nil"/>
            </w:tcBorders>
            <w:shd w:val="clear" w:color="auto" w:fill="auto"/>
            <w:vAlign w:val="center"/>
          </w:tcPr>
          <w:p w14:paraId="0505CFB4" w14:textId="77777777" w:rsidR="005A3CAB" w:rsidRPr="005334CF" w:rsidRDefault="005334CF" w:rsidP="005A3CAB">
            <w:pPr>
              <w:jc w:val="center"/>
              <w:rPr>
                <w:rFonts w:ascii="Courier New" w:hAnsi="Courier New"/>
                <w:b/>
                <w:bCs/>
                <w:color w:val="FFFFFF"/>
                <w:spacing w:val="22"/>
                <w:sz w:val="2"/>
                <w:szCs w:val="2"/>
              </w:rPr>
            </w:pPr>
            <w:r w:rsidRPr="005334CF">
              <w:rPr>
                <w:rFonts w:ascii="Courier New" w:hAnsi="Courier New"/>
                <w:b/>
                <w:bCs/>
                <w:color w:val="FFFFFF"/>
                <w:spacing w:val="22"/>
                <w:sz w:val="2"/>
                <w:szCs w:val="2"/>
                <w:rtl/>
              </w:rPr>
              <w:t>54678313</w:t>
            </w:r>
          </w:p>
        </w:tc>
        <w:tc>
          <w:tcPr>
            <w:tcW w:w="236" w:type="dxa"/>
            <w:shd w:val="clear" w:color="auto" w:fill="auto"/>
            <w:vAlign w:val="center"/>
          </w:tcPr>
          <w:p w14:paraId="4AFDEAF5" w14:textId="77777777" w:rsidR="005A3CAB" w:rsidRPr="005A3CAB" w:rsidRDefault="005A3CAB" w:rsidP="005A3CAB">
            <w:pPr>
              <w:jc w:val="center"/>
              <w:rPr>
                <w:rFonts w:ascii="Courier New" w:hAnsi="Courier New"/>
                <w:b/>
                <w:bCs/>
                <w:spacing w:val="22"/>
              </w:rPr>
            </w:pPr>
          </w:p>
        </w:tc>
        <w:tc>
          <w:tcPr>
            <w:tcW w:w="2284" w:type="dxa"/>
            <w:tcBorders>
              <w:top w:val="nil"/>
              <w:left w:val="nil"/>
              <w:bottom w:val="single" w:sz="4" w:space="0" w:color="auto"/>
              <w:right w:val="nil"/>
            </w:tcBorders>
            <w:shd w:val="clear" w:color="auto" w:fill="auto"/>
            <w:vAlign w:val="center"/>
          </w:tcPr>
          <w:p w14:paraId="0A2B862F" w14:textId="77777777" w:rsidR="005A3CAB" w:rsidRPr="005A3CAB" w:rsidRDefault="005A3CAB" w:rsidP="005A3CAB">
            <w:pPr>
              <w:jc w:val="center"/>
              <w:rPr>
                <w:rFonts w:ascii="Courier New" w:hAnsi="Courier New"/>
                <w:b/>
                <w:bCs/>
                <w:spacing w:val="22"/>
              </w:rPr>
            </w:pPr>
          </w:p>
        </w:tc>
        <w:tc>
          <w:tcPr>
            <w:tcW w:w="236" w:type="dxa"/>
            <w:shd w:val="clear" w:color="auto" w:fill="auto"/>
            <w:vAlign w:val="center"/>
          </w:tcPr>
          <w:p w14:paraId="42C76FFF" w14:textId="77777777" w:rsidR="005A3CAB" w:rsidRPr="005A3CAB" w:rsidRDefault="005A3CAB" w:rsidP="005A3CAB">
            <w:pPr>
              <w:jc w:val="center"/>
              <w:rPr>
                <w:rFonts w:ascii="Courier New" w:hAnsi="Courier New"/>
                <w:b/>
                <w:bCs/>
                <w:spacing w:val="22"/>
              </w:rPr>
            </w:pPr>
          </w:p>
        </w:tc>
        <w:tc>
          <w:tcPr>
            <w:tcW w:w="2284" w:type="dxa"/>
            <w:tcBorders>
              <w:top w:val="nil"/>
              <w:left w:val="nil"/>
              <w:bottom w:val="single" w:sz="4" w:space="0" w:color="auto"/>
              <w:right w:val="nil"/>
            </w:tcBorders>
            <w:shd w:val="clear" w:color="auto" w:fill="auto"/>
            <w:vAlign w:val="center"/>
          </w:tcPr>
          <w:p w14:paraId="782068F1" w14:textId="77777777" w:rsidR="005A3CAB" w:rsidRPr="005A3CAB" w:rsidRDefault="005A3CAB" w:rsidP="005A3CAB">
            <w:pPr>
              <w:jc w:val="center"/>
              <w:rPr>
                <w:rFonts w:ascii="Courier New" w:hAnsi="Courier New"/>
                <w:b/>
                <w:bCs/>
                <w:spacing w:val="22"/>
              </w:rPr>
            </w:pPr>
          </w:p>
        </w:tc>
      </w:tr>
      <w:tr w:rsidR="005A3CAB" w:rsidRPr="006D5CB3" w14:paraId="17548B8D" w14:textId="77777777" w:rsidTr="005A3CAB">
        <w:tc>
          <w:tcPr>
            <w:tcW w:w="2654" w:type="dxa"/>
            <w:tcBorders>
              <w:top w:val="single" w:sz="4" w:space="0" w:color="auto"/>
              <w:left w:val="nil"/>
              <w:bottom w:val="nil"/>
              <w:right w:val="nil"/>
            </w:tcBorders>
            <w:shd w:val="clear" w:color="auto" w:fill="auto"/>
          </w:tcPr>
          <w:p w14:paraId="1CCDEBC2" w14:textId="77777777" w:rsidR="005A3CAB" w:rsidRPr="005A3CAB" w:rsidRDefault="005A3CAB" w:rsidP="005A3CAB">
            <w:pPr>
              <w:spacing w:before="120" w:after="120"/>
              <w:jc w:val="center"/>
              <w:rPr>
                <w:b/>
                <w:bCs/>
                <w:noProof/>
                <w:spacing w:val="22"/>
                <w:sz w:val="28"/>
              </w:rPr>
            </w:pPr>
            <w:r w:rsidRPr="005A3CAB">
              <w:rPr>
                <w:rFonts w:hint="cs"/>
                <w:b/>
                <w:bCs/>
                <w:noProof/>
                <w:spacing w:val="22"/>
                <w:sz w:val="28"/>
                <w:rtl/>
              </w:rPr>
              <w:t>רפי כרמל, שופט</w:t>
            </w:r>
          </w:p>
          <w:p w14:paraId="22DA3BA8" w14:textId="77777777" w:rsidR="005A3CAB" w:rsidRPr="005A3CAB" w:rsidRDefault="005A3CAB" w:rsidP="005A3CAB">
            <w:pPr>
              <w:spacing w:before="120" w:after="120"/>
              <w:jc w:val="center"/>
              <w:rPr>
                <w:b/>
                <w:bCs/>
                <w:noProof/>
                <w:spacing w:val="22"/>
                <w:sz w:val="28"/>
                <w:rtl/>
              </w:rPr>
            </w:pPr>
            <w:r w:rsidRPr="005A3CAB">
              <w:rPr>
                <w:rFonts w:hint="cs"/>
                <w:b/>
                <w:bCs/>
                <w:noProof/>
                <w:spacing w:val="22"/>
                <w:sz w:val="28"/>
                <w:rtl/>
              </w:rPr>
              <w:t>אב"ד</w:t>
            </w:r>
          </w:p>
        </w:tc>
        <w:tc>
          <w:tcPr>
            <w:tcW w:w="236" w:type="dxa"/>
            <w:shd w:val="clear" w:color="auto" w:fill="auto"/>
          </w:tcPr>
          <w:p w14:paraId="292F6F21" w14:textId="77777777" w:rsidR="005A3CAB" w:rsidRPr="005A3CAB" w:rsidRDefault="005A3CAB" w:rsidP="005A3CAB">
            <w:pPr>
              <w:spacing w:before="120" w:after="120"/>
              <w:jc w:val="center"/>
              <w:rPr>
                <w:b/>
                <w:bCs/>
                <w:noProof/>
                <w:color w:val="FF0000"/>
                <w:spacing w:val="22"/>
                <w:sz w:val="28"/>
              </w:rPr>
            </w:pPr>
          </w:p>
        </w:tc>
        <w:tc>
          <w:tcPr>
            <w:tcW w:w="2284" w:type="dxa"/>
            <w:tcBorders>
              <w:top w:val="single" w:sz="4" w:space="0" w:color="auto"/>
              <w:left w:val="nil"/>
              <w:bottom w:val="nil"/>
              <w:right w:val="nil"/>
            </w:tcBorders>
            <w:shd w:val="clear" w:color="auto" w:fill="auto"/>
          </w:tcPr>
          <w:p w14:paraId="1BC70953" w14:textId="77777777" w:rsidR="005A3CAB" w:rsidRPr="005A3CAB" w:rsidRDefault="005A3CAB" w:rsidP="005A3CAB">
            <w:pPr>
              <w:spacing w:before="120" w:after="120"/>
              <w:jc w:val="center"/>
              <w:rPr>
                <w:b/>
                <w:bCs/>
                <w:spacing w:val="22"/>
                <w:sz w:val="28"/>
              </w:rPr>
            </w:pPr>
            <w:r w:rsidRPr="005A3CAB">
              <w:rPr>
                <w:rFonts w:hint="cs"/>
                <w:b/>
                <w:bCs/>
                <w:spacing w:val="22"/>
                <w:sz w:val="28"/>
                <w:rtl/>
              </w:rPr>
              <w:t>כרמי מוסק, שופט</w:t>
            </w:r>
          </w:p>
        </w:tc>
        <w:tc>
          <w:tcPr>
            <w:tcW w:w="236" w:type="dxa"/>
            <w:shd w:val="clear" w:color="auto" w:fill="auto"/>
          </w:tcPr>
          <w:p w14:paraId="3DBD81CE" w14:textId="77777777" w:rsidR="005A3CAB" w:rsidRPr="005A3CAB" w:rsidRDefault="005A3CAB" w:rsidP="005A3CAB">
            <w:pPr>
              <w:spacing w:before="120" w:after="120"/>
              <w:jc w:val="center"/>
              <w:rPr>
                <w:b/>
                <w:bCs/>
                <w:noProof/>
                <w:color w:val="FF0000"/>
                <w:spacing w:val="22"/>
                <w:sz w:val="28"/>
              </w:rPr>
            </w:pPr>
          </w:p>
        </w:tc>
        <w:tc>
          <w:tcPr>
            <w:tcW w:w="2284" w:type="dxa"/>
            <w:tcBorders>
              <w:top w:val="single" w:sz="4" w:space="0" w:color="auto"/>
              <w:left w:val="nil"/>
              <w:bottom w:val="nil"/>
              <w:right w:val="nil"/>
            </w:tcBorders>
            <w:shd w:val="clear" w:color="auto" w:fill="auto"/>
          </w:tcPr>
          <w:p w14:paraId="2A298EB5" w14:textId="77777777" w:rsidR="005A3CAB" w:rsidRPr="005A3CAB" w:rsidRDefault="005A3CAB" w:rsidP="005A3CAB">
            <w:pPr>
              <w:tabs>
                <w:tab w:val="center" w:pos="1039"/>
              </w:tabs>
              <w:spacing w:before="120" w:after="120"/>
              <w:rPr>
                <w:b/>
                <w:bCs/>
                <w:noProof/>
                <w:spacing w:val="22"/>
              </w:rPr>
            </w:pPr>
            <w:r w:rsidRPr="005A3CAB">
              <w:rPr>
                <w:b/>
                <w:bCs/>
                <w:spacing w:val="22"/>
                <w:rtl/>
              </w:rPr>
              <w:tab/>
            </w:r>
            <w:r w:rsidRPr="005A3CAB">
              <w:rPr>
                <w:rFonts w:hint="cs"/>
                <w:b/>
                <w:bCs/>
                <w:spacing w:val="22"/>
                <w:sz w:val="28"/>
                <w:rtl/>
              </w:rPr>
              <w:t>שירלי רנר, שופטת</w:t>
            </w:r>
          </w:p>
        </w:tc>
      </w:tr>
    </w:tbl>
    <w:p w14:paraId="217A52E0" w14:textId="77777777" w:rsidR="005A3CAB" w:rsidRPr="006D5CB3" w:rsidRDefault="005A3CAB" w:rsidP="005A3CAB">
      <w:pPr>
        <w:rPr>
          <w:spacing w:val="22"/>
        </w:rPr>
      </w:pPr>
    </w:p>
    <w:p w14:paraId="6CCA2D1F" w14:textId="77777777" w:rsidR="005A3CAB" w:rsidRPr="00AD5B74" w:rsidRDefault="00AD5B74" w:rsidP="005A3CAB">
      <w:pPr>
        <w:spacing w:line="360" w:lineRule="auto"/>
        <w:jc w:val="both"/>
        <w:rPr>
          <w:rFonts w:ascii="Arial" w:hAnsi="Arial"/>
          <w:color w:val="FFFFFF"/>
          <w:spacing w:val="22"/>
          <w:sz w:val="2"/>
          <w:szCs w:val="2"/>
          <w:rtl/>
        </w:rPr>
      </w:pPr>
      <w:r w:rsidRPr="00AD5B74">
        <w:rPr>
          <w:rFonts w:ascii="Arial" w:hAnsi="Arial"/>
          <w:color w:val="FFFFFF"/>
          <w:spacing w:val="22"/>
          <w:sz w:val="2"/>
          <w:szCs w:val="2"/>
          <w:rtl/>
        </w:rPr>
        <w:t>5129371</w:t>
      </w:r>
    </w:p>
    <w:p w14:paraId="2331DE9F" w14:textId="77777777" w:rsidR="003B45E9" w:rsidRPr="00AD5B74" w:rsidRDefault="00AD5B74" w:rsidP="005334CF">
      <w:pPr>
        <w:keepNext/>
        <w:rPr>
          <w:rFonts w:ascii="David" w:hAnsi="David"/>
          <w:color w:val="FFFFFF"/>
          <w:sz w:val="2"/>
          <w:szCs w:val="2"/>
          <w:rtl/>
        </w:rPr>
      </w:pPr>
      <w:r w:rsidRPr="00AD5B74">
        <w:rPr>
          <w:rFonts w:ascii="David" w:hAnsi="David"/>
          <w:color w:val="FFFFFF"/>
          <w:sz w:val="2"/>
          <w:szCs w:val="2"/>
          <w:rtl/>
        </w:rPr>
        <w:t>54678313</w:t>
      </w:r>
    </w:p>
    <w:p w14:paraId="4B364404" w14:textId="77777777" w:rsidR="005334CF" w:rsidRDefault="005334CF" w:rsidP="005334CF">
      <w:pPr>
        <w:rPr>
          <w:rtl/>
        </w:rPr>
      </w:pPr>
    </w:p>
    <w:p w14:paraId="7BDC2783" w14:textId="77777777" w:rsidR="005334CF" w:rsidRDefault="005334CF" w:rsidP="005334CF">
      <w:pPr>
        <w:jc w:val="center"/>
        <w:rPr>
          <w:color w:val="0000FF"/>
          <w:u w:val="single"/>
        </w:rPr>
      </w:pPr>
      <w:hyperlink r:id="rId72" w:history="1">
        <w:r>
          <w:rPr>
            <w:color w:val="0000FF"/>
            <w:u w:val="single"/>
            <w:rtl/>
          </w:rPr>
          <w:t>בעניין עריכה ושינויים במסמכי פסיקה, חקיקה ועוד באתר נבו – הקש כאן</w:t>
        </w:r>
      </w:hyperlink>
    </w:p>
    <w:p w14:paraId="47E4D988" w14:textId="77777777" w:rsidR="00AD5B74" w:rsidRPr="00AD5B74" w:rsidRDefault="00AD5B74" w:rsidP="00AD5B74">
      <w:pPr>
        <w:keepNext/>
        <w:rPr>
          <w:rFonts w:ascii="David" w:hAnsi="David"/>
          <w:color w:val="000000"/>
          <w:sz w:val="22"/>
          <w:szCs w:val="22"/>
          <w:rtl/>
        </w:rPr>
      </w:pPr>
    </w:p>
    <w:p w14:paraId="317A0382" w14:textId="77777777" w:rsidR="00AD5B74" w:rsidRPr="00AD5B74" w:rsidRDefault="00AD5B74" w:rsidP="00AD5B74">
      <w:pPr>
        <w:keepNext/>
        <w:rPr>
          <w:rFonts w:ascii="David" w:hAnsi="David"/>
          <w:color w:val="000000"/>
          <w:sz w:val="22"/>
          <w:szCs w:val="22"/>
          <w:rtl/>
        </w:rPr>
      </w:pPr>
      <w:r w:rsidRPr="00AD5B74">
        <w:rPr>
          <w:rFonts w:ascii="David" w:hAnsi="David"/>
          <w:color w:val="000000"/>
          <w:sz w:val="22"/>
          <w:szCs w:val="22"/>
          <w:rtl/>
        </w:rPr>
        <w:t>רפי כרמל 54678313-/</w:t>
      </w:r>
    </w:p>
    <w:p w14:paraId="30E5688C" w14:textId="77777777" w:rsidR="005334CF" w:rsidRPr="005334CF" w:rsidRDefault="00AD5B74" w:rsidP="00AD5B74">
      <w:pPr>
        <w:rPr>
          <w:color w:val="0000FF"/>
          <w:u w:val="single"/>
        </w:rPr>
      </w:pPr>
      <w:r w:rsidRPr="00AD5B74">
        <w:rPr>
          <w:color w:val="000000"/>
          <w:u w:val="single"/>
          <w:rtl/>
        </w:rPr>
        <w:t>נוסח מסמך זה כפוף לשינויי ניסוח ועריכה</w:t>
      </w:r>
    </w:p>
    <w:sectPr w:rsidR="005334CF" w:rsidRPr="005334CF" w:rsidSect="00AD5B74">
      <w:headerReference w:type="even" r:id="rId73"/>
      <w:headerReference w:type="default" r:id="rId74"/>
      <w:footerReference w:type="even" r:id="rId75"/>
      <w:footerReference w:type="default" r:id="rId7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A6BF0C" w14:textId="77777777" w:rsidR="009711DB" w:rsidRDefault="009711DB" w:rsidP="001A2E50">
      <w:r>
        <w:separator/>
      </w:r>
    </w:p>
  </w:endnote>
  <w:endnote w:type="continuationSeparator" w:id="0">
    <w:p w14:paraId="7A296881" w14:textId="77777777" w:rsidR="009711DB" w:rsidRDefault="009711DB" w:rsidP="001A2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A6946" w14:textId="77777777" w:rsidR="00AD5B74" w:rsidRDefault="00AD5B74" w:rsidP="00AD5B7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72546D8" w14:textId="77777777" w:rsidR="00D92081" w:rsidRPr="00AD5B74" w:rsidRDefault="00AD5B74" w:rsidP="00AD5B74">
    <w:pPr>
      <w:pStyle w:val="a5"/>
      <w:pBdr>
        <w:top w:val="single" w:sz="4" w:space="1" w:color="auto"/>
        <w:between w:val="single" w:sz="4" w:space="0" w:color="auto"/>
      </w:pBdr>
      <w:spacing w:after="60"/>
      <w:jc w:val="center"/>
      <w:rPr>
        <w:rFonts w:ascii="FrankRuehl" w:hAnsi="FrankRuehl" w:cs="FrankRuehl"/>
        <w:color w:val="000000"/>
      </w:rPr>
    </w:pPr>
    <w:r w:rsidRPr="00AD5B7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02401" w14:textId="77777777" w:rsidR="00AD5B74" w:rsidRDefault="00AD5B74" w:rsidP="00AD5B7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6359A">
      <w:rPr>
        <w:rFonts w:ascii="FrankRuehl" w:hAnsi="FrankRuehl" w:cs="FrankRuehl"/>
        <w:noProof/>
        <w:rtl/>
      </w:rPr>
      <w:t>1</w:t>
    </w:r>
    <w:r>
      <w:rPr>
        <w:rFonts w:ascii="FrankRuehl" w:hAnsi="FrankRuehl" w:cs="FrankRuehl"/>
        <w:rtl/>
      </w:rPr>
      <w:fldChar w:fldCharType="end"/>
    </w:r>
  </w:p>
  <w:p w14:paraId="1C523061" w14:textId="77777777" w:rsidR="00D92081" w:rsidRPr="00AD5B74" w:rsidRDefault="00AD5B74" w:rsidP="00AD5B74">
    <w:pPr>
      <w:pStyle w:val="a5"/>
      <w:pBdr>
        <w:top w:val="single" w:sz="4" w:space="1" w:color="auto"/>
        <w:between w:val="single" w:sz="4" w:space="0" w:color="auto"/>
      </w:pBdr>
      <w:spacing w:after="60"/>
      <w:jc w:val="center"/>
      <w:rPr>
        <w:rFonts w:ascii="FrankRuehl" w:hAnsi="FrankRuehl" w:cs="FrankRuehl"/>
        <w:color w:val="000000"/>
      </w:rPr>
    </w:pPr>
    <w:r w:rsidRPr="00AD5B74">
      <w:rPr>
        <w:rFonts w:ascii="FrankRuehl" w:hAnsi="FrankRuehl" w:cs="FrankRuehl"/>
        <w:color w:val="000000"/>
      </w:rPr>
      <w:pict w14:anchorId="60C876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0825C" w14:textId="77777777" w:rsidR="009711DB" w:rsidRDefault="009711DB" w:rsidP="001A2E50">
      <w:r>
        <w:separator/>
      </w:r>
    </w:p>
  </w:footnote>
  <w:footnote w:type="continuationSeparator" w:id="0">
    <w:p w14:paraId="453A94FA" w14:textId="77777777" w:rsidR="009711DB" w:rsidRDefault="009711DB" w:rsidP="001A2E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12D68" w14:textId="77777777" w:rsidR="005334CF" w:rsidRPr="00AD5B74" w:rsidRDefault="00AD5B74" w:rsidP="00AD5B7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28728-08-17</w:t>
    </w:r>
    <w:r>
      <w:rPr>
        <w:rFonts w:ascii="David" w:hAnsi="David"/>
        <w:color w:val="000000"/>
        <w:sz w:val="22"/>
        <w:szCs w:val="22"/>
        <w:rtl/>
      </w:rPr>
      <w:tab/>
      <w:t xml:space="preserve"> מדינת ישראל נ'  מוחמד אבו ח'דיר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0DC7D" w14:textId="77777777" w:rsidR="005334CF" w:rsidRPr="00AD5B74" w:rsidRDefault="00AD5B74" w:rsidP="00AD5B7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28728-08-17</w:t>
    </w:r>
    <w:r>
      <w:rPr>
        <w:rFonts w:ascii="David" w:hAnsi="David"/>
        <w:color w:val="000000"/>
        <w:sz w:val="22"/>
        <w:szCs w:val="22"/>
        <w:rtl/>
      </w:rPr>
      <w:tab/>
      <w:t xml:space="preserve"> מדינת ישראל נ'  מוחמד אבו ח'דיר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A3CAB"/>
    <w:rsid w:val="001A2E50"/>
    <w:rsid w:val="0037610A"/>
    <w:rsid w:val="00381020"/>
    <w:rsid w:val="003B45E9"/>
    <w:rsid w:val="00461EE9"/>
    <w:rsid w:val="005334CF"/>
    <w:rsid w:val="0056359A"/>
    <w:rsid w:val="005A3CAB"/>
    <w:rsid w:val="009711DB"/>
    <w:rsid w:val="00A15FA0"/>
    <w:rsid w:val="00AD5B74"/>
    <w:rsid w:val="00B73204"/>
    <w:rsid w:val="00BB1F91"/>
    <w:rsid w:val="00D920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859F556"/>
  <w15:chartTrackingRefBased/>
  <w15:docId w15:val="{593BAD1D-C406-49EE-8B3A-986340B11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3CA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A3CAB"/>
    <w:pPr>
      <w:tabs>
        <w:tab w:val="center" w:pos="4153"/>
        <w:tab w:val="right" w:pos="8306"/>
      </w:tabs>
    </w:pPr>
  </w:style>
  <w:style w:type="character" w:customStyle="1" w:styleId="a4">
    <w:name w:val="כותרת עליונה תו"/>
    <w:link w:val="a3"/>
    <w:rsid w:val="005A3CAB"/>
    <w:rPr>
      <w:rFonts w:ascii="Times New Roman" w:eastAsia="Times New Roman" w:hAnsi="Times New Roman" w:cs="David"/>
      <w:sz w:val="24"/>
      <w:szCs w:val="24"/>
    </w:rPr>
  </w:style>
  <w:style w:type="paragraph" w:styleId="a5">
    <w:name w:val="footer"/>
    <w:basedOn w:val="a"/>
    <w:link w:val="a6"/>
    <w:rsid w:val="005A3CAB"/>
    <w:pPr>
      <w:tabs>
        <w:tab w:val="center" w:pos="4153"/>
        <w:tab w:val="right" w:pos="8306"/>
      </w:tabs>
    </w:pPr>
  </w:style>
  <w:style w:type="character" w:customStyle="1" w:styleId="a6">
    <w:name w:val="כותרת תחתונה תו"/>
    <w:link w:val="a5"/>
    <w:rsid w:val="005A3CAB"/>
    <w:rPr>
      <w:rFonts w:ascii="Times New Roman" w:eastAsia="Times New Roman" w:hAnsi="Times New Roman" w:cs="David"/>
      <w:sz w:val="24"/>
      <w:szCs w:val="24"/>
    </w:rPr>
  </w:style>
  <w:style w:type="table" w:styleId="a7">
    <w:name w:val="Table Grid"/>
    <w:basedOn w:val="a1"/>
    <w:rsid w:val="005A3CA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A3CAB"/>
  </w:style>
  <w:style w:type="paragraph" w:customStyle="1" w:styleId="12">
    <w:name w:val="רגיל + ‏12 נק'"/>
    <w:aliases w:val="מיושר לשני הצדדים,מרווח בין שורות:  שורה וחצי"/>
    <w:basedOn w:val="a"/>
    <w:rsid w:val="005A3CAB"/>
    <w:rPr>
      <w:b/>
      <w:bCs/>
      <w:u w:val="single"/>
    </w:rPr>
  </w:style>
  <w:style w:type="character" w:styleId="Hyperlink">
    <w:name w:val="Hyperlink"/>
    <w:rsid w:val="005334C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29" TargetMode="External"/><Relationship Id="rId21" Type="http://schemas.openxmlformats.org/officeDocument/2006/relationships/hyperlink" Target="http://www.nevo.co.il/law/70301/40i"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0301" TargetMode="External"/><Relationship Id="rId68" Type="http://schemas.openxmlformats.org/officeDocument/2006/relationships/hyperlink" Target="http://www.nevo.co.il/law/70301/40i" TargetMode="External"/><Relationship Id="rId16" Type="http://schemas.openxmlformats.org/officeDocument/2006/relationships/hyperlink" Target="http://www.nevo.co.il/law/70301/40b" TargetMode="External"/><Relationship Id="rId11" Type="http://schemas.openxmlformats.org/officeDocument/2006/relationships/hyperlink" Target="http://www.nevo.co.il/law/141771/28.a.3" TargetMode="External"/><Relationship Id="rId24" Type="http://schemas.openxmlformats.org/officeDocument/2006/relationships/hyperlink" Target="http://www.nevo.co.il/law/70301/274" TargetMode="External"/><Relationship Id="rId32" Type="http://schemas.openxmlformats.org/officeDocument/2006/relationships/hyperlink" Target="http://www.nevo.co.il/law/72515" TargetMode="External"/><Relationship Id="rId37" Type="http://schemas.openxmlformats.org/officeDocument/2006/relationships/hyperlink" Target="http://www.nevo.co.il/law/70301/30" TargetMode="External"/><Relationship Id="rId40" Type="http://schemas.openxmlformats.org/officeDocument/2006/relationships/hyperlink" Target="http://www.nevo.co.il/law/70301/499.a" TargetMode="External"/><Relationship Id="rId45" Type="http://schemas.openxmlformats.org/officeDocument/2006/relationships/hyperlink" Target="http://www.nevo.co.il/law/70301/300.a.2" TargetMode="External"/><Relationship Id="rId53" Type="http://schemas.openxmlformats.org/officeDocument/2006/relationships/hyperlink" Target="http://www.nevo.co.il/law/70301/25" TargetMode="External"/><Relationship Id="rId58" Type="http://schemas.openxmlformats.org/officeDocument/2006/relationships/hyperlink" Target="http://www.nevo.co.il/law/70301" TargetMode="External"/><Relationship Id="rId66" Type="http://schemas.openxmlformats.org/officeDocument/2006/relationships/hyperlink" Target="http://www.nevo.co.il/law/70301/40c.a" TargetMode="External"/><Relationship Id="rId74"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hyperlink" Target="http://www.nevo.co.il/law/70301/338.a" TargetMode="External"/><Relationship Id="rId19" Type="http://schemas.openxmlformats.org/officeDocument/2006/relationships/hyperlink" Target="http://www.nevo.co.il/law/70301/40e" TargetMode="External"/><Relationship Id="rId14" Type="http://schemas.openxmlformats.org/officeDocument/2006/relationships/hyperlink" Target="http://www.nevo.co.il/law/70301/25"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70301/338.a" TargetMode="External"/><Relationship Id="rId30" Type="http://schemas.openxmlformats.org/officeDocument/2006/relationships/hyperlink" Target="http://www.nevo.co.il/law/70301/499.a" TargetMode="External"/><Relationship Id="rId35" Type="http://schemas.openxmlformats.org/officeDocument/2006/relationships/hyperlink" Target="http://www.nevo.co.il/law/141771/22.b" TargetMode="External"/><Relationship Id="rId43" Type="http://schemas.openxmlformats.org/officeDocument/2006/relationships/hyperlink" Target="http://www.nevo.co.il/law/141771/37.a" TargetMode="External"/><Relationship Id="rId48" Type="http://schemas.openxmlformats.org/officeDocument/2006/relationships/hyperlink" Target="http://www.nevo.co.il/law/70301/340a" TargetMode="External"/><Relationship Id="rId56" Type="http://schemas.openxmlformats.org/officeDocument/2006/relationships/hyperlink" Target="http://www.nevo.co.il/law/70301/448.a" TargetMode="External"/><Relationship Id="rId64" Type="http://schemas.openxmlformats.org/officeDocument/2006/relationships/hyperlink" Target="http://www.nevo.co.il/law/70301/40b" TargetMode="External"/><Relationship Id="rId69" Type="http://schemas.openxmlformats.org/officeDocument/2006/relationships/hyperlink" Target="http://www.nevo.co.il/law/70301/40d" TargetMode="External"/><Relationship Id="rId77" Type="http://schemas.openxmlformats.org/officeDocument/2006/relationships/fontTable" Target="fontTable.xml"/><Relationship Id="rId8" Type="http://schemas.openxmlformats.org/officeDocument/2006/relationships/hyperlink" Target="http://www.nevo.co.il/law/141771" TargetMode="External"/><Relationship Id="rId51" Type="http://schemas.openxmlformats.org/officeDocument/2006/relationships/hyperlink" Target="http://www.nevo.co.il/law/70301" TargetMode="External"/><Relationship Id="rId72"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141771/37.a" TargetMode="External"/><Relationship Id="rId17" Type="http://schemas.openxmlformats.org/officeDocument/2006/relationships/hyperlink" Target="http://www.nevo.co.il/law/70301/40c.a" TargetMode="External"/><Relationship Id="rId25" Type="http://schemas.openxmlformats.org/officeDocument/2006/relationships/hyperlink" Target="http://www.nevo.co.il/law/70301/300.a.2" TargetMode="External"/><Relationship Id="rId33" Type="http://schemas.openxmlformats.org/officeDocument/2006/relationships/hyperlink" Target="http://www.nevo.co.il/law/141771/22.b"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144.a" TargetMode="External"/><Relationship Id="rId59" Type="http://schemas.openxmlformats.org/officeDocument/2006/relationships/hyperlink" Target="http://www.nevo.co.il/law/70301/274" TargetMode="External"/><Relationship Id="rId67" Type="http://schemas.openxmlformats.org/officeDocument/2006/relationships/hyperlink" Target="http://www.nevo.co.il/law/70301/40i" TargetMode="External"/><Relationship Id="rId20" Type="http://schemas.openxmlformats.org/officeDocument/2006/relationships/hyperlink" Target="http://www.nevo.co.il/law/70301/40f" TargetMode="External"/><Relationship Id="rId41" Type="http://schemas.openxmlformats.org/officeDocument/2006/relationships/hyperlink" Target="http://www.nevo.co.il/law/70301/329" TargetMode="External"/><Relationship Id="rId54" Type="http://schemas.openxmlformats.org/officeDocument/2006/relationships/hyperlink" Target="http://www.nevo.co.il/law/70301" TargetMode="External"/><Relationship Id="rId62" Type="http://schemas.openxmlformats.org/officeDocument/2006/relationships/hyperlink" Target="http://www.nevo.co.il/case/20787919" TargetMode="External"/><Relationship Id="rId70" Type="http://schemas.openxmlformats.org/officeDocument/2006/relationships/hyperlink" Target="http://www.nevo.co.il/law/70301/40e" TargetMode="External"/><Relationship Id="rId75"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2515" TargetMode="External"/><Relationship Id="rId15" Type="http://schemas.openxmlformats.org/officeDocument/2006/relationships/hyperlink" Target="http://www.nevo.co.il/law/70301/30" TargetMode="External"/><Relationship Id="rId23" Type="http://schemas.openxmlformats.org/officeDocument/2006/relationships/hyperlink" Target="http://www.nevo.co.il/law/70301/152" TargetMode="External"/><Relationship Id="rId28" Type="http://schemas.openxmlformats.org/officeDocument/2006/relationships/hyperlink" Target="http://www.nevo.co.il/law/70301/340a" TargetMode="External"/><Relationship Id="rId36" Type="http://schemas.openxmlformats.org/officeDocument/2006/relationships/hyperlink" Target="http://www.nevo.co.il/law/72515/3" TargetMode="External"/><Relationship Id="rId49" Type="http://schemas.openxmlformats.org/officeDocument/2006/relationships/hyperlink" Target="http://www.nevo.co.il/law/70301/144.a" TargetMode="External"/><Relationship Id="rId57" Type="http://schemas.openxmlformats.org/officeDocument/2006/relationships/hyperlink" Target="http://www.nevo.co.il/law/70301/25" TargetMode="External"/><Relationship Id="rId10" Type="http://schemas.openxmlformats.org/officeDocument/2006/relationships/hyperlink" Target="http://www.nevo.co.il/law/141771/22.c" TargetMode="External"/><Relationship Id="rId31" Type="http://schemas.openxmlformats.org/officeDocument/2006/relationships/hyperlink" Target="http://www.nevo.co.il/law/72515/3" TargetMode="External"/><Relationship Id="rId44" Type="http://schemas.openxmlformats.org/officeDocument/2006/relationships/hyperlink" Target="http://www.nevo.co.il/law/141771/28.a.3" TargetMode="External"/><Relationship Id="rId52" Type="http://schemas.openxmlformats.org/officeDocument/2006/relationships/hyperlink" Target="http://www.nevo.co.il/law/70301/274" TargetMode="External"/><Relationship Id="rId60" Type="http://schemas.openxmlformats.org/officeDocument/2006/relationships/hyperlink" Target="http://www.nevo.co.il/law/70301/152" TargetMode="External"/><Relationship Id="rId65" Type="http://schemas.openxmlformats.org/officeDocument/2006/relationships/hyperlink" Target="http://www.nevo.co.il/law/70301" TargetMode="External"/><Relationship Id="rId73" Type="http://schemas.openxmlformats.org/officeDocument/2006/relationships/header" Target="header1.xml"/><Relationship Id="rId78"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141771/22.b"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40d" TargetMode="External"/><Relationship Id="rId39" Type="http://schemas.openxmlformats.org/officeDocument/2006/relationships/hyperlink" Target="http://www.nevo.co.il/law/141771/22.c" TargetMode="External"/><Relationship Id="rId34" Type="http://schemas.openxmlformats.org/officeDocument/2006/relationships/hyperlink" Target="http://www.nevo.co.il/law/141771" TargetMode="External"/><Relationship Id="rId50" Type="http://schemas.openxmlformats.org/officeDocument/2006/relationships/hyperlink" Target="http://www.nevo.co.il/law/70301/25" TargetMode="External"/><Relationship Id="rId55" Type="http://schemas.openxmlformats.org/officeDocument/2006/relationships/hyperlink" Target="http://www.nevo.co.il/law/70301/152" TargetMode="External"/><Relationship Id="rId76" Type="http://schemas.openxmlformats.org/officeDocument/2006/relationships/footer" Target="footer2.xml"/><Relationship Id="rId7" Type="http://schemas.openxmlformats.org/officeDocument/2006/relationships/hyperlink" Target="http://www.nevo.co.il/law/72515/3" TargetMode="External"/><Relationship Id="rId71" Type="http://schemas.openxmlformats.org/officeDocument/2006/relationships/hyperlink" Target="http://www.nevo.co.il/law/70301/40f" TargetMode="External"/><Relationship Id="rId2" Type="http://schemas.openxmlformats.org/officeDocument/2006/relationships/settings" Target="settings.xml"/><Relationship Id="rId29" Type="http://schemas.openxmlformats.org/officeDocument/2006/relationships/hyperlink" Target="http://www.nevo.co.il/law/70301/448.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3029</Words>
  <Characters>15149</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18142</CharactersWithSpaces>
  <SharedDoc>false</SharedDoc>
  <HLinks>
    <vt:vector size="402" baseType="variant">
      <vt:variant>
        <vt:i4>393283</vt:i4>
      </vt:variant>
      <vt:variant>
        <vt:i4>198</vt:i4>
      </vt:variant>
      <vt:variant>
        <vt:i4>0</vt:i4>
      </vt:variant>
      <vt:variant>
        <vt:i4>5</vt:i4>
      </vt:variant>
      <vt:variant>
        <vt:lpwstr>http://www.nevo.co.il/advertisements/nevo-100.doc</vt:lpwstr>
      </vt:variant>
      <vt:variant>
        <vt:lpwstr/>
      </vt:variant>
      <vt:variant>
        <vt:i4>6619233</vt:i4>
      </vt:variant>
      <vt:variant>
        <vt:i4>195</vt:i4>
      </vt:variant>
      <vt:variant>
        <vt:i4>0</vt:i4>
      </vt:variant>
      <vt:variant>
        <vt:i4>5</vt:i4>
      </vt:variant>
      <vt:variant>
        <vt:lpwstr>http://www.nevo.co.il/law/70301/40f</vt:lpwstr>
      </vt:variant>
      <vt:variant>
        <vt:lpwstr/>
      </vt:variant>
      <vt:variant>
        <vt:i4>6619233</vt:i4>
      </vt:variant>
      <vt:variant>
        <vt:i4>192</vt:i4>
      </vt:variant>
      <vt:variant>
        <vt:i4>0</vt:i4>
      </vt:variant>
      <vt:variant>
        <vt:i4>5</vt:i4>
      </vt:variant>
      <vt:variant>
        <vt:lpwstr>http://www.nevo.co.il/law/70301/40e</vt:lpwstr>
      </vt:variant>
      <vt:variant>
        <vt:lpwstr/>
      </vt:variant>
      <vt:variant>
        <vt:i4>6619233</vt:i4>
      </vt:variant>
      <vt:variant>
        <vt:i4>189</vt:i4>
      </vt:variant>
      <vt:variant>
        <vt:i4>0</vt:i4>
      </vt:variant>
      <vt:variant>
        <vt:i4>5</vt:i4>
      </vt:variant>
      <vt:variant>
        <vt:lpwstr>http://www.nevo.co.il/law/70301/40d</vt:lpwstr>
      </vt:variant>
      <vt:variant>
        <vt:lpwstr/>
      </vt:variant>
      <vt:variant>
        <vt:i4>6619233</vt:i4>
      </vt:variant>
      <vt:variant>
        <vt:i4>186</vt:i4>
      </vt:variant>
      <vt:variant>
        <vt:i4>0</vt:i4>
      </vt:variant>
      <vt:variant>
        <vt:i4>5</vt:i4>
      </vt:variant>
      <vt:variant>
        <vt:lpwstr>http://www.nevo.co.il/law/70301/40i</vt:lpwstr>
      </vt:variant>
      <vt:variant>
        <vt:lpwstr/>
      </vt:variant>
      <vt:variant>
        <vt:i4>6619233</vt:i4>
      </vt:variant>
      <vt:variant>
        <vt:i4>183</vt:i4>
      </vt:variant>
      <vt:variant>
        <vt:i4>0</vt:i4>
      </vt:variant>
      <vt:variant>
        <vt:i4>5</vt:i4>
      </vt:variant>
      <vt:variant>
        <vt:lpwstr>http://www.nevo.co.il/law/70301/40i</vt:lpwstr>
      </vt:variant>
      <vt:variant>
        <vt:lpwstr/>
      </vt:variant>
      <vt:variant>
        <vt:i4>4915202</vt:i4>
      </vt:variant>
      <vt:variant>
        <vt:i4>180</vt:i4>
      </vt:variant>
      <vt:variant>
        <vt:i4>0</vt:i4>
      </vt:variant>
      <vt:variant>
        <vt:i4>5</vt:i4>
      </vt:variant>
      <vt:variant>
        <vt:lpwstr>http://www.nevo.co.il/law/70301/40c.a</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6619233</vt:i4>
      </vt:variant>
      <vt:variant>
        <vt:i4>174</vt:i4>
      </vt:variant>
      <vt:variant>
        <vt:i4>0</vt:i4>
      </vt:variant>
      <vt:variant>
        <vt:i4>5</vt:i4>
      </vt:variant>
      <vt:variant>
        <vt:lpwstr>http://www.nevo.co.il/law/70301/40b</vt:lpwstr>
      </vt:variant>
      <vt:variant>
        <vt:lpwstr/>
      </vt:variant>
      <vt:variant>
        <vt:i4>7995492</vt:i4>
      </vt:variant>
      <vt:variant>
        <vt:i4>171</vt:i4>
      </vt:variant>
      <vt:variant>
        <vt:i4>0</vt:i4>
      </vt:variant>
      <vt:variant>
        <vt:i4>5</vt:i4>
      </vt:variant>
      <vt:variant>
        <vt:lpwstr>http://www.nevo.co.il/law/70301</vt:lpwstr>
      </vt:variant>
      <vt:variant>
        <vt:lpwstr/>
      </vt:variant>
      <vt:variant>
        <vt:i4>3342453</vt:i4>
      </vt:variant>
      <vt:variant>
        <vt:i4>168</vt:i4>
      </vt:variant>
      <vt:variant>
        <vt:i4>0</vt:i4>
      </vt:variant>
      <vt:variant>
        <vt:i4>5</vt:i4>
      </vt:variant>
      <vt:variant>
        <vt:lpwstr>http://www.nevo.co.il/case/20787919</vt:lpwstr>
      </vt:variant>
      <vt:variant>
        <vt:lpwstr/>
      </vt:variant>
      <vt:variant>
        <vt:i4>4718686</vt:i4>
      </vt:variant>
      <vt:variant>
        <vt:i4>165</vt:i4>
      </vt:variant>
      <vt:variant>
        <vt:i4>0</vt:i4>
      </vt:variant>
      <vt:variant>
        <vt:i4>5</vt:i4>
      </vt:variant>
      <vt:variant>
        <vt:lpwstr>http://www.nevo.co.il/law/70301/338.a</vt:lpwstr>
      </vt:variant>
      <vt:variant>
        <vt:lpwstr/>
      </vt:variant>
      <vt:variant>
        <vt:i4>6291556</vt:i4>
      </vt:variant>
      <vt:variant>
        <vt:i4>162</vt:i4>
      </vt:variant>
      <vt:variant>
        <vt:i4>0</vt:i4>
      </vt:variant>
      <vt:variant>
        <vt:i4>5</vt:i4>
      </vt:variant>
      <vt:variant>
        <vt:lpwstr>http://www.nevo.co.il/law/70301/152</vt:lpwstr>
      </vt:variant>
      <vt:variant>
        <vt:lpwstr/>
      </vt:variant>
      <vt:variant>
        <vt:i4>6422631</vt:i4>
      </vt:variant>
      <vt:variant>
        <vt:i4>159</vt:i4>
      </vt:variant>
      <vt:variant>
        <vt:i4>0</vt:i4>
      </vt:variant>
      <vt:variant>
        <vt:i4>5</vt:i4>
      </vt:variant>
      <vt:variant>
        <vt:lpwstr>http://www.nevo.co.il/law/70301/274</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6291559</vt:i4>
      </vt:variant>
      <vt:variant>
        <vt:i4>153</vt:i4>
      </vt:variant>
      <vt:variant>
        <vt:i4>0</vt:i4>
      </vt:variant>
      <vt:variant>
        <vt:i4>5</vt:i4>
      </vt:variant>
      <vt:variant>
        <vt:lpwstr>http://www.nevo.co.il/law/70301/25</vt:lpwstr>
      </vt:variant>
      <vt:variant>
        <vt:lpwstr/>
      </vt:variant>
      <vt:variant>
        <vt:i4>5177433</vt:i4>
      </vt:variant>
      <vt:variant>
        <vt:i4>150</vt:i4>
      </vt:variant>
      <vt:variant>
        <vt:i4>0</vt:i4>
      </vt:variant>
      <vt:variant>
        <vt:i4>5</vt:i4>
      </vt:variant>
      <vt:variant>
        <vt:lpwstr>http://www.nevo.co.il/law/70301/448.a</vt:lpwstr>
      </vt:variant>
      <vt:variant>
        <vt:lpwstr/>
      </vt:variant>
      <vt:variant>
        <vt:i4>6291556</vt:i4>
      </vt:variant>
      <vt:variant>
        <vt:i4>147</vt:i4>
      </vt:variant>
      <vt:variant>
        <vt:i4>0</vt:i4>
      </vt:variant>
      <vt:variant>
        <vt:i4>5</vt:i4>
      </vt:variant>
      <vt:variant>
        <vt:lpwstr>http://www.nevo.co.il/law/70301/152</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6291559</vt:i4>
      </vt:variant>
      <vt:variant>
        <vt:i4>141</vt:i4>
      </vt:variant>
      <vt:variant>
        <vt:i4>0</vt:i4>
      </vt:variant>
      <vt:variant>
        <vt:i4>5</vt:i4>
      </vt:variant>
      <vt:variant>
        <vt:lpwstr>http://www.nevo.co.il/law/70301/25</vt:lpwstr>
      </vt:variant>
      <vt:variant>
        <vt:lpwstr/>
      </vt:variant>
      <vt:variant>
        <vt:i4>6422631</vt:i4>
      </vt:variant>
      <vt:variant>
        <vt:i4>138</vt:i4>
      </vt:variant>
      <vt:variant>
        <vt:i4>0</vt:i4>
      </vt:variant>
      <vt:variant>
        <vt:i4>5</vt:i4>
      </vt:variant>
      <vt:variant>
        <vt:lpwstr>http://www.nevo.co.il/law/70301/274</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6291559</vt:i4>
      </vt:variant>
      <vt:variant>
        <vt:i4>132</vt:i4>
      </vt:variant>
      <vt:variant>
        <vt:i4>0</vt:i4>
      </vt:variant>
      <vt:variant>
        <vt:i4>5</vt:i4>
      </vt:variant>
      <vt:variant>
        <vt:lpwstr>http://www.nevo.co.il/law/70301/25</vt:lpwstr>
      </vt:variant>
      <vt:variant>
        <vt:lpwstr/>
      </vt:variant>
      <vt:variant>
        <vt:i4>5177424</vt:i4>
      </vt:variant>
      <vt:variant>
        <vt:i4>129</vt:i4>
      </vt:variant>
      <vt:variant>
        <vt:i4>0</vt:i4>
      </vt:variant>
      <vt:variant>
        <vt:i4>5</vt:i4>
      </vt:variant>
      <vt:variant>
        <vt:lpwstr>http://www.nevo.co.il/law/70301/144.a</vt:lpwstr>
      </vt:variant>
      <vt:variant>
        <vt:lpwstr/>
      </vt:variant>
      <vt:variant>
        <vt:i4>86</vt:i4>
      </vt:variant>
      <vt:variant>
        <vt:i4>126</vt:i4>
      </vt:variant>
      <vt:variant>
        <vt:i4>0</vt:i4>
      </vt:variant>
      <vt:variant>
        <vt:i4>5</vt:i4>
      </vt:variant>
      <vt:variant>
        <vt:lpwstr>http://www.nevo.co.il/law/70301/340a</vt:lpwstr>
      </vt:variant>
      <vt:variant>
        <vt:lpwstr/>
      </vt:variant>
      <vt:variant>
        <vt:i4>7995492</vt:i4>
      </vt:variant>
      <vt:variant>
        <vt:i4>123</vt:i4>
      </vt:variant>
      <vt:variant>
        <vt:i4>0</vt:i4>
      </vt:variant>
      <vt:variant>
        <vt:i4>5</vt:i4>
      </vt:variant>
      <vt:variant>
        <vt:lpwstr>http://www.nevo.co.il/law/70301</vt:lpwstr>
      </vt:variant>
      <vt:variant>
        <vt:lpwstr/>
      </vt:variant>
      <vt:variant>
        <vt:i4>5177424</vt:i4>
      </vt:variant>
      <vt:variant>
        <vt:i4>120</vt:i4>
      </vt:variant>
      <vt:variant>
        <vt:i4>0</vt:i4>
      </vt:variant>
      <vt:variant>
        <vt:i4>5</vt:i4>
      </vt:variant>
      <vt:variant>
        <vt:lpwstr>http://www.nevo.co.il/law/70301/144.a</vt:lpwstr>
      </vt:variant>
      <vt:variant>
        <vt:lpwstr/>
      </vt:variant>
      <vt:variant>
        <vt:i4>6619191</vt:i4>
      </vt:variant>
      <vt:variant>
        <vt:i4>117</vt:i4>
      </vt:variant>
      <vt:variant>
        <vt:i4>0</vt:i4>
      </vt:variant>
      <vt:variant>
        <vt:i4>5</vt:i4>
      </vt:variant>
      <vt:variant>
        <vt:lpwstr>http://www.nevo.co.il/law/70301/300.a.2</vt:lpwstr>
      </vt:variant>
      <vt:variant>
        <vt:lpwstr/>
      </vt:variant>
      <vt:variant>
        <vt:i4>7995425</vt:i4>
      </vt:variant>
      <vt:variant>
        <vt:i4>114</vt:i4>
      </vt:variant>
      <vt:variant>
        <vt:i4>0</vt:i4>
      </vt:variant>
      <vt:variant>
        <vt:i4>5</vt:i4>
      </vt:variant>
      <vt:variant>
        <vt:lpwstr>http://www.nevo.co.il/law/141771/28.a.3</vt:lpwstr>
      </vt:variant>
      <vt:variant>
        <vt:lpwstr/>
      </vt:variant>
      <vt:variant>
        <vt:i4>5570639</vt:i4>
      </vt:variant>
      <vt:variant>
        <vt:i4>111</vt:i4>
      </vt:variant>
      <vt:variant>
        <vt:i4>0</vt:i4>
      </vt:variant>
      <vt:variant>
        <vt:i4>5</vt:i4>
      </vt:variant>
      <vt:variant>
        <vt:lpwstr>http://www.nevo.co.il/law/141771/37.a</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6750310</vt:i4>
      </vt:variant>
      <vt:variant>
        <vt:i4>105</vt:i4>
      </vt:variant>
      <vt:variant>
        <vt:i4>0</vt:i4>
      </vt:variant>
      <vt:variant>
        <vt:i4>5</vt:i4>
      </vt:variant>
      <vt:variant>
        <vt:lpwstr>http://www.nevo.co.il/law/70301/329</vt:lpwstr>
      </vt:variant>
      <vt:variant>
        <vt:lpwstr/>
      </vt:variant>
      <vt:variant>
        <vt:i4>4325464</vt:i4>
      </vt:variant>
      <vt:variant>
        <vt:i4>102</vt:i4>
      </vt:variant>
      <vt:variant>
        <vt:i4>0</vt:i4>
      </vt:variant>
      <vt:variant>
        <vt:i4>5</vt:i4>
      </vt:variant>
      <vt:variant>
        <vt:lpwstr>http://www.nevo.co.il/law/70301/499.a</vt:lpwstr>
      </vt:variant>
      <vt:variant>
        <vt:lpwstr/>
      </vt:variant>
      <vt:variant>
        <vt:i4>5505098</vt:i4>
      </vt:variant>
      <vt:variant>
        <vt:i4>99</vt:i4>
      </vt:variant>
      <vt:variant>
        <vt:i4>0</vt:i4>
      </vt:variant>
      <vt:variant>
        <vt:i4>5</vt:i4>
      </vt:variant>
      <vt:variant>
        <vt:lpwstr>http://www.nevo.co.il/law/141771/22.c</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6619238</vt:i4>
      </vt:variant>
      <vt:variant>
        <vt:i4>93</vt:i4>
      </vt:variant>
      <vt:variant>
        <vt:i4>0</vt:i4>
      </vt:variant>
      <vt:variant>
        <vt:i4>5</vt:i4>
      </vt:variant>
      <vt:variant>
        <vt:lpwstr>http://www.nevo.co.il/law/70301/30</vt:lpwstr>
      </vt:variant>
      <vt:variant>
        <vt:lpwstr/>
      </vt:variant>
      <vt:variant>
        <vt:i4>5636183</vt:i4>
      </vt:variant>
      <vt:variant>
        <vt:i4>90</vt:i4>
      </vt:variant>
      <vt:variant>
        <vt:i4>0</vt:i4>
      </vt:variant>
      <vt:variant>
        <vt:i4>5</vt:i4>
      </vt:variant>
      <vt:variant>
        <vt:lpwstr>http://www.nevo.co.il/law/72515/3</vt:lpwstr>
      </vt:variant>
      <vt:variant>
        <vt:lpwstr/>
      </vt:variant>
      <vt:variant>
        <vt:i4>5505098</vt:i4>
      </vt:variant>
      <vt:variant>
        <vt:i4>87</vt:i4>
      </vt:variant>
      <vt:variant>
        <vt:i4>0</vt:i4>
      </vt:variant>
      <vt:variant>
        <vt:i4>5</vt:i4>
      </vt:variant>
      <vt:variant>
        <vt:lpwstr>http://www.nevo.co.il/law/141771/22.b</vt:lpwstr>
      </vt:variant>
      <vt:variant>
        <vt:lpwstr/>
      </vt:variant>
      <vt:variant>
        <vt:i4>4718679</vt:i4>
      </vt:variant>
      <vt:variant>
        <vt:i4>84</vt:i4>
      </vt:variant>
      <vt:variant>
        <vt:i4>0</vt:i4>
      </vt:variant>
      <vt:variant>
        <vt:i4>5</vt:i4>
      </vt:variant>
      <vt:variant>
        <vt:lpwstr>http://www.nevo.co.il/law/141771</vt:lpwstr>
      </vt:variant>
      <vt:variant>
        <vt:lpwstr/>
      </vt:variant>
      <vt:variant>
        <vt:i4>5505098</vt:i4>
      </vt:variant>
      <vt:variant>
        <vt:i4>81</vt:i4>
      </vt:variant>
      <vt:variant>
        <vt:i4>0</vt:i4>
      </vt:variant>
      <vt:variant>
        <vt:i4>5</vt:i4>
      </vt:variant>
      <vt:variant>
        <vt:lpwstr>http://www.nevo.co.il/law/141771/22.b</vt:lpwstr>
      </vt:variant>
      <vt:variant>
        <vt:lpwstr/>
      </vt:variant>
      <vt:variant>
        <vt:i4>7929954</vt:i4>
      </vt:variant>
      <vt:variant>
        <vt:i4>78</vt:i4>
      </vt:variant>
      <vt:variant>
        <vt:i4>0</vt:i4>
      </vt:variant>
      <vt:variant>
        <vt:i4>5</vt:i4>
      </vt:variant>
      <vt:variant>
        <vt:lpwstr>http://www.nevo.co.il/law/72515</vt:lpwstr>
      </vt:variant>
      <vt:variant>
        <vt:lpwstr/>
      </vt:variant>
      <vt:variant>
        <vt:i4>5636183</vt:i4>
      </vt:variant>
      <vt:variant>
        <vt:i4>75</vt:i4>
      </vt:variant>
      <vt:variant>
        <vt:i4>0</vt:i4>
      </vt:variant>
      <vt:variant>
        <vt:i4>5</vt:i4>
      </vt:variant>
      <vt:variant>
        <vt:lpwstr>http://www.nevo.co.il/law/72515/3</vt:lpwstr>
      </vt:variant>
      <vt:variant>
        <vt:lpwstr/>
      </vt:variant>
      <vt:variant>
        <vt:i4>4325464</vt:i4>
      </vt:variant>
      <vt:variant>
        <vt:i4>72</vt:i4>
      </vt:variant>
      <vt:variant>
        <vt:i4>0</vt:i4>
      </vt:variant>
      <vt:variant>
        <vt:i4>5</vt:i4>
      </vt:variant>
      <vt:variant>
        <vt:lpwstr>http://www.nevo.co.il/law/70301/499.a</vt:lpwstr>
      </vt:variant>
      <vt:variant>
        <vt:lpwstr/>
      </vt:variant>
      <vt:variant>
        <vt:i4>5177433</vt:i4>
      </vt:variant>
      <vt:variant>
        <vt:i4>69</vt:i4>
      </vt:variant>
      <vt:variant>
        <vt:i4>0</vt:i4>
      </vt:variant>
      <vt:variant>
        <vt:i4>5</vt:i4>
      </vt:variant>
      <vt:variant>
        <vt:lpwstr>http://www.nevo.co.il/law/70301/448.a</vt:lpwstr>
      </vt:variant>
      <vt:variant>
        <vt:lpwstr/>
      </vt:variant>
      <vt:variant>
        <vt:i4>86</vt:i4>
      </vt:variant>
      <vt:variant>
        <vt:i4>66</vt:i4>
      </vt:variant>
      <vt:variant>
        <vt:i4>0</vt:i4>
      </vt:variant>
      <vt:variant>
        <vt:i4>5</vt:i4>
      </vt:variant>
      <vt:variant>
        <vt:lpwstr>http://www.nevo.co.il/law/70301/340a</vt:lpwstr>
      </vt:variant>
      <vt:variant>
        <vt:lpwstr/>
      </vt:variant>
      <vt:variant>
        <vt:i4>4718686</vt:i4>
      </vt:variant>
      <vt:variant>
        <vt:i4>63</vt:i4>
      </vt:variant>
      <vt:variant>
        <vt:i4>0</vt:i4>
      </vt:variant>
      <vt:variant>
        <vt:i4>5</vt:i4>
      </vt:variant>
      <vt:variant>
        <vt:lpwstr>http://www.nevo.co.il/law/70301/338.a</vt:lpwstr>
      </vt:variant>
      <vt:variant>
        <vt:lpwstr/>
      </vt:variant>
      <vt:variant>
        <vt:i4>6750310</vt:i4>
      </vt:variant>
      <vt:variant>
        <vt:i4>60</vt:i4>
      </vt:variant>
      <vt:variant>
        <vt:i4>0</vt:i4>
      </vt:variant>
      <vt:variant>
        <vt:i4>5</vt:i4>
      </vt:variant>
      <vt:variant>
        <vt:lpwstr>http://www.nevo.co.il/law/70301/329</vt:lpwstr>
      </vt:variant>
      <vt:variant>
        <vt:lpwstr/>
      </vt:variant>
      <vt:variant>
        <vt:i4>6619191</vt:i4>
      </vt:variant>
      <vt:variant>
        <vt:i4>57</vt:i4>
      </vt:variant>
      <vt:variant>
        <vt:i4>0</vt:i4>
      </vt:variant>
      <vt:variant>
        <vt:i4>5</vt:i4>
      </vt:variant>
      <vt:variant>
        <vt:lpwstr>http://www.nevo.co.il/law/70301/300.a.2</vt:lpwstr>
      </vt:variant>
      <vt:variant>
        <vt:lpwstr/>
      </vt:variant>
      <vt:variant>
        <vt:i4>6422631</vt:i4>
      </vt:variant>
      <vt:variant>
        <vt:i4>54</vt:i4>
      </vt:variant>
      <vt:variant>
        <vt:i4>0</vt:i4>
      </vt:variant>
      <vt:variant>
        <vt:i4>5</vt:i4>
      </vt:variant>
      <vt:variant>
        <vt:lpwstr>http://www.nevo.co.il/law/70301/274</vt:lpwstr>
      </vt:variant>
      <vt:variant>
        <vt:lpwstr/>
      </vt:variant>
      <vt:variant>
        <vt:i4>6291556</vt:i4>
      </vt:variant>
      <vt:variant>
        <vt:i4>51</vt:i4>
      </vt:variant>
      <vt:variant>
        <vt:i4>0</vt:i4>
      </vt:variant>
      <vt:variant>
        <vt:i4>5</vt:i4>
      </vt:variant>
      <vt:variant>
        <vt:lpwstr>http://www.nevo.co.il/law/70301/152</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6619233</vt:i4>
      </vt:variant>
      <vt:variant>
        <vt:i4>42</vt:i4>
      </vt:variant>
      <vt:variant>
        <vt:i4>0</vt:i4>
      </vt:variant>
      <vt:variant>
        <vt:i4>5</vt:i4>
      </vt:variant>
      <vt:variant>
        <vt:lpwstr>http://www.nevo.co.il/law/70301/40f</vt:lpwstr>
      </vt:variant>
      <vt:variant>
        <vt:lpwstr/>
      </vt:variant>
      <vt:variant>
        <vt:i4>6619233</vt:i4>
      </vt:variant>
      <vt:variant>
        <vt:i4>39</vt:i4>
      </vt:variant>
      <vt:variant>
        <vt:i4>0</vt:i4>
      </vt:variant>
      <vt:variant>
        <vt:i4>5</vt:i4>
      </vt:variant>
      <vt:variant>
        <vt:lpwstr>http://www.nevo.co.il/law/70301/40e</vt:lpwstr>
      </vt:variant>
      <vt:variant>
        <vt:lpwstr/>
      </vt:variant>
      <vt:variant>
        <vt:i4>6619233</vt:i4>
      </vt:variant>
      <vt:variant>
        <vt:i4>36</vt:i4>
      </vt:variant>
      <vt:variant>
        <vt:i4>0</vt:i4>
      </vt:variant>
      <vt:variant>
        <vt:i4>5</vt:i4>
      </vt:variant>
      <vt:variant>
        <vt:lpwstr>http://www.nevo.co.il/law/70301/40d</vt:lpwstr>
      </vt:variant>
      <vt:variant>
        <vt:lpwstr/>
      </vt:variant>
      <vt:variant>
        <vt:i4>4915202</vt:i4>
      </vt:variant>
      <vt:variant>
        <vt:i4>33</vt:i4>
      </vt:variant>
      <vt:variant>
        <vt:i4>0</vt:i4>
      </vt:variant>
      <vt:variant>
        <vt:i4>5</vt:i4>
      </vt:variant>
      <vt:variant>
        <vt:lpwstr>http://www.nevo.co.il/law/70301/40c.a</vt:lpwstr>
      </vt:variant>
      <vt:variant>
        <vt:lpwstr/>
      </vt:variant>
      <vt:variant>
        <vt:i4>6619233</vt:i4>
      </vt:variant>
      <vt:variant>
        <vt:i4>30</vt:i4>
      </vt:variant>
      <vt:variant>
        <vt:i4>0</vt:i4>
      </vt:variant>
      <vt:variant>
        <vt:i4>5</vt:i4>
      </vt:variant>
      <vt:variant>
        <vt:lpwstr>http://www.nevo.co.il/law/70301/40b</vt:lpwstr>
      </vt:variant>
      <vt:variant>
        <vt:lpwstr/>
      </vt:variant>
      <vt:variant>
        <vt:i4>6619238</vt:i4>
      </vt:variant>
      <vt:variant>
        <vt:i4>27</vt:i4>
      </vt:variant>
      <vt:variant>
        <vt:i4>0</vt:i4>
      </vt:variant>
      <vt:variant>
        <vt:i4>5</vt:i4>
      </vt:variant>
      <vt:variant>
        <vt:lpwstr>http://www.nevo.co.il/law/70301/30</vt:lpwstr>
      </vt:variant>
      <vt:variant>
        <vt:lpwstr/>
      </vt:variant>
      <vt:variant>
        <vt:i4>6291559</vt:i4>
      </vt:variant>
      <vt:variant>
        <vt:i4>24</vt:i4>
      </vt:variant>
      <vt:variant>
        <vt:i4>0</vt:i4>
      </vt:variant>
      <vt:variant>
        <vt:i4>5</vt:i4>
      </vt:variant>
      <vt:variant>
        <vt:lpwstr>http://www.nevo.co.il/law/70301/25</vt:lpwstr>
      </vt:variant>
      <vt:variant>
        <vt:lpwstr/>
      </vt:variant>
      <vt:variant>
        <vt:i4>7995492</vt:i4>
      </vt:variant>
      <vt:variant>
        <vt:i4>21</vt:i4>
      </vt:variant>
      <vt:variant>
        <vt:i4>0</vt:i4>
      </vt:variant>
      <vt:variant>
        <vt:i4>5</vt:i4>
      </vt:variant>
      <vt:variant>
        <vt:lpwstr>http://www.nevo.co.il/law/70301</vt:lpwstr>
      </vt:variant>
      <vt:variant>
        <vt:lpwstr/>
      </vt:variant>
      <vt:variant>
        <vt:i4>5570639</vt:i4>
      </vt:variant>
      <vt:variant>
        <vt:i4>18</vt:i4>
      </vt:variant>
      <vt:variant>
        <vt:i4>0</vt:i4>
      </vt:variant>
      <vt:variant>
        <vt:i4>5</vt:i4>
      </vt:variant>
      <vt:variant>
        <vt:lpwstr>http://www.nevo.co.il/law/141771/37.a</vt:lpwstr>
      </vt:variant>
      <vt:variant>
        <vt:lpwstr/>
      </vt:variant>
      <vt:variant>
        <vt:i4>7995425</vt:i4>
      </vt:variant>
      <vt:variant>
        <vt:i4>15</vt:i4>
      </vt:variant>
      <vt:variant>
        <vt:i4>0</vt:i4>
      </vt:variant>
      <vt:variant>
        <vt:i4>5</vt:i4>
      </vt:variant>
      <vt:variant>
        <vt:lpwstr>http://www.nevo.co.il/law/141771/28.a.3</vt:lpwstr>
      </vt:variant>
      <vt:variant>
        <vt:lpwstr/>
      </vt:variant>
      <vt:variant>
        <vt:i4>5505098</vt:i4>
      </vt:variant>
      <vt:variant>
        <vt:i4>12</vt:i4>
      </vt:variant>
      <vt:variant>
        <vt:i4>0</vt:i4>
      </vt:variant>
      <vt:variant>
        <vt:i4>5</vt:i4>
      </vt:variant>
      <vt:variant>
        <vt:lpwstr>http://www.nevo.co.il/law/141771/22.c</vt:lpwstr>
      </vt:variant>
      <vt:variant>
        <vt:lpwstr/>
      </vt:variant>
      <vt:variant>
        <vt:i4>5505098</vt:i4>
      </vt:variant>
      <vt:variant>
        <vt:i4>9</vt:i4>
      </vt:variant>
      <vt:variant>
        <vt:i4>0</vt:i4>
      </vt:variant>
      <vt:variant>
        <vt:i4>5</vt:i4>
      </vt:variant>
      <vt:variant>
        <vt:lpwstr>http://www.nevo.co.il/law/141771/22.b</vt:lpwstr>
      </vt:variant>
      <vt:variant>
        <vt:lpwstr/>
      </vt:variant>
      <vt:variant>
        <vt:i4>4718679</vt:i4>
      </vt:variant>
      <vt:variant>
        <vt:i4>6</vt:i4>
      </vt:variant>
      <vt:variant>
        <vt:i4>0</vt:i4>
      </vt:variant>
      <vt:variant>
        <vt:i4>5</vt:i4>
      </vt:variant>
      <vt:variant>
        <vt:lpwstr>http://www.nevo.co.il/law/141771</vt:lpwstr>
      </vt:variant>
      <vt:variant>
        <vt:lpwstr/>
      </vt:variant>
      <vt:variant>
        <vt:i4>5636183</vt:i4>
      </vt:variant>
      <vt:variant>
        <vt:i4>3</vt:i4>
      </vt:variant>
      <vt:variant>
        <vt:i4>0</vt:i4>
      </vt:variant>
      <vt:variant>
        <vt:i4>5</vt:i4>
      </vt:variant>
      <vt:variant>
        <vt:lpwstr>http://www.nevo.co.il/law/72515/3</vt:lpwstr>
      </vt:variant>
      <vt:variant>
        <vt:lpwstr/>
      </vt:variant>
      <vt:variant>
        <vt:i4>7929954</vt:i4>
      </vt:variant>
      <vt:variant>
        <vt:i4>0</vt:i4>
      </vt:variant>
      <vt:variant>
        <vt:i4>0</vt:i4>
      </vt:variant>
      <vt:variant>
        <vt:i4>5</vt:i4>
      </vt:variant>
      <vt:variant>
        <vt:lpwstr>http://www.nevo.co.il/law/72515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2025-04-25T10:41:00Z</dcterms:created>
  <dcterms:modified xsi:type="dcterms:W3CDTF">2025-04-25T10:41:00Z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28728</vt:lpwstr>
  </property>
  <property fmtid="{D5CDD505-2E9C-101B-9397-08002B2CF9AE}" pid="6" name="NEWPARTB">
    <vt:lpwstr>08</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 מוחמד אבו ח'דיר;עבאס סלחי;עמרו מעתוק</vt:lpwstr>
  </property>
  <property fmtid="{D5CDD505-2E9C-101B-9397-08002B2CF9AE}" pid="10" name="LAWYER">
    <vt:lpwstr>לאה צמל;מוחמד מחמוד;נאיל זחאלקה;מוחמד מחמוד</vt:lpwstr>
  </property>
  <property fmtid="{D5CDD505-2E9C-101B-9397-08002B2CF9AE}" pid="11" name="JUDGE">
    <vt:lpwstr>רפי כרמל;כרמי מוסק;שירלי רנר</vt:lpwstr>
  </property>
  <property fmtid="{D5CDD505-2E9C-101B-9397-08002B2CF9AE}" pid="12" name="CITY">
    <vt:lpwstr>י-ם</vt:lpwstr>
  </property>
  <property fmtid="{D5CDD505-2E9C-101B-9397-08002B2CF9AE}" pid="13" name="DATE">
    <vt:lpwstr>20190108</vt:lpwstr>
  </property>
  <property fmtid="{D5CDD505-2E9C-101B-9397-08002B2CF9AE}" pid="14" name="TYPE_N_DATE">
    <vt:lpwstr>39020190108</vt:lpwstr>
  </property>
  <property fmtid="{D5CDD505-2E9C-101B-9397-08002B2CF9AE}" pid="15" name="CASESLISTTMP1">
    <vt:lpwstr>20787919</vt:lpwstr>
  </property>
  <property fmtid="{D5CDD505-2E9C-101B-9397-08002B2CF9AE}" pid="16" name="WORDNUMPAGES">
    <vt:lpwstr>8</vt:lpwstr>
  </property>
  <property fmtid="{D5CDD505-2E9C-101B-9397-08002B2CF9AE}" pid="17" name="TYPE_ABS_DATE">
    <vt:lpwstr>390020190108</vt:lpwstr>
  </property>
  <property fmtid="{D5CDD505-2E9C-101B-9397-08002B2CF9AE}" pid="18" name="ISABSTRACT">
    <vt:lpwstr>Y</vt:lpwstr>
  </property>
  <property fmtid="{D5CDD505-2E9C-101B-9397-08002B2CF9AE}" pid="19" name="LAWLISTTMP1">
    <vt:lpwstr>72515/003:2</vt:lpwstr>
  </property>
  <property fmtid="{D5CDD505-2E9C-101B-9397-08002B2CF9AE}" pid="20" name="LAWLISTTMP2">
    <vt:lpwstr>141771/022.b:2;022.c;037.a;028.a.3</vt:lpwstr>
  </property>
  <property fmtid="{D5CDD505-2E9C-101B-9397-08002B2CF9AE}" pid="21" name="LAWLISTTMP3">
    <vt:lpwstr>70301/030;499.a;329;300.a.2;144.a:2;340a;025:3;274:2;152:2;448.a;338.a;040b;040c.a;040i:2;040d;040e;040f</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ies>
</file>