
<file path=[Content_Types].xml><?xml version="1.0" encoding="utf-8"?>
<Types xmlns="http://schemas.openxmlformats.org/package/2006/content-types">
  <Default Extension="bin" ContentType="application/vnd.ms-word.attachedToolbar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6396"/>
        <w:gridCol w:w="236"/>
        <w:gridCol w:w="2088"/>
      </w:tblGrid>
      <w:tr w:rsidR="00746032" w:rsidRPr="00746032" w14:paraId="62311C80" w14:textId="77777777" w:rsidTr="006204AE">
        <w:trPr>
          <w:trHeight w:hRule="exact" w:val="418"/>
          <w:jc w:val="center"/>
        </w:trPr>
        <w:tc>
          <w:tcPr>
            <w:tcW w:w="8720" w:type="dxa"/>
            <w:gridSpan w:val="3"/>
          </w:tcPr>
          <w:p w14:paraId="5C8E827F" w14:textId="77777777" w:rsidR="00746032" w:rsidRPr="00746032" w:rsidRDefault="00746032" w:rsidP="006204AE">
            <w:pPr>
              <w:pStyle w:val="a3"/>
              <w:tabs>
                <w:tab w:val="clear" w:pos="8306"/>
              </w:tabs>
              <w:jc w:val="center"/>
              <w:rPr>
                <w:rFonts w:ascii="Tahoma" w:hAnsi="Tahoma" w:cs="Tahoma"/>
                <w:b/>
                <w:bCs/>
                <w:color w:val="000080"/>
                <w:sz w:val="20"/>
                <w:szCs w:val="20"/>
                <w:rtl/>
              </w:rPr>
            </w:pPr>
            <w:bookmarkStart w:id="0" w:name="LastJudge"/>
            <w:r w:rsidRPr="00746032">
              <w:rPr>
                <w:rFonts w:ascii="Tahoma" w:hAnsi="Tahoma" w:cs="Tahoma"/>
                <w:b/>
                <w:bCs/>
                <w:color w:val="000080"/>
                <w:sz w:val="20"/>
                <w:szCs w:val="20"/>
                <w:rtl/>
              </w:rPr>
              <w:t>בית המשפט המחוזי בבאר שבע</w:t>
            </w:r>
          </w:p>
        </w:tc>
      </w:tr>
      <w:tr w:rsidR="00746032" w:rsidRPr="00746032" w14:paraId="4E1927BD" w14:textId="77777777" w:rsidTr="006204AE">
        <w:trPr>
          <w:trHeight w:val="337"/>
          <w:jc w:val="center"/>
        </w:trPr>
        <w:tc>
          <w:tcPr>
            <w:tcW w:w="6396" w:type="dxa"/>
          </w:tcPr>
          <w:p w14:paraId="111F3697" w14:textId="77777777" w:rsidR="00746032" w:rsidRPr="00746032" w:rsidRDefault="00746032" w:rsidP="006204AE">
            <w:pPr>
              <w:rPr>
                <w:b/>
                <w:bCs/>
                <w:sz w:val="26"/>
                <w:szCs w:val="26"/>
                <w:rtl/>
              </w:rPr>
            </w:pPr>
            <w:r w:rsidRPr="00746032">
              <w:rPr>
                <w:b/>
                <w:bCs/>
                <w:sz w:val="26"/>
                <w:szCs w:val="26"/>
                <w:rtl/>
              </w:rPr>
              <w:t>ת"פ 50556-08-17 מדינת ישראל נ' סולומון(עציר)</w:t>
            </w:r>
          </w:p>
          <w:p w14:paraId="757DFB65" w14:textId="77777777" w:rsidR="00746032" w:rsidRPr="00746032" w:rsidRDefault="00746032" w:rsidP="006204AE">
            <w:pPr>
              <w:rPr>
                <w:b/>
                <w:bCs/>
                <w:sz w:val="26"/>
                <w:szCs w:val="26"/>
                <w:rtl/>
              </w:rPr>
            </w:pPr>
          </w:p>
        </w:tc>
        <w:tc>
          <w:tcPr>
            <w:tcW w:w="236" w:type="dxa"/>
          </w:tcPr>
          <w:p w14:paraId="7D2248E6" w14:textId="77777777" w:rsidR="00746032" w:rsidRPr="00746032" w:rsidRDefault="00746032" w:rsidP="006204AE">
            <w:pPr>
              <w:pStyle w:val="a3"/>
              <w:jc w:val="right"/>
              <w:rPr>
                <w:b/>
                <w:bCs/>
                <w:sz w:val="26"/>
                <w:szCs w:val="26"/>
                <w:rtl/>
              </w:rPr>
            </w:pPr>
          </w:p>
        </w:tc>
        <w:tc>
          <w:tcPr>
            <w:tcW w:w="2088" w:type="dxa"/>
          </w:tcPr>
          <w:p w14:paraId="27539F76" w14:textId="77777777" w:rsidR="00746032" w:rsidRPr="00746032" w:rsidRDefault="00746032" w:rsidP="006204AE">
            <w:pPr>
              <w:pStyle w:val="a3"/>
              <w:tabs>
                <w:tab w:val="clear" w:pos="4153"/>
              </w:tabs>
              <w:jc w:val="right"/>
              <w:rPr>
                <w:b/>
                <w:bCs/>
                <w:sz w:val="26"/>
                <w:szCs w:val="26"/>
                <w:rtl/>
              </w:rPr>
            </w:pPr>
            <w:r w:rsidRPr="00746032">
              <w:rPr>
                <w:b/>
                <w:bCs/>
                <w:sz w:val="26"/>
                <w:szCs w:val="26"/>
                <w:rtl/>
              </w:rPr>
              <w:t>05 יוני 2018</w:t>
            </w:r>
          </w:p>
        </w:tc>
      </w:tr>
    </w:tbl>
    <w:p w14:paraId="36166E81" w14:textId="77777777" w:rsidR="00746032" w:rsidRPr="00746032" w:rsidRDefault="00746032" w:rsidP="00746032">
      <w:pPr>
        <w:pStyle w:val="a3"/>
        <w:jc w:val="center"/>
        <w:rPr>
          <w:rFonts w:ascii="Tahoma" w:hAnsi="Tahoma" w:cs="Tahoma"/>
          <w:b/>
          <w:bCs/>
          <w:color w:val="000080"/>
          <w:sz w:val="20"/>
          <w:szCs w:val="20"/>
          <w:rtl/>
        </w:rPr>
      </w:pPr>
    </w:p>
    <w:p w14:paraId="159A1379" w14:textId="77777777" w:rsidR="003507D7" w:rsidRPr="00746032" w:rsidRDefault="003507D7" w:rsidP="009B24E2">
      <w:pPr>
        <w:suppressLineNumbers/>
        <w:rPr>
          <w:rFonts w:ascii="Arial" w:hAnsi="Arial"/>
          <w:rtl/>
        </w:rPr>
      </w:pPr>
    </w:p>
    <w:tbl>
      <w:tblPr>
        <w:bidiVisual/>
        <w:tblW w:w="0" w:type="auto"/>
        <w:jc w:val="center"/>
        <w:tblLook w:val="0000" w:firstRow="0" w:lastRow="0" w:firstColumn="0" w:lastColumn="0" w:noHBand="0" w:noVBand="0"/>
      </w:tblPr>
      <w:tblGrid>
        <w:gridCol w:w="1592"/>
        <w:gridCol w:w="7128"/>
      </w:tblGrid>
      <w:tr w:rsidR="00746032" w:rsidRPr="00746032" w14:paraId="68A8847A" w14:textId="77777777" w:rsidTr="006204AE">
        <w:trPr>
          <w:trHeight w:val="337"/>
          <w:jc w:val="center"/>
        </w:trPr>
        <w:tc>
          <w:tcPr>
            <w:tcW w:w="1592" w:type="dxa"/>
          </w:tcPr>
          <w:p w14:paraId="52E9BCCE" w14:textId="77777777" w:rsidR="00746032" w:rsidRPr="00746032" w:rsidRDefault="00746032" w:rsidP="006204AE">
            <w:pPr>
              <w:pStyle w:val="a3"/>
              <w:bidi w:val="0"/>
              <w:spacing w:line="360" w:lineRule="auto"/>
              <w:jc w:val="both"/>
              <w:rPr>
                <w:rFonts w:ascii="Times New Roman" w:hAnsi="Times New Roman"/>
              </w:rPr>
            </w:pPr>
            <w:bookmarkStart w:id="1" w:name="_GoBack"/>
            <w:bookmarkEnd w:id="1"/>
            <w:r w:rsidRPr="00746032">
              <w:rPr>
                <w:rFonts w:ascii="Times New Roman" w:hAnsi="Times New Roman"/>
              </w:rPr>
              <w:t xml:space="preserve">      </w:t>
            </w:r>
          </w:p>
        </w:tc>
        <w:tc>
          <w:tcPr>
            <w:tcW w:w="7128" w:type="dxa"/>
          </w:tcPr>
          <w:p w14:paraId="6BFD1F59" w14:textId="77777777" w:rsidR="00746032" w:rsidRPr="00746032" w:rsidRDefault="00746032" w:rsidP="006204AE">
            <w:pPr>
              <w:pStyle w:val="a3"/>
              <w:jc w:val="right"/>
              <w:rPr>
                <w:rtl/>
              </w:rPr>
            </w:pPr>
            <w:r w:rsidRPr="00746032">
              <w:rPr>
                <w:rtl/>
              </w:rPr>
              <w:t xml:space="preserve"> </w:t>
            </w:r>
          </w:p>
        </w:tc>
      </w:tr>
      <w:tr w:rsidR="00746032" w:rsidRPr="00746032" w14:paraId="4F1F0E14" w14:textId="77777777" w:rsidTr="006204AE">
        <w:trPr>
          <w:trHeight w:val="337"/>
          <w:jc w:val="center"/>
        </w:trPr>
        <w:tc>
          <w:tcPr>
            <w:tcW w:w="1592" w:type="dxa"/>
          </w:tcPr>
          <w:p w14:paraId="23EF32EF" w14:textId="77777777" w:rsidR="00746032" w:rsidRPr="00746032" w:rsidRDefault="00746032" w:rsidP="006204AE">
            <w:pPr>
              <w:pStyle w:val="a3"/>
              <w:bidi w:val="0"/>
              <w:jc w:val="both"/>
              <w:rPr>
                <w:rFonts w:ascii="Times New Roman" w:hAnsi="Times New Roman"/>
              </w:rPr>
            </w:pPr>
          </w:p>
        </w:tc>
        <w:tc>
          <w:tcPr>
            <w:tcW w:w="7128" w:type="dxa"/>
          </w:tcPr>
          <w:p w14:paraId="2A81C2E8" w14:textId="77777777" w:rsidR="00746032" w:rsidRPr="00746032" w:rsidRDefault="00746032" w:rsidP="006204AE">
            <w:pPr>
              <w:pStyle w:val="a3"/>
              <w:rPr>
                <w:b/>
                <w:bCs/>
                <w:sz w:val="4"/>
                <w:szCs w:val="4"/>
                <w:rtl/>
              </w:rPr>
            </w:pPr>
            <w:r w:rsidRPr="00746032">
              <w:rPr>
                <w:b/>
                <w:bCs/>
                <w:rtl/>
              </w:rPr>
              <w:t xml:space="preserve">                       מספר פל"א </w:t>
            </w:r>
            <w:r w:rsidRPr="00746032">
              <w:rPr>
                <w:b/>
                <w:bCs/>
              </w:rPr>
              <w:t>286182/2017</w:t>
            </w:r>
          </w:p>
        </w:tc>
      </w:tr>
      <w:tr w:rsidR="00746032" w:rsidRPr="00746032" w14:paraId="483BF11C" w14:textId="77777777" w:rsidTr="006204AE">
        <w:trPr>
          <w:trHeight w:val="337"/>
          <w:jc w:val="center"/>
        </w:trPr>
        <w:tc>
          <w:tcPr>
            <w:tcW w:w="1592" w:type="dxa"/>
          </w:tcPr>
          <w:p w14:paraId="756C0043" w14:textId="77777777" w:rsidR="00746032" w:rsidRPr="00746032" w:rsidRDefault="00746032" w:rsidP="006204AE">
            <w:pPr>
              <w:pStyle w:val="a3"/>
              <w:bidi w:val="0"/>
              <w:jc w:val="both"/>
              <w:rPr>
                <w:rFonts w:ascii="Times New Roman" w:hAnsi="Times New Roman"/>
              </w:rPr>
            </w:pPr>
          </w:p>
        </w:tc>
        <w:tc>
          <w:tcPr>
            <w:tcW w:w="7128" w:type="dxa"/>
          </w:tcPr>
          <w:p w14:paraId="4B52F2DD" w14:textId="77777777" w:rsidR="00746032" w:rsidRPr="00746032" w:rsidRDefault="00746032" w:rsidP="006204AE">
            <w:pPr>
              <w:pStyle w:val="a3"/>
              <w:jc w:val="right"/>
              <w:rPr>
                <w:rtl/>
              </w:rPr>
            </w:pPr>
          </w:p>
        </w:tc>
      </w:tr>
    </w:tbl>
    <w:p w14:paraId="3E9D9D6F" w14:textId="77777777" w:rsidR="00746032" w:rsidRPr="00746032" w:rsidRDefault="00746032" w:rsidP="009B24E2">
      <w:pPr>
        <w:suppressLineNumbers/>
        <w:rPr>
          <w:rFonts w:ascii="Arial" w:hAnsi="Arial"/>
          <w:rtl/>
        </w:rPr>
      </w:pPr>
    </w:p>
    <w:p w14:paraId="3FAD7222" w14:textId="77777777" w:rsidR="00746032" w:rsidRPr="00746032" w:rsidRDefault="00746032" w:rsidP="00701074">
      <w:pPr>
        <w:spacing w:line="360" w:lineRule="auto"/>
        <w:jc w:val="both"/>
        <w:rPr>
          <w:sz w:val="6"/>
          <w:szCs w:val="6"/>
          <w:rtl/>
        </w:rPr>
      </w:pPr>
    </w:p>
    <w:tbl>
      <w:tblPr>
        <w:bidiVisual/>
        <w:tblW w:w="8802" w:type="dxa"/>
        <w:tblInd w:w="-28" w:type="dxa"/>
        <w:tblLook w:val="01E0" w:firstRow="1" w:lastRow="1" w:firstColumn="1" w:lastColumn="1" w:noHBand="0" w:noVBand="0"/>
      </w:tblPr>
      <w:tblGrid>
        <w:gridCol w:w="2880"/>
        <w:gridCol w:w="5838"/>
        <w:gridCol w:w="84"/>
      </w:tblGrid>
      <w:tr w:rsidR="00746032" w:rsidRPr="00746032" w14:paraId="32DB0CA0" w14:textId="77777777" w:rsidTr="006204AE">
        <w:trPr>
          <w:gridAfter w:val="1"/>
          <w:wAfter w:w="56" w:type="dxa"/>
        </w:trPr>
        <w:tc>
          <w:tcPr>
            <w:tcW w:w="8718" w:type="dxa"/>
            <w:gridSpan w:val="2"/>
          </w:tcPr>
          <w:p w14:paraId="7C004EC6" w14:textId="77777777" w:rsidR="00746032" w:rsidRPr="00746032" w:rsidRDefault="00746032" w:rsidP="006204AE">
            <w:pPr>
              <w:rPr>
                <w:rFonts w:ascii="Times New Roman" w:hAnsi="Times New Roman"/>
                <w:b/>
                <w:bCs/>
                <w:sz w:val="26"/>
                <w:szCs w:val="26"/>
                <w:rtl/>
              </w:rPr>
            </w:pPr>
            <w:r w:rsidRPr="00746032">
              <w:rPr>
                <w:rFonts w:ascii="Times New Roman" w:hAnsi="Times New Roman"/>
                <w:b/>
                <w:bCs/>
                <w:sz w:val="26"/>
                <w:szCs w:val="26"/>
                <w:rtl/>
              </w:rPr>
              <w:t>לפני כבוד השופט דניאל בן טולילה</w:t>
            </w:r>
            <w:r w:rsidRPr="00746032">
              <w:rPr>
                <w:rStyle w:val="TimesNewRomanTimesNewRoman"/>
                <w:rtl/>
              </w:rPr>
              <w:t xml:space="preserve"> </w:t>
            </w:r>
          </w:p>
        </w:tc>
      </w:tr>
      <w:tr w:rsidR="00746032" w:rsidRPr="00746032" w14:paraId="605B362B" w14:textId="77777777" w:rsidTr="006204AE">
        <w:trPr>
          <w:cantSplit/>
          <w:trHeight w:val="724"/>
        </w:trPr>
        <w:tc>
          <w:tcPr>
            <w:tcW w:w="2880" w:type="dxa"/>
          </w:tcPr>
          <w:p w14:paraId="188011FF" w14:textId="77777777" w:rsidR="00746032" w:rsidRPr="00746032" w:rsidRDefault="00746032" w:rsidP="006204AE">
            <w:pPr>
              <w:ind w:left="26"/>
              <w:rPr>
                <w:rFonts w:ascii="Times New Roman" w:hAnsi="Times New Roman"/>
                <w:b/>
                <w:bCs/>
                <w:sz w:val="26"/>
                <w:szCs w:val="26"/>
                <w:rtl/>
              </w:rPr>
            </w:pPr>
            <w:bookmarkStart w:id="2" w:name="FirstAppellant"/>
          </w:p>
          <w:p w14:paraId="043F1C23" w14:textId="77777777" w:rsidR="00746032" w:rsidRPr="00746032" w:rsidRDefault="00746032" w:rsidP="006204AE">
            <w:pPr>
              <w:ind w:left="26"/>
              <w:rPr>
                <w:rFonts w:ascii="Times New Roman" w:hAnsi="Times New Roman"/>
                <w:b/>
                <w:bCs/>
                <w:sz w:val="26"/>
                <w:szCs w:val="26"/>
                <w:rtl/>
              </w:rPr>
            </w:pPr>
            <w:r w:rsidRPr="00746032">
              <w:rPr>
                <w:rFonts w:ascii="Times New Roman" w:hAnsi="Times New Roman"/>
                <w:b/>
                <w:bCs/>
                <w:sz w:val="26"/>
                <w:szCs w:val="26"/>
                <w:rtl/>
              </w:rPr>
              <w:t>המאשימה</w:t>
            </w:r>
          </w:p>
        </w:tc>
        <w:tc>
          <w:tcPr>
            <w:tcW w:w="5922" w:type="dxa"/>
            <w:gridSpan w:val="2"/>
          </w:tcPr>
          <w:p w14:paraId="04271C8C" w14:textId="77777777" w:rsidR="00746032" w:rsidRPr="00746032" w:rsidRDefault="00746032" w:rsidP="006204AE">
            <w:pPr>
              <w:rPr>
                <w:rFonts w:ascii="Times New Roman" w:hAnsi="Times New Roman" w:cs="Times New Roman"/>
                <w:rtl/>
              </w:rPr>
            </w:pPr>
          </w:p>
          <w:p w14:paraId="6B7ED251" w14:textId="77777777" w:rsidR="00746032" w:rsidRPr="00746032" w:rsidRDefault="00746032" w:rsidP="006204AE">
            <w:pPr>
              <w:rPr>
                <w:rFonts w:ascii="Times New Roman" w:hAnsi="Times New Roman"/>
                <w:b/>
                <w:bCs/>
                <w:sz w:val="26"/>
                <w:szCs w:val="26"/>
                <w:rtl/>
              </w:rPr>
            </w:pPr>
            <w:r w:rsidRPr="00746032">
              <w:rPr>
                <w:rFonts w:ascii="Times New Roman" w:hAnsi="Times New Roman"/>
                <w:b/>
                <w:bCs/>
                <w:sz w:val="26"/>
                <w:szCs w:val="26"/>
                <w:rtl/>
              </w:rPr>
              <w:t>מדינת ישראל- פמ"ד</w:t>
            </w:r>
            <w:r w:rsidRPr="00746032">
              <w:rPr>
                <w:rFonts w:ascii="Times New Roman" w:hAnsi="Times New Roman" w:cs="Times New Roman"/>
                <w:rtl/>
              </w:rPr>
              <w:t xml:space="preserve"> </w:t>
            </w:r>
          </w:p>
          <w:p w14:paraId="7B5754C0" w14:textId="77777777" w:rsidR="00746032" w:rsidRPr="00746032" w:rsidRDefault="00746032" w:rsidP="006204AE">
            <w:pPr>
              <w:rPr>
                <w:rFonts w:ascii="Times New Roman" w:hAnsi="Times New Roman"/>
                <w:b/>
                <w:bCs/>
                <w:sz w:val="26"/>
                <w:szCs w:val="26"/>
                <w:rtl/>
              </w:rPr>
            </w:pPr>
            <w:r w:rsidRPr="00746032">
              <w:rPr>
                <w:rFonts w:ascii="Times New Roman" w:hAnsi="Times New Roman"/>
                <w:b/>
                <w:bCs/>
                <w:sz w:val="26"/>
                <w:szCs w:val="26"/>
                <w:rtl/>
              </w:rPr>
              <w:t>על ידי בא כוח עו"ד גינת</w:t>
            </w:r>
          </w:p>
        </w:tc>
      </w:tr>
      <w:bookmarkEnd w:id="2"/>
      <w:tr w:rsidR="00746032" w:rsidRPr="00746032" w14:paraId="4B8B11B0" w14:textId="77777777" w:rsidTr="006204AE">
        <w:tc>
          <w:tcPr>
            <w:tcW w:w="8802" w:type="dxa"/>
            <w:gridSpan w:val="3"/>
            <w:vAlign w:val="center"/>
          </w:tcPr>
          <w:p w14:paraId="263A0988" w14:textId="77777777" w:rsidR="00746032" w:rsidRPr="00746032" w:rsidRDefault="00746032" w:rsidP="006204AE">
            <w:pPr>
              <w:jc w:val="center"/>
              <w:rPr>
                <w:rFonts w:ascii="Arial" w:hAnsi="Arial"/>
                <w:b/>
                <w:bCs/>
                <w:sz w:val="26"/>
                <w:szCs w:val="26"/>
                <w:rtl/>
              </w:rPr>
            </w:pPr>
          </w:p>
          <w:p w14:paraId="1B8C6E31" w14:textId="77777777" w:rsidR="00746032" w:rsidRPr="00746032" w:rsidRDefault="00746032" w:rsidP="006204AE">
            <w:pPr>
              <w:jc w:val="center"/>
              <w:rPr>
                <w:rFonts w:ascii="Arial" w:hAnsi="Arial"/>
                <w:b/>
                <w:bCs/>
                <w:sz w:val="26"/>
                <w:szCs w:val="26"/>
                <w:rtl/>
              </w:rPr>
            </w:pPr>
            <w:r w:rsidRPr="00746032">
              <w:rPr>
                <w:rFonts w:ascii="Arial" w:hAnsi="Arial"/>
                <w:b/>
                <w:bCs/>
                <w:sz w:val="26"/>
                <w:szCs w:val="26"/>
                <w:rtl/>
              </w:rPr>
              <w:t>נגד</w:t>
            </w:r>
          </w:p>
          <w:p w14:paraId="756C01B9" w14:textId="77777777" w:rsidR="00746032" w:rsidRPr="00746032" w:rsidRDefault="00746032" w:rsidP="006204AE">
            <w:pPr>
              <w:rPr>
                <w:rFonts w:ascii="Arial" w:hAnsi="Arial"/>
                <w:b/>
                <w:bCs/>
                <w:sz w:val="26"/>
                <w:szCs w:val="26"/>
              </w:rPr>
            </w:pPr>
          </w:p>
        </w:tc>
      </w:tr>
      <w:tr w:rsidR="00746032" w:rsidRPr="00746032" w14:paraId="7AF0D93F" w14:textId="77777777" w:rsidTr="006204AE">
        <w:tc>
          <w:tcPr>
            <w:tcW w:w="2880" w:type="dxa"/>
          </w:tcPr>
          <w:p w14:paraId="313273F7" w14:textId="77777777" w:rsidR="00746032" w:rsidRPr="00746032" w:rsidRDefault="00746032" w:rsidP="006204AE">
            <w:pPr>
              <w:ind w:left="26"/>
              <w:rPr>
                <w:rFonts w:ascii="Times New Roman" w:hAnsi="Times New Roman"/>
                <w:b/>
                <w:bCs/>
                <w:sz w:val="26"/>
                <w:szCs w:val="26"/>
                <w:rtl/>
              </w:rPr>
            </w:pPr>
            <w:bookmarkStart w:id="3" w:name="FirstLawyer"/>
            <w:r w:rsidRPr="00746032">
              <w:rPr>
                <w:rFonts w:ascii="Times New Roman" w:hAnsi="Times New Roman"/>
                <w:b/>
                <w:bCs/>
                <w:sz w:val="26"/>
                <w:szCs w:val="26"/>
                <w:rtl/>
              </w:rPr>
              <w:t>הנאשם</w:t>
            </w:r>
          </w:p>
        </w:tc>
        <w:tc>
          <w:tcPr>
            <w:tcW w:w="5922" w:type="dxa"/>
            <w:gridSpan w:val="2"/>
          </w:tcPr>
          <w:p w14:paraId="77979B33" w14:textId="77777777" w:rsidR="00746032" w:rsidRPr="00746032" w:rsidRDefault="00746032" w:rsidP="006204AE">
            <w:pPr>
              <w:rPr>
                <w:rFonts w:ascii="Times New Roman" w:hAnsi="Times New Roman"/>
                <w:b/>
                <w:bCs/>
                <w:sz w:val="26"/>
                <w:szCs w:val="26"/>
                <w:rtl/>
              </w:rPr>
            </w:pPr>
            <w:r w:rsidRPr="00746032">
              <w:rPr>
                <w:rFonts w:ascii="Times New Roman" w:hAnsi="Times New Roman"/>
                <w:b/>
                <w:bCs/>
                <w:sz w:val="26"/>
                <w:szCs w:val="26"/>
                <w:rtl/>
              </w:rPr>
              <w:t>ליאור סולומון (עציר)</w:t>
            </w:r>
            <w:r w:rsidRPr="00746032">
              <w:rPr>
                <w:rFonts w:ascii="Times New Roman" w:hAnsi="Times New Roman" w:cs="Times New Roman"/>
                <w:rtl/>
              </w:rPr>
              <w:t xml:space="preserve"> </w:t>
            </w:r>
            <w:r w:rsidRPr="00746032">
              <w:rPr>
                <w:rFonts w:ascii="Times New Roman" w:hAnsi="Times New Roman"/>
                <w:b/>
                <w:bCs/>
                <w:sz w:val="26"/>
                <w:szCs w:val="26"/>
                <w:rtl/>
              </w:rPr>
              <w:t xml:space="preserve">ת.ז.  </w:t>
            </w:r>
            <w:r>
              <w:rPr>
                <w:rFonts w:ascii="Times New Roman" w:hAnsi="Times New Roman"/>
                <w:b/>
                <w:bCs/>
                <w:sz w:val="26"/>
                <w:szCs w:val="26"/>
              </w:rPr>
              <w:t>xxxxxxxxxx</w:t>
            </w:r>
          </w:p>
          <w:p w14:paraId="0E29F6E1" w14:textId="77777777" w:rsidR="00746032" w:rsidRPr="00746032" w:rsidRDefault="00746032" w:rsidP="006204AE">
            <w:pPr>
              <w:rPr>
                <w:rFonts w:ascii="Times New Roman" w:hAnsi="Times New Roman"/>
                <w:b/>
                <w:bCs/>
                <w:sz w:val="26"/>
                <w:szCs w:val="26"/>
                <w:rtl/>
              </w:rPr>
            </w:pPr>
            <w:r w:rsidRPr="00746032">
              <w:rPr>
                <w:rFonts w:ascii="Times New Roman" w:hAnsi="Times New Roman"/>
                <w:b/>
                <w:bCs/>
                <w:sz w:val="26"/>
                <w:szCs w:val="26"/>
                <w:rtl/>
              </w:rPr>
              <w:t>על ידי ב"כ עו"ד ניר פוגל</w:t>
            </w:r>
          </w:p>
        </w:tc>
      </w:tr>
    </w:tbl>
    <w:bookmarkEnd w:id="3"/>
    <w:p w14:paraId="04CB38FB" w14:textId="77777777" w:rsidR="003507D7" w:rsidRPr="00746032" w:rsidRDefault="003507D7" w:rsidP="00701074">
      <w:pPr>
        <w:spacing w:line="360" w:lineRule="auto"/>
        <w:jc w:val="both"/>
        <w:rPr>
          <w:sz w:val="6"/>
          <w:szCs w:val="6"/>
          <w:rtl/>
        </w:rPr>
      </w:pPr>
      <w:r w:rsidRPr="00746032">
        <w:rPr>
          <w:sz w:val="6"/>
          <w:szCs w:val="6"/>
          <w:rtl/>
        </w:rPr>
        <w:t>&lt;#1#&gt;</w:t>
      </w:r>
    </w:p>
    <w:p w14:paraId="0355A8AA" w14:textId="77777777" w:rsidR="00912A47" w:rsidRDefault="003507D7" w:rsidP="00340A4A">
      <w:pPr>
        <w:spacing w:line="360" w:lineRule="auto"/>
        <w:jc w:val="both"/>
        <w:rPr>
          <w:rFonts w:ascii="Arial" w:hAnsi="Arial"/>
          <w:sz w:val="6"/>
          <w:szCs w:val="6"/>
          <w:rtl/>
        </w:rPr>
      </w:pPr>
      <w:r w:rsidRPr="00746032">
        <w:rPr>
          <w:rFonts w:ascii="Arial" w:hAnsi="Arial"/>
          <w:sz w:val="6"/>
          <w:szCs w:val="6"/>
          <w:rtl/>
        </w:rPr>
        <w:t>&lt;#3#&gt;</w:t>
      </w:r>
      <w:bookmarkStart w:id="4" w:name="LawTable"/>
      <w:bookmarkEnd w:id="4"/>
    </w:p>
    <w:p w14:paraId="08342D12" w14:textId="77777777" w:rsidR="00912A47" w:rsidRPr="00912A47" w:rsidRDefault="00912A47" w:rsidP="00912A47">
      <w:pPr>
        <w:spacing w:after="120" w:line="240" w:lineRule="exact"/>
        <w:ind w:left="283" w:hanging="283"/>
        <w:jc w:val="both"/>
        <w:rPr>
          <w:rFonts w:ascii="FrankRuehl" w:hAnsi="FrankRuehl" w:cs="FrankRuehl"/>
          <w:rtl/>
        </w:rPr>
      </w:pPr>
    </w:p>
    <w:p w14:paraId="54B1BE90" w14:textId="77777777" w:rsidR="00912A47" w:rsidRPr="00912A47" w:rsidRDefault="00912A47" w:rsidP="00912A47">
      <w:pPr>
        <w:spacing w:after="120" w:line="240" w:lineRule="exact"/>
        <w:ind w:left="283" w:hanging="283"/>
        <w:jc w:val="both"/>
        <w:rPr>
          <w:rFonts w:ascii="FrankRuehl" w:hAnsi="FrankRuehl" w:cs="FrankRuehl"/>
          <w:rtl/>
        </w:rPr>
      </w:pPr>
      <w:r w:rsidRPr="00912A47">
        <w:rPr>
          <w:rFonts w:ascii="FrankRuehl" w:hAnsi="FrankRuehl" w:cs="FrankRuehl"/>
          <w:rtl/>
        </w:rPr>
        <w:t xml:space="preserve">חקיקה שאוזכרה: </w:t>
      </w:r>
    </w:p>
    <w:p w14:paraId="41E88EE7" w14:textId="77777777" w:rsidR="00912A47" w:rsidRPr="00912A47" w:rsidRDefault="00912A47" w:rsidP="00912A47">
      <w:pPr>
        <w:spacing w:after="120" w:line="240" w:lineRule="exact"/>
        <w:ind w:left="283" w:hanging="283"/>
        <w:jc w:val="both"/>
        <w:rPr>
          <w:rFonts w:ascii="FrankRuehl" w:hAnsi="FrankRuehl" w:cs="FrankRuehl"/>
          <w:rtl/>
        </w:rPr>
      </w:pPr>
      <w:hyperlink r:id="rId8" w:history="1">
        <w:r w:rsidRPr="00912A47">
          <w:rPr>
            <w:rFonts w:ascii="FrankRuehl" w:hAnsi="FrankRuehl" w:cs="FrankRuehl"/>
            <w:color w:val="0000FF"/>
            <w:u w:val="single"/>
            <w:rtl/>
          </w:rPr>
          <w:t>חוק העונשין, תשל"ז-1977</w:t>
        </w:r>
      </w:hyperlink>
      <w:r w:rsidRPr="00912A47">
        <w:rPr>
          <w:rFonts w:ascii="FrankRuehl" w:hAnsi="FrankRuehl" w:cs="FrankRuehl"/>
          <w:rtl/>
        </w:rPr>
        <w:t xml:space="preserve">: סע'  </w:t>
      </w:r>
      <w:hyperlink r:id="rId9" w:history="1">
        <w:r w:rsidRPr="00912A47">
          <w:rPr>
            <w:rFonts w:ascii="FrankRuehl" w:hAnsi="FrankRuehl" w:cs="FrankRuehl"/>
            <w:color w:val="0000FF"/>
            <w:u w:val="single"/>
            <w:rtl/>
          </w:rPr>
          <w:t>25</w:t>
        </w:r>
      </w:hyperlink>
      <w:r w:rsidRPr="00912A47">
        <w:rPr>
          <w:rFonts w:ascii="FrankRuehl" w:hAnsi="FrankRuehl" w:cs="FrankRuehl"/>
          <w:rtl/>
        </w:rPr>
        <w:t xml:space="preserve">, </w:t>
      </w:r>
      <w:hyperlink r:id="rId10" w:history="1">
        <w:r w:rsidRPr="00912A47">
          <w:rPr>
            <w:rFonts w:ascii="FrankRuehl" w:hAnsi="FrankRuehl" w:cs="FrankRuehl"/>
            <w:color w:val="0000FF"/>
            <w:u w:val="single"/>
            <w:rtl/>
          </w:rPr>
          <w:t>40ג(א)</w:t>
        </w:r>
      </w:hyperlink>
      <w:r w:rsidRPr="00912A47">
        <w:rPr>
          <w:rFonts w:ascii="FrankRuehl" w:hAnsi="FrankRuehl" w:cs="FrankRuehl"/>
          <w:rtl/>
        </w:rPr>
        <w:t xml:space="preserve">, </w:t>
      </w:r>
      <w:hyperlink r:id="rId11" w:history="1">
        <w:r w:rsidRPr="00912A47">
          <w:rPr>
            <w:rFonts w:ascii="FrankRuehl" w:hAnsi="FrankRuehl" w:cs="FrankRuehl"/>
            <w:color w:val="0000FF"/>
            <w:u w:val="single"/>
            <w:rtl/>
          </w:rPr>
          <w:t>144(א)</w:t>
        </w:r>
      </w:hyperlink>
      <w:r w:rsidRPr="00912A47">
        <w:rPr>
          <w:rFonts w:ascii="FrankRuehl" w:hAnsi="FrankRuehl" w:cs="FrankRuehl"/>
          <w:rtl/>
        </w:rPr>
        <w:t xml:space="preserve">, </w:t>
      </w:r>
      <w:hyperlink r:id="rId12" w:history="1">
        <w:r w:rsidRPr="00912A47">
          <w:rPr>
            <w:rFonts w:ascii="FrankRuehl" w:hAnsi="FrankRuehl" w:cs="FrankRuehl"/>
            <w:color w:val="0000FF"/>
            <w:u w:val="single"/>
            <w:rtl/>
          </w:rPr>
          <w:t>144(ב)</w:t>
        </w:r>
      </w:hyperlink>
      <w:r w:rsidRPr="00912A47">
        <w:rPr>
          <w:rFonts w:ascii="FrankRuehl" w:hAnsi="FrankRuehl" w:cs="FrankRuehl"/>
          <w:rtl/>
        </w:rPr>
        <w:t xml:space="preserve">, </w:t>
      </w:r>
      <w:hyperlink r:id="rId13" w:history="1">
        <w:r w:rsidRPr="00912A47">
          <w:rPr>
            <w:rFonts w:ascii="FrankRuehl" w:hAnsi="FrankRuehl" w:cs="FrankRuehl"/>
            <w:color w:val="0000FF"/>
            <w:u w:val="single"/>
            <w:rtl/>
          </w:rPr>
          <w:t>402(א)</w:t>
        </w:r>
      </w:hyperlink>
      <w:r w:rsidRPr="00912A47">
        <w:rPr>
          <w:rFonts w:ascii="FrankRuehl" w:hAnsi="FrankRuehl" w:cs="FrankRuehl"/>
          <w:rtl/>
        </w:rPr>
        <w:t xml:space="preserve">, </w:t>
      </w:r>
      <w:hyperlink r:id="rId14" w:history="1">
        <w:r w:rsidRPr="00912A47">
          <w:rPr>
            <w:rFonts w:ascii="FrankRuehl" w:hAnsi="FrankRuehl" w:cs="FrankRuehl"/>
            <w:color w:val="0000FF"/>
            <w:u w:val="single"/>
            <w:rtl/>
          </w:rPr>
          <w:t>402(ב)+</w:t>
        </w:r>
      </w:hyperlink>
      <w:r w:rsidRPr="00912A47">
        <w:rPr>
          <w:rFonts w:ascii="FrankRuehl" w:hAnsi="FrankRuehl" w:cs="FrankRuehl"/>
          <w:rtl/>
        </w:rPr>
        <w:t xml:space="preserve">, </w:t>
      </w:r>
      <w:hyperlink r:id="rId15" w:history="1">
        <w:r w:rsidRPr="00912A47">
          <w:rPr>
            <w:rFonts w:ascii="FrankRuehl" w:hAnsi="FrankRuehl" w:cs="FrankRuehl"/>
            <w:color w:val="0000FF"/>
            <w:u w:val="single"/>
            <w:rtl/>
          </w:rPr>
          <w:t>40 יג (ב)</w:t>
        </w:r>
      </w:hyperlink>
      <w:r w:rsidRPr="00912A47">
        <w:rPr>
          <w:rFonts w:ascii="FrankRuehl" w:hAnsi="FrankRuehl" w:cs="FrankRuehl"/>
          <w:rtl/>
        </w:rPr>
        <w:t xml:space="preserve">, </w:t>
      </w:r>
      <w:hyperlink r:id="rId16" w:history="1">
        <w:r w:rsidRPr="00912A47">
          <w:rPr>
            <w:rFonts w:ascii="FrankRuehl" w:hAnsi="FrankRuehl" w:cs="FrankRuehl"/>
            <w:color w:val="0000FF"/>
            <w:u w:val="single"/>
            <w:rtl/>
          </w:rPr>
          <w:t>בפרק ח' תחת</w:t>
        </w:r>
      </w:hyperlink>
    </w:p>
    <w:p w14:paraId="11BEFFAC" w14:textId="77777777" w:rsidR="00912A47" w:rsidRPr="00912A47" w:rsidRDefault="00912A47" w:rsidP="00912A47">
      <w:pPr>
        <w:spacing w:after="120" w:line="240" w:lineRule="exact"/>
        <w:ind w:left="283" w:hanging="283"/>
        <w:jc w:val="both"/>
        <w:rPr>
          <w:rFonts w:ascii="FrankRuehl" w:hAnsi="FrankRuehl" w:cs="FrankRuehl"/>
          <w:rtl/>
        </w:rPr>
      </w:pPr>
    </w:p>
    <w:p w14:paraId="67633576" w14:textId="77777777" w:rsidR="00912A47" w:rsidRPr="00912A47" w:rsidRDefault="00912A47" w:rsidP="00340A4A">
      <w:pPr>
        <w:spacing w:line="360" w:lineRule="auto"/>
        <w:jc w:val="both"/>
        <w:rPr>
          <w:rFonts w:ascii="Arial" w:hAnsi="Arial"/>
          <w:sz w:val="6"/>
          <w:szCs w:val="6"/>
          <w:rtl/>
        </w:rPr>
      </w:pPr>
      <w:bookmarkStart w:id="5" w:name="LawTable_End"/>
      <w:bookmarkEnd w:id="5"/>
    </w:p>
    <w:p w14:paraId="6406D0BF" w14:textId="77777777" w:rsidR="00912A47" w:rsidRPr="00912A47" w:rsidRDefault="00912A47" w:rsidP="00340A4A">
      <w:pPr>
        <w:spacing w:line="360" w:lineRule="auto"/>
        <w:jc w:val="both"/>
        <w:rPr>
          <w:rFonts w:ascii="Arial" w:hAnsi="Arial"/>
          <w:sz w:val="6"/>
          <w:szCs w:val="6"/>
          <w:rtl/>
        </w:rPr>
      </w:pPr>
    </w:p>
    <w:p w14:paraId="74832A44" w14:textId="77777777" w:rsidR="003507D7" w:rsidRPr="00912A47" w:rsidRDefault="003507D7" w:rsidP="00340A4A">
      <w:pPr>
        <w:spacing w:line="360" w:lineRule="auto"/>
        <w:jc w:val="both"/>
        <w:rPr>
          <w:rFonts w:ascii="Arial" w:hAnsi="Arial"/>
          <w:sz w:val="6"/>
          <w:szCs w:val="6"/>
          <w:rtl/>
        </w:rPr>
      </w:pPr>
    </w:p>
    <w:p w14:paraId="66F96EB5" w14:textId="77777777" w:rsidR="00746032" w:rsidRPr="00746032" w:rsidRDefault="00746032" w:rsidP="00746032">
      <w:pPr>
        <w:spacing w:line="360" w:lineRule="auto"/>
        <w:jc w:val="center"/>
        <w:rPr>
          <w:rFonts w:ascii="Arial" w:hAnsi="Arial"/>
          <w:b/>
          <w:bCs/>
          <w:sz w:val="28"/>
          <w:szCs w:val="28"/>
          <w:u w:val="single"/>
          <w:rtl/>
        </w:rPr>
      </w:pPr>
      <w:bookmarkStart w:id="6" w:name="PsakDin"/>
      <w:bookmarkEnd w:id="0"/>
      <w:r w:rsidRPr="00746032">
        <w:rPr>
          <w:rFonts w:ascii="Arial" w:hAnsi="Arial"/>
          <w:b/>
          <w:bCs/>
          <w:sz w:val="28"/>
          <w:szCs w:val="28"/>
          <w:u w:val="single"/>
          <w:rtl/>
        </w:rPr>
        <w:t>גזר דין</w:t>
      </w:r>
    </w:p>
    <w:p w14:paraId="0A190746" w14:textId="77777777" w:rsidR="003507D7" w:rsidRDefault="003507D7" w:rsidP="00340A4A">
      <w:pPr>
        <w:spacing w:line="360" w:lineRule="auto"/>
        <w:jc w:val="both"/>
        <w:rPr>
          <w:rFonts w:ascii="Arial" w:hAnsi="Arial"/>
          <w:rtl/>
        </w:rPr>
      </w:pPr>
      <w:bookmarkStart w:id="7" w:name="ABSTRACT_START"/>
      <w:bookmarkEnd w:id="6"/>
      <w:bookmarkEnd w:id="7"/>
      <w:r>
        <w:rPr>
          <w:rFonts w:ascii="Arial" w:hAnsi="Arial"/>
          <w:rtl/>
        </w:rPr>
        <w:t xml:space="preserve">הנאשם הורשע על פי הודאתו, במסגרת הסדר טיעון, בעבירות של החזקת נשק, בהתאם להוראת </w:t>
      </w:r>
      <w:hyperlink r:id="rId17" w:history="1">
        <w:r w:rsidR="00912A47" w:rsidRPr="00912A47">
          <w:rPr>
            <w:rFonts w:ascii="Arial" w:hAnsi="Arial"/>
            <w:color w:val="0000FF"/>
            <w:u w:val="single"/>
            <w:rtl/>
          </w:rPr>
          <w:t>סעיף 144(א)</w:t>
        </w:r>
      </w:hyperlink>
      <w:r>
        <w:rPr>
          <w:rFonts w:ascii="Arial" w:hAnsi="Arial"/>
          <w:rtl/>
        </w:rPr>
        <w:t xml:space="preserve"> ל</w:t>
      </w:r>
      <w:hyperlink r:id="rId18" w:history="1">
        <w:r w:rsidR="00746032" w:rsidRPr="00746032">
          <w:rPr>
            <w:rFonts w:ascii="Arial" w:hAnsi="Arial"/>
            <w:color w:val="0000FF"/>
            <w:u w:val="single"/>
            <w:rtl/>
          </w:rPr>
          <w:t>חוק העונשין</w:t>
        </w:r>
      </w:hyperlink>
      <w:r>
        <w:rPr>
          <w:rFonts w:ascii="Arial" w:hAnsi="Arial"/>
          <w:rtl/>
        </w:rPr>
        <w:t>, התשל"ז-1977 (להלן: "</w:t>
      </w:r>
      <w:r w:rsidRPr="008F06A2">
        <w:rPr>
          <w:rFonts w:ascii="Arial" w:hAnsi="Arial"/>
          <w:b/>
          <w:bCs/>
          <w:rtl/>
        </w:rPr>
        <w:t>החוק</w:t>
      </w:r>
      <w:r>
        <w:rPr>
          <w:rFonts w:ascii="Arial" w:hAnsi="Arial"/>
          <w:rtl/>
        </w:rPr>
        <w:t xml:space="preserve">"), נשיאת נשק, בהתאם להוראת </w:t>
      </w:r>
      <w:hyperlink r:id="rId19" w:history="1">
        <w:r w:rsidR="00912A47" w:rsidRPr="00912A47">
          <w:rPr>
            <w:rFonts w:ascii="Arial" w:hAnsi="Arial"/>
            <w:color w:val="0000FF"/>
            <w:u w:val="single"/>
            <w:rtl/>
          </w:rPr>
          <w:t>סעיף 144(ב)</w:t>
        </w:r>
      </w:hyperlink>
      <w:r>
        <w:rPr>
          <w:rFonts w:ascii="Arial" w:hAnsi="Arial"/>
          <w:rtl/>
        </w:rPr>
        <w:t xml:space="preserve"> לחוק וניסיון שוד, בהתאם להוראת </w:t>
      </w:r>
      <w:hyperlink r:id="rId20" w:history="1">
        <w:r w:rsidR="00912A47" w:rsidRPr="00912A47">
          <w:rPr>
            <w:rFonts w:ascii="Arial" w:hAnsi="Arial"/>
            <w:color w:val="0000FF"/>
            <w:u w:val="single"/>
            <w:rtl/>
          </w:rPr>
          <w:t>סעיף 402(ב)+</w:t>
        </w:r>
      </w:hyperlink>
      <w:r>
        <w:rPr>
          <w:rFonts w:ascii="Arial" w:hAnsi="Arial"/>
          <w:rtl/>
        </w:rPr>
        <w:t xml:space="preserve"> </w:t>
      </w:r>
      <w:hyperlink r:id="rId21" w:history="1">
        <w:r w:rsidR="00912A47" w:rsidRPr="00912A47">
          <w:rPr>
            <w:rFonts w:ascii="Arial" w:hAnsi="Arial"/>
            <w:color w:val="0000FF"/>
            <w:u w:val="single"/>
            <w:rtl/>
          </w:rPr>
          <w:t>סעיף 25</w:t>
        </w:r>
      </w:hyperlink>
      <w:r>
        <w:rPr>
          <w:rFonts w:ascii="Arial" w:hAnsi="Arial"/>
          <w:rtl/>
        </w:rPr>
        <w:t xml:space="preserve"> לחוק הנ"ל. </w:t>
      </w:r>
    </w:p>
    <w:p w14:paraId="7D38C305" w14:textId="77777777" w:rsidR="003507D7" w:rsidRDefault="003507D7" w:rsidP="00340A4A">
      <w:pPr>
        <w:spacing w:line="360" w:lineRule="auto"/>
        <w:jc w:val="both"/>
        <w:rPr>
          <w:rFonts w:ascii="Arial" w:hAnsi="Arial"/>
          <w:rtl/>
        </w:rPr>
      </w:pPr>
      <w:bookmarkStart w:id="8" w:name="ABSTRACT_END"/>
      <w:bookmarkEnd w:id="8"/>
    </w:p>
    <w:p w14:paraId="059E98AC" w14:textId="77777777" w:rsidR="003507D7" w:rsidRDefault="003507D7" w:rsidP="00340A4A">
      <w:pPr>
        <w:spacing w:line="360" w:lineRule="auto"/>
        <w:jc w:val="both"/>
        <w:rPr>
          <w:rFonts w:ascii="Arial" w:hAnsi="Arial"/>
          <w:rtl/>
        </w:rPr>
      </w:pPr>
      <w:r>
        <w:rPr>
          <w:rFonts w:ascii="Arial" w:hAnsi="Arial"/>
          <w:rtl/>
        </w:rPr>
        <w:t xml:space="preserve">על פי המתואר בעובדות כתב האישום המתוקן, בתאריך 26.07.11 נגנב אקדח מסוג ברטה מספר </w:t>
      </w:r>
      <w:r>
        <w:rPr>
          <w:rFonts w:ascii="Arial" w:hAnsi="Arial"/>
        </w:rPr>
        <w:t>Z</w:t>
      </w:r>
      <w:r>
        <w:rPr>
          <w:rFonts w:ascii="Arial" w:hAnsi="Arial"/>
          <w:rtl/>
        </w:rPr>
        <w:t>12140</w:t>
      </w:r>
      <w:r>
        <w:rPr>
          <w:rFonts w:ascii="Arial" w:hAnsi="Arial"/>
        </w:rPr>
        <w:t>D</w:t>
      </w:r>
      <w:r>
        <w:rPr>
          <w:rFonts w:ascii="Arial" w:hAnsi="Arial"/>
          <w:rtl/>
        </w:rPr>
        <w:t xml:space="preserve"> (להלן: "</w:t>
      </w:r>
      <w:r w:rsidRPr="006D4845">
        <w:rPr>
          <w:rFonts w:ascii="Arial" w:hAnsi="Arial"/>
          <w:b/>
          <w:bCs/>
          <w:rtl/>
        </w:rPr>
        <w:t>האקדח</w:t>
      </w:r>
      <w:r>
        <w:rPr>
          <w:rFonts w:ascii="Arial" w:hAnsi="Arial"/>
          <w:rtl/>
        </w:rPr>
        <w:t>") מהישוב יד חנה.</w:t>
      </w:r>
    </w:p>
    <w:p w14:paraId="3053A9B8" w14:textId="77777777" w:rsidR="003507D7" w:rsidRDefault="003507D7" w:rsidP="00340A4A">
      <w:pPr>
        <w:spacing w:line="360" w:lineRule="auto"/>
        <w:jc w:val="both"/>
        <w:rPr>
          <w:rFonts w:ascii="Arial" w:hAnsi="Arial"/>
          <w:rtl/>
        </w:rPr>
      </w:pPr>
    </w:p>
    <w:p w14:paraId="14A2CA45" w14:textId="77777777" w:rsidR="003507D7" w:rsidRDefault="003507D7" w:rsidP="00340A4A">
      <w:pPr>
        <w:spacing w:line="360" w:lineRule="auto"/>
        <w:jc w:val="both"/>
        <w:rPr>
          <w:rFonts w:ascii="Arial" w:hAnsi="Arial"/>
          <w:rtl/>
        </w:rPr>
      </w:pPr>
      <w:r>
        <w:rPr>
          <w:rFonts w:ascii="Arial" w:hAnsi="Arial"/>
          <w:rtl/>
        </w:rPr>
        <w:t xml:space="preserve">הנאשם, ממועד שאינו ידוע במדויק למאשימה, החזיק שלא כדין את האקדח ומחסנית ובה 6 כדורי אקדח בקוטר 9 מ"מ, כשהם מוסלקים ברמקול בארון הבגדים בחדרו של הנאשם בדירה בה  מתגורר הנאשם עם הוריו ועם אחותו. </w:t>
      </w:r>
    </w:p>
    <w:p w14:paraId="4436650D" w14:textId="77777777" w:rsidR="003507D7" w:rsidRDefault="003507D7" w:rsidP="00340A4A">
      <w:pPr>
        <w:spacing w:line="360" w:lineRule="auto"/>
        <w:jc w:val="both"/>
        <w:rPr>
          <w:rFonts w:ascii="Arial" w:hAnsi="Arial"/>
          <w:rtl/>
        </w:rPr>
      </w:pPr>
    </w:p>
    <w:p w14:paraId="75CF6F19" w14:textId="77777777" w:rsidR="003507D7" w:rsidRDefault="003507D7" w:rsidP="00340A4A">
      <w:pPr>
        <w:spacing w:line="360" w:lineRule="auto"/>
        <w:jc w:val="both"/>
        <w:rPr>
          <w:rFonts w:ascii="Arial" w:hAnsi="Arial"/>
          <w:rtl/>
        </w:rPr>
      </w:pPr>
      <w:r>
        <w:rPr>
          <w:rFonts w:ascii="Arial" w:hAnsi="Arial"/>
          <w:rtl/>
        </w:rPr>
        <w:t>בתאריך 01.07.17 בשעה 21:52, נכנס הנאשם לחנות הנוחות</w:t>
      </w:r>
      <w:r w:rsidRPr="006D4845">
        <w:rPr>
          <w:rFonts w:ascii="Arial" w:hAnsi="Arial"/>
          <w:b/>
          <w:bCs/>
          <w:sz w:val="20"/>
          <w:szCs w:val="20"/>
        </w:rPr>
        <w:t>MY KIOSK</w:t>
      </w:r>
      <w:r>
        <w:rPr>
          <w:rFonts w:ascii="Arial" w:hAnsi="Arial"/>
        </w:rPr>
        <w:t xml:space="preserve"> </w:t>
      </w:r>
      <w:r>
        <w:rPr>
          <w:rFonts w:ascii="Arial" w:hAnsi="Arial"/>
          <w:rtl/>
        </w:rPr>
        <w:t xml:space="preserve"> ברח' גולדה מאיר 6 בבאר שבע (להלן: "</w:t>
      </w:r>
      <w:r w:rsidRPr="008F06A2">
        <w:rPr>
          <w:rFonts w:ascii="Arial" w:hAnsi="Arial"/>
          <w:b/>
          <w:bCs/>
          <w:rtl/>
        </w:rPr>
        <w:t>החנות</w:t>
      </w:r>
      <w:r>
        <w:rPr>
          <w:rFonts w:ascii="Arial" w:hAnsi="Arial"/>
          <w:rtl/>
        </w:rPr>
        <w:t>") כשהוא נושא שלא כדין את האקדח, כשפניו מוסתרות במסכה לבנה עם ציור שחור של פנים וכשעל ידיו כפפות לטקס בצבע תכלת. באותה העת, נכחו במקום לקוחות ועובדי החנות.</w:t>
      </w:r>
    </w:p>
    <w:p w14:paraId="31E607F2" w14:textId="77777777" w:rsidR="003507D7" w:rsidRDefault="003507D7" w:rsidP="00340A4A">
      <w:pPr>
        <w:spacing w:line="360" w:lineRule="auto"/>
        <w:jc w:val="both"/>
        <w:rPr>
          <w:rFonts w:ascii="Arial" w:hAnsi="Arial"/>
          <w:rtl/>
        </w:rPr>
      </w:pPr>
    </w:p>
    <w:p w14:paraId="60CB9E1D" w14:textId="77777777" w:rsidR="003507D7" w:rsidRDefault="003507D7" w:rsidP="00340A4A">
      <w:pPr>
        <w:spacing w:line="360" w:lineRule="auto"/>
        <w:jc w:val="both"/>
        <w:rPr>
          <w:rFonts w:ascii="Arial" w:hAnsi="Arial"/>
          <w:rtl/>
        </w:rPr>
      </w:pPr>
      <w:r>
        <w:rPr>
          <w:rFonts w:ascii="Arial" w:hAnsi="Arial"/>
          <w:rtl/>
        </w:rPr>
        <w:lastRenderedPageBreak/>
        <w:t>מיד עם כניסתו לחנות פנה הנאשם לעובד יורי אוסיפוב (להלן: "</w:t>
      </w:r>
      <w:r w:rsidRPr="008F06A2">
        <w:rPr>
          <w:rFonts w:ascii="Arial" w:hAnsi="Arial"/>
          <w:b/>
          <w:bCs/>
          <w:rtl/>
        </w:rPr>
        <w:t>ה</w:t>
      </w:r>
      <w:r>
        <w:rPr>
          <w:rFonts w:ascii="Arial" w:hAnsi="Arial"/>
          <w:b/>
          <w:bCs/>
          <w:rtl/>
        </w:rPr>
        <w:t>מתלונן</w:t>
      </w:r>
      <w:r>
        <w:rPr>
          <w:rFonts w:ascii="Arial" w:hAnsi="Arial"/>
          <w:rtl/>
        </w:rPr>
        <w:t>"), קירב את האקדח לפניו ודרש ממנו את הכסף, בעודו דוחף את העובד לעבר הקופה. המתלונן, בתגובה למעשי הנאשם, פנה לעבר הקופה בחנות ולחץ על לחצן המצוקה אשר הפעיל את האזעקה בחנות.</w:t>
      </w:r>
    </w:p>
    <w:p w14:paraId="7E7D9825" w14:textId="77777777" w:rsidR="003507D7" w:rsidRDefault="003507D7" w:rsidP="00340A4A">
      <w:pPr>
        <w:spacing w:line="360" w:lineRule="auto"/>
        <w:jc w:val="both"/>
        <w:rPr>
          <w:rFonts w:ascii="Arial" w:hAnsi="Arial"/>
          <w:rtl/>
        </w:rPr>
      </w:pPr>
    </w:p>
    <w:p w14:paraId="3342CCF0" w14:textId="77777777" w:rsidR="003507D7" w:rsidRDefault="003507D7" w:rsidP="00340A4A">
      <w:pPr>
        <w:spacing w:line="360" w:lineRule="auto"/>
        <w:jc w:val="both"/>
        <w:rPr>
          <w:rFonts w:ascii="Arial" w:hAnsi="Arial"/>
          <w:rtl/>
        </w:rPr>
      </w:pPr>
      <w:r>
        <w:rPr>
          <w:rFonts w:ascii="Arial" w:hAnsi="Arial"/>
          <w:rtl/>
        </w:rPr>
        <w:t>הנאשם, בתגובה לכך, נמלט מהמקום, כשהוא בורח לכיוון בניין מגורים ברח' חיים לנדאו ומשליך בדרך את הכפפות שעטה על ידיו ואת המסכה שעטה על פניו.</w:t>
      </w:r>
    </w:p>
    <w:p w14:paraId="24BCD2A7" w14:textId="77777777" w:rsidR="003507D7" w:rsidRPr="00BB75CF" w:rsidRDefault="003507D7" w:rsidP="00340A4A">
      <w:pPr>
        <w:spacing w:line="360" w:lineRule="auto"/>
        <w:jc w:val="both"/>
        <w:rPr>
          <w:noProof/>
          <w:rtl/>
        </w:rPr>
      </w:pPr>
    </w:p>
    <w:p w14:paraId="7AEA24BC" w14:textId="77777777" w:rsidR="003507D7" w:rsidRPr="00856E94" w:rsidRDefault="003507D7" w:rsidP="000C5129">
      <w:pPr>
        <w:spacing w:line="360" w:lineRule="auto"/>
        <w:jc w:val="both"/>
        <w:rPr>
          <w:rFonts w:ascii="Arial" w:hAnsi="Arial"/>
          <w:rtl/>
        </w:rPr>
      </w:pPr>
      <w:r w:rsidRPr="00BB75CF">
        <w:rPr>
          <w:noProof/>
          <w:rtl/>
        </w:rPr>
        <w:t>במסגרת הסדר הטיעון לא הייתה הסכמה לעניין העונש וכל צד היה</w:t>
      </w:r>
      <w:r>
        <w:rPr>
          <w:noProof/>
          <w:rtl/>
        </w:rPr>
        <w:t xml:space="preserve"> חופשי בטיעוניו, למעט הסכמה אחת ולפיה המאסר המותנה בן ה-6 חודשים שקיים בעניינו של הנאשם והינו בר הפעלה, יופעל כך שמחציתו תהא בחופף לכל עונש שייגזר על הנאשם ומחציתו במצטבר.</w:t>
      </w:r>
    </w:p>
    <w:p w14:paraId="039038DC" w14:textId="77777777" w:rsidR="003507D7" w:rsidRDefault="003507D7" w:rsidP="00340A4A">
      <w:pPr>
        <w:spacing w:line="360" w:lineRule="auto"/>
        <w:rPr>
          <w:rFonts w:ascii="Arial" w:hAnsi="Arial"/>
          <w:rtl/>
        </w:rPr>
      </w:pPr>
    </w:p>
    <w:p w14:paraId="4EE20D70" w14:textId="77777777" w:rsidR="003507D7" w:rsidRDefault="003507D7" w:rsidP="00340A4A">
      <w:pPr>
        <w:spacing w:line="360" w:lineRule="auto"/>
        <w:rPr>
          <w:rFonts w:ascii="Arial" w:hAnsi="Arial"/>
          <w:rtl/>
        </w:rPr>
      </w:pPr>
      <w:r w:rsidRPr="00967A97">
        <w:rPr>
          <w:rFonts w:ascii="Arial" w:hAnsi="Arial"/>
          <w:b/>
          <w:bCs/>
          <w:u w:val="single"/>
          <w:rtl/>
        </w:rPr>
        <w:t>תסקיר שירות המבחן</w:t>
      </w:r>
      <w:r>
        <w:rPr>
          <w:rFonts w:ascii="Arial" w:hAnsi="Arial"/>
          <w:rtl/>
        </w:rPr>
        <w:t>:</w:t>
      </w:r>
    </w:p>
    <w:p w14:paraId="512A6065" w14:textId="77777777" w:rsidR="003507D7" w:rsidRDefault="003507D7" w:rsidP="00340A4A">
      <w:pPr>
        <w:spacing w:line="360" w:lineRule="auto"/>
        <w:jc w:val="both"/>
        <w:rPr>
          <w:rFonts w:ascii="Arial" w:hAnsi="Arial"/>
          <w:rtl/>
        </w:rPr>
      </w:pPr>
      <w:r>
        <w:rPr>
          <w:rFonts w:ascii="Arial" w:hAnsi="Arial"/>
          <w:rtl/>
        </w:rPr>
        <w:t>הנאשם בן 32, רווק. טרם מעצרו שהה בתנאים מגבילים בבית הוריו תחת פיקוח שכניו. הנאשם סיים 12 שנות לימוד ושירת שירות צבאי מלא. מאז שחרורו מצה"ל עבד בעבודות מזדמנות ומזה כ-3 שנים אינו עובד כלל. בבחינת משפחת מוצאו, אביו, כבן 60, עובד כאיש אחזקה בבית ספר ואמו, כבת 55, עובדת בניקיון. לנאשם 4 אחים אשר מנהלים אורח חיים נורמטיבי ונעדרי עבר פלילי.</w:t>
      </w:r>
    </w:p>
    <w:p w14:paraId="61C0F34F" w14:textId="77777777" w:rsidR="003507D7" w:rsidRPr="00B05847" w:rsidRDefault="003507D7" w:rsidP="00340A4A">
      <w:pPr>
        <w:spacing w:line="360" w:lineRule="auto"/>
        <w:rPr>
          <w:rFonts w:ascii="Arial" w:hAnsi="Arial"/>
          <w:rtl/>
        </w:rPr>
      </w:pPr>
      <w:r>
        <w:rPr>
          <w:rFonts w:ascii="Arial" w:hAnsi="Arial"/>
          <w:rtl/>
        </w:rPr>
        <w:t xml:space="preserve"> </w:t>
      </w:r>
    </w:p>
    <w:p w14:paraId="4242F7C3" w14:textId="77777777" w:rsidR="003507D7" w:rsidRDefault="003507D7" w:rsidP="00340A4A">
      <w:pPr>
        <w:spacing w:line="360" w:lineRule="auto"/>
        <w:jc w:val="both"/>
        <w:rPr>
          <w:rtl/>
        </w:rPr>
      </w:pPr>
      <w:r>
        <w:rPr>
          <w:rtl/>
        </w:rPr>
        <w:t>ביחס לצריכת חומרים משני תודעה, בעבר הכחיש כל בעייתיות בצריכת אלכוהול, כיום החל בהכרה ראשונית בבעייתיות בצריכת אלכוהול והחל בתהליכי בחינה עצמית, זאת בשל המחירים אותם משלם. הנאשם מסר כי אינו מעוניין בטיפול מחוץ לכותלי המעצר, משום שאינו מעוניין שהלשכה לשירותים חברתיים תהא מעורבת וכן רצונו לסיים את ההליך הפלילי.</w:t>
      </w:r>
    </w:p>
    <w:p w14:paraId="1E27DA6B" w14:textId="77777777" w:rsidR="003507D7" w:rsidRDefault="003507D7" w:rsidP="00340A4A">
      <w:pPr>
        <w:spacing w:line="360" w:lineRule="auto"/>
        <w:rPr>
          <w:rtl/>
        </w:rPr>
      </w:pPr>
    </w:p>
    <w:p w14:paraId="79F307E5" w14:textId="77777777" w:rsidR="003507D7" w:rsidRDefault="003507D7" w:rsidP="00340A4A">
      <w:pPr>
        <w:spacing w:line="360" w:lineRule="auto"/>
        <w:jc w:val="both"/>
        <w:rPr>
          <w:rtl/>
        </w:rPr>
      </w:pPr>
      <w:r>
        <w:rPr>
          <w:rtl/>
        </w:rPr>
        <w:t>בהתייחס למעורבותו בעבירה שבענייננו, הודה הנאשם בביצועה באופן חלקי, לדבריו, כשנתיים בטרם ביצוע העבירה, מצא אקדח ומחסנית, אותם החביא בביתו ללא ידיעת משפחתו. יחד עם זאת, הנאשם לא פירט אודות נסיבות הגעת הנשק לידו. הנאשם מסר כי ביום העבירה שתה אלכוהול והיה מעוניין באלכוהול נוסף ועל כן החליט לשדוד חנות, בה ידע כי קיים אלכוהול וכסף. עוד מסר הנאשם כי לא התכוון לפעול באלימות כלפי הנוכחים בחנות ובשל היותו תחת השפעת אלכוהול פעל בחוסר שליטה. שירות המבחן התרשם כי כאשר הנאשם מצוי תחת השפעת אלכוהול, מצטמצמת יכולתו לשלוט על דחפיו והוא עלול לפעול באופן אלים ועובר חוק.</w:t>
      </w:r>
    </w:p>
    <w:p w14:paraId="7B82D1E7" w14:textId="77777777" w:rsidR="003507D7" w:rsidRPr="00A25FE5" w:rsidRDefault="003507D7" w:rsidP="00340A4A">
      <w:pPr>
        <w:spacing w:line="360" w:lineRule="auto"/>
        <w:jc w:val="both"/>
        <w:rPr>
          <w:u w:val="single"/>
          <w:rtl/>
        </w:rPr>
      </w:pPr>
    </w:p>
    <w:p w14:paraId="64BB728B" w14:textId="77777777" w:rsidR="003507D7" w:rsidRDefault="003507D7" w:rsidP="004057A0">
      <w:pPr>
        <w:spacing w:line="360" w:lineRule="auto"/>
        <w:jc w:val="both"/>
        <w:rPr>
          <w:rtl/>
        </w:rPr>
      </w:pPr>
      <w:r w:rsidRPr="004057A0">
        <w:rPr>
          <w:rtl/>
        </w:rPr>
        <w:t>בבחינת קיומם של</w:t>
      </w:r>
      <w:r w:rsidRPr="00A25FE5">
        <w:rPr>
          <w:u w:val="single"/>
          <w:rtl/>
        </w:rPr>
        <w:t xml:space="preserve"> גורמי סיכוי לשיקום</w:t>
      </w:r>
      <w:r>
        <w:rPr>
          <w:rtl/>
        </w:rPr>
        <w:t xml:space="preserve">- התרשם שירות המבחן כי לאורך חייו של הנאשם, התאמצה משפחתו להקנות לו ערכים נורמטיביים להתנהגות ולסיום מסגרות. </w:t>
      </w:r>
      <w:r w:rsidRPr="004057A0">
        <w:rPr>
          <w:rtl/>
        </w:rPr>
        <w:t xml:space="preserve">בבחינת קיומן של </w:t>
      </w:r>
      <w:r w:rsidRPr="00A25FE5">
        <w:rPr>
          <w:u w:val="single"/>
          <w:rtl/>
        </w:rPr>
        <w:t xml:space="preserve">גורמי הסיכון </w:t>
      </w:r>
      <w:r>
        <w:rPr>
          <w:rtl/>
        </w:rPr>
        <w:t xml:space="preserve">- שירות המבחן התרשם כי גורמי אכיפת החוק, ההליכים המשפטיים המתנהלים נגד הנאשם וכן סנקציות עונשיות אינם מרתיעים את הנאשם. כמו כן, הנאשם התקשה לשתף פעולה עם שירות המבחן ועם גורמי הטיפול. שירות המבחן מציין כי התרשם מקיומה של צריכת אלכוהול בעייתית המביאה לטשטוש גבולותיו של הנאשם. לאור כל האמור, שירות המבחן סבור כי קיימת רמת סיכון גבוהה להישנות התנהגות עוברת חוק בתחום האלימות. בסופם של דברים, סבר שירות </w:t>
      </w:r>
      <w:r>
        <w:rPr>
          <w:rtl/>
        </w:rPr>
        <w:lastRenderedPageBreak/>
        <w:t>המבחן כי הנאשם אינו מתאים לטיפול וכי יש מקום להטיל עליו עונש מאסר ארוך ומרתיע וכן עונש מאסר על תנאי.</w:t>
      </w:r>
    </w:p>
    <w:p w14:paraId="0626206E" w14:textId="77777777" w:rsidR="003507D7" w:rsidRDefault="003507D7" w:rsidP="00340A4A">
      <w:pPr>
        <w:spacing w:line="360" w:lineRule="auto"/>
        <w:jc w:val="both"/>
        <w:rPr>
          <w:rtl/>
        </w:rPr>
      </w:pPr>
    </w:p>
    <w:p w14:paraId="7FB6DEF1" w14:textId="77777777" w:rsidR="003507D7" w:rsidRDefault="003507D7" w:rsidP="00340A4A">
      <w:pPr>
        <w:spacing w:line="360" w:lineRule="auto"/>
        <w:jc w:val="both"/>
        <w:rPr>
          <w:rtl/>
        </w:rPr>
      </w:pPr>
      <w:r w:rsidRPr="00CE01EF">
        <w:rPr>
          <w:b/>
          <w:bCs/>
          <w:u w:val="single"/>
          <w:rtl/>
        </w:rPr>
        <w:t>טיעוני הצדדים לעונש</w:t>
      </w:r>
      <w:r>
        <w:rPr>
          <w:rtl/>
        </w:rPr>
        <w:t>:</w:t>
      </w:r>
    </w:p>
    <w:p w14:paraId="2593D297" w14:textId="77777777" w:rsidR="003507D7" w:rsidRDefault="003507D7" w:rsidP="000C5129">
      <w:pPr>
        <w:spacing w:line="360" w:lineRule="auto"/>
        <w:jc w:val="both"/>
        <w:rPr>
          <w:rtl/>
        </w:rPr>
      </w:pPr>
      <w:r>
        <w:rPr>
          <w:rtl/>
        </w:rPr>
        <w:t>בא כוח המאשימה במסגרת טיעוניו לעונש, הפנה לערכים המוגנים שבהם פגע הנאשם במעשיו, בכללם, תחושת הבטחון האישי, שלמות הגוף, הנפש והקניין. לאלה הוסיפה המאשימה את הצורך להגן על שלום הציבור, שלטון החוק והסדר הציבורי. לדברי המאשימה, בעבירות נשק גלומה חומרה יתרה נוכח החשש לכוונת המחזיק להשתמש בו או שזה ימצא דרכו לידי עבריינים ואף לטרוריסטים. נטען כי מידת הפגיעה בערכים המוגנים הינה גבוהה, בשים לב לעובדה כי לא די בכך שהנאשם החזיק ונשא את הנשק, אלא הנאשם  עשה בו שימוש תוך כדי ניסיון שוד. אשר על כן ובהסתמך על פסיקה אליה הפנה ב"כ המאשימה, נטען כי מתחם העונש ההולם בתיק זה מן הראוי שינוע בין 4 ל-7 שנים מאסר בפועל לצד ענישה נלווית.</w:t>
      </w:r>
    </w:p>
    <w:p w14:paraId="3302BB41" w14:textId="77777777" w:rsidR="003507D7" w:rsidRDefault="003507D7" w:rsidP="004057A0">
      <w:pPr>
        <w:spacing w:line="360" w:lineRule="auto"/>
        <w:jc w:val="both"/>
        <w:rPr>
          <w:rtl/>
        </w:rPr>
      </w:pPr>
    </w:p>
    <w:p w14:paraId="0AD682A2" w14:textId="77777777" w:rsidR="003507D7" w:rsidRDefault="003507D7" w:rsidP="003C0ADF">
      <w:pPr>
        <w:spacing w:line="360" w:lineRule="auto"/>
        <w:jc w:val="both"/>
        <w:rPr>
          <w:rtl/>
        </w:rPr>
      </w:pPr>
      <w:r>
        <w:rPr>
          <w:rtl/>
        </w:rPr>
        <w:t>בגדרו של המתחם, ולקולא, עמדה המאשימה על הודאתו של הנאשם בעובדות כתב האישום המתוקן וגילו הצעיר. יחד עם זאת, ביקשה המאשימה לתת משקל לאמור בתסקיר שירות המבחן ולעובדה כי מדובר ב"מכת אזור" אשר הוכרה ככזו בפסיקה כתופעה המצדיקה החמרה בענישה (הן לעניין עבירות הנשק והן לעניין עבירת השוד). המאשימה סבורה כי יש להעדיף את האינטרס הציבורי על פני נסיבותיו האישיות של הנאשם ולקבע את עונשו של הנאשם, בשליש העליון של המתחם והכל במצטבר למאסר אותו מרצה כיום.</w:t>
      </w:r>
    </w:p>
    <w:p w14:paraId="625E4868" w14:textId="77777777" w:rsidR="003507D7" w:rsidRDefault="003507D7" w:rsidP="00340A4A">
      <w:pPr>
        <w:spacing w:line="360" w:lineRule="auto"/>
        <w:rPr>
          <w:rtl/>
        </w:rPr>
      </w:pPr>
    </w:p>
    <w:p w14:paraId="560CA987" w14:textId="77777777" w:rsidR="003507D7" w:rsidRDefault="003507D7" w:rsidP="004057A0">
      <w:pPr>
        <w:spacing w:line="360" w:lineRule="auto"/>
        <w:jc w:val="both"/>
        <w:rPr>
          <w:rtl/>
        </w:rPr>
      </w:pPr>
      <w:r>
        <w:rPr>
          <w:rtl/>
        </w:rPr>
        <w:t>בא כוח הנאשם, מנגד, מיקד טיעוניו בכך שמדובר באירוע קצר שארך שניות בודדות כאשר האקדח אותו נשא הנאשם היה נטול תחמושת. כמו כן,  נטען שהנאשם לא השתמש באלימות של ממש כלפי המתלונן וכלפי שני הלקוחות בחנות, כך שלמעשה לא היו נפגעים מהאירוע ואף לא נגרם נזק לרכוש. עוד נטען על ידי הסנגור כי עבירת נשיאת הנשק "נבלעת" בתוך עבירת ניסיון השוד.</w:t>
      </w:r>
    </w:p>
    <w:p w14:paraId="3ED08186" w14:textId="77777777" w:rsidR="003507D7" w:rsidRDefault="003507D7" w:rsidP="00340A4A">
      <w:pPr>
        <w:spacing w:line="360" w:lineRule="auto"/>
        <w:rPr>
          <w:rtl/>
        </w:rPr>
      </w:pPr>
    </w:p>
    <w:p w14:paraId="6005D795" w14:textId="77777777" w:rsidR="003507D7" w:rsidRPr="00B05847" w:rsidRDefault="003507D7" w:rsidP="003C0ADF">
      <w:pPr>
        <w:spacing w:line="360" w:lineRule="auto"/>
        <w:jc w:val="both"/>
        <w:rPr>
          <w:rtl/>
        </w:rPr>
      </w:pPr>
      <w:r>
        <w:rPr>
          <w:rtl/>
        </w:rPr>
        <w:t xml:space="preserve">אשר לנסיבותיו האישיות של הנאשם, פירט הסנגור כי מדובר במי  שגדל במשפחה נורמטיבית. הנאשם נולד בישראל לאחר עליית הוריו מאתיופיה. משפחתו של הנאשם תומכת בו, והסיבה לכך שאף לו אחד מבני משפחתו הגיע לדיונים המשפטיים נובעת מכך שהמשפחה מאוד מתביישת, בשל כך שהעבירה בוצעה מרחק קצר ממקום מגוריהם. כך גם ביקש הסנגור לקחת בחשבון את דברי הנאשם לפיהם  הוא  מבקש לעבור טיפול במסגרת המאסר, דבר המלמד כי יש בעניינו פוטנציאל שיקום, וכן את ההודאה והחיסכון בזמן שיפוטי. בשל כל אלה סבור בא כוח הנאשם כי מתחם העונש ההולם בתיק זה מן הראוי שינוע לכל היותר בין 3 ל-4 שנים, כאשר יש למקם את עונשו של הנאשם ברף התחתון של מתחם זה. </w:t>
      </w:r>
    </w:p>
    <w:p w14:paraId="5B2C4A2A" w14:textId="77777777" w:rsidR="003507D7" w:rsidRDefault="003507D7" w:rsidP="00340A4A">
      <w:pPr>
        <w:spacing w:line="360" w:lineRule="auto"/>
        <w:rPr>
          <w:rtl/>
        </w:rPr>
      </w:pPr>
    </w:p>
    <w:p w14:paraId="4D2621B2" w14:textId="77777777" w:rsidR="003507D7" w:rsidRPr="00B05847" w:rsidRDefault="003507D7" w:rsidP="00340A4A">
      <w:pPr>
        <w:spacing w:line="360" w:lineRule="auto"/>
        <w:jc w:val="both"/>
        <w:rPr>
          <w:rtl/>
        </w:rPr>
      </w:pPr>
      <w:r>
        <w:rPr>
          <w:rtl/>
        </w:rPr>
        <w:t>הנאשם בדבריו לעונש הביע צער על מעשיו. הלה שיתף כי לא התכוון לפגוע באדם ושהיה תחת השפעת אלכוהול. עוד שיתף כי משפחתו תומכת בו, אך מתביישת במעשיו וביקש לקבל טיפול בבית הסוהר.</w:t>
      </w:r>
    </w:p>
    <w:p w14:paraId="4AE78DD8" w14:textId="77777777" w:rsidR="003507D7" w:rsidRPr="00B05847" w:rsidRDefault="003507D7" w:rsidP="00340A4A">
      <w:pPr>
        <w:spacing w:line="360" w:lineRule="auto"/>
        <w:rPr>
          <w:rtl/>
        </w:rPr>
      </w:pPr>
    </w:p>
    <w:p w14:paraId="30396BB0" w14:textId="77777777" w:rsidR="003507D7" w:rsidRPr="00B05847" w:rsidRDefault="003507D7" w:rsidP="00340A4A">
      <w:pPr>
        <w:spacing w:line="360" w:lineRule="auto"/>
        <w:rPr>
          <w:rtl/>
        </w:rPr>
      </w:pPr>
      <w:r w:rsidRPr="00934830">
        <w:rPr>
          <w:b/>
          <w:bCs/>
          <w:u w:val="single"/>
          <w:rtl/>
        </w:rPr>
        <w:t>דיון והכרעה</w:t>
      </w:r>
      <w:r>
        <w:rPr>
          <w:rtl/>
        </w:rPr>
        <w:t>:</w:t>
      </w:r>
    </w:p>
    <w:p w14:paraId="25E51F13" w14:textId="77777777" w:rsidR="003507D7" w:rsidRDefault="003507D7" w:rsidP="00340A4A">
      <w:pPr>
        <w:spacing w:line="360" w:lineRule="auto"/>
        <w:jc w:val="both"/>
        <w:rPr>
          <w:rFonts w:ascii="Arial" w:hAnsi="Arial"/>
          <w:rtl/>
        </w:rPr>
      </w:pPr>
      <w:r>
        <w:rPr>
          <w:rFonts w:ascii="Calibri" w:hAnsi="Calibri" w:hint="eastAsia"/>
          <w:rtl/>
        </w:rPr>
        <w:t>בהתאם</w:t>
      </w:r>
      <w:r>
        <w:rPr>
          <w:rFonts w:ascii="Calibri" w:hAnsi="Calibri"/>
          <w:rtl/>
        </w:rPr>
        <w:t xml:space="preserve"> </w:t>
      </w:r>
      <w:r>
        <w:rPr>
          <w:rFonts w:ascii="Calibri" w:hAnsi="Calibri" w:hint="eastAsia"/>
          <w:rtl/>
        </w:rPr>
        <w:t>לתיקון</w:t>
      </w:r>
      <w:r>
        <w:rPr>
          <w:rFonts w:ascii="Calibri" w:hAnsi="Calibri"/>
          <w:rtl/>
        </w:rPr>
        <w:t xml:space="preserve">  113 </w:t>
      </w:r>
      <w:r>
        <w:rPr>
          <w:rFonts w:ascii="Calibri" w:hAnsi="Calibri" w:hint="eastAsia"/>
          <w:rtl/>
        </w:rPr>
        <w:t>לחוק</w:t>
      </w:r>
      <w:r>
        <w:rPr>
          <w:rFonts w:ascii="Calibri" w:hAnsi="Calibri"/>
          <w:rtl/>
        </w:rPr>
        <w:t xml:space="preserve">, </w:t>
      </w:r>
      <w:r>
        <w:rPr>
          <w:rtl/>
          <w:lang w:eastAsia="he-IL"/>
        </w:rPr>
        <w:t xml:space="preserve">כאשר אין המדובר בעבירה יחידה, וכשלב ראשון, על בית המשפט לקבוע האם מדובר באירוע אחד או בכמה אירועים נפרדים. </w:t>
      </w:r>
      <w:r>
        <w:rPr>
          <w:rFonts w:ascii="Arial" w:hAnsi="Arial"/>
          <w:rtl/>
        </w:rPr>
        <w:t xml:space="preserve">תקצר היריעה מלפרט את המבחנים השונים שנקבעו בפסיקה ביחס לשאלה מה ייחשב כמעשה אחד, ומה ייחשב כאירוע אחד וזאת לצורך קביעת מתחם עונש הולם על פי תיקון 113 לחוק. </w:t>
      </w:r>
    </w:p>
    <w:p w14:paraId="61E5D11A" w14:textId="77777777" w:rsidR="003507D7" w:rsidRDefault="003507D7" w:rsidP="00340A4A">
      <w:pPr>
        <w:spacing w:line="360" w:lineRule="auto"/>
        <w:jc w:val="both"/>
        <w:rPr>
          <w:rFonts w:ascii="Arial" w:hAnsi="Arial"/>
          <w:rtl/>
        </w:rPr>
      </w:pPr>
    </w:p>
    <w:p w14:paraId="4893AAEF" w14:textId="77777777" w:rsidR="003507D7" w:rsidRDefault="003507D7" w:rsidP="00340A4A">
      <w:pPr>
        <w:spacing w:line="360" w:lineRule="auto"/>
        <w:jc w:val="both"/>
        <w:rPr>
          <w:rFonts w:ascii="Arial" w:hAnsi="Arial"/>
        </w:rPr>
      </w:pPr>
      <w:r>
        <w:rPr>
          <w:rFonts w:ascii="Arial" w:hAnsi="Arial"/>
          <w:rtl/>
        </w:rPr>
        <w:t xml:space="preserve">בית המשפט העליון נדרש באריכות לסוגיה זו במסגרת </w:t>
      </w:r>
      <w:hyperlink r:id="rId22" w:history="1">
        <w:r w:rsidR="00746032" w:rsidRPr="00746032">
          <w:rPr>
            <w:rFonts w:ascii="Arial" w:hAnsi="Arial"/>
            <w:color w:val="0000FF"/>
            <w:u w:val="single"/>
            <w:rtl/>
          </w:rPr>
          <w:t>ע"פ 4910/13</w:t>
        </w:r>
      </w:hyperlink>
      <w:r>
        <w:rPr>
          <w:rFonts w:ascii="Arial" w:hAnsi="Arial"/>
          <w:rtl/>
        </w:rPr>
        <w:t xml:space="preserve"> </w:t>
      </w:r>
      <w:r>
        <w:rPr>
          <w:rFonts w:ascii="Arial" w:hAnsi="Arial"/>
          <w:b/>
          <w:bCs/>
          <w:rtl/>
        </w:rPr>
        <w:t>אחמד ג'אבר נ' מדינת ישראל</w:t>
      </w:r>
      <w:r>
        <w:rPr>
          <w:rFonts w:ascii="Arial" w:hAnsi="Arial"/>
        </w:rPr>
        <w:t xml:space="preserve"> </w:t>
      </w:r>
      <w:r>
        <w:rPr>
          <w:rFonts w:ascii="Arial" w:hAnsi="Arial"/>
          <w:rtl/>
        </w:rPr>
        <w:t xml:space="preserve">ׁ(פורסם בנבו, 29.10.14). בסופו של פסק דין זה, מתקבלת בדעת רוב עמדת כב' השופטת ברק-ארז יחד עם דעתו של כב' השופט פוגלמן לפיה, בבואו של בית משפט לקבוע אם מדובר באירוע אחד בגינו יש לקבוע מתחם אחד, אם לאו, יש להחיל את מבחן "ניסיון החיים" ומבחן "הקשר ההדוק". עוד ראה בהקשר לכך </w:t>
      </w:r>
      <w:hyperlink r:id="rId23" w:history="1">
        <w:r w:rsidR="00746032" w:rsidRPr="00746032">
          <w:rPr>
            <w:rFonts w:ascii="Arial" w:hAnsi="Arial"/>
            <w:color w:val="0000FF"/>
            <w:u w:val="single"/>
            <w:rtl/>
          </w:rPr>
          <w:t>ע"פ 2420/15</w:t>
        </w:r>
      </w:hyperlink>
      <w:r>
        <w:rPr>
          <w:rFonts w:ascii="Arial" w:hAnsi="Arial"/>
          <w:rtl/>
        </w:rPr>
        <w:t xml:space="preserve"> </w:t>
      </w:r>
      <w:r w:rsidRPr="001E65A5">
        <w:rPr>
          <w:rFonts w:ascii="Arial" w:hAnsi="Arial"/>
          <w:b/>
          <w:bCs/>
          <w:rtl/>
        </w:rPr>
        <w:t>א</w:t>
      </w:r>
      <w:r>
        <w:rPr>
          <w:rFonts w:ascii="Arial" w:hAnsi="Arial"/>
          <w:b/>
          <w:bCs/>
          <w:rtl/>
        </w:rPr>
        <w:t>בטליון נ'</w:t>
      </w:r>
      <w:r w:rsidRPr="001E65A5">
        <w:rPr>
          <w:rFonts w:ascii="Arial" w:hAnsi="Arial"/>
          <w:b/>
          <w:bCs/>
          <w:rtl/>
        </w:rPr>
        <w:t xml:space="preserve"> מדינת ישראל</w:t>
      </w:r>
      <w:r>
        <w:rPr>
          <w:rFonts w:ascii="Arial" w:hAnsi="Arial"/>
          <w:rtl/>
        </w:rPr>
        <w:t xml:space="preserve"> (פורסם בנבו, 29.11.15), </w:t>
      </w:r>
      <w:hyperlink r:id="rId24" w:history="1">
        <w:r w:rsidR="00746032" w:rsidRPr="00746032">
          <w:rPr>
            <w:rFonts w:ascii="Arial" w:hAnsi="Arial"/>
            <w:color w:val="0000FF"/>
            <w:u w:val="single"/>
            <w:rtl/>
          </w:rPr>
          <w:t>רע"פ 4760/14</w:t>
        </w:r>
      </w:hyperlink>
      <w:r>
        <w:rPr>
          <w:rFonts w:ascii="Arial" w:hAnsi="Arial"/>
          <w:rtl/>
        </w:rPr>
        <w:t xml:space="preserve"> </w:t>
      </w:r>
      <w:r>
        <w:rPr>
          <w:rFonts w:ascii="Arial" w:hAnsi="Arial"/>
          <w:b/>
          <w:bCs/>
          <w:rtl/>
        </w:rPr>
        <w:t xml:space="preserve">קיסלמן נ' מדינת ישראל </w:t>
      </w:r>
      <w:r>
        <w:rPr>
          <w:rFonts w:ascii="Arial" w:hAnsi="Arial"/>
          <w:rtl/>
        </w:rPr>
        <w:t>(פורסם בנבו, 7.5.15)</w:t>
      </w:r>
      <w:r>
        <w:rPr>
          <w:rFonts w:ascii="Arial" w:hAnsi="Arial"/>
          <w:b/>
          <w:bCs/>
          <w:rtl/>
        </w:rPr>
        <w:t xml:space="preserve"> </w:t>
      </w:r>
      <w:r>
        <w:rPr>
          <w:rFonts w:ascii="Arial" w:hAnsi="Arial"/>
          <w:rtl/>
        </w:rPr>
        <w:t>ו</w:t>
      </w:r>
      <w:hyperlink r:id="rId25" w:history="1">
        <w:r w:rsidR="00746032" w:rsidRPr="00746032">
          <w:rPr>
            <w:rFonts w:ascii="Arial" w:hAnsi="Arial"/>
            <w:color w:val="0000FF"/>
            <w:u w:val="single"/>
            <w:rtl/>
          </w:rPr>
          <w:t>ע"פ 5643/14</w:t>
        </w:r>
      </w:hyperlink>
      <w:r>
        <w:rPr>
          <w:rFonts w:ascii="Arial" w:hAnsi="Arial"/>
          <w:rtl/>
        </w:rPr>
        <w:t xml:space="preserve"> </w:t>
      </w:r>
      <w:r>
        <w:rPr>
          <w:rFonts w:ascii="Arial" w:hAnsi="Arial"/>
          <w:b/>
          <w:bCs/>
          <w:rtl/>
        </w:rPr>
        <w:t xml:space="preserve">אחמד עיסא נ' מדינת ישראל </w:t>
      </w:r>
      <w:r>
        <w:rPr>
          <w:rFonts w:ascii="Arial" w:hAnsi="Arial"/>
          <w:rtl/>
        </w:rPr>
        <w:t>(פורסם בנבו,</w:t>
      </w:r>
      <w:r>
        <w:rPr>
          <w:rFonts w:ascii="Arial" w:hAnsi="Arial"/>
          <w:b/>
          <w:bCs/>
          <w:rtl/>
        </w:rPr>
        <w:t xml:space="preserve"> </w:t>
      </w:r>
      <w:r w:rsidRPr="00C326D7">
        <w:rPr>
          <w:rFonts w:ascii="Arial" w:hAnsi="Arial"/>
          <w:rtl/>
        </w:rPr>
        <w:t xml:space="preserve">23.6.15). </w:t>
      </w:r>
    </w:p>
    <w:p w14:paraId="64118084" w14:textId="77777777" w:rsidR="003507D7" w:rsidRDefault="003507D7" w:rsidP="00340A4A">
      <w:pPr>
        <w:spacing w:line="360" w:lineRule="auto"/>
        <w:jc w:val="both"/>
        <w:rPr>
          <w:rFonts w:ascii="Arial" w:hAnsi="Arial"/>
          <w:rtl/>
        </w:rPr>
      </w:pPr>
    </w:p>
    <w:p w14:paraId="0E7C4529" w14:textId="77777777" w:rsidR="003507D7" w:rsidRDefault="003507D7" w:rsidP="00685581">
      <w:pPr>
        <w:spacing w:line="360" w:lineRule="auto"/>
        <w:jc w:val="both"/>
        <w:rPr>
          <w:rFonts w:ascii="Arial" w:hAnsi="Arial"/>
          <w:rtl/>
        </w:rPr>
      </w:pPr>
      <w:r>
        <w:rPr>
          <w:rFonts w:ascii="Arial" w:hAnsi="Arial"/>
          <w:rtl/>
        </w:rPr>
        <w:t>יישום המבחנים שצוינו לעיל הביאני לכלל מסקנה כי יש לקבוע שני מתחמים נפרדים, האחד ביחס לעבירה של החזקת נשק והשני, ביחס לעבירה של ניסיון שוד ונשיאת נשק. מסקנה זו מבוססת בעיקר בשים לב לכך שהחזקת הנשק מתקיימת עוד בטרם בוצע ניסיון שוד (על פי דברי הנאשם לקצינת המבחן, כשנתיים טרם מעצרו) וחשוב מכך, ממשיכה להתקיים גם לאחר שאירוע זה הסתיים. הדברים אמורים גם במאובחן מהכפפות ומהמסכה שמהם נפטר במהלך מנוסתו.</w:t>
      </w:r>
    </w:p>
    <w:p w14:paraId="5075FD60" w14:textId="77777777" w:rsidR="003507D7" w:rsidRDefault="003507D7" w:rsidP="00685581">
      <w:pPr>
        <w:spacing w:line="360" w:lineRule="auto"/>
        <w:jc w:val="both"/>
        <w:rPr>
          <w:rFonts w:ascii="Arial" w:hAnsi="Arial"/>
          <w:rtl/>
        </w:rPr>
      </w:pPr>
    </w:p>
    <w:p w14:paraId="598630A7" w14:textId="77777777" w:rsidR="003507D7" w:rsidRDefault="003507D7" w:rsidP="00A140DE">
      <w:pPr>
        <w:spacing w:line="360" w:lineRule="auto"/>
        <w:jc w:val="both"/>
        <w:rPr>
          <w:rFonts w:ascii="Arial" w:hAnsi="Arial"/>
          <w:rtl/>
        </w:rPr>
      </w:pPr>
      <w:r>
        <w:rPr>
          <w:rFonts w:ascii="Arial" w:hAnsi="Arial"/>
          <w:rtl/>
        </w:rPr>
        <w:t xml:space="preserve"> המשך החזקת האקדח על ידי הנאשם, חרף הסיכון שיהיה בכך כדי לקשור אותו לשוד ובכלל, נעשתה מן הסתם לתכלית מסוימת. יוער כי כתב האישום אינו מפרט מה התאריך המדויק שבו נמצא האקדח מוסלק בביתו על ידי השוטרים (סעיף 2 לעובדות כתב האישום). הגם כך, בשים לב לכך שמדובר באותו "האקדח" פשיטא והגיונם של דברים כי הדבר נעשה לאחר השוד ולא לפניו. יש באמור כדי להביא לקביעתם של 2 מתחמים נפרדים תוך קבלה חלקית של טענת ההגנה, כי נשיאת הנשק על ידי הנאשם "נבלעת" בעבירת ניסיון השוד ומהווה נסיבה אחת מבין יתר הנסיבות הנוגעות לביצוע העבירה. </w:t>
      </w:r>
    </w:p>
    <w:p w14:paraId="0C055C46" w14:textId="77777777" w:rsidR="003507D7" w:rsidRDefault="003507D7" w:rsidP="00340A4A">
      <w:pPr>
        <w:spacing w:line="360" w:lineRule="auto"/>
        <w:jc w:val="both"/>
        <w:rPr>
          <w:rFonts w:ascii="Arial" w:hAnsi="Arial"/>
          <w:rtl/>
        </w:rPr>
      </w:pPr>
    </w:p>
    <w:p w14:paraId="44B1A898" w14:textId="77777777" w:rsidR="003507D7" w:rsidRDefault="003507D7" w:rsidP="00340A4A">
      <w:pPr>
        <w:spacing w:line="360" w:lineRule="auto"/>
        <w:jc w:val="both"/>
        <w:rPr>
          <w:rFonts w:ascii="Arial" w:hAnsi="Arial"/>
          <w:rtl/>
        </w:rPr>
      </w:pPr>
      <w:r>
        <w:rPr>
          <w:rFonts w:ascii="Arial" w:hAnsi="Arial"/>
          <w:rtl/>
        </w:rPr>
        <w:t xml:space="preserve">על־פי </w:t>
      </w:r>
      <w:hyperlink r:id="rId26" w:history="1">
        <w:r w:rsidR="00912A47" w:rsidRPr="00912A47">
          <w:rPr>
            <w:rFonts w:ascii="Arial" w:hAnsi="Arial"/>
            <w:color w:val="0000FF"/>
            <w:u w:val="single"/>
            <w:rtl/>
          </w:rPr>
          <w:t>סעיף 40ג(א)</w:t>
        </w:r>
      </w:hyperlink>
      <w:r>
        <w:rPr>
          <w:rFonts w:ascii="Arial" w:hAnsi="Arial"/>
          <w:rtl/>
        </w:rPr>
        <w:t xml:space="preserve"> ל</w:t>
      </w:r>
      <w:hyperlink r:id="rId27" w:history="1">
        <w:r w:rsidR="00746032" w:rsidRPr="00746032">
          <w:rPr>
            <w:rFonts w:ascii="Arial" w:hAnsi="Arial"/>
            <w:color w:val="0000FF"/>
            <w:u w:val="single"/>
            <w:rtl/>
          </w:rPr>
          <w:t>חוק העונשין</w:t>
        </w:r>
      </w:hyperlink>
      <w:r>
        <w:rPr>
          <w:rFonts w:ascii="Arial" w:hAnsi="Arial"/>
          <w:rtl/>
        </w:rPr>
        <w:t>, בקביעת מתחם העונש בהתאם לעקרון ההלימה, על בית המשפט להתחשב "</w:t>
      </w:r>
      <w:r>
        <w:rPr>
          <w:rFonts w:ascii="Arial" w:hAnsi="Arial"/>
          <w:b/>
          <w:bCs/>
          <w:rtl/>
        </w:rPr>
        <w:t>בערך החברתי שנפגע מביצוע העבירה, במידת הפגיעה בו, במדיניות הענישה הנהוגה ובנסיבות הקשורות בביצוע העבירה</w:t>
      </w:r>
      <w:r>
        <w:rPr>
          <w:rFonts w:ascii="Arial" w:hAnsi="Arial"/>
          <w:rtl/>
        </w:rPr>
        <w:t>".</w:t>
      </w:r>
    </w:p>
    <w:p w14:paraId="6E9DADC7" w14:textId="77777777" w:rsidR="003507D7" w:rsidRDefault="003507D7" w:rsidP="00340A4A">
      <w:pPr>
        <w:spacing w:line="360" w:lineRule="auto"/>
        <w:jc w:val="both"/>
        <w:rPr>
          <w:rFonts w:ascii="Arial" w:hAnsi="Arial"/>
          <w:rtl/>
        </w:rPr>
      </w:pPr>
    </w:p>
    <w:p w14:paraId="32208DFA" w14:textId="77777777" w:rsidR="003507D7" w:rsidRDefault="003507D7" w:rsidP="00340A4A">
      <w:pPr>
        <w:spacing w:line="360" w:lineRule="auto"/>
        <w:jc w:val="both"/>
        <w:rPr>
          <w:rFonts w:ascii="Arial" w:hAnsi="Arial"/>
          <w:rtl/>
        </w:rPr>
      </w:pPr>
      <w:r>
        <w:rPr>
          <w:rFonts w:ascii="Arial" w:hAnsi="Arial"/>
          <w:rtl/>
        </w:rPr>
        <w:t>נוכח קביעתם של שני מתחמים ומטעמי נוחות, התייחסות בית המשפט בקביעת מתחם העונש ההולם תהיה בתחילה לגבי עבירות הנשק ובהמשך לגבי עבירת ניסיון השוד.</w:t>
      </w:r>
    </w:p>
    <w:p w14:paraId="25F36BD7" w14:textId="77777777" w:rsidR="003507D7" w:rsidRPr="00226549" w:rsidRDefault="003507D7" w:rsidP="00340A4A">
      <w:pPr>
        <w:spacing w:line="360" w:lineRule="auto"/>
        <w:jc w:val="both"/>
        <w:rPr>
          <w:rFonts w:ascii="Arial" w:hAnsi="Arial"/>
          <w:b/>
          <w:bCs/>
          <w:u w:val="single"/>
          <w:rtl/>
        </w:rPr>
      </w:pPr>
    </w:p>
    <w:p w14:paraId="067CDD8B" w14:textId="77777777" w:rsidR="003507D7" w:rsidRDefault="003507D7" w:rsidP="00340A4A">
      <w:pPr>
        <w:spacing w:line="360" w:lineRule="auto"/>
        <w:jc w:val="both"/>
        <w:rPr>
          <w:rFonts w:ascii="Arial" w:hAnsi="Arial"/>
        </w:rPr>
      </w:pPr>
      <w:r>
        <w:rPr>
          <w:rFonts w:ascii="Arial" w:hAnsi="Arial"/>
          <w:rtl/>
        </w:rPr>
        <w:t>לגופם של דברים, הערך החברתי המוגן העומד בבסיס עבירות הנשק  הינו בראש ובראשונה הגנה על שלום הציבור וביטחונו. עבירות אלה טומנות בחובן  סיכון רב  לפיו  יעשה שימוש בנשק הבלתי חוקי על ידי מחזיקו לצורך ביצוע עבירות פליליות, וכך גם חשש שהנשק הבלתי חוקי יתגלגל לידיים עוינות העוסקות בפעילות פלילית או ביטחונית ויגרום לנזק רב עד כדי קיפוח חיי אדם. נוכח האמור ובאופן עקיף יש במעשיו של הנאשם גם כדי לפגוע בשלטון החוק. חיזוק לכך ניתן גם ללמוד מעצם מיקום העבירה ב</w:t>
      </w:r>
      <w:hyperlink r:id="rId28" w:history="1">
        <w:r w:rsidR="00746032" w:rsidRPr="00746032">
          <w:rPr>
            <w:rFonts w:ascii="Arial" w:hAnsi="Arial"/>
            <w:color w:val="0000FF"/>
            <w:u w:val="single"/>
            <w:rtl/>
          </w:rPr>
          <w:t>חוק העונשין</w:t>
        </w:r>
      </w:hyperlink>
      <w:r>
        <w:rPr>
          <w:rFonts w:ascii="Arial" w:hAnsi="Arial"/>
          <w:rtl/>
        </w:rPr>
        <w:t xml:space="preserve"> </w:t>
      </w:r>
      <w:hyperlink r:id="rId29" w:history="1">
        <w:r w:rsidR="00912A47" w:rsidRPr="00912A47">
          <w:rPr>
            <w:rFonts w:ascii="Arial" w:hAnsi="Arial"/>
            <w:color w:val="0000FF"/>
            <w:u w:val="single"/>
            <w:rtl/>
          </w:rPr>
          <w:t>בפרק ח' תחת</w:t>
        </w:r>
      </w:hyperlink>
      <w:r>
        <w:rPr>
          <w:rFonts w:ascii="Arial" w:hAnsi="Arial"/>
          <w:rtl/>
        </w:rPr>
        <w:t xml:space="preserve"> הכותרת  "</w:t>
      </w:r>
      <w:r>
        <w:rPr>
          <w:rFonts w:ascii="Arial" w:hAnsi="Arial"/>
          <w:b/>
          <w:bCs/>
          <w:rtl/>
        </w:rPr>
        <w:t>פגיעה בסדרי המשטר והחברה</w:t>
      </w:r>
      <w:r>
        <w:rPr>
          <w:rFonts w:ascii="Arial" w:hAnsi="Arial"/>
          <w:rtl/>
        </w:rPr>
        <w:t xml:space="preserve">". </w:t>
      </w:r>
    </w:p>
    <w:p w14:paraId="7F4BC714" w14:textId="77777777" w:rsidR="003507D7" w:rsidRDefault="003507D7" w:rsidP="00340A4A">
      <w:pPr>
        <w:spacing w:line="360" w:lineRule="auto"/>
        <w:jc w:val="both"/>
        <w:rPr>
          <w:rFonts w:ascii="Arial" w:hAnsi="Arial"/>
          <w:rtl/>
        </w:rPr>
      </w:pPr>
    </w:p>
    <w:p w14:paraId="19214334" w14:textId="77777777" w:rsidR="003507D7" w:rsidRPr="00ED6DAD" w:rsidRDefault="003507D7" w:rsidP="00340A4A">
      <w:pPr>
        <w:spacing w:line="360" w:lineRule="auto"/>
        <w:jc w:val="both"/>
        <w:rPr>
          <w:rFonts w:ascii="Arial" w:hAnsi="Arial"/>
          <w:rtl/>
        </w:rPr>
      </w:pPr>
      <w:r>
        <w:rPr>
          <w:rFonts w:ascii="Arial" w:hAnsi="Arial"/>
          <w:rtl/>
        </w:rPr>
        <w:t xml:space="preserve">על החומרה שיש לנקוט בעבירות נשק ראו ע"פ 1332/04 </w:t>
      </w:r>
      <w:r>
        <w:rPr>
          <w:rFonts w:ascii="Arial" w:hAnsi="Arial"/>
          <w:b/>
          <w:bCs/>
          <w:rtl/>
        </w:rPr>
        <w:t xml:space="preserve">מ"י נ' יצחק רפאל פס ואח' </w:t>
      </w:r>
      <w:r w:rsidRPr="00ED6DAD">
        <w:rPr>
          <w:rFonts w:ascii="Arial" w:hAnsi="Arial"/>
          <w:rtl/>
        </w:rPr>
        <w:t>(פורסם בנבו,</w:t>
      </w:r>
      <w:r>
        <w:rPr>
          <w:rFonts w:ascii="Arial" w:hAnsi="Arial"/>
          <w:b/>
          <w:bCs/>
          <w:rtl/>
        </w:rPr>
        <w:t xml:space="preserve"> </w:t>
      </w:r>
      <w:r>
        <w:rPr>
          <w:rFonts w:ascii="Arial" w:hAnsi="Arial"/>
          <w:rtl/>
        </w:rPr>
        <w:t>9.04.2004):</w:t>
      </w:r>
      <w:r>
        <w:rPr>
          <w:rFonts w:ascii="Arial" w:hAnsi="Arial"/>
          <w:b/>
          <w:bCs/>
          <w:rtl/>
        </w:rPr>
        <w:t xml:space="preserve"> </w:t>
      </w:r>
    </w:p>
    <w:p w14:paraId="2C1BDBF6" w14:textId="77777777" w:rsidR="003507D7" w:rsidRDefault="003507D7" w:rsidP="00340A4A">
      <w:pPr>
        <w:ind w:left="567" w:right="567"/>
        <w:jc w:val="both"/>
        <w:rPr>
          <w:rFonts w:ascii="Arial" w:hAnsi="Arial"/>
          <w:rtl/>
        </w:rPr>
      </w:pPr>
      <w:r>
        <w:rPr>
          <w:rFonts w:ascii="Arial" w:hAnsi="Arial"/>
          <w:b/>
          <w:bCs/>
          <w:rtl/>
        </w:rPr>
        <w:t xml:space="preserve">"כבר נאמר לא אחת בפסיקתנו כי מידת העונש המוטל בגין עבירות המבוצעות בנשק מושפעת מפוטנציאל הסיכון הרב הטמון בנשק המוחזק שלא כדין, ומהעברתו מיד ליד ללא פיקוח. בבוא בית המשפט לגזור את הדין בעבירה של החזקה ונשיאה של נשק עליו להתחשב בנסיבות שבהן באה לידי ביטוי החומרה המיוחדת שבעבירה. בין היתר, יתן בית המשפט דעתו על סוג הנשק המוחזק שלא כדין, על כמותו, על התכלית שלשמה הוא מוחזק ועל הסכנה המוחשית שיעשה בו שימוש (השוו: </w:t>
      </w:r>
      <w:hyperlink r:id="rId30" w:history="1">
        <w:r w:rsidR="00746032" w:rsidRPr="00746032">
          <w:rPr>
            <w:rFonts w:ascii="Arial" w:hAnsi="Arial"/>
            <w:b/>
            <w:bCs/>
            <w:color w:val="0000FF"/>
            <w:u w:val="single"/>
            <w:rtl/>
          </w:rPr>
          <w:t>ב"ש 625/82</w:t>
        </w:r>
      </w:hyperlink>
      <w:r>
        <w:rPr>
          <w:rFonts w:ascii="Arial" w:hAnsi="Arial"/>
          <w:b/>
          <w:bCs/>
          <w:rtl/>
        </w:rPr>
        <w:t xml:space="preserve"> מחמוד נ' מדינת ישראל). כאשר מדובר בנשק שעל־פי טיבו אינו מיועד להגנה עצמית וכל כולו נשק התקפי רב עוצמה אשר השימוש בו יכול להביא להרג ללא הבחנה, יש בעבירת ההחזקה והנשיאה של אותו נשק חומרה מיוחדת".</w:t>
      </w:r>
    </w:p>
    <w:p w14:paraId="43D23D71" w14:textId="77777777" w:rsidR="003507D7" w:rsidRDefault="003507D7" w:rsidP="00340A4A">
      <w:pPr>
        <w:spacing w:line="360" w:lineRule="auto"/>
        <w:ind w:left="567" w:right="567"/>
        <w:jc w:val="both"/>
        <w:rPr>
          <w:rFonts w:ascii="Arial" w:hAnsi="Arial"/>
          <w:rtl/>
        </w:rPr>
      </w:pPr>
    </w:p>
    <w:p w14:paraId="738BE00E" w14:textId="77777777" w:rsidR="003507D7" w:rsidRDefault="003507D7" w:rsidP="00340A4A">
      <w:pPr>
        <w:spacing w:line="360" w:lineRule="auto"/>
        <w:jc w:val="both"/>
        <w:rPr>
          <w:rFonts w:ascii="Arial" w:hAnsi="Arial"/>
          <w:rtl/>
        </w:rPr>
      </w:pPr>
      <w:r>
        <w:rPr>
          <w:rFonts w:ascii="Arial" w:hAnsi="Arial"/>
          <w:rtl/>
        </w:rPr>
        <w:t>ב</w:t>
      </w:r>
      <w:hyperlink r:id="rId31" w:history="1">
        <w:r w:rsidR="00746032" w:rsidRPr="00746032">
          <w:rPr>
            <w:rFonts w:ascii="Arial" w:hAnsi="Arial"/>
            <w:color w:val="0000FF"/>
            <w:u w:val="single"/>
            <w:rtl/>
          </w:rPr>
          <w:t>רע"פ  2718/04</w:t>
        </w:r>
      </w:hyperlink>
      <w:r>
        <w:rPr>
          <w:rFonts w:ascii="Arial" w:hAnsi="Arial"/>
          <w:rtl/>
        </w:rPr>
        <w:t xml:space="preserve"> </w:t>
      </w:r>
      <w:r>
        <w:rPr>
          <w:rFonts w:ascii="Arial" w:hAnsi="Arial"/>
          <w:b/>
          <w:bCs/>
          <w:rtl/>
        </w:rPr>
        <w:t>פואד אבו דאחל נגד מדינת ישראל</w:t>
      </w:r>
      <w:r>
        <w:rPr>
          <w:rFonts w:ascii="Arial" w:hAnsi="Arial"/>
          <w:rtl/>
        </w:rPr>
        <w:t xml:space="preserve"> (פורסם בנבו, 29.03.2004) צוין כי עבירה של החזקת נשק מצדיקה עונש מאחורי סורג ובריח וזאת גם במקרים שהנאשמים נטולי עבר פלילי: </w:t>
      </w:r>
    </w:p>
    <w:p w14:paraId="581F6847" w14:textId="77777777" w:rsidR="003507D7" w:rsidRDefault="003507D7" w:rsidP="00340A4A">
      <w:pPr>
        <w:ind w:left="566" w:right="567"/>
        <w:jc w:val="both"/>
        <w:rPr>
          <w:rFonts w:ascii="Arial" w:hAnsi="Arial"/>
          <w:rtl/>
        </w:rPr>
      </w:pPr>
      <w:r>
        <w:rPr>
          <w:rFonts w:ascii="Arial" w:hAnsi="Arial"/>
          <w:b/>
          <w:bCs/>
          <w:rtl/>
        </w:rPr>
        <w:t>"יוער כי הסכנה הטמונה בעבירה החמורה של החזקת נשק מצדיקה הטלת עונשי מאסר לריצוי בפועל גם על מי שזו עבירתו הראשונה. בבוא בית־המשפט לשקול את הענישה בעבירות מסוג זה, עליו לתת משקל נכבד יותר לאינטרס הציבורי ולצורך להרתיע עבריינים בכוח מלבצע עבירות דומות, על פני הנסיבות האישיות של העבריין".</w:t>
      </w:r>
    </w:p>
    <w:p w14:paraId="47F05AE9" w14:textId="77777777" w:rsidR="003507D7" w:rsidRDefault="003507D7" w:rsidP="00340A4A">
      <w:pPr>
        <w:jc w:val="both"/>
        <w:rPr>
          <w:rFonts w:ascii="Arial" w:hAnsi="Arial"/>
          <w:rtl/>
        </w:rPr>
      </w:pPr>
    </w:p>
    <w:p w14:paraId="6ADC84CB" w14:textId="77777777" w:rsidR="003507D7" w:rsidRDefault="003507D7" w:rsidP="00340A4A">
      <w:pPr>
        <w:spacing w:line="360" w:lineRule="auto"/>
        <w:jc w:val="both"/>
        <w:rPr>
          <w:rFonts w:ascii="Arial" w:hAnsi="Arial"/>
          <w:rtl/>
        </w:rPr>
      </w:pPr>
      <w:r>
        <w:rPr>
          <w:rFonts w:ascii="Arial" w:hAnsi="Arial"/>
          <w:rtl/>
        </w:rPr>
        <w:t>ב</w:t>
      </w:r>
      <w:hyperlink r:id="rId32" w:history="1">
        <w:r w:rsidR="00746032" w:rsidRPr="00746032">
          <w:rPr>
            <w:rFonts w:ascii="Arial" w:hAnsi="Arial"/>
            <w:color w:val="0000FF"/>
            <w:u w:val="single"/>
            <w:rtl/>
          </w:rPr>
          <w:t>ע"פ 2368/11</w:t>
        </w:r>
      </w:hyperlink>
      <w:r>
        <w:rPr>
          <w:rFonts w:ascii="Arial" w:hAnsi="Arial"/>
          <w:rtl/>
        </w:rPr>
        <w:t xml:space="preserve"> </w:t>
      </w:r>
      <w:r w:rsidRPr="00DD214B">
        <w:rPr>
          <w:rFonts w:ascii="Arial" w:hAnsi="Arial"/>
          <w:b/>
          <w:bCs/>
          <w:rtl/>
        </w:rPr>
        <w:t>ג'מאל נפאע נ' מדינת ישראל</w:t>
      </w:r>
      <w:r>
        <w:rPr>
          <w:rFonts w:ascii="Arial" w:hAnsi="Arial"/>
          <w:rtl/>
        </w:rPr>
        <w:t xml:space="preserve"> (פורסם בנבו, 4.12.11)   ציין בית המשפט כי: </w:t>
      </w:r>
    </w:p>
    <w:p w14:paraId="28DF4C05" w14:textId="77777777" w:rsidR="003507D7" w:rsidRDefault="003507D7" w:rsidP="00340A4A">
      <w:pPr>
        <w:ind w:left="566" w:right="567"/>
        <w:jc w:val="both"/>
        <w:rPr>
          <w:rFonts w:ascii="Arial" w:hAnsi="Arial"/>
          <w:rtl/>
        </w:rPr>
      </w:pPr>
      <w:r>
        <w:rPr>
          <w:rFonts w:ascii="Arial" w:hAnsi="Arial"/>
          <w:b/>
          <w:bCs/>
          <w:rtl/>
        </w:rPr>
        <w:t>"על הצורך להחמיר את רמת הענישה בהקשר זה עמד בית המשפט כבר לפני שנים באחדות באומרו "גם אם נכון הדבר כי עד כה רמת הענישה בעבירות של החזקת נשק אינה גבוהה, הרי שהמציאות השוררת היום בארץ – זמינותו של נשק חם ורב עוצמה שיש עמו פוטנציאל להסלמה באלימות העבריינית והאידיאולוגית כאחד – מחייבת מתן ביטוי עונשי הולם והחמרה ברמת הענישה".</w:t>
      </w:r>
    </w:p>
    <w:p w14:paraId="1974216D" w14:textId="77777777" w:rsidR="003507D7" w:rsidRDefault="003507D7" w:rsidP="00340A4A">
      <w:pPr>
        <w:spacing w:line="360" w:lineRule="auto"/>
        <w:jc w:val="both"/>
        <w:rPr>
          <w:rFonts w:ascii="Arial" w:hAnsi="Arial"/>
          <w:rtl/>
        </w:rPr>
      </w:pPr>
    </w:p>
    <w:p w14:paraId="173322A0" w14:textId="77777777" w:rsidR="003507D7" w:rsidRDefault="003507D7" w:rsidP="00685581">
      <w:pPr>
        <w:spacing w:line="360" w:lineRule="auto"/>
        <w:jc w:val="both"/>
        <w:rPr>
          <w:rFonts w:ascii="Arial" w:hAnsi="Arial"/>
          <w:rtl/>
        </w:rPr>
      </w:pPr>
      <w:r>
        <w:rPr>
          <w:rFonts w:ascii="Arial" w:hAnsi="Arial"/>
          <w:rtl/>
        </w:rPr>
        <w:t xml:space="preserve">באשר למדיניות הענישה הנהוגה, הרי שבדומה לעבירות רבות בקודקס הפלילי גם בעבירות בהן הורשע הנאשם ניתן למצוא ספקטרום רחב ומגוון. על דרך הכלל, בעבירות של נשיאה והחזקת נשק בית המשפט שת ליבו בין היתר, לכמות הנשק שנמצא, סוגו, האם הנשק נמצא טעון ומוכן לפעולה, מטרת ההחזקה, האם נעשה בנשק שימוש לרבות עבירות פליליות נלוות, משך ההחזקה, מקום נשיאת הנשק או החזקתו, האביזרים שנמצאו יחד עם הנשק וכן נסיבות נוספות הנוגעות לביצוע העבירה. </w:t>
      </w:r>
    </w:p>
    <w:p w14:paraId="1FC4074E" w14:textId="77777777" w:rsidR="003507D7" w:rsidRDefault="003507D7" w:rsidP="00340A4A">
      <w:pPr>
        <w:spacing w:line="360" w:lineRule="auto"/>
        <w:jc w:val="both"/>
        <w:rPr>
          <w:rFonts w:ascii="Arial" w:hAnsi="Arial"/>
          <w:rtl/>
        </w:rPr>
      </w:pPr>
    </w:p>
    <w:p w14:paraId="3E58F123" w14:textId="77777777" w:rsidR="003507D7" w:rsidRDefault="003507D7" w:rsidP="00340A4A">
      <w:pPr>
        <w:spacing w:line="360" w:lineRule="auto"/>
        <w:jc w:val="both"/>
        <w:rPr>
          <w:rFonts w:ascii="Arial" w:hAnsi="Arial"/>
          <w:rtl/>
        </w:rPr>
      </w:pPr>
      <w:r>
        <w:rPr>
          <w:rFonts w:ascii="Arial" w:hAnsi="Arial"/>
          <w:rtl/>
        </w:rPr>
        <w:t xml:space="preserve">חרף השונות הרבה בענישה, ניתן לומר כ"כלל אצבע" שעבירות שעניינן נשיאה והחזקת נשק מובילות בהכרח להשתת עונש מאסר בפועל, כאשר במקרים הקלים ביותר הנמצאים במדרג הנמוך ביותר של עבירות כגון דא (וכוללים גם רכיב שיקומי יוצא דופן) ניתן למצוא עונשי מאסר בדרך של עבודות שירות. ברובם המכריע של התיקים נגזרים עונשי מאסר בני שנה, שנתיים ואף עונשי מאסר של 4 שנים ויותר. </w:t>
      </w:r>
    </w:p>
    <w:p w14:paraId="75278F39" w14:textId="77777777" w:rsidR="003507D7" w:rsidRDefault="003507D7" w:rsidP="00340A4A">
      <w:pPr>
        <w:spacing w:line="360" w:lineRule="auto"/>
        <w:jc w:val="both"/>
        <w:rPr>
          <w:rFonts w:ascii="Arial" w:hAnsi="Arial"/>
          <w:rtl/>
        </w:rPr>
      </w:pPr>
    </w:p>
    <w:p w14:paraId="09AE70CD" w14:textId="77777777" w:rsidR="003507D7" w:rsidRDefault="003507D7" w:rsidP="00340A4A">
      <w:pPr>
        <w:spacing w:line="360" w:lineRule="auto"/>
        <w:jc w:val="both"/>
        <w:rPr>
          <w:rFonts w:ascii="Arial" w:hAnsi="Arial"/>
          <w:rtl/>
        </w:rPr>
      </w:pPr>
      <w:r>
        <w:rPr>
          <w:rFonts w:ascii="Arial" w:hAnsi="Arial"/>
          <w:rtl/>
        </w:rPr>
        <w:t xml:space="preserve">הערה מקדימה נוספת הנוגעת לעבירות נשק, עניינה מגמת החמרה ברורה בענישה בשנים האחרונות. מגמה זו מוצאת ביטוי מפורש בגזרי הדין של ביהמ"ש העליון וראה בין היתר </w:t>
      </w:r>
      <w:hyperlink r:id="rId33" w:history="1">
        <w:r w:rsidR="00746032" w:rsidRPr="00746032">
          <w:rPr>
            <w:rFonts w:ascii="Arial" w:hAnsi="Arial"/>
            <w:color w:val="0000FF"/>
            <w:u w:val="single"/>
            <w:rtl/>
          </w:rPr>
          <w:t>ע"פ 135/17</w:t>
        </w:r>
      </w:hyperlink>
      <w:r>
        <w:rPr>
          <w:rFonts w:ascii="Arial" w:hAnsi="Arial"/>
          <w:rtl/>
        </w:rPr>
        <w:t xml:space="preserve">  </w:t>
      </w:r>
      <w:r>
        <w:rPr>
          <w:rFonts w:ascii="Arial" w:hAnsi="Arial"/>
          <w:b/>
          <w:bCs/>
          <w:rtl/>
        </w:rPr>
        <w:t>באסל נ' מדינת ישראל</w:t>
      </w:r>
      <w:r>
        <w:rPr>
          <w:rFonts w:ascii="Arial" w:hAnsi="Arial"/>
          <w:rtl/>
        </w:rPr>
        <w:t xml:space="preserve"> (פורסם בנבו, 8.3.17), </w:t>
      </w:r>
      <w:hyperlink r:id="rId34" w:history="1">
        <w:r w:rsidR="00746032" w:rsidRPr="00746032">
          <w:rPr>
            <w:rFonts w:ascii="Arial" w:hAnsi="Arial"/>
            <w:color w:val="0000FF"/>
            <w:u w:val="single"/>
            <w:rtl/>
          </w:rPr>
          <w:t>ע"פ 2422/14</w:t>
        </w:r>
      </w:hyperlink>
      <w:r>
        <w:rPr>
          <w:rFonts w:ascii="Arial" w:hAnsi="Arial"/>
          <w:rtl/>
        </w:rPr>
        <w:t xml:space="preserve">  </w:t>
      </w:r>
      <w:r>
        <w:rPr>
          <w:rFonts w:ascii="Arial" w:hAnsi="Arial"/>
          <w:b/>
          <w:bCs/>
          <w:rtl/>
        </w:rPr>
        <w:t xml:space="preserve">ח'אדר נ' מדינת ישראל </w:t>
      </w:r>
      <w:r>
        <w:rPr>
          <w:rFonts w:ascii="Arial" w:hAnsi="Arial"/>
          <w:rtl/>
        </w:rPr>
        <w:t xml:space="preserve">(פורסם בנבו, 21.12.14), </w:t>
      </w:r>
      <w:hyperlink r:id="rId35" w:history="1">
        <w:r w:rsidR="00746032" w:rsidRPr="00746032">
          <w:rPr>
            <w:rFonts w:ascii="Arial" w:hAnsi="Arial"/>
            <w:color w:val="0000FF"/>
            <w:u w:val="single"/>
            <w:rtl/>
          </w:rPr>
          <w:t>ע"פ 4945/13</w:t>
        </w:r>
      </w:hyperlink>
      <w:r>
        <w:rPr>
          <w:rFonts w:ascii="Arial" w:hAnsi="Arial"/>
          <w:rtl/>
        </w:rPr>
        <w:t xml:space="preserve"> </w:t>
      </w:r>
      <w:r>
        <w:rPr>
          <w:rFonts w:ascii="Arial" w:hAnsi="Arial"/>
          <w:b/>
          <w:bCs/>
          <w:rtl/>
        </w:rPr>
        <w:t xml:space="preserve">מדינת ישראל נ' </w:t>
      </w:r>
      <w:r w:rsidRPr="002A169D">
        <w:rPr>
          <w:rFonts w:ascii="Arial" w:hAnsi="Arial"/>
          <w:b/>
          <w:bCs/>
          <w:rtl/>
        </w:rPr>
        <w:t>סלימאן</w:t>
      </w:r>
      <w:r>
        <w:rPr>
          <w:rFonts w:ascii="Arial" w:hAnsi="Arial"/>
          <w:rtl/>
        </w:rPr>
        <w:t xml:space="preserve"> (פורסם בנבו, 19.1.14) פסקה 14 וההפניות שם. </w:t>
      </w:r>
    </w:p>
    <w:p w14:paraId="042A1BF4" w14:textId="77777777" w:rsidR="003507D7" w:rsidRDefault="003507D7" w:rsidP="00340A4A">
      <w:pPr>
        <w:spacing w:line="360" w:lineRule="auto"/>
        <w:jc w:val="both"/>
        <w:rPr>
          <w:rFonts w:ascii="Arial" w:hAnsi="Arial"/>
          <w:rtl/>
        </w:rPr>
      </w:pPr>
    </w:p>
    <w:p w14:paraId="5E7F0AF3" w14:textId="77777777" w:rsidR="003507D7" w:rsidRPr="0038194F" w:rsidRDefault="003507D7" w:rsidP="00340A4A">
      <w:pPr>
        <w:spacing w:line="360" w:lineRule="auto"/>
        <w:jc w:val="both"/>
        <w:rPr>
          <w:rFonts w:ascii="Arial" w:hAnsi="Arial"/>
        </w:rPr>
      </w:pPr>
      <w:r w:rsidRPr="0038194F">
        <w:rPr>
          <w:rFonts w:ascii="Arial" w:hAnsi="Arial"/>
          <w:rtl/>
        </w:rPr>
        <w:t>הערה שלישית</w:t>
      </w:r>
      <w:r>
        <w:rPr>
          <w:rFonts w:ascii="Arial" w:hAnsi="Arial"/>
          <w:rtl/>
        </w:rPr>
        <w:t>,</w:t>
      </w:r>
      <w:r w:rsidRPr="0038194F">
        <w:rPr>
          <w:rFonts w:ascii="Arial" w:hAnsi="Arial"/>
          <w:rtl/>
        </w:rPr>
        <w:t xml:space="preserve"> נוגעת לכך שהפסיקה הנוהגת מהווה אך פרמטר אחד שעל בית המשפט לקחתו בחשבון כחלק ממכלול שיקולים עובר לקביעת מתחם העונש ההולם</w:t>
      </w:r>
      <w:r>
        <w:rPr>
          <w:rFonts w:ascii="Arial" w:hAnsi="Arial"/>
          <w:rtl/>
        </w:rPr>
        <w:t>,</w:t>
      </w:r>
      <w:r w:rsidRPr="0038194F">
        <w:rPr>
          <w:rFonts w:ascii="Arial" w:hAnsi="Arial"/>
          <w:rtl/>
        </w:rPr>
        <w:t xml:space="preserve"> </w:t>
      </w:r>
      <w:r>
        <w:rPr>
          <w:rFonts w:ascii="Arial" w:hAnsi="Arial"/>
          <w:rtl/>
        </w:rPr>
        <w:t xml:space="preserve">והענישה הינה לעולם אינדיבידואלית </w:t>
      </w:r>
      <w:r w:rsidRPr="0038194F">
        <w:rPr>
          <w:rFonts w:ascii="Arial" w:hAnsi="Arial"/>
          <w:rtl/>
        </w:rPr>
        <w:t xml:space="preserve">(ראה </w:t>
      </w:r>
      <w:hyperlink r:id="rId36" w:history="1">
        <w:r w:rsidR="00746032" w:rsidRPr="00746032">
          <w:rPr>
            <w:rFonts w:ascii="Arial" w:hAnsi="Arial"/>
            <w:color w:val="0000FF"/>
            <w:u w:val="single"/>
            <w:rtl/>
          </w:rPr>
          <w:t>ע"פ 4910/16</w:t>
        </w:r>
      </w:hyperlink>
      <w:r w:rsidRPr="0038194F">
        <w:rPr>
          <w:rFonts w:ascii="Arial" w:hAnsi="Arial"/>
          <w:rtl/>
        </w:rPr>
        <w:t xml:space="preserve"> </w:t>
      </w:r>
      <w:r w:rsidRPr="0038194F">
        <w:rPr>
          <w:rFonts w:ascii="Arial" w:hAnsi="Arial"/>
          <w:b/>
          <w:bCs/>
          <w:rtl/>
        </w:rPr>
        <w:t>אבני נ' מדינת ישראל</w:t>
      </w:r>
      <w:r w:rsidRPr="0038194F">
        <w:rPr>
          <w:rFonts w:ascii="Arial" w:hAnsi="Arial"/>
          <w:rtl/>
        </w:rPr>
        <w:t xml:space="preserve"> </w:t>
      </w:r>
      <w:r>
        <w:rPr>
          <w:rFonts w:ascii="Arial" w:hAnsi="Arial"/>
          <w:rtl/>
        </w:rPr>
        <w:t>(פורסם בנבו, 5.4.17) פסקה 7)</w:t>
      </w:r>
      <w:r w:rsidRPr="0038194F">
        <w:rPr>
          <w:rFonts w:ascii="Arial" w:hAnsi="Arial"/>
          <w:rtl/>
        </w:rPr>
        <w:t>. בהינתן הערות אלו, להלן מדגם של הפסיקה הנוהגת</w:t>
      </w:r>
      <w:r>
        <w:rPr>
          <w:rFonts w:ascii="Arial" w:hAnsi="Arial"/>
          <w:rtl/>
        </w:rPr>
        <w:t xml:space="preserve"> בעבירות של החזקה ונשיאת נשק</w:t>
      </w:r>
      <w:r w:rsidRPr="0038194F">
        <w:rPr>
          <w:rFonts w:ascii="Arial" w:hAnsi="Arial"/>
          <w:rtl/>
        </w:rPr>
        <w:t xml:space="preserve">. </w:t>
      </w:r>
    </w:p>
    <w:p w14:paraId="4AD3E5AB" w14:textId="77777777" w:rsidR="003507D7" w:rsidRPr="0038194F" w:rsidRDefault="003507D7" w:rsidP="00340A4A">
      <w:pPr>
        <w:spacing w:line="360" w:lineRule="auto"/>
        <w:jc w:val="both"/>
        <w:rPr>
          <w:rFonts w:ascii="Arial" w:hAnsi="Arial"/>
          <w:rtl/>
        </w:rPr>
      </w:pPr>
    </w:p>
    <w:p w14:paraId="3E1E9F59" w14:textId="77777777" w:rsidR="003507D7" w:rsidRDefault="003507D7" w:rsidP="00340A4A">
      <w:pPr>
        <w:spacing w:line="360" w:lineRule="auto"/>
        <w:jc w:val="both"/>
        <w:rPr>
          <w:rFonts w:ascii="Arial" w:hAnsi="Arial"/>
          <w:rtl/>
        </w:rPr>
      </w:pPr>
      <w:r>
        <w:rPr>
          <w:rFonts w:ascii="Arial" w:hAnsi="Arial"/>
          <w:rtl/>
        </w:rPr>
        <w:t>ב</w:t>
      </w:r>
      <w:hyperlink r:id="rId37" w:history="1">
        <w:r w:rsidR="00746032" w:rsidRPr="00746032">
          <w:rPr>
            <w:rFonts w:ascii="Arial" w:hAnsi="Arial"/>
            <w:color w:val="0000FF"/>
            <w:u w:val="single"/>
            <w:rtl/>
          </w:rPr>
          <w:t>ע"פ 6671/06</w:t>
        </w:r>
      </w:hyperlink>
      <w:r>
        <w:rPr>
          <w:rFonts w:ascii="Arial" w:hAnsi="Arial"/>
          <w:rtl/>
        </w:rPr>
        <w:t xml:space="preserve"> </w:t>
      </w:r>
      <w:r>
        <w:rPr>
          <w:rFonts w:ascii="Arial" w:hAnsi="Arial"/>
          <w:b/>
          <w:bCs/>
          <w:rtl/>
        </w:rPr>
        <w:t xml:space="preserve">מדינת ישראל נגד סרור </w:t>
      </w:r>
      <w:r w:rsidRPr="00B71B81">
        <w:rPr>
          <w:rFonts w:ascii="Arial" w:hAnsi="Arial"/>
          <w:rtl/>
        </w:rPr>
        <w:t>(פורסם בנבו 11.12.06)</w:t>
      </w:r>
      <w:r>
        <w:rPr>
          <w:rFonts w:ascii="Arial" w:hAnsi="Arial"/>
          <w:rtl/>
        </w:rPr>
        <w:t xml:space="preserve"> (להלן:"</w:t>
      </w:r>
      <w:r w:rsidRPr="00B71B81">
        <w:rPr>
          <w:rFonts w:ascii="Arial" w:hAnsi="Arial"/>
          <w:b/>
          <w:bCs/>
          <w:rtl/>
        </w:rPr>
        <w:t>סרור</w:t>
      </w:r>
      <w:r>
        <w:rPr>
          <w:rFonts w:ascii="Arial" w:hAnsi="Arial"/>
          <w:rtl/>
        </w:rPr>
        <w:t xml:space="preserve">") החמיר בית המשפט העליון, מבלי למצות את הדין, בעונשו של צעיר נעדר עבר פלילי שהורשע בכך שנסע ברכבו כשהוא נושא בין רגליו אקדח טעון ומחסנית ובה תשעה כדורים והחזיק בכיסו תשעה כדורים נוספים, משישה חודשים מאסר בדרך של עבודות שירות </w:t>
      </w:r>
      <w:r>
        <w:rPr>
          <w:rFonts w:ascii="Arial" w:hAnsi="Arial"/>
          <w:b/>
          <w:bCs/>
          <w:rtl/>
        </w:rPr>
        <w:t>לחמישה עשר חודשים מאסר בפועל</w:t>
      </w:r>
      <w:r>
        <w:rPr>
          <w:rFonts w:ascii="Arial" w:hAnsi="Arial"/>
          <w:rtl/>
        </w:rPr>
        <w:t>.</w:t>
      </w:r>
    </w:p>
    <w:p w14:paraId="37D3E516" w14:textId="77777777" w:rsidR="003507D7" w:rsidRDefault="003507D7" w:rsidP="00340A4A">
      <w:pPr>
        <w:spacing w:line="360" w:lineRule="auto"/>
        <w:jc w:val="both"/>
        <w:rPr>
          <w:rFonts w:ascii="Arial" w:hAnsi="Arial"/>
          <w:rtl/>
        </w:rPr>
      </w:pPr>
    </w:p>
    <w:p w14:paraId="570848F8" w14:textId="77777777" w:rsidR="003507D7" w:rsidRDefault="003507D7" w:rsidP="00340A4A">
      <w:pPr>
        <w:spacing w:line="360" w:lineRule="auto"/>
        <w:jc w:val="both"/>
        <w:rPr>
          <w:rFonts w:ascii="Arial" w:hAnsi="Arial"/>
          <w:rtl/>
        </w:rPr>
      </w:pPr>
      <w:r>
        <w:rPr>
          <w:rFonts w:ascii="Arial" w:hAnsi="Arial"/>
          <w:rtl/>
        </w:rPr>
        <w:t>ב</w:t>
      </w:r>
      <w:hyperlink r:id="rId38" w:history="1">
        <w:r w:rsidR="00746032" w:rsidRPr="00746032">
          <w:rPr>
            <w:rFonts w:ascii="Arial" w:hAnsi="Arial"/>
            <w:color w:val="0000FF"/>
            <w:u w:val="single"/>
            <w:rtl/>
          </w:rPr>
          <w:t>ע"פ 5604/11</w:t>
        </w:r>
      </w:hyperlink>
      <w:r>
        <w:rPr>
          <w:rFonts w:ascii="Arial" w:hAnsi="Arial"/>
          <w:rtl/>
        </w:rPr>
        <w:t xml:space="preserve"> </w:t>
      </w:r>
      <w:r>
        <w:rPr>
          <w:rFonts w:ascii="Arial" w:hAnsi="Arial"/>
          <w:b/>
          <w:bCs/>
          <w:rtl/>
        </w:rPr>
        <w:t>נאסר נ' מדינת ישראל</w:t>
      </w:r>
      <w:r>
        <w:rPr>
          <w:rFonts w:ascii="Arial" w:hAnsi="Arial"/>
          <w:rtl/>
        </w:rPr>
        <w:t xml:space="preserve"> (פורסם בנבו, 5.10.11) – נדחה ערעור מטעם נאשם אשר נדון ל־12 חודשי מאסר בגין עבירת החזקת נשק וזאת חרף נסיבות לקולא אשר התקיימו בעניינו.</w:t>
      </w:r>
    </w:p>
    <w:p w14:paraId="73E432F9" w14:textId="77777777" w:rsidR="003507D7" w:rsidRDefault="003507D7" w:rsidP="00340A4A">
      <w:pPr>
        <w:spacing w:line="360" w:lineRule="auto"/>
        <w:jc w:val="both"/>
        <w:rPr>
          <w:rFonts w:ascii="Arial" w:hAnsi="Arial"/>
          <w:rtl/>
        </w:rPr>
      </w:pPr>
    </w:p>
    <w:p w14:paraId="14847558" w14:textId="77777777" w:rsidR="003507D7" w:rsidRDefault="003507D7" w:rsidP="00340A4A">
      <w:pPr>
        <w:spacing w:line="360" w:lineRule="auto"/>
        <w:jc w:val="both"/>
        <w:rPr>
          <w:rFonts w:ascii="Arial" w:hAnsi="Arial"/>
          <w:rtl/>
        </w:rPr>
      </w:pPr>
      <w:r>
        <w:rPr>
          <w:rFonts w:ascii="Arial" w:hAnsi="Arial"/>
          <w:rtl/>
        </w:rPr>
        <w:t>ב</w:t>
      </w:r>
      <w:hyperlink r:id="rId39" w:history="1">
        <w:r w:rsidR="00746032" w:rsidRPr="00746032">
          <w:rPr>
            <w:rFonts w:ascii="Arial" w:hAnsi="Arial"/>
            <w:color w:val="0000FF"/>
            <w:u w:val="single"/>
            <w:rtl/>
          </w:rPr>
          <w:t>ע"פ 3877/16</w:t>
        </w:r>
      </w:hyperlink>
      <w:r>
        <w:rPr>
          <w:rFonts w:ascii="Arial" w:hAnsi="Arial"/>
          <w:rtl/>
        </w:rPr>
        <w:t xml:space="preserve"> </w:t>
      </w:r>
      <w:r>
        <w:rPr>
          <w:rFonts w:ascii="Arial" w:hAnsi="Arial"/>
          <w:b/>
          <w:bCs/>
          <w:rtl/>
        </w:rPr>
        <w:t xml:space="preserve">ג'באלי נ' מדינת ישראל </w:t>
      </w:r>
      <w:r>
        <w:rPr>
          <w:rFonts w:ascii="Arial" w:hAnsi="Arial"/>
          <w:rtl/>
        </w:rPr>
        <w:t xml:space="preserve">(פורסם בנבו, 17.11.16)-  נדחה ערעור על חומרת העונש בעניינו של נאשם שנגזרו עליו 34 חודשים מאסר בפועל לאחר שהורשע בכך שנשא אקדח ובו מחסנית המכילה 14 כדורים עמם הגיע למקום מפגש לשם יישוב סכסוך. בית המשפט העליון מאשר גם את המתחם שנקבע על ידי בית המשפט המחוזי שנע בין 2-4 שנות מאסר. </w:t>
      </w:r>
    </w:p>
    <w:p w14:paraId="38966040" w14:textId="77777777" w:rsidR="003507D7" w:rsidRDefault="003507D7" w:rsidP="00340A4A">
      <w:pPr>
        <w:spacing w:line="360" w:lineRule="auto"/>
        <w:jc w:val="both"/>
        <w:rPr>
          <w:rFonts w:ascii="Arial" w:hAnsi="Arial"/>
          <w:rtl/>
        </w:rPr>
      </w:pPr>
    </w:p>
    <w:p w14:paraId="7BF74253" w14:textId="77777777" w:rsidR="003507D7" w:rsidRDefault="003507D7" w:rsidP="00340A4A">
      <w:pPr>
        <w:spacing w:line="360" w:lineRule="auto"/>
        <w:jc w:val="both"/>
        <w:rPr>
          <w:rFonts w:ascii="Arial" w:hAnsi="Arial"/>
          <w:rtl/>
        </w:rPr>
      </w:pPr>
      <w:r>
        <w:rPr>
          <w:rFonts w:ascii="Arial" w:hAnsi="Arial"/>
          <w:rtl/>
        </w:rPr>
        <w:t>ב</w:t>
      </w:r>
      <w:hyperlink r:id="rId40" w:history="1">
        <w:r w:rsidR="00746032" w:rsidRPr="00746032">
          <w:rPr>
            <w:rFonts w:ascii="Arial" w:hAnsi="Arial"/>
            <w:color w:val="0000FF"/>
            <w:u w:val="single"/>
            <w:rtl/>
          </w:rPr>
          <w:t>ע"פ 6294/10</w:t>
        </w:r>
      </w:hyperlink>
      <w:r>
        <w:rPr>
          <w:rFonts w:ascii="Arial" w:hAnsi="Arial"/>
          <w:rtl/>
        </w:rPr>
        <w:t xml:space="preserve"> </w:t>
      </w:r>
      <w:r>
        <w:rPr>
          <w:rFonts w:ascii="Arial" w:hAnsi="Arial"/>
          <w:b/>
          <w:bCs/>
          <w:rtl/>
        </w:rPr>
        <w:t>אלקיעאן ואח' נ' מדינת ישראל</w:t>
      </w:r>
      <w:r>
        <w:rPr>
          <w:rFonts w:ascii="Arial" w:hAnsi="Arial"/>
          <w:rtl/>
        </w:rPr>
        <w:t xml:space="preserve"> (פורסם בנבו, 13.2.11) – נדחה ערעור מטעם ההגנה על קולת העונש. המדובר במערערים אשר נתפס ברכב שבו נסעו אקדח טעון ומחסנית וכן אצל כל אחד מהמערערים גם נמצאה מחסנית נוספת. בגין מעשים אלו נדונו המערערים ל־ 10 חודשי מאסר בפועל.</w:t>
      </w:r>
    </w:p>
    <w:p w14:paraId="57B86A81" w14:textId="77777777" w:rsidR="003507D7" w:rsidRDefault="003507D7" w:rsidP="00340A4A">
      <w:pPr>
        <w:spacing w:line="360" w:lineRule="auto"/>
        <w:jc w:val="both"/>
        <w:rPr>
          <w:rFonts w:ascii="Arial" w:hAnsi="Arial"/>
          <w:rtl/>
        </w:rPr>
      </w:pPr>
    </w:p>
    <w:p w14:paraId="58DAB68C" w14:textId="77777777" w:rsidR="003507D7" w:rsidRDefault="003507D7" w:rsidP="00340A4A">
      <w:pPr>
        <w:spacing w:line="360" w:lineRule="auto"/>
        <w:jc w:val="both"/>
        <w:rPr>
          <w:rFonts w:ascii="Arial" w:hAnsi="Arial"/>
          <w:rtl/>
        </w:rPr>
      </w:pPr>
      <w:r>
        <w:rPr>
          <w:rFonts w:ascii="Arial" w:hAnsi="Arial"/>
          <w:rtl/>
        </w:rPr>
        <w:t>ב</w:t>
      </w:r>
      <w:hyperlink r:id="rId41" w:history="1">
        <w:r w:rsidR="00746032" w:rsidRPr="00746032">
          <w:rPr>
            <w:rFonts w:ascii="Arial" w:hAnsi="Arial"/>
            <w:color w:val="0000FF"/>
            <w:u w:val="single"/>
            <w:rtl/>
          </w:rPr>
          <w:t>ע"פ 4460/11</w:t>
        </w:r>
      </w:hyperlink>
      <w:r>
        <w:rPr>
          <w:rFonts w:ascii="Arial" w:hAnsi="Arial"/>
          <w:rtl/>
        </w:rPr>
        <w:t xml:space="preserve"> </w:t>
      </w:r>
      <w:r>
        <w:rPr>
          <w:rFonts w:ascii="Arial" w:hAnsi="Arial"/>
          <w:b/>
          <w:bCs/>
          <w:rtl/>
        </w:rPr>
        <w:t>מדינת ישראל נ' פאיד</w:t>
      </w:r>
      <w:r>
        <w:rPr>
          <w:rFonts w:ascii="Arial" w:hAnsi="Arial"/>
          <w:rtl/>
        </w:rPr>
        <w:t xml:space="preserve"> (פורסם בנבו, 28.11.11)- נדון עניינו של נאשם שהחזיק מספר כלי נשק ותחמושת, ואף נשא אותם עימו, במהלך חתונה, במהלכה ירה באמצעותם 50 כדורים. בית המשפט מקבל את ערעורה של המדינה על קולת העונש, גוזר על הנאשם 24 חודשים מאסר בפועל מבלי למצות את הדין, תוך אמירה לפיה: "</w:t>
      </w:r>
      <w:r>
        <w:rPr>
          <w:rFonts w:ascii="Arial" w:hAnsi="Arial"/>
          <w:b/>
          <w:bCs/>
          <w:rtl/>
        </w:rPr>
        <w:t>אכן נראה לנו כי הגיעה השעה להחמיר בעבירות של החזקת נשק ושימוש בו. נשק המוחזק שלא כדין עלול למצוא דרכו לידיים עוינות ועלול גם לשמש למטרות פליליות. יריות שמחה באירועים יש בהן כדי לסכן חפים מפשע</w:t>
      </w:r>
      <w:r>
        <w:rPr>
          <w:rFonts w:ascii="Arial" w:hAnsi="Arial"/>
          <w:rtl/>
        </w:rPr>
        <w:t xml:space="preserve">". </w:t>
      </w:r>
    </w:p>
    <w:p w14:paraId="5999F0F9" w14:textId="77777777" w:rsidR="003507D7" w:rsidRDefault="003507D7" w:rsidP="00340A4A">
      <w:pPr>
        <w:spacing w:line="360" w:lineRule="auto"/>
        <w:jc w:val="both"/>
        <w:rPr>
          <w:rFonts w:ascii="Arial" w:hAnsi="Arial"/>
          <w:rtl/>
        </w:rPr>
      </w:pPr>
    </w:p>
    <w:p w14:paraId="01BE71AE" w14:textId="77777777" w:rsidR="003507D7" w:rsidRDefault="003507D7" w:rsidP="00340A4A">
      <w:pPr>
        <w:spacing w:after="160" w:line="360" w:lineRule="auto"/>
        <w:jc w:val="both"/>
        <w:rPr>
          <w:rtl/>
        </w:rPr>
      </w:pPr>
      <w:r w:rsidRPr="000A12E7">
        <w:rPr>
          <w:rtl/>
        </w:rPr>
        <w:t>ב</w:t>
      </w:r>
      <w:hyperlink r:id="rId42" w:history="1">
        <w:r w:rsidR="00746032" w:rsidRPr="00746032">
          <w:rPr>
            <w:color w:val="0000FF"/>
            <w:u w:val="single"/>
            <w:rtl/>
          </w:rPr>
          <w:t>עפ"ג 11560-10-17</w:t>
        </w:r>
      </w:hyperlink>
      <w:r w:rsidRPr="000A12E7">
        <w:rPr>
          <w:b/>
          <w:bCs/>
          <w:rtl/>
        </w:rPr>
        <w:t xml:space="preserve"> </w:t>
      </w:r>
      <w:r w:rsidRPr="002E727A">
        <w:rPr>
          <w:b/>
          <w:bCs/>
          <w:highlight w:val="yellow"/>
          <w:rtl/>
        </w:rPr>
        <w:t>ׁ</w:t>
      </w:r>
      <w:r>
        <w:rPr>
          <w:b/>
          <w:bCs/>
          <w:rtl/>
        </w:rPr>
        <w:t xml:space="preserve">(מחוזי ב"ש) אבוטבול נ' מדינת ישראל </w:t>
      </w:r>
      <w:r w:rsidRPr="00D1015B">
        <w:rPr>
          <w:rtl/>
        </w:rPr>
        <w:t>(פורסם באר"ש, 13.12.17)</w:t>
      </w:r>
      <w:r>
        <w:rPr>
          <w:rtl/>
        </w:rPr>
        <w:t>-</w:t>
      </w:r>
      <w:r w:rsidRPr="00D1015B">
        <w:rPr>
          <w:rtl/>
        </w:rPr>
        <w:t xml:space="preserve"> </w:t>
      </w:r>
      <w:r>
        <w:rPr>
          <w:rtl/>
        </w:rPr>
        <w:t xml:space="preserve">דוחה בית המשפט ערעור על חומרת העונש של מערר שנגזרו עליו 19 חודשים מאסר בפועל בגין החזקת אקדח יחד עם חפץ מאולתר בעל יכולת עמעום. </w:t>
      </w:r>
    </w:p>
    <w:p w14:paraId="021BBEF0" w14:textId="77777777" w:rsidR="003507D7" w:rsidRDefault="003507D7" w:rsidP="00340A4A">
      <w:pPr>
        <w:spacing w:line="360" w:lineRule="auto"/>
        <w:jc w:val="both"/>
        <w:rPr>
          <w:rFonts w:ascii="Arial" w:hAnsi="Arial"/>
          <w:rtl/>
        </w:rPr>
      </w:pPr>
    </w:p>
    <w:p w14:paraId="7D789C6E" w14:textId="77777777" w:rsidR="003507D7" w:rsidRDefault="003507D7" w:rsidP="00685581">
      <w:pPr>
        <w:spacing w:line="360" w:lineRule="auto"/>
        <w:jc w:val="both"/>
        <w:rPr>
          <w:rFonts w:ascii="Arial" w:hAnsi="Arial"/>
        </w:rPr>
      </w:pPr>
      <w:r w:rsidRPr="002E727A">
        <w:rPr>
          <w:rFonts w:ascii="Arial" w:hAnsi="Arial"/>
          <w:rtl/>
        </w:rPr>
        <w:t>ב</w:t>
      </w:r>
      <w:hyperlink r:id="rId43" w:history="1">
        <w:r w:rsidR="00746032" w:rsidRPr="00746032">
          <w:rPr>
            <w:rFonts w:ascii="Arial" w:hAnsi="Arial"/>
            <w:color w:val="0000FF"/>
            <w:u w:val="single"/>
            <w:rtl/>
          </w:rPr>
          <w:t>עפ"ג 2124-06-17</w:t>
        </w:r>
      </w:hyperlink>
      <w:r w:rsidRPr="002E727A">
        <w:rPr>
          <w:rFonts w:ascii="Arial" w:hAnsi="Arial"/>
          <w:rtl/>
        </w:rPr>
        <w:t xml:space="preserve"> (מחוזי ב"ש)</w:t>
      </w:r>
      <w:r>
        <w:rPr>
          <w:rFonts w:ascii="Arial" w:hAnsi="Arial"/>
          <w:b/>
          <w:bCs/>
          <w:rtl/>
        </w:rPr>
        <w:t xml:space="preserve">  </w:t>
      </w:r>
      <w:r w:rsidRPr="002E727A">
        <w:rPr>
          <w:rFonts w:ascii="Arial" w:hAnsi="Arial"/>
          <w:b/>
          <w:bCs/>
          <w:rtl/>
        </w:rPr>
        <w:t>מדינת ישראל נ' אבו תקפה</w:t>
      </w:r>
      <w:r>
        <w:rPr>
          <w:rFonts w:ascii="Arial" w:hAnsi="Arial"/>
          <w:rtl/>
        </w:rPr>
        <w:t xml:space="preserve"> (פורסם בנבו, 19.07.17) (שדן בעניין החזקת נשק מאולתר מסוג "קרלו") בית המשפט המחוזי עומד על הצורך בהחמרה בעבירות נשק ומעלה את עונשו של נאשם נעדר עבר פלילי שהודה בהחזקת נשק יחד עם 300 כדורים מ־10 חודשים ל־15 חודשים. בדומה ר' ב</w:t>
      </w:r>
      <w:hyperlink r:id="rId44" w:history="1">
        <w:r w:rsidR="00746032" w:rsidRPr="00746032">
          <w:rPr>
            <w:rFonts w:ascii="Arial" w:hAnsi="Arial"/>
            <w:color w:val="0000FF"/>
            <w:u w:val="single"/>
            <w:rtl/>
          </w:rPr>
          <w:t>עפ"ג 22885-05-17</w:t>
        </w:r>
      </w:hyperlink>
      <w:r>
        <w:rPr>
          <w:rFonts w:ascii="Arial" w:hAnsi="Arial"/>
          <w:rtl/>
        </w:rPr>
        <w:t xml:space="preserve"> </w:t>
      </w:r>
      <w:r w:rsidRPr="00C03756">
        <w:rPr>
          <w:rFonts w:ascii="Arial" w:hAnsi="Arial"/>
          <w:b/>
          <w:bCs/>
          <w:rtl/>
        </w:rPr>
        <w:t>אלאסד נ' מדינת ישראל</w:t>
      </w:r>
      <w:r>
        <w:rPr>
          <w:rFonts w:ascii="Arial" w:hAnsi="Arial"/>
          <w:rtl/>
        </w:rPr>
        <w:t xml:space="preserve"> (פורסם באר"ש, 05.07.17) וכן האמור ב</w:t>
      </w:r>
      <w:hyperlink r:id="rId45" w:history="1">
        <w:r w:rsidR="00746032" w:rsidRPr="00746032">
          <w:rPr>
            <w:rFonts w:ascii="Arial" w:hAnsi="Arial"/>
            <w:color w:val="0000FF"/>
            <w:u w:val="single"/>
            <w:rtl/>
          </w:rPr>
          <w:t>עפ"ג 23419-01-17</w:t>
        </w:r>
      </w:hyperlink>
      <w:r>
        <w:rPr>
          <w:rFonts w:ascii="Arial" w:hAnsi="Arial"/>
          <w:rtl/>
        </w:rPr>
        <w:t xml:space="preserve"> </w:t>
      </w:r>
      <w:r w:rsidRPr="00C03756">
        <w:rPr>
          <w:rFonts w:ascii="Arial" w:hAnsi="Arial"/>
          <w:b/>
          <w:bCs/>
          <w:rtl/>
        </w:rPr>
        <w:t>מדינת ישראל נ' זניד</w:t>
      </w:r>
      <w:r>
        <w:rPr>
          <w:rFonts w:ascii="Arial" w:hAnsi="Arial"/>
          <w:b/>
          <w:bCs/>
          <w:rtl/>
        </w:rPr>
        <w:t xml:space="preserve"> </w:t>
      </w:r>
      <w:r w:rsidRPr="001960C0">
        <w:rPr>
          <w:rFonts w:ascii="Arial" w:hAnsi="Arial"/>
          <w:rtl/>
        </w:rPr>
        <w:t>(פורסם באר"ש, 22.3.17).</w:t>
      </w:r>
    </w:p>
    <w:p w14:paraId="17163559" w14:textId="77777777" w:rsidR="003507D7" w:rsidRPr="007E3AB0" w:rsidRDefault="003507D7" w:rsidP="00340A4A">
      <w:pPr>
        <w:spacing w:after="160" w:line="360" w:lineRule="auto"/>
        <w:jc w:val="both"/>
        <w:rPr>
          <w:rFonts w:ascii="Calibri" w:hAnsi="Calibri"/>
          <w:u w:val="single"/>
          <w:rtl/>
        </w:rPr>
      </w:pPr>
    </w:p>
    <w:p w14:paraId="4A09603D" w14:textId="77777777" w:rsidR="003507D7" w:rsidRDefault="003507D7" w:rsidP="00340A4A">
      <w:pPr>
        <w:spacing w:after="160" w:line="360" w:lineRule="auto"/>
        <w:jc w:val="both"/>
        <w:rPr>
          <w:rFonts w:ascii="Arial" w:hAnsi="Arial"/>
          <w:rtl/>
        </w:rPr>
      </w:pPr>
      <w:r>
        <w:rPr>
          <w:rFonts w:ascii="Arial" w:hAnsi="Arial"/>
          <w:rtl/>
        </w:rPr>
        <w:t xml:space="preserve">ככל שהדבר נוגע להחזקת הנשק מידת הפגיעה של הנאשם בערכים המוגנים הינה גבוהה. ראשית וככל שהדבר נוגע לסוג הנשק, הרי שמדובר באקדח מסוג ברטה, כלי נשק חצי אוטומטי שביכולתו לפצוע ולהרוג. האקדח מוחזק שבתוכו מחסנית יחד עם שישה כדורים, היינו, מוכן לפעולה בכל עת שהנאשם יחפוץ בכך. הנאשם מחזיק את האקדח מוסלק באופן מתוחכם בתוך רמקול בחדרו וזאת על מנת להקשות על גילויו. </w:t>
      </w:r>
    </w:p>
    <w:p w14:paraId="64BDD3E2" w14:textId="77777777" w:rsidR="003507D7" w:rsidRDefault="003507D7" w:rsidP="004F6E95">
      <w:pPr>
        <w:spacing w:after="160" w:line="360" w:lineRule="auto"/>
        <w:jc w:val="both"/>
        <w:rPr>
          <w:rFonts w:ascii="Arial" w:hAnsi="Arial"/>
          <w:rtl/>
        </w:rPr>
      </w:pPr>
      <w:r>
        <w:rPr>
          <w:rFonts w:ascii="Arial" w:hAnsi="Arial"/>
          <w:rtl/>
        </w:rPr>
        <w:t>האקדח הושג בעבירה פלילית ונגנב מהישוב "יד חנה" עוד בשנת 2011. הנאשם מצדו לא האיר את עיני היחידה החוקרת או את בית המשפט בנוגע לאופן שבו זה התגלגל לחזקתו, כשלדבריו, (וזאת בדומה לנאשמים רבים כדוגמתו)  "מצא" בדרך מופלאה את האקדח כשנתיים עובר לביצוע העבירות הנוכחיות. החזקתו של האקדח פרק זמן כה ממושך אף היא פועלת לחובת הנאשם.</w:t>
      </w:r>
    </w:p>
    <w:p w14:paraId="61766921" w14:textId="77777777" w:rsidR="003507D7" w:rsidRDefault="003507D7" w:rsidP="00340A4A">
      <w:pPr>
        <w:spacing w:after="160" w:line="360" w:lineRule="auto"/>
        <w:jc w:val="both"/>
        <w:rPr>
          <w:rFonts w:ascii="Calibri" w:hAnsi="Calibri"/>
          <w:rtl/>
        </w:rPr>
      </w:pPr>
      <w:r>
        <w:rPr>
          <w:rFonts w:ascii="Arial" w:hAnsi="Arial"/>
          <w:rtl/>
        </w:rPr>
        <w:t xml:space="preserve">בעבירות נשק, יש לתת את הדעת לא רק לסוג הנשק, אלא גם למטרה שלשמה זה הוחזק. כפי שנקבע בהלכת אבו-מוך (בש"פ 625/82 </w:t>
      </w:r>
      <w:r w:rsidRPr="00E9798F">
        <w:rPr>
          <w:rFonts w:ascii="Arial" w:hAnsi="Arial"/>
          <w:b/>
          <w:bCs/>
          <w:rtl/>
        </w:rPr>
        <w:t>אבו מוך נ' מדינת ישראל</w:t>
      </w:r>
      <w:r>
        <w:rPr>
          <w:rFonts w:ascii="Arial" w:hAnsi="Arial"/>
          <w:rtl/>
        </w:rPr>
        <w:t xml:space="preserve"> (פורסם בנבו, 16.8.82)) סיווג בית המשפט את עבירות הנשק לפי חומרתן, כאשר בראש המדרג  מצויות עבירות נשק שעלולות לפגוע במדינה או בציבור, דרך עבירות נשק לשם ביצוע עבירות פליליות וכלה בהחזקת נשק לשם הגנה עצמית או נשק ללא חידוש רישיון</w:t>
      </w:r>
      <w:r>
        <w:rPr>
          <w:rFonts w:ascii="Calibri" w:hAnsi="Calibri"/>
          <w:rtl/>
        </w:rPr>
        <w:t xml:space="preserve">. </w:t>
      </w:r>
      <w:r>
        <w:rPr>
          <w:rFonts w:ascii="Calibri" w:hAnsi="Calibri" w:hint="eastAsia"/>
          <w:rtl/>
        </w:rPr>
        <w:t>בעניינו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שבפניי</w:t>
      </w:r>
      <w:r>
        <w:rPr>
          <w:rFonts w:ascii="Calibri" w:hAnsi="Calibri"/>
          <w:rtl/>
        </w:rPr>
        <w:t xml:space="preserve"> </w:t>
      </w:r>
      <w:r>
        <w:rPr>
          <w:rFonts w:ascii="Calibri" w:hAnsi="Calibri" w:hint="eastAsia"/>
          <w:rtl/>
        </w:rPr>
        <w:t>אין</w:t>
      </w:r>
      <w:r>
        <w:rPr>
          <w:rFonts w:ascii="Calibri" w:hAnsi="Calibri"/>
          <w:rtl/>
        </w:rPr>
        <w:t xml:space="preserve"> </w:t>
      </w:r>
      <w:r>
        <w:rPr>
          <w:rFonts w:ascii="Calibri" w:hAnsi="Calibri" w:hint="eastAsia"/>
          <w:rtl/>
        </w:rPr>
        <w:t>צורך</w:t>
      </w:r>
      <w:r>
        <w:rPr>
          <w:rFonts w:ascii="Calibri" w:hAnsi="Calibri"/>
          <w:rtl/>
        </w:rPr>
        <w:t xml:space="preserve"> </w:t>
      </w:r>
      <w:r>
        <w:rPr>
          <w:rFonts w:ascii="Calibri" w:hAnsi="Calibri" w:hint="eastAsia"/>
          <w:rtl/>
        </w:rPr>
        <w:t>לשער</w:t>
      </w:r>
      <w:r>
        <w:rPr>
          <w:rFonts w:ascii="Calibri" w:hAnsi="Calibri"/>
          <w:rtl/>
        </w:rPr>
        <w:t xml:space="preserve"> </w:t>
      </w:r>
      <w:r>
        <w:rPr>
          <w:rFonts w:ascii="Calibri" w:hAnsi="Calibri" w:hint="eastAsia"/>
          <w:rtl/>
        </w:rPr>
        <w:t>מה</w:t>
      </w:r>
      <w:r>
        <w:rPr>
          <w:rFonts w:ascii="Calibri" w:hAnsi="Calibri"/>
          <w:rtl/>
        </w:rPr>
        <w:t xml:space="preserve"> </w:t>
      </w:r>
      <w:r>
        <w:rPr>
          <w:rFonts w:ascii="Calibri" w:hAnsi="Calibri" w:hint="eastAsia"/>
          <w:rtl/>
        </w:rPr>
        <w:t>הייתה</w:t>
      </w:r>
      <w:r>
        <w:rPr>
          <w:rFonts w:ascii="Calibri" w:hAnsi="Calibri"/>
          <w:rtl/>
        </w:rPr>
        <w:t xml:space="preserve"> </w:t>
      </w:r>
      <w:r>
        <w:rPr>
          <w:rFonts w:ascii="Calibri" w:hAnsi="Calibri" w:hint="eastAsia"/>
          <w:rtl/>
        </w:rPr>
        <w:t>מטרת</w:t>
      </w:r>
      <w:r>
        <w:rPr>
          <w:rFonts w:ascii="Calibri" w:hAnsi="Calibri"/>
          <w:rtl/>
        </w:rPr>
        <w:t xml:space="preserve"> </w:t>
      </w:r>
      <w:r>
        <w:rPr>
          <w:rFonts w:ascii="Calibri" w:hAnsi="Calibri" w:hint="eastAsia"/>
          <w:rtl/>
        </w:rPr>
        <w:t>ההחזקה</w:t>
      </w:r>
      <w:r>
        <w:rPr>
          <w:rFonts w:ascii="Calibri" w:hAnsi="Calibri"/>
          <w:rtl/>
        </w:rPr>
        <w:t xml:space="preserve">, </w:t>
      </w:r>
      <w:r>
        <w:rPr>
          <w:rFonts w:ascii="Calibri" w:hAnsi="Calibri" w:hint="eastAsia"/>
          <w:rtl/>
        </w:rPr>
        <w:t>שכן</w:t>
      </w:r>
      <w:r>
        <w:rPr>
          <w:rFonts w:ascii="Calibri" w:hAnsi="Calibri"/>
          <w:rtl/>
        </w:rPr>
        <w:t xml:space="preserve"> </w:t>
      </w:r>
      <w:r>
        <w:rPr>
          <w:rFonts w:ascii="Calibri" w:hAnsi="Calibri" w:hint="eastAsia"/>
          <w:rtl/>
        </w:rPr>
        <w:t>במעשיו</w:t>
      </w:r>
      <w:r>
        <w:rPr>
          <w:rFonts w:ascii="Calibri" w:hAnsi="Calibri"/>
          <w:rtl/>
        </w:rPr>
        <w:t xml:space="preserve"> </w:t>
      </w:r>
      <w:r>
        <w:rPr>
          <w:rFonts w:ascii="Calibri" w:hAnsi="Calibri" w:hint="eastAsia"/>
          <w:rtl/>
        </w:rPr>
        <w:t>הוכיח</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זו</w:t>
      </w:r>
      <w:r>
        <w:rPr>
          <w:rFonts w:ascii="Calibri" w:hAnsi="Calibri"/>
          <w:rtl/>
        </w:rPr>
        <w:t xml:space="preserve"> </w:t>
      </w:r>
      <w:r>
        <w:rPr>
          <w:rFonts w:ascii="Calibri" w:hAnsi="Calibri" w:hint="eastAsia"/>
          <w:rtl/>
        </w:rPr>
        <w:t>נועדה</w:t>
      </w:r>
      <w:r>
        <w:rPr>
          <w:rFonts w:ascii="Calibri" w:hAnsi="Calibri"/>
          <w:rtl/>
        </w:rPr>
        <w:t xml:space="preserve"> </w:t>
      </w:r>
      <w:r>
        <w:rPr>
          <w:rFonts w:ascii="Calibri" w:hAnsi="Calibri" w:hint="eastAsia"/>
          <w:rtl/>
        </w:rPr>
        <w:t>לביצוע</w:t>
      </w:r>
      <w:r>
        <w:rPr>
          <w:rFonts w:ascii="Calibri" w:hAnsi="Calibri"/>
          <w:rtl/>
        </w:rPr>
        <w:t xml:space="preserve"> </w:t>
      </w:r>
      <w:r>
        <w:rPr>
          <w:rFonts w:ascii="Calibri" w:hAnsi="Calibri" w:hint="eastAsia"/>
          <w:rtl/>
        </w:rPr>
        <w:t>עבירות</w:t>
      </w:r>
      <w:r>
        <w:rPr>
          <w:rFonts w:ascii="Calibri" w:hAnsi="Calibri"/>
          <w:rtl/>
        </w:rPr>
        <w:t xml:space="preserve"> </w:t>
      </w:r>
      <w:r>
        <w:rPr>
          <w:rFonts w:ascii="Calibri" w:hAnsi="Calibri" w:hint="eastAsia"/>
          <w:rtl/>
        </w:rPr>
        <w:t>פליליות</w:t>
      </w:r>
      <w:r>
        <w:rPr>
          <w:rFonts w:ascii="Calibri" w:hAnsi="Calibri"/>
          <w:rtl/>
        </w:rPr>
        <w:t xml:space="preserve">. </w:t>
      </w:r>
      <w:r>
        <w:rPr>
          <w:rFonts w:ascii="Calibri" w:hAnsi="Calibri" w:hint="eastAsia"/>
          <w:rtl/>
        </w:rPr>
        <w:t>כפי</w:t>
      </w:r>
      <w:r>
        <w:rPr>
          <w:rFonts w:ascii="Calibri" w:hAnsi="Calibri"/>
          <w:rtl/>
        </w:rPr>
        <w:t xml:space="preserve"> </w:t>
      </w:r>
      <w:r>
        <w:rPr>
          <w:rFonts w:ascii="Calibri" w:hAnsi="Calibri" w:hint="eastAsia"/>
          <w:rtl/>
        </w:rPr>
        <w:t>שצוין</w:t>
      </w:r>
      <w:r>
        <w:rPr>
          <w:rFonts w:ascii="Calibri" w:hAnsi="Calibri"/>
          <w:rtl/>
        </w:rPr>
        <w:t xml:space="preserve"> </w:t>
      </w:r>
      <w:r>
        <w:rPr>
          <w:rFonts w:ascii="Calibri" w:hAnsi="Calibri" w:hint="eastAsia"/>
          <w:rtl/>
        </w:rPr>
        <w:t>לעיל</w:t>
      </w:r>
      <w:r>
        <w:rPr>
          <w:rFonts w:ascii="Calibri" w:hAnsi="Calibri"/>
          <w:rtl/>
        </w:rPr>
        <w:t xml:space="preserve">, </w:t>
      </w:r>
      <w:r>
        <w:rPr>
          <w:rFonts w:ascii="Calibri" w:hAnsi="Calibri" w:hint="eastAsia"/>
          <w:rtl/>
        </w:rPr>
        <w:t>העובדה</w:t>
      </w:r>
      <w:r>
        <w:rPr>
          <w:rFonts w:ascii="Calibri" w:hAnsi="Calibri"/>
          <w:rtl/>
        </w:rPr>
        <w:t xml:space="preserve"> </w:t>
      </w:r>
      <w:r>
        <w:rPr>
          <w:rFonts w:ascii="Calibri" w:hAnsi="Calibri" w:hint="eastAsia"/>
          <w:rtl/>
        </w:rPr>
        <w:t>שהנאשם</w:t>
      </w:r>
      <w:r>
        <w:rPr>
          <w:rFonts w:ascii="Calibri" w:hAnsi="Calibri"/>
          <w:rtl/>
        </w:rPr>
        <w:t xml:space="preserve"> </w:t>
      </w:r>
      <w:r>
        <w:rPr>
          <w:rFonts w:ascii="Calibri" w:hAnsi="Calibri" w:hint="eastAsia"/>
          <w:rtl/>
        </w:rPr>
        <w:t>מחזיק</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האקדח</w:t>
      </w:r>
      <w:r>
        <w:rPr>
          <w:rFonts w:ascii="Calibri" w:hAnsi="Calibri"/>
          <w:rtl/>
        </w:rPr>
        <w:t xml:space="preserve"> </w:t>
      </w:r>
      <w:r>
        <w:rPr>
          <w:rFonts w:ascii="Calibri" w:hAnsi="Calibri" w:hint="eastAsia"/>
          <w:rtl/>
        </w:rPr>
        <w:t>תקופה</w:t>
      </w:r>
      <w:r>
        <w:rPr>
          <w:rFonts w:ascii="Calibri" w:hAnsi="Calibri"/>
          <w:rtl/>
        </w:rPr>
        <w:t xml:space="preserve"> </w:t>
      </w:r>
      <w:r>
        <w:rPr>
          <w:rFonts w:ascii="Calibri" w:hAnsi="Calibri" w:hint="eastAsia"/>
          <w:rtl/>
        </w:rPr>
        <w:t>ארוכה</w:t>
      </w:r>
      <w:r>
        <w:rPr>
          <w:rFonts w:ascii="Calibri" w:hAnsi="Calibri"/>
          <w:rtl/>
        </w:rPr>
        <w:t xml:space="preserve">, </w:t>
      </w:r>
      <w:r>
        <w:rPr>
          <w:rFonts w:ascii="Calibri" w:hAnsi="Calibri" w:hint="eastAsia"/>
          <w:rtl/>
        </w:rPr>
        <w:t>מבצע</w:t>
      </w:r>
      <w:r>
        <w:rPr>
          <w:rFonts w:ascii="Calibri" w:hAnsi="Calibri"/>
          <w:rtl/>
        </w:rPr>
        <w:t xml:space="preserve"> </w:t>
      </w:r>
      <w:r>
        <w:rPr>
          <w:rFonts w:ascii="Calibri" w:hAnsi="Calibri" w:hint="eastAsia"/>
          <w:rtl/>
        </w:rPr>
        <w:t>באמצעותו</w:t>
      </w:r>
      <w:r>
        <w:rPr>
          <w:rFonts w:ascii="Calibri" w:hAnsi="Calibri"/>
          <w:rtl/>
        </w:rPr>
        <w:t xml:space="preserve"> </w:t>
      </w:r>
      <w:r>
        <w:rPr>
          <w:rFonts w:ascii="Calibri" w:hAnsi="Calibri" w:hint="eastAsia"/>
          <w:rtl/>
        </w:rPr>
        <w:t>עבירה</w:t>
      </w:r>
      <w:r>
        <w:rPr>
          <w:rFonts w:ascii="Calibri" w:hAnsi="Calibri"/>
          <w:rtl/>
        </w:rPr>
        <w:t xml:space="preserve"> </w:t>
      </w:r>
      <w:r>
        <w:rPr>
          <w:rFonts w:ascii="Calibri" w:hAnsi="Calibri" w:hint="eastAsia"/>
          <w:rtl/>
        </w:rPr>
        <w:t>פלילית</w:t>
      </w:r>
      <w:r>
        <w:rPr>
          <w:rFonts w:ascii="Calibri" w:hAnsi="Calibri"/>
          <w:rtl/>
        </w:rPr>
        <w:t xml:space="preserve"> </w:t>
      </w:r>
      <w:r>
        <w:rPr>
          <w:rFonts w:ascii="Calibri" w:hAnsi="Calibri" w:hint="eastAsia"/>
          <w:rtl/>
        </w:rPr>
        <w:t>חמורה</w:t>
      </w:r>
      <w:r>
        <w:rPr>
          <w:rFonts w:ascii="Calibri" w:hAnsi="Calibri"/>
          <w:rtl/>
        </w:rPr>
        <w:t xml:space="preserve"> </w:t>
      </w:r>
      <w:r>
        <w:rPr>
          <w:rFonts w:ascii="Calibri" w:hAnsi="Calibri" w:hint="eastAsia"/>
          <w:rtl/>
        </w:rPr>
        <w:t>ובהמשכה</w:t>
      </w:r>
      <w:r>
        <w:rPr>
          <w:rFonts w:ascii="Calibri" w:hAnsi="Calibri"/>
          <w:rtl/>
        </w:rPr>
        <w:t xml:space="preserve"> </w:t>
      </w:r>
      <w:r>
        <w:rPr>
          <w:rFonts w:ascii="Calibri" w:hAnsi="Calibri" w:hint="eastAsia"/>
          <w:rtl/>
        </w:rPr>
        <w:t>עודנו</w:t>
      </w:r>
      <w:r>
        <w:rPr>
          <w:rFonts w:ascii="Calibri" w:hAnsi="Calibri"/>
          <w:rtl/>
        </w:rPr>
        <w:t xml:space="preserve"> </w:t>
      </w:r>
      <w:r>
        <w:rPr>
          <w:rFonts w:ascii="Calibri" w:hAnsi="Calibri" w:hint="eastAsia"/>
          <w:rtl/>
        </w:rPr>
        <w:t>ממשיך</w:t>
      </w:r>
      <w:r>
        <w:rPr>
          <w:rFonts w:ascii="Calibri" w:hAnsi="Calibri"/>
          <w:rtl/>
        </w:rPr>
        <w:t xml:space="preserve"> </w:t>
      </w:r>
      <w:r>
        <w:rPr>
          <w:rFonts w:ascii="Calibri" w:hAnsi="Calibri" w:hint="eastAsia"/>
          <w:rtl/>
        </w:rPr>
        <w:t>להחזיקו</w:t>
      </w:r>
      <w:r>
        <w:rPr>
          <w:rFonts w:ascii="Calibri" w:hAnsi="Calibri"/>
          <w:rtl/>
        </w:rPr>
        <w:t xml:space="preserve"> </w:t>
      </w:r>
      <w:r>
        <w:rPr>
          <w:rFonts w:ascii="Calibri" w:hAnsi="Calibri" w:hint="eastAsia"/>
          <w:rtl/>
        </w:rPr>
        <w:t>מוסלק</w:t>
      </w:r>
      <w:r>
        <w:rPr>
          <w:rFonts w:ascii="Calibri" w:hAnsi="Calibri"/>
          <w:rtl/>
        </w:rPr>
        <w:t xml:space="preserve"> </w:t>
      </w:r>
      <w:r>
        <w:rPr>
          <w:rFonts w:ascii="Calibri" w:hAnsi="Calibri" w:hint="eastAsia"/>
          <w:rtl/>
        </w:rPr>
        <w:t>בביתו</w:t>
      </w:r>
      <w:r>
        <w:rPr>
          <w:rFonts w:ascii="Calibri" w:hAnsi="Calibri"/>
          <w:rtl/>
        </w:rPr>
        <w:t xml:space="preserve">, </w:t>
      </w:r>
      <w:r>
        <w:rPr>
          <w:rFonts w:ascii="Calibri" w:hAnsi="Calibri" w:hint="eastAsia"/>
          <w:rtl/>
        </w:rPr>
        <w:t>מהווה</w:t>
      </w:r>
      <w:r>
        <w:rPr>
          <w:rFonts w:ascii="Calibri" w:hAnsi="Calibri"/>
          <w:rtl/>
        </w:rPr>
        <w:t xml:space="preserve"> </w:t>
      </w:r>
      <w:r>
        <w:rPr>
          <w:rFonts w:ascii="Calibri" w:hAnsi="Calibri" w:hint="eastAsia"/>
          <w:rtl/>
        </w:rPr>
        <w:t>נסיבה</w:t>
      </w:r>
      <w:r>
        <w:rPr>
          <w:rFonts w:ascii="Calibri" w:hAnsi="Calibri"/>
          <w:rtl/>
        </w:rPr>
        <w:t xml:space="preserve"> </w:t>
      </w:r>
      <w:r>
        <w:rPr>
          <w:rFonts w:ascii="Calibri" w:hAnsi="Calibri" w:hint="eastAsia"/>
          <w:rtl/>
        </w:rPr>
        <w:t>נוספת</w:t>
      </w:r>
      <w:r>
        <w:rPr>
          <w:rFonts w:ascii="Calibri" w:hAnsi="Calibri"/>
          <w:rtl/>
        </w:rPr>
        <w:t xml:space="preserve"> </w:t>
      </w:r>
      <w:r>
        <w:rPr>
          <w:rFonts w:ascii="Calibri" w:hAnsi="Calibri" w:hint="eastAsia"/>
          <w:rtl/>
        </w:rPr>
        <w:t>לחומרה</w:t>
      </w:r>
      <w:r>
        <w:rPr>
          <w:rFonts w:ascii="Calibri" w:hAnsi="Calibri"/>
          <w:rtl/>
        </w:rPr>
        <w:t>.</w:t>
      </w:r>
    </w:p>
    <w:p w14:paraId="16AC03A3" w14:textId="77777777" w:rsidR="003507D7" w:rsidRDefault="003507D7" w:rsidP="00A140DE">
      <w:pPr>
        <w:spacing w:after="160" w:line="360" w:lineRule="auto"/>
        <w:jc w:val="both"/>
        <w:rPr>
          <w:rFonts w:ascii="Calibri" w:hAnsi="Calibri"/>
          <w:rtl/>
        </w:rPr>
      </w:pPr>
      <w:r>
        <w:rPr>
          <w:rFonts w:ascii="Calibri" w:hAnsi="Calibri" w:hint="eastAsia"/>
          <w:rtl/>
        </w:rPr>
        <w:t>מאידך</w:t>
      </w:r>
      <w:r>
        <w:rPr>
          <w:rFonts w:ascii="Calibri" w:hAnsi="Calibri"/>
          <w:rtl/>
        </w:rPr>
        <w:t xml:space="preserve">, </w:t>
      </w:r>
      <w:r>
        <w:rPr>
          <w:rFonts w:ascii="Calibri" w:hAnsi="Calibri" w:hint="eastAsia"/>
          <w:rtl/>
        </w:rPr>
        <w:t>ולקולא</w:t>
      </w:r>
      <w:r>
        <w:rPr>
          <w:rFonts w:ascii="Calibri" w:hAnsi="Calibri"/>
          <w:rtl/>
        </w:rPr>
        <w:t xml:space="preserve">, </w:t>
      </w:r>
      <w:r>
        <w:rPr>
          <w:rFonts w:ascii="Calibri" w:hAnsi="Calibri" w:hint="eastAsia"/>
          <w:rtl/>
        </w:rPr>
        <w:t>מדובר</w:t>
      </w:r>
      <w:r>
        <w:rPr>
          <w:rFonts w:ascii="Calibri" w:hAnsi="Calibri"/>
          <w:rtl/>
        </w:rPr>
        <w:t xml:space="preserve"> </w:t>
      </w:r>
      <w:r>
        <w:rPr>
          <w:rFonts w:ascii="Calibri" w:hAnsi="Calibri" w:hint="eastAsia"/>
          <w:rtl/>
        </w:rPr>
        <w:t>בהחזקת</w:t>
      </w:r>
      <w:r>
        <w:rPr>
          <w:rFonts w:ascii="Calibri" w:hAnsi="Calibri"/>
          <w:rtl/>
        </w:rPr>
        <w:t xml:space="preserve"> </w:t>
      </w:r>
      <w:r>
        <w:rPr>
          <w:rFonts w:ascii="Calibri" w:hAnsi="Calibri" w:hint="eastAsia"/>
          <w:rtl/>
        </w:rPr>
        <w:t>נשק</w:t>
      </w:r>
      <w:r>
        <w:rPr>
          <w:rFonts w:ascii="Calibri" w:hAnsi="Calibri"/>
          <w:rtl/>
        </w:rPr>
        <w:t xml:space="preserve"> </w:t>
      </w:r>
      <w:r>
        <w:rPr>
          <w:rFonts w:ascii="Calibri" w:hAnsi="Calibri" w:hint="eastAsia"/>
          <w:rtl/>
        </w:rPr>
        <w:t>מסוג</w:t>
      </w:r>
      <w:r>
        <w:rPr>
          <w:rFonts w:ascii="Calibri" w:hAnsi="Calibri"/>
          <w:rtl/>
        </w:rPr>
        <w:t xml:space="preserve"> </w:t>
      </w:r>
      <w:r>
        <w:rPr>
          <w:rFonts w:ascii="Calibri" w:hAnsi="Calibri" w:hint="eastAsia"/>
          <w:rtl/>
        </w:rPr>
        <w:t>אקדח</w:t>
      </w:r>
      <w:r>
        <w:rPr>
          <w:rFonts w:ascii="Calibri" w:hAnsi="Calibri"/>
          <w:rtl/>
        </w:rPr>
        <w:t xml:space="preserve"> </w:t>
      </w:r>
      <w:r>
        <w:rPr>
          <w:rFonts w:ascii="Calibri" w:hAnsi="Calibri" w:hint="eastAsia"/>
          <w:rtl/>
        </w:rPr>
        <w:t>וזאת</w:t>
      </w:r>
      <w:r>
        <w:rPr>
          <w:rFonts w:ascii="Calibri" w:hAnsi="Calibri"/>
          <w:rtl/>
        </w:rPr>
        <w:t xml:space="preserve"> </w:t>
      </w:r>
      <w:r>
        <w:rPr>
          <w:rFonts w:ascii="Calibri" w:hAnsi="Calibri" w:hint="eastAsia"/>
          <w:rtl/>
        </w:rPr>
        <w:t>במאובחן</w:t>
      </w:r>
      <w:r>
        <w:rPr>
          <w:rFonts w:ascii="Calibri" w:hAnsi="Calibri"/>
          <w:rtl/>
        </w:rPr>
        <w:t xml:space="preserve"> </w:t>
      </w:r>
      <w:r>
        <w:rPr>
          <w:rFonts w:ascii="Calibri" w:hAnsi="Calibri" w:hint="eastAsia"/>
          <w:rtl/>
        </w:rPr>
        <w:t>מהחזקת</w:t>
      </w:r>
      <w:r>
        <w:rPr>
          <w:rFonts w:ascii="Calibri" w:hAnsi="Calibri"/>
          <w:rtl/>
        </w:rPr>
        <w:t xml:space="preserve"> </w:t>
      </w:r>
      <w:r>
        <w:rPr>
          <w:rFonts w:ascii="Calibri" w:hAnsi="Calibri" w:hint="eastAsia"/>
          <w:rtl/>
        </w:rPr>
        <w:t>תת</w:t>
      </w:r>
      <w:r>
        <w:rPr>
          <w:rFonts w:ascii="Calibri" w:hAnsi="Calibri"/>
          <w:rtl/>
        </w:rPr>
        <w:t xml:space="preserve"> </w:t>
      </w:r>
      <w:r>
        <w:rPr>
          <w:rFonts w:ascii="Calibri" w:hAnsi="Calibri" w:hint="eastAsia"/>
          <w:rtl/>
        </w:rPr>
        <w:t>מקלע</w:t>
      </w:r>
      <w:r>
        <w:rPr>
          <w:rFonts w:ascii="Calibri" w:hAnsi="Calibri"/>
          <w:rtl/>
        </w:rPr>
        <w:t xml:space="preserve">, </w:t>
      </w:r>
      <w:r>
        <w:rPr>
          <w:rFonts w:ascii="Calibri" w:hAnsi="Calibri" w:hint="eastAsia"/>
          <w:rtl/>
        </w:rPr>
        <w:t>רובה</w:t>
      </w:r>
      <w:r>
        <w:rPr>
          <w:rFonts w:ascii="Calibri" w:hAnsi="Calibri"/>
          <w:rtl/>
        </w:rPr>
        <w:t xml:space="preserve"> </w:t>
      </w:r>
      <w:r>
        <w:rPr>
          <w:rFonts w:ascii="Calibri" w:hAnsi="Calibri" w:hint="eastAsia"/>
          <w:rtl/>
        </w:rPr>
        <w:t>סער</w:t>
      </w:r>
      <w:r>
        <w:rPr>
          <w:rFonts w:ascii="Calibri" w:hAnsi="Calibri"/>
          <w:rtl/>
        </w:rPr>
        <w:t xml:space="preserve"> </w:t>
      </w:r>
      <w:r>
        <w:rPr>
          <w:rFonts w:ascii="Calibri" w:hAnsi="Calibri" w:hint="eastAsia"/>
          <w:rtl/>
        </w:rPr>
        <w:t>או</w:t>
      </w:r>
      <w:r>
        <w:rPr>
          <w:rFonts w:ascii="Calibri" w:hAnsi="Calibri"/>
          <w:rtl/>
        </w:rPr>
        <w:t xml:space="preserve"> </w:t>
      </w:r>
      <w:r>
        <w:rPr>
          <w:rFonts w:ascii="Calibri" w:hAnsi="Calibri" w:hint="eastAsia"/>
          <w:rtl/>
        </w:rPr>
        <w:t>מטעני</w:t>
      </w:r>
      <w:r>
        <w:rPr>
          <w:rFonts w:ascii="Calibri" w:hAnsi="Calibri"/>
          <w:rtl/>
        </w:rPr>
        <w:t xml:space="preserve"> </w:t>
      </w:r>
      <w:r>
        <w:rPr>
          <w:rFonts w:ascii="Calibri" w:hAnsi="Calibri" w:hint="eastAsia"/>
          <w:rtl/>
        </w:rPr>
        <w:t>חבלה</w:t>
      </w:r>
      <w:r>
        <w:rPr>
          <w:rFonts w:ascii="Calibri" w:hAnsi="Calibri"/>
          <w:rtl/>
        </w:rPr>
        <w:t xml:space="preserve"> </w:t>
      </w:r>
      <w:r>
        <w:rPr>
          <w:rFonts w:ascii="Calibri" w:hAnsi="Calibri" w:hint="eastAsia"/>
          <w:rtl/>
        </w:rPr>
        <w:t>מוכנים</w:t>
      </w:r>
      <w:r>
        <w:rPr>
          <w:rFonts w:ascii="Calibri" w:hAnsi="Calibri"/>
          <w:rtl/>
        </w:rPr>
        <w:t xml:space="preserve"> </w:t>
      </w:r>
      <w:r>
        <w:rPr>
          <w:rFonts w:ascii="Calibri" w:hAnsi="Calibri" w:hint="eastAsia"/>
          <w:rtl/>
        </w:rPr>
        <w:t>לפעולה</w:t>
      </w:r>
      <w:r>
        <w:rPr>
          <w:rFonts w:ascii="Calibri" w:hAnsi="Calibri"/>
          <w:rtl/>
        </w:rPr>
        <w:t xml:space="preserve"> </w:t>
      </w:r>
      <w:r>
        <w:rPr>
          <w:rFonts w:ascii="Calibri" w:hAnsi="Calibri" w:hint="eastAsia"/>
          <w:rtl/>
        </w:rPr>
        <w:t>שעל</w:t>
      </w:r>
      <w:r>
        <w:rPr>
          <w:rFonts w:ascii="Calibri" w:hAnsi="Calibri"/>
          <w:rtl/>
        </w:rPr>
        <w:t xml:space="preserve"> </w:t>
      </w:r>
      <w:r>
        <w:rPr>
          <w:rFonts w:ascii="Calibri" w:hAnsi="Calibri" w:hint="eastAsia"/>
          <w:rtl/>
        </w:rPr>
        <w:t>פי</w:t>
      </w:r>
      <w:r>
        <w:rPr>
          <w:rFonts w:ascii="Calibri" w:hAnsi="Calibri"/>
          <w:rtl/>
        </w:rPr>
        <w:t xml:space="preserve"> </w:t>
      </w:r>
      <w:r>
        <w:rPr>
          <w:rFonts w:ascii="Calibri" w:hAnsi="Calibri" w:hint="eastAsia"/>
          <w:rtl/>
        </w:rPr>
        <w:t>הפסיקה</w:t>
      </w:r>
      <w:r>
        <w:rPr>
          <w:rFonts w:ascii="Calibri" w:hAnsi="Calibri"/>
          <w:rtl/>
        </w:rPr>
        <w:t xml:space="preserve"> </w:t>
      </w:r>
      <w:r>
        <w:rPr>
          <w:rFonts w:ascii="Calibri" w:hAnsi="Calibri" w:hint="eastAsia"/>
          <w:rtl/>
        </w:rPr>
        <w:t>נמצאים</w:t>
      </w:r>
      <w:r>
        <w:rPr>
          <w:rFonts w:ascii="Calibri" w:hAnsi="Calibri"/>
          <w:rtl/>
        </w:rPr>
        <w:t xml:space="preserve"> </w:t>
      </w:r>
      <w:r>
        <w:rPr>
          <w:rFonts w:ascii="Calibri" w:hAnsi="Calibri" w:hint="eastAsia"/>
          <w:rtl/>
        </w:rPr>
        <w:t>במדרג</w:t>
      </w:r>
      <w:r>
        <w:rPr>
          <w:rFonts w:ascii="Calibri" w:hAnsi="Calibri"/>
          <w:rtl/>
        </w:rPr>
        <w:t xml:space="preserve"> </w:t>
      </w:r>
      <w:r>
        <w:rPr>
          <w:rFonts w:ascii="Calibri" w:hAnsi="Calibri" w:hint="eastAsia"/>
          <w:rtl/>
        </w:rPr>
        <w:t>גבוה</w:t>
      </w:r>
      <w:r>
        <w:rPr>
          <w:rFonts w:ascii="Calibri" w:hAnsi="Calibri"/>
          <w:rtl/>
        </w:rPr>
        <w:t xml:space="preserve"> </w:t>
      </w:r>
      <w:r>
        <w:rPr>
          <w:rFonts w:ascii="Calibri" w:hAnsi="Calibri" w:hint="eastAsia"/>
          <w:rtl/>
        </w:rPr>
        <w:t>יותר</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חומרה</w:t>
      </w:r>
      <w:r>
        <w:rPr>
          <w:rFonts w:ascii="Calibri" w:hAnsi="Calibri"/>
          <w:rtl/>
        </w:rPr>
        <w:t xml:space="preserve">. </w:t>
      </w:r>
      <w:r>
        <w:rPr>
          <w:rFonts w:ascii="Calibri" w:hAnsi="Calibri" w:hint="eastAsia"/>
          <w:rtl/>
        </w:rPr>
        <w:t>עוד</w:t>
      </w:r>
      <w:r>
        <w:rPr>
          <w:rFonts w:ascii="Calibri" w:hAnsi="Calibri"/>
          <w:rtl/>
        </w:rPr>
        <w:t xml:space="preserve"> </w:t>
      </w:r>
      <w:r>
        <w:rPr>
          <w:rFonts w:ascii="Calibri" w:hAnsi="Calibri" w:hint="eastAsia"/>
          <w:rtl/>
        </w:rPr>
        <w:t>בית</w:t>
      </w:r>
      <w:r>
        <w:rPr>
          <w:rFonts w:ascii="Calibri" w:hAnsi="Calibri"/>
          <w:rtl/>
        </w:rPr>
        <w:t xml:space="preserve"> </w:t>
      </w:r>
      <w:r>
        <w:rPr>
          <w:rFonts w:ascii="Calibri" w:hAnsi="Calibri" w:hint="eastAsia"/>
          <w:rtl/>
        </w:rPr>
        <w:t>המשפט</w:t>
      </w:r>
      <w:r>
        <w:rPr>
          <w:rFonts w:ascii="Calibri" w:hAnsi="Calibri"/>
          <w:rtl/>
        </w:rPr>
        <w:t xml:space="preserve"> </w:t>
      </w:r>
      <w:r>
        <w:rPr>
          <w:rFonts w:ascii="Calibri" w:hAnsi="Calibri" w:hint="eastAsia"/>
          <w:rtl/>
        </w:rPr>
        <w:t>יניח</w:t>
      </w:r>
      <w:r>
        <w:rPr>
          <w:rFonts w:ascii="Calibri" w:hAnsi="Calibri"/>
          <w:rtl/>
        </w:rPr>
        <w:t xml:space="preserve"> </w:t>
      </w:r>
      <w:r>
        <w:rPr>
          <w:rFonts w:ascii="Calibri" w:hAnsi="Calibri" w:hint="eastAsia"/>
          <w:rtl/>
        </w:rPr>
        <w:t>לטובתו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הסלקת</w:t>
      </w:r>
      <w:r>
        <w:rPr>
          <w:rFonts w:ascii="Calibri" w:hAnsi="Calibri"/>
          <w:rtl/>
        </w:rPr>
        <w:t xml:space="preserve"> </w:t>
      </w:r>
      <w:r>
        <w:rPr>
          <w:rFonts w:ascii="Calibri" w:hAnsi="Calibri" w:hint="eastAsia"/>
          <w:rtl/>
        </w:rPr>
        <w:t>האקדח</w:t>
      </w:r>
      <w:r>
        <w:rPr>
          <w:rFonts w:ascii="Calibri" w:hAnsi="Calibri"/>
          <w:rtl/>
        </w:rPr>
        <w:t xml:space="preserve"> </w:t>
      </w:r>
      <w:r>
        <w:rPr>
          <w:rFonts w:ascii="Calibri" w:hAnsi="Calibri" w:hint="eastAsia"/>
          <w:rtl/>
        </w:rPr>
        <w:t>נועדה</w:t>
      </w:r>
      <w:r>
        <w:rPr>
          <w:rFonts w:ascii="Calibri" w:hAnsi="Calibri"/>
          <w:rtl/>
        </w:rPr>
        <w:t xml:space="preserve"> </w:t>
      </w:r>
      <w:r>
        <w:rPr>
          <w:rFonts w:ascii="Calibri" w:hAnsi="Calibri" w:hint="eastAsia"/>
          <w:rtl/>
        </w:rPr>
        <w:t>גם</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מנת</w:t>
      </w:r>
      <w:r>
        <w:rPr>
          <w:rFonts w:ascii="Calibri" w:hAnsi="Calibri"/>
          <w:rtl/>
        </w:rPr>
        <w:t xml:space="preserve"> </w:t>
      </w:r>
      <w:r>
        <w:rPr>
          <w:rFonts w:ascii="Calibri" w:hAnsi="Calibri" w:hint="eastAsia"/>
          <w:rtl/>
        </w:rPr>
        <w:t>למנוע</w:t>
      </w:r>
      <w:r>
        <w:rPr>
          <w:rFonts w:ascii="Calibri" w:hAnsi="Calibri"/>
          <w:rtl/>
        </w:rPr>
        <w:t xml:space="preserve"> </w:t>
      </w:r>
      <w:r>
        <w:rPr>
          <w:rFonts w:ascii="Calibri" w:hAnsi="Calibri" w:hint="eastAsia"/>
          <w:rtl/>
        </w:rPr>
        <w:t>שזה</w:t>
      </w:r>
      <w:r>
        <w:rPr>
          <w:rFonts w:ascii="Calibri" w:hAnsi="Calibri"/>
          <w:rtl/>
        </w:rPr>
        <w:t xml:space="preserve"> </w:t>
      </w:r>
      <w:r>
        <w:rPr>
          <w:rFonts w:ascii="Calibri" w:hAnsi="Calibri" w:hint="eastAsia"/>
          <w:rtl/>
        </w:rPr>
        <w:t>בטעות</w:t>
      </w:r>
      <w:r>
        <w:rPr>
          <w:rFonts w:ascii="Calibri" w:hAnsi="Calibri"/>
          <w:rtl/>
        </w:rPr>
        <w:t xml:space="preserve"> </w:t>
      </w:r>
      <w:r>
        <w:rPr>
          <w:rFonts w:ascii="Calibri" w:hAnsi="Calibri" w:hint="eastAsia"/>
          <w:rtl/>
        </w:rPr>
        <w:t>ימצא</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ידי</w:t>
      </w:r>
      <w:r>
        <w:rPr>
          <w:rFonts w:ascii="Calibri" w:hAnsi="Calibri"/>
          <w:rtl/>
        </w:rPr>
        <w:t xml:space="preserve"> </w:t>
      </w:r>
      <w:r>
        <w:rPr>
          <w:rFonts w:ascii="Calibri" w:hAnsi="Calibri" w:hint="eastAsia"/>
          <w:rtl/>
        </w:rPr>
        <w:t>מי</w:t>
      </w:r>
      <w:r>
        <w:rPr>
          <w:rFonts w:ascii="Calibri" w:hAnsi="Calibri"/>
          <w:rtl/>
        </w:rPr>
        <w:t xml:space="preserve"> </w:t>
      </w:r>
      <w:r>
        <w:rPr>
          <w:rFonts w:ascii="Calibri" w:hAnsi="Calibri" w:hint="eastAsia"/>
          <w:rtl/>
        </w:rPr>
        <w:t>מדירי</w:t>
      </w:r>
      <w:r>
        <w:rPr>
          <w:rFonts w:ascii="Calibri" w:hAnsi="Calibri"/>
          <w:rtl/>
        </w:rPr>
        <w:t xml:space="preserve"> </w:t>
      </w:r>
      <w:r>
        <w:rPr>
          <w:rFonts w:ascii="Calibri" w:hAnsi="Calibri" w:hint="eastAsia"/>
          <w:rtl/>
        </w:rPr>
        <w:t>הבית</w:t>
      </w:r>
      <w:r>
        <w:rPr>
          <w:rFonts w:ascii="Calibri" w:hAnsi="Calibri"/>
          <w:rtl/>
        </w:rPr>
        <w:t xml:space="preserve"> </w:t>
      </w:r>
      <w:r>
        <w:rPr>
          <w:rFonts w:ascii="Calibri" w:hAnsi="Calibri" w:hint="eastAsia"/>
          <w:rtl/>
        </w:rPr>
        <w:t>בכללם</w:t>
      </w:r>
      <w:r>
        <w:rPr>
          <w:rFonts w:ascii="Calibri" w:hAnsi="Calibri"/>
          <w:rtl/>
        </w:rPr>
        <w:t xml:space="preserve"> </w:t>
      </w:r>
      <w:r>
        <w:rPr>
          <w:rFonts w:ascii="Calibri" w:hAnsi="Calibri" w:hint="eastAsia"/>
          <w:rtl/>
        </w:rPr>
        <w:t>הוריו</w:t>
      </w:r>
      <w:r>
        <w:rPr>
          <w:rFonts w:ascii="Calibri" w:hAnsi="Calibri"/>
          <w:rtl/>
        </w:rPr>
        <w:t xml:space="preserve"> </w:t>
      </w:r>
      <w:r>
        <w:rPr>
          <w:rFonts w:ascii="Calibri" w:hAnsi="Calibri" w:hint="eastAsia"/>
          <w:rtl/>
        </w:rPr>
        <w:t>ואחותו</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הסיכון</w:t>
      </w:r>
      <w:r>
        <w:rPr>
          <w:rFonts w:ascii="Calibri" w:hAnsi="Calibri"/>
          <w:rtl/>
        </w:rPr>
        <w:t xml:space="preserve"> </w:t>
      </w:r>
      <w:r>
        <w:rPr>
          <w:rFonts w:ascii="Calibri" w:hAnsi="Calibri" w:hint="eastAsia"/>
          <w:rtl/>
        </w:rPr>
        <w:t>הגלום</w:t>
      </w:r>
      <w:r>
        <w:rPr>
          <w:rFonts w:ascii="Calibri" w:hAnsi="Calibri"/>
          <w:rtl/>
        </w:rPr>
        <w:t xml:space="preserve"> </w:t>
      </w:r>
      <w:r>
        <w:rPr>
          <w:rFonts w:ascii="Calibri" w:hAnsi="Calibri" w:hint="eastAsia"/>
          <w:rtl/>
        </w:rPr>
        <w:t>בכך</w:t>
      </w:r>
      <w:r>
        <w:rPr>
          <w:rFonts w:ascii="Calibri" w:hAnsi="Calibri"/>
          <w:rtl/>
        </w:rPr>
        <w:t>.</w:t>
      </w:r>
    </w:p>
    <w:p w14:paraId="6014463A" w14:textId="77777777" w:rsidR="003507D7" w:rsidRPr="00E9798F" w:rsidRDefault="003507D7" w:rsidP="00340A4A">
      <w:pPr>
        <w:spacing w:after="160" w:line="360" w:lineRule="auto"/>
        <w:jc w:val="both"/>
        <w:rPr>
          <w:rFonts w:ascii="Calibri" w:hAnsi="Calibri"/>
          <w:rtl/>
        </w:rPr>
      </w:pPr>
    </w:p>
    <w:p w14:paraId="04D6F9E3" w14:textId="77777777" w:rsidR="003507D7" w:rsidRPr="00314C92" w:rsidRDefault="003507D7" w:rsidP="00340A4A">
      <w:pPr>
        <w:spacing w:after="160" w:line="360" w:lineRule="auto"/>
        <w:jc w:val="both"/>
        <w:rPr>
          <w:rFonts w:ascii="Calibri" w:hAnsi="Calibri"/>
          <w:rtl/>
        </w:rPr>
      </w:pPr>
      <w:r w:rsidRPr="000360BF">
        <w:rPr>
          <w:rFonts w:ascii="Calibri" w:hAnsi="Calibri" w:hint="eastAsia"/>
          <w:u w:val="single"/>
          <w:rtl/>
        </w:rPr>
        <w:t>בעבירת</w:t>
      </w:r>
      <w:r w:rsidRPr="000360BF">
        <w:rPr>
          <w:rFonts w:ascii="Calibri" w:hAnsi="Calibri"/>
          <w:u w:val="single"/>
          <w:rtl/>
        </w:rPr>
        <w:t xml:space="preserve"> </w:t>
      </w:r>
      <w:r w:rsidRPr="000360BF">
        <w:rPr>
          <w:rFonts w:ascii="Calibri" w:hAnsi="Calibri" w:hint="eastAsia"/>
          <w:u w:val="single"/>
          <w:rtl/>
        </w:rPr>
        <w:t>נשיאת</w:t>
      </w:r>
      <w:r w:rsidRPr="000360BF">
        <w:rPr>
          <w:rFonts w:ascii="Calibri" w:hAnsi="Calibri"/>
          <w:u w:val="single"/>
          <w:rtl/>
        </w:rPr>
        <w:t xml:space="preserve"> </w:t>
      </w:r>
      <w:r w:rsidRPr="000360BF">
        <w:rPr>
          <w:rFonts w:ascii="Calibri" w:hAnsi="Calibri" w:hint="eastAsia"/>
          <w:u w:val="single"/>
          <w:rtl/>
        </w:rPr>
        <w:t>הנשק</w:t>
      </w:r>
      <w:r w:rsidRPr="000360BF">
        <w:rPr>
          <w:rFonts w:ascii="Calibri" w:hAnsi="Calibri"/>
          <w:u w:val="single"/>
          <w:rtl/>
        </w:rPr>
        <w:t xml:space="preserve"> </w:t>
      </w:r>
      <w:r w:rsidRPr="000360BF">
        <w:rPr>
          <w:rFonts w:ascii="Calibri" w:hAnsi="Calibri" w:hint="eastAsia"/>
          <w:u w:val="single"/>
          <w:rtl/>
        </w:rPr>
        <w:t>וניסיון</w:t>
      </w:r>
      <w:r w:rsidRPr="000360BF">
        <w:rPr>
          <w:rFonts w:ascii="Calibri" w:hAnsi="Calibri"/>
          <w:u w:val="single"/>
          <w:rtl/>
        </w:rPr>
        <w:t xml:space="preserve"> </w:t>
      </w:r>
      <w:r w:rsidRPr="000360BF">
        <w:rPr>
          <w:rFonts w:ascii="Calibri" w:hAnsi="Calibri" w:hint="eastAsia"/>
          <w:u w:val="single"/>
          <w:rtl/>
        </w:rPr>
        <w:t>השוד</w:t>
      </w:r>
      <w:r>
        <w:rPr>
          <w:rFonts w:ascii="Calibri" w:hAnsi="Calibri"/>
          <w:rtl/>
        </w:rPr>
        <w:t xml:space="preserve"> </w:t>
      </w:r>
      <w:r>
        <w:rPr>
          <w:rFonts w:ascii="Calibri" w:hAnsi="Calibri" w:hint="eastAsia"/>
          <w:rtl/>
        </w:rPr>
        <w:t>פגע</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מעבר</w:t>
      </w:r>
      <w:r>
        <w:rPr>
          <w:rFonts w:ascii="Calibri" w:hAnsi="Calibri"/>
          <w:rtl/>
        </w:rPr>
        <w:t xml:space="preserve"> </w:t>
      </w:r>
      <w:r>
        <w:rPr>
          <w:rFonts w:ascii="Calibri" w:hAnsi="Calibri" w:hint="eastAsia"/>
          <w:rtl/>
        </w:rPr>
        <w:t>לערכים</w:t>
      </w:r>
      <w:r>
        <w:rPr>
          <w:rFonts w:ascii="Calibri" w:hAnsi="Calibri"/>
          <w:rtl/>
        </w:rPr>
        <w:t xml:space="preserve"> </w:t>
      </w:r>
      <w:r>
        <w:rPr>
          <w:rFonts w:ascii="Calibri" w:hAnsi="Calibri" w:hint="eastAsia"/>
          <w:rtl/>
        </w:rPr>
        <w:t>הנוגעים</w:t>
      </w:r>
      <w:r>
        <w:rPr>
          <w:rFonts w:ascii="Calibri" w:hAnsi="Calibri"/>
          <w:rtl/>
        </w:rPr>
        <w:t xml:space="preserve"> </w:t>
      </w:r>
      <w:r>
        <w:rPr>
          <w:rFonts w:ascii="Calibri" w:hAnsi="Calibri" w:hint="eastAsia"/>
          <w:rtl/>
        </w:rPr>
        <w:t>לעבירת</w:t>
      </w:r>
      <w:r>
        <w:rPr>
          <w:rFonts w:ascii="Calibri" w:hAnsi="Calibri"/>
          <w:rtl/>
        </w:rPr>
        <w:t xml:space="preserve"> </w:t>
      </w:r>
      <w:r>
        <w:rPr>
          <w:rFonts w:ascii="Calibri" w:hAnsi="Calibri" w:hint="eastAsia"/>
          <w:rtl/>
        </w:rPr>
        <w:t>הנשק</w:t>
      </w:r>
      <w:r>
        <w:rPr>
          <w:rFonts w:ascii="Calibri" w:hAnsi="Calibri"/>
          <w:rtl/>
        </w:rPr>
        <w:t xml:space="preserve"> </w:t>
      </w:r>
      <w:r>
        <w:rPr>
          <w:rFonts w:ascii="Calibri" w:hAnsi="Calibri" w:hint="eastAsia"/>
          <w:rtl/>
        </w:rPr>
        <w:t>גם</w:t>
      </w:r>
      <w:r>
        <w:rPr>
          <w:rFonts w:ascii="Calibri" w:hAnsi="Calibri"/>
          <w:rtl/>
        </w:rPr>
        <w:t xml:space="preserve"> </w:t>
      </w:r>
      <w:r>
        <w:rPr>
          <w:rFonts w:ascii="Calibri" w:hAnsi="Calibri" w:hint="eastAsia"/>
          <w:rtl/>
        </w:rPr>
        <w:t>בערכים</w:t>
      </w:r>
      <w:r>
        <w:rPr>
          <w:rFonts w:ascii="Calibri" w:hAnsi="Calibri"/>
          <w:rtl/>
        </w:rPr>
        <w:t xml:space="preserve"> </w:t>
      </w:r>
      <w:r>
        <w:rPr>
          <w:rFonts w:ascii="Calibri" w:hAnsi="Calibri" w:hint="eastAsia"/>
          <w:rtl/>
        </w:rPr>
        <w:t>המוגנים</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כבוד</w:t>
      </w:r>
      <w:r>
        <w:rPr>
          <w:rFonts w:ascii="Calibri" w:hAnsi="Calibri"/>
          <w:rtl/>
        </w:rPr>
        <w:t xml:space="preserve"> </w:t>
      </w:r>
      <w:r>
        <w:rPr>
          <w:rFonts w:ascii="Calibri" w:hAnsi="Calibri" w:hint="eastAsia"/>
          <w:rtl/>
        </w:rPr>
        <w:t>האדם</w:t>
      </w:r>
      <w:r>
        <w:rPr>
          <w:rFonts w:ascii="Calibri" w:hAnsi="Calibri"/>
          <w:rtl/>
        </w:rPr>
        <w:t xml:space="preserve">, </w:t>
      </w:r>
      <w:r>
        <w:rPr>
          <w:rFonts w:ascii="Calibri" w:hAnsi="Calibri" w:hint="eastAsia"/>
          <w:rtl/>
        </w:rPr>
        <w:t>הזכות</w:t>
      </w:r>
      <w:r>
        <w:rPr>
          <w:rFonts w:ascii="Calibri" w:hAnsi="Calibri"/>
          <w:rtl/>
        </w:rPr>
        <w:t xml:space="preserve"> </w:t>
      </w:r>
      <w:r>
        <w:rPr>
          <w:rFonts w:ascii="Calibri" w:hAnsi="Calibri" w:hint="eastAsia"/>
          <w:rtl/>
        </w:rPr>
        <w:t>לקניין</w:t>
      </w:r>
      <w:r>
        <w:rPr>
          <w:rFonts w:ascii="Calibri" w:hAnsi="Calibri"/>
          <w:rtl/>
        </w:rPr>
        <w:t xml:space="preserve">, </w:t>
      </w:r>
      <w:r>
        <w:rPr>
          <w:rFonts w:ascii="Calibri" w:hAnsi="Calibri" w:hint="eastAsia"/>
          <w:rtl/>
        </w:rPr>
        <w:t>הסדר</w:t>
      </w:r>
      <w:r>
        <w:rPr>
          <w:rFonts w:ascii="Calibri" w:hAnsi="Calibri"/>
          <w:rtl/>
        </w:rPr>
        <w:t xml:space="preserve"> </w:t>
      </w:r>
      <w:r>
        <w:rPr>
          <w:rFonts w:ascii="Calibri" w:hAnsi="Calibri" w:hint="eastAsia"/>
          <w:rtl/>
        </w:rPr>
        <w:t>הציבורי</w:t>
      </w:r>
      <w:r>
        <w:rPr>
          <w:rFonts w:ascii="Calibri" w:hAnsi="Calibri"/>
          <w:rtl/>
        </w:rPr>
        <w:t xml:space="preserve">, </w:t>
      </w:r>
      <w:r w:rsidRPr="00314C92">
        <w:rPr>
          <w:rFonts w:ascii="Calibri" w:hAnsi="Calibri" w:hint="eastAsia"/>
          <w:rtl/>
        </w:rPr>
        <w:t>שמירה</w:t>
      </w:r>
      <w:r w:rsidRPr="00314C92">
        <w:rPr>
          <w:rFonts w:ascii="Calibri" w:hAnsi="Calibri"/>
          <w:rtl/>
        </w:rPr>
        <w:t xml:space="preserve"> </w:t>
      </w:r>
      <w:r w:rsidRPr="00314C92">
        <w:rPr>
          <w:rFonts w:ascii="Calibri" w:hAnsi="Calibri" w:hint="eastAsia"/>
          <w:rtl/>
        </w:rPr>
        <w:t>על</w:t>
      </w:r>
      <w:r w:rsidRPr="00314C92">
        <w:rPr>
          <w:rFonts w:ascii="Calibri" w:hAnsi="Calibri"/>
          <w:rtl/>
        </w:rPr>
        <w:t xml:space="preserve"> </w:t>
      </w:r>
      <w:r w:rsidRPr="00314C92">
        <w:rPr>
          <w:rFonts w:ascii="Calibri" w:hAnsi="Calibri" w:hint="eastAsia"/>
          <w:rtl/>
        </w:rPr>
        <w:t>בטחונו</w:t>
      </w:r>
      <w:r w:rsidRPr="00314C92">
        <w:rPr>
          <w:rFonts w:ascii="Calibri" w:hAnsi="Calibri"/>
          <w:rtl/>
        </w:rPr>
        <w:t xml:space="preserve"> </w:t>
      </w:r>
      <w:r w:rsidRPr="00314C92">
        <w:rPr>
          <w:rFonts w:ascii="Calibri" w:hAnsi="Calibri" w:hint="eastAsia"/>
          <w:rtl/>
        </w:rPr>
        <w:t>האישי</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הפרט</w:t>
      </w:r>
      <w:r>
        <w:rPr>
          <w:rFonts w:ascii="Calibri" w:hAnsi="Calibri"/>
          <w:rtl/>
        </w:rPr>
        <w:t xml:space="preserve"> </w:t>
      </w:r>
      <w:r>
        <w:rPr>
          <w:rFonts w:ascii="Calibri" w:hAnsi="Calibri" w:hint="eastAsia"/>
          <w:rtl/>
        </w:rPr>
        <w:t>ובטחון</w:t>
      </w:r>
      <w:r>
        <w:rPr>
          <w:rFonts w:ascii="Calibri" w:hAnsi="Calibri"/>
          <w:rtl/>
        </w:rPr>
        <w:t xml:space="preserve"> </w:t>
      </w:r>
      <w:r>
        <w:rPr>
          <w:rFonts w:ascii="Calibri" w:hAnsi="Calibri" w:hint="eastAsia"/>
          <w:rtl/>
        </w:rPr>
        <w:t>הציבור</w:t>
      </w:r>
      <w:r>
        <w:rPr>
          <w:rFonts w:ascii="Calibri" w:hAnsi="Calibri"/>
          <w:rtl/>
        </w:rPr>
        <w:t xml:space="preserve"> </w:t>
      </w:r>
      <w:r>
        <w:rPr>
          <w:rFonts w:ascii="Calibri" w:hAnsi="Calibri" w:hint="eastAsia"/>
          <w:rtl/>
        </w:rPr>
        <w:t>בכללותו</w:t>
      </w:r>
      <w:r>
        <w:rPr>
          <w:rFonts w:ascii="Calibri" w:hAnsi="Calibri"/>
          <w:rtl/>
        </w:rPr>
        <w:t>.</w:t>
      </w:r>
    </w:p>
    <w:p w14:paraId="463D32A3" w14:textId="77777777" w:rsidR="003507D7" w:rsidRPr="00646EA7" w:rsidRDefault="003507D7" w:rsidP="00340A4A">
      <w:pPr>
        <w:tabs>
          <w:tab w:val="left" w:pos="567"/>
          <w:tab w:val="left" w:pos="1134"/>
          <w:tab w:val="left" w:pos="1701"/>
        </w:tabs>
        <w:spacing w:line="360" w:lineRule="auto"/>
        <w:jc w:val="both"/>
        <w:rPr>
          <w:rtl/>
        </w:rPr>
      </w:pPr>
      <w:r w:rsidRPr="00646EA7">
        <w:rPr>
          <w:rtl/>
        </w:rPr>
        <w:t xml:space="preserve">אשר לפגיעה הקשה בערכים החברתיים המוגנים הנגרמת מעבירת השוד, יפים דברי כב' השופט נ' הנדל </w:t>
      </w:r>
      <w:r w:rsidRPr="00646EA7">
        <w:rPr>
          <w:u w:val="single"/>
          <w:rtl/>
        </w:rPr>
        <w:t>ב</w:t>
      </w:r>
      <w:hyperlink r:id="rId46" w:history="1">
        <w:r w:rsidR="00746032" w:rsidRPr="00746032">
          <w:rPr>
            <w:color w:val="0000FF"/>
            <w:u w:val="single"/>
            <w:rtl/>
          </w:rPr>
          <w:t>ע"פ 3907/10</w:t>
        </w:r>
      </w:hyperlink>
      <w:r w:rsidRPr="00646EA7">
        <w:rPr>
          <w:u w:val="single"/>
          <w:rtl/>
        </w:rPr>
        <w:t xml:space="preserve"> </w:t>
      </w:r>
      <w:r w:rsidRPr="00646EA7">
        <w:rPr>
          <w:b/>
          <w:bCs/>
          <w:u w:val="single"/>
          <w:rtl/>
        </w:rPr>
        <w:t>אמיר נעאמנה נגד מדינת ישראל</w:t>
      </w:r>
      <w:r w:rsidRPr="00646EA7">
        <w:rPr>
          <w:u w:val="single"/>
          <w:rtl/>
        </w:rPr>
        <w:t xml:space="preserve"> (</w:t>
      </w:r>
      <w:r>
        <w:rPr>
          <w:u w:val="single"/>
          <w:rtl/>
        </w:rPr>
        <w:t xml:space="preserve">פורסם בנבו, </w:t>
      </w:r>
      <w:r w:rsidRPr="00646EA7">
        <w:rPr>
          <w:u w:val="single"/>
          <w:rtl/>
        </w:rPr>
        <w:t>23.3.2011)</w:t>
      </w:r>
      <w:r w:rsidRPr="00646EA7">
        <w:rPr>
          <w:rtl/>
        </w:rPr>
        <w:t>:</w:t>
      </w:r>
    </w:p>
    <w:p w14:paraId="34CC6165" w14:textId="77777777" w:rsidR="003507D7" w:rsidRPr="0062119D" w:rsidRDefault="003507D7" w:rsidP="004F6E95">
      <w:pPr>
        <w:tabs>
          <w:tab w:val="left" w:pos="567"/>
        </w:tabs>
        <w:ind w:left="567" w:right="567"/>
        <w:contextualSpacing/>
        <w:jc w:val="both"/>
        <w:rPr>
          <w:b/>
          <w:bCs/>
          <w:rtl/>
        </w:rPr>
      </w:pPr>
      <w:r w:rsidRPr="0062119D">
        <w:rPr>
          <w:b/>
          <w:bCs/>
          <w:rtl/>
        </w:rPr>
        <w:t>"עבירת השוד היא מן הותיקות שבעבירות הפליליות. מימי קדם ועד ימינו, רבו האנשים שערכו בינם לבין עצמם חשבון של סיכויי ההצלחה מול הסיכונים הכרוכים, ונענו לפיתוי הכספי הכרוך באירוע אלים קצר טווח. כנגד פיתוי זה, נאלצה כל חברה אנושית למצוא את הדרכים להיאבק נגד הפגיעה החמורה בה וביחידיה. חומרתה של עבירה זו כלפי הפרט מורכבת משני נדבכים משתלבים. האחד, הפגיעה בקניינו של קורבן השוד, ובמקרה דנן – פדיון עמל יומו של בעל עסק זעיר, המיועד לזון את בני ביתו. והשני, הממד הפוגעני, האלים והמאיים. גם אם יקבל קורבן השוד את כל רכושו בחזרה בלא פגע, לא במהרה יחלימו צלקותיו הנפשיות".</w:t>
      </w:r>
    </w:p>
    <w:p w14:paraId="1FC132CA" w14:textId="77777777" w:rsidR="003507D7" w:rsidRDefault="003507D7" w:rsidP="00340A4A">
      <w:pPr>
        <w:tabs>
          <w:tab w:val="left" w:pos="567"/>
          <w:tab w:val="left" w:pos="1134"/>
          <w:tab w:val="left" w:pos="1701"/>
        </w:tabs>
        <w:spacing w:line="360" w:lineRule="auto"/>
        <w:ind w:left="885" w:hanging="885"/>
        <w:jc w:val="both"/>
        <w:rPr>
          <w:rFonts w:cs="Miriam"/>
          <w:rtl/>
        </w:rPr>
      </w:pPr>
    </w:p>
    <w:p w14:paraId="51C633B7" w14:textId="77777777" w:rsidR="003507D7" w:rsidRDefault="003507D7" w:rsidP="004F6E95">
      <w:pPr>
        <w:tabs>
          <w:tab w:val="left" w:pos="567"/>
          <w:tab w:val="left" w:pos="1134"/>
          <w:tab w:val="left" w:pos="1701"/>
        </w:tabs>
        <w:spacing w:line="360" w:lineRule="auto"/>
        <w:jc w:val="both"/>
        <w:rPr>
          <w:rtl/>
        </w:rPr>
      </w:pPr>
      <w:r>
        <w:rPr>
          <w:rtl/>
        </w:rPr>
        <w:t>אשר לפסיקה הנוהגת, וכפי שצוין ביחס לעבירה של החזקת נשק גם בעבירות שוד וניסיון שוד ניתן למצוא משרעת רחבה של עונשים. בעבירות אלו בתי המשפט שתים לבם, בין היתר לשאלה האם מדובר בשוד מתוכנן או ספונטני; האם היה שימוש באלימות (ואם כן עוצמתה); האם מדובר בביצוע בצוותא; האם נעשה שימוש בנשק חם או קר; מאפיינים הנוגעים לנשדד (קשיש, קטין וכיוצ"ב); טיב הרכוש שנשדד; מקום השוד (דירה, בית עסק, רחוב); שווי הגזלה וכן יתר הנסיבות האופפות את ביצוע העבירה.   על רקע האמור להלן, פסיקה מדגמית.</w:t>
      </w:r>
    </w:p>
    <w:p w14:paraId="3BBAE67F" w14:textId="77777777" w:rsidR="003507D7" w:rsidRDefault="003507D7" w:rsidP="00340A4A">
      <w:pPr>
        <w:tabs>
          <w:tab w:val="left" w:pos="567"/>
          <w:tab w:val="left" w:pos="1134"/>
          <w:tab w:val="left" w:pos="1701"/>
        </w:tabs>
        <w:spacing w:line="360" w:lineRule="auto"/>
        <w:jc w:val="both"/>
        <w:rPr>
          <w:rtl/>
        </w:rPr>
      </w:pPr>
    </w:p>
    <w:p w14:paraId="0C296903" w14:textId="77777777" w:rsidR="003507D7" w:rsidRDefault="003507D7" w:rsidP="00340A4A">
      <w:pPr>
        <w:tabs>
          <w:tab w:val="left" w:pos="567"/>
          <w:tab w:val="left" w:pos="1134"/>
          <w:tab w:val="left" w:pos="1701"/>
        </w:tabs>
        <w:spacing w:line="360" w:lineRule="auto"/>
        <w:jc w:val="both"/>
        <w:rPr>
          <w:rtl/>
        </w:rPr>
      </w:pPr>
      <w:r w:rsidRPr="00E32947">
        <w:rPr>
          <w:u w:val="single"/>
          <w:rtl/>
        </w:rPr>
        <w:t>ב</w:t>
      </w:r>
      <w:hyperlink r:id="rId47" w:history="1">
        <w:r w:rsidR="00746032" w:rsidRPr="00746032">
          <w:rPr>
            <w:color w:val="0000FF"/>
            <w:u w:val="single"/>
            <w:rtl/>
          </w:rPr>
          <w:t>ע"פ 4125/14</w:t>
        </w:r>
      </w:hyperlink>
      <w:r w:rsidRPr="00604BB0">
        <w:rPr>
          <w:rtl/>
        </w:rPr>
        <w:t xml:space="preserve"> </w:t>
      </w:r>
      <w:r w:rsidRPr="00E32947">
        <w:rPr>
          <w:b/>
          <w:bCs/>
          <w:u w:val="single"/>
          <w:rtl/>
        </w:rPr>
        <w:t>תאופיק חרב נ' מדינת ישראל</w:t>
      </w:r>
      <w:r>
        <w:rPr>
          <w:rtl/>
        </w:rPr>
        <w:t xml:space="preserve"> (פורסם בנבו, 6.1.15</w:t>
      </w:r>
      <w:r w:rsidRPr="008E3CC3">
        <w:rPr>
          <w:rtl/>
        </w:rPr>
        <w:t xml:space="preserve">)- </w:t>
      </w:r>
      <w:r>
        <w:rPr>
          <w:rtl/>
        </w:rPr>
        <w:t xml:space="preserve">מקבל בית המשפט את ערעורו של נאשם שהורשע בעבירה של </w:t>
      </w:r>
      <w:r w:rsidRPr="002C6835">
        <w:rPr>
          <w:u w:val="single"/>
          <w:rtl/>
        </w:rPr>
        <w:t>ניסיון שוד</w:t>
      </w:r>
      <w:r>
        <w:rPr>
          <w:rtl/>
        </w:rPr>
        <w:t xml:space="preserve"> לפי </w:t>
      </w:r>
      <w:hyperlink r:id="rId48" w:history="1">
        <w:r w:rsidR="00912A47" w:rsidRPr="00912A47">
          <w:rPr>
            <w:color w:val="0000FF"/>
            <w:u w:val="single"/>
            <w:rtl/>
          </w:rPr>
          <w:t>סעיף 402(א)</w:t>
        </w:r>
      </w:hyperlink>
      <w:r>
        <w:rPr>
          <w:rtl/>
        </w:rPr>
        <w:t xml:space="preserve"> ומפחית את עונשו מ-30 חודשים ל- 24 חודשים. בתיק זה דובר על מערער אשר ניסה לשדוד מכולת על ידי איום על המוכר באמצעות </w:t>
      </w:r>
      <w:r w:rsidRPr="004F6E95">
        <w:rPr>
          <w:b/>
          <w:bCs/>
          <w:rtl/>
        </w:rPr>
        <w:t>אקדח פלסטיק,</w:t>
      </w:r>
      <w:r>
        <w:rPr>
          <w:rtl/>
        </w:rPr>
        <w:t xml:space="preserve"> ובהמשך נאבק עם המוכר (שנטל מידיו את אקדח הפלסטיק) על מנת לקחת את הקופה. בקבלו הערעור בית המשפט מציין כי רמת האלימות שהופעלה לא הייתה מן הקשות ועצם השימוש באקדח פלסטיק מעיד כי פוטנציאל הנזק אינו מן הגבוהים. הנאשם בתיק זה היה בעל עבר פלילי מכביד אך ישן. </w:t>
      </w:r>
    </w:p>
    <w:p w14:paraId="2BAE4785" w14:textId="77777777" w:rsidR="003507D7" w:rsidRDefault="003507D7" w:rsidP="00340A4A">
      <w:pPr>
        <w:tabs>
          <w:tab w:val="left" w:pos="567"/>
          <w:tab w:val="left" w:pos="1134"/>
          <w:tab w:val="left" w:pos="1701"/>
        </w:tabs>
        <w:spacing w:line="360" w:lineRule="auto"/>
        <w:jc w:val="both"/>
        <w:rPr>
          <w:rtl/>
        </w:rPr>
      </w:pPr>
    </w:p>
    <w:p w14:paraId="57FA9255" w14:textId="77777777" w:rsidR="003507D7" w:rsidRDefault="003507D7" w:rsidP="009C7639">
      <w:pPr>
        <w:tabs>
          <w:tab w:val="left" w:pos="567"/>
          <w:tab w:val="left" w:pos="1134"/>
          <w:tab w:val="left" w:pos="1701"/>
        </w:tabs>
        <w:spacing w:line="360" w:lineRule="auto"/>
        <w:jc w:val="both"/>
        <w:rPr>
          <w:rtl/>
        </w:rPr>
      </w:pPr>
      <w:r w:rsidRPr="00980B87">
        <w:rPr>
          <w:u w:val="single"/>
          <w:rtl/>
        </w:rPr>
        <w:t>ב</w:t>
      </w:r>
      <w:hyperlink r:id="rId49" w:history="1">
        <w:r w:rsidR="00746032" w:rsidRPr="00746032">
          <w:rPr>
            <w:color w:val="0000FF"/>
            <w:u w:val="single"/>
            <w:rtl/>
          </w:rPr>
          <w:t>ע"פ 2908/16</w:t>
        </w:r>
      </w:hyperlink>
      <w:r w:rsidRPr="00980B87">
        <w:rPr>
          <w:rtl/>
        </w:rPr>
        <w:t xml:space="preserve"> </w:t>
      </w:r>
      <w:r w:rsidRPr="00980B87">
        <w:rPr>
          <w:b/>
          <w:bCs/>
          <w:u w:val="single"/>
          <w:rtl/>
        </w:rPr>
        <w:t>מדינת ישראל נ' דסיא מקשאו</w:t>
      </w:r>
      <w:r>
        <w:rPr>
          <w:u w:val="single"/>
          <w:rtl/>
        </w:rPr>
        <w:t xml:space="preserve"> </w:t>
      </w:r>
      <w:r w:rsidRPr="00980B87">
        <w:rPr>
          <w:rtl/>
        </w:rPr>
        <w:t>(</w:t>
      </w:r>
      <w:r>
        <w:rPr>
          <w:rtl/>
        </w:rPr>
        <w:t xml:space="preserve">פורסם בנבו, </w:t>
      </w:r>
      <w:r w:rsidRPr="00980B87">
        <w:rPr>
          <w:rtl/>
        </w:rPr>
        <w:t>22.5.16)-</w:t>
      </w:r>
      <w:r w:rsidRPr="00AC0E91">
        <w:rPr>
          <w:rtl/>
        </w:rPr>
        <w:t xml:space="preserve"> </w:t>
      </w:r>
      <w:r>
        <w:rPr>
          <w:rtl/>
        </w:rPr>
        <w:t xml:space="preserve">מקבל בית המשפט את ערעורה של המדינה על קולת העונש בעניינו של מי שהורשע </w:t>
      </w:r>
      <w:r w:rsidRPr="002C6835">
        <w:rPr>
          <w:u w:val="single"/>
          <w:rtl/>
        </w:rPr>
        <w:t>בניסיון שוד</w:t>
      </w:r>
      <w:r>
        <w:rPr>
          <w:rtl/>
        </w:rPr>
        <w:t xml:space="preserve"> של חנות תכשיטים ביחד עם אחר, באמצעות מצית בצורת אקדח. במקרה זה המוכרים התעמתו עם השודד וגרמו לו להימלט. בית המשפט המחוזי גזר על הנאשם 12 חודשים מאסר בפועל. בית המשפט העליון מחמיר בעונשו של הנאשם ל-  18  חודשים, תוך הפעלת מאסר מותנה בחפיפה חלקית, כך שעונשו של הנאשם עמד על 21 חודשים מאסר בפועל. בית המשפט מציין כי ההחמרה נעשתה במתינות, מתוך כך שערכאת ערעור אינה ממצה את הדין. </w:t>
      </w:r>
    </w:p>
    <w:p w14:paraId="42CC98A0" w14:textId="77777777" w:rsidR="003507D7" w:rsidRDefault="003507D7" w:rsidP="00340A4A">
      <w:pPr>
        <w:tabs>
          <w:tab w:val="left" w:pos="567"/>
          <w:tab w:val="left" w:pos="1134"/>
          <w:tab w:val="left" w:pos="1701"/>
        </w:tabs>
        <w:spacing w:line="360" w:lineRule="auto"/>
        <w:jc w:val="both"/>
        <w:rPr>
          <w:rtl/>
        </w:rPr>
      </w:pPr>
    </w:p>
    <w:p w14:paraId="3E08127C" w14:textId="77777777" w:rsidR="003507D7" w:rsidRDefault="003507D7" w:rsidP="004A3447">
      <w:pPr>
        <w:tabs>
          <w:tab w:val="left" w:pos="567"/>
          <w:tab w:val="left" w:pos="1134"/>
          <w:tab w:val="left" w:pos="1701"/>
        </w:tabs>
        <w:spacing w:line="360" w:lineRule="auto"/>
        <w:jc w:val="both"/>
        <w:rPr>
          <w:rtl/>
        </w:rPr>
      </w:pPr>
      <w:r w:rsidRPr="004A3447">
        <w:rPr>
          <w:u w:val="single"/>
          <w:rtl/>
        </w:rPr>
        <w:t>ב</w:t>
      </w:r>
      <w:hyperlink r:id="rId50" w:history="1">
        <w:r w:rsidR="00746032" w:rsidRPr="00746032">
          <w:rPr>
            <w:color w:val="0000FF"/>
            <w:u w:val="single"/>
            <w:rtl/>
          </w:rPr>
          <w:t>ע"פ  3428/14</w:t>
        </w:r>
      </w:hyperlink>
      <w:r w:rsidRPr="004A3447">
        <w:rPr>
          <w:u w:val="single"/>
          <w:rtl/>
        </w:rPr>
        <w:t xml:space="preserve"> </w:t>
      </w:r>
      <w:r w:rsidRPr="004A3447">
        <w:rPr>
          <w:b/>
          <w:bCs/>
          <w:u w:val="single"/>
          <w:rtl/>
        </w:rPr>
        <w:t>נתנאל צרפתי נ' מדינת ישראל</w:t>
      </w:r>
      <w:r>
        <w:rPr>
          <w:rtl/>
        </w:rPr>
        <w:t xml:space="preserve"> נדון עניינו של מערער שהורשע ביחד עם אחר בניסיון שוד וקשירת קשר לביצוע פשע. בתיק זה ידובר על נאשם שהצטייד בדומה למקרה שבפנינו במסכת גרב, ונשק (ללא מחסנית). בתיק זה התפתח מאבק עם מוכר החנות שהצליח להוציא את הנשק מידו של הנאשם, ולהשתלט עליו. בית המשפט המחוזי גוזר על הנאשם, </w:t>
      </w:r>
      <w:r w:rsidRPr="004A3447">
        <w:rPr>
          <w:u w:val="single"/>
          <w:rtl/>
        </w:rPr>
        <w:t>נעדר עבר פלילי,</w:t>
      </w:r>
      <w:r>
        <w:rPr>
          <w:rtl/>
        </w:rPr>
        <w:t xml:space="preserve"> שהודה כבר בחקירתו  32 חודשים מאסר בפועל. בית המשפט העליון בשים לב לשיקולי אחדות הנאשם ולהליך טיפולי שעבר הנאשם במאסרו, מפחית מהעונש ומעמידו על 30 חודשים מאסר בפועל. </w:t>
      </w:r>
    </w:p>
    <w:p w14:paraId="56B9E926" w14:textId="77777777" w:rsidR="003507D7" w:rsidRDefault="003507D7" w:rsidP="00340A4A">
      <w:pPr>
        <w:tabs>
          <w:tab w:val="left" w:pos="567"/>
          <w:tab w:val="left" w:pos="1134"/>
          <w:tab w:val="left" w:pos="1701"/>
        </w:tabs>
        <w:spacing w:line="360" w:lineRule="auto"/>
        <w:jc w:val="both"/>
        <w:rPr>
          <w:rtl/>
        </w:rPr>
      </w:pPr>
    </w:p>
    <w:p w14:paraId="3532494C" w14:textId="77777777" w:rsidR="003507D7" w:rsidRDefault="003507D7" w:rsidP="00340A4A">
      <w:pPr>
        <w:tabs>
          <w:tab w:val="left" w:pos="567"/>
          <w:tab w:val="left" w:pos="1134"/>
          <w:tab w:val="left" w:pos="1701"/>
        </w:tabs>
        <w:spacing w:line="360" w:lineRule="auto"/>
        <w:jc w:val="both"/>
        <w:rPr>
          <w:rtl/>
        </w:rPr>
      </w:pPr>
      <w:r w:rsidRPr="007C2A2E">
        <w:rPr>
          <w:u w:val="single"/>
          <w:rtl/>
        </w:rPr>
        <w:t>ב</w:t>
      </w:r>
      <w:hyperlink r:id="rId51" w:history="1">
        <w:r w:rsidR="00746032" w:rsidRPr="00746032">
          <w:rPr>
            <w:color w:val="0000FF"/>
            <w:u w:val="single"/>
            <w:rtl/>
          </w:rPr>
          <w:t>ע"פ 6001/13</w:t>
        </w:r>
      </w:hyperlink>
      <w:r>
        <w:rPr>
          <w:rtl/>
        </w:rPr>
        <w:t xml:space="preserve"> </w:t>
      </w:r>
      <w:r w:rsidRPr="007C2A2E">
        <w:rPr>
          <w:b/>
          <w:bCs/>
          <w:u w:val="single"/>
          <w:rtl/>
        </w:rPr>
        <w:t>אלמו קסה נ' מדינת ישראל</w:t>
      </w:r>
      <w:r>
        <w:rPr>
          <w:rtl/>
        </w:rPr>
        <w:t xml:space="preserve"> (פורסם בנבו, 29.1.14)- המדובר בניסיון שוד של מוכר בתחנת דלק באמצעות סכין כשהמערער שרוי תחת השפעת אלכוהול. בגין מעשים אלו נדון המערער ל- 33 חודשי מאסר בפועל.  בית המשפט העליון דוחה את הערעור מטעם ההגנה בקובעו כי: </w:t>
      </w:r>
      <w:r w:rsidRPr="00CE2A75">
        <w:rPr>
          <w:b/>
          <w:bCs/>
          <w:rtl/>
        </w:rPr>
        <w:t>"העובדה שישנם מעשי שוד חמורים יותר בנסיבותיהם אין פירושה כי מעשה השוד שלפנינו הוא ברף החומרה התחתון או כי לא היה אלים, טענה שהועלתה על-ידי ההגנה בבית המשפט קמא. לכך יש להוסיף את עברו הפלילי של המערער, אשר חרף גילו הצעיר הספיק לצבור לחובתו הרשעה קודמת בעבירות אלימות (בין היתר). בהקשר זה העיר בית המשפט קמא ובצדק כי המערער לא השכיל לנצל את ההזדמנויות שניתנו לו בעבר. לבסוף, לא ניתן להתעלם גם מהערכת קצין המבחן כי מהמערער נשקף סיכון גבוה להישנות עבירות אלימות בדרגה חמורה, נתון שיש בו כדי ללמד על הצורך בהטלת עונש מאסר ממושך ומרתיע בנסיבות העניין</w:t>
      </w:r>
      <w:r>
        <w:rPr>
          <w:b/>
          <w:bCs/>
          <w:rtl/>
        </w:rPr>
        <w:t>"</w:t>
      </w:r>
      <w:r w:rsidRPr="00CE2A75">
        <w:rPr>
          <w:b/>
          <w:bCs/>
          <w:rtl/>
        </w:rPr>
        <w:t>.</w:t>
      </w:r>
    </w:p>
    <w:p w14:paraId="6532B110" w14:textId="77777777" w:rsidR="003507D7" w:rsidRDefault="003507D7" w:rsidP="00340A4A">
      <w:pPr>
        <w:tabs>
          <w:tab w:val="left" w:pos="567"/>
          <w:tab w:val="left" w:pos="1134"/>
          <w:tab w:val="left" w:pos="1701"/>
        </w:tabs>
        <w:spacing w:line="360" w:lineRule="auto"/>
        <w:jc w:val="both"/>
        <w:rPr>
          <w:rtl/>
        </w:rPr>
      </w:pPr>
    </w:p>
    <w:p w14:paraId="64BFA573" w14:textId="77777777" w:rsidR="003507D7" w:rsidRPr="004A3447" w:rsidRDefault="003507D7" w:rsidP="001064F9">
      <w:pPr>
        <w:tabs>
          <w:tab w:val="left" w:pos="567"/>
          <w:tab w:val="left" w:pos="1134"/>
          <w:tab w:val="left" w:pos="1701"/>
        </w:tabs>
        <w:spacing w:line="360" w:lineRule="auto"/>
        <w:jc w:val="both"/>
        <w:rPr>
          <w:rtl/>
        </w:rPr>
      </w:pPr>
      <w:r>
        <w:rPr>
          <w:rtl/>
        </w:rPr>
        <w:t>ב</w:t>
      </w:r>
      <w:hyperlink r:id="rId52" w:history="1">
        <w:r w:rsidR="00746032" w:rsidRPr="00746032">
          <w:rPr>
            <w:color w:val="0000FF"/>
            <w:u w:val="single"/>
            <w:rtl/>
          </w:rPr>
          <w:t>ע"פ 1702/16</w:t>
        </w:r>
      </w:hyperlink>
      <w:r>
        <w:rPr>
          <w:rtl/>
        </w:rPr>
        <w:t xml:space="preserve"> </w:t>
      </w:r>
      <w:r>
        <w:rPr>
          <w:b/>
          <w:bCs/>
          <w:rtl/>
        </w:rPr>
        <w:t xml:space="preserve">מדינת ישראל נ' שושני, </w:t>
      </w:r>
      <w:r>
        <w:rPr>
          <w:rtl/>
        </w:rPr>
        <w:t>נדון עניינו של נאשם שנגזרו עליו 24 חודשי מאסר בפועל (הכוללים מאסר מותנה) בגין ביצוע עבירה של ניסיון שוד</w:t>
      </w:r>
      <w:r>
        <w:rPr>
          <w:b/>
          <w:bCs/>
          <w:rtl/>
        </w:rPr>
        <w:t xml:space="preserve"> </w:t>
      </w:r>
      <w:r w:rsidRPr="001064F9">
        <w:rPr>
          <w:u w:val="single"/>
          <w:rtl/>
        </w:rPr>
        <w:t>באמצעות פתק</w:t>
      </w:r>
      <w:r>
        <w:rPr>
          <w:rtl/>
        </w:rPr>
        <w:t>. בית המשפט העליון מקבל את ערעור המדינה על קולת  העונש ומעמיד את עונשו על 36 חודשים מאסר  בפועל. במקרה זה דובר על נאשם בעל עבר פלילי מכביד.</w:t>
      </w:r>
    </w:p>
    <w:p w14:paraId="273B2989" w14:textId="77777777" w:rsidR="003507D7" w:rsidRPr="00A90C5A" w:rsidRDefault="003507D7" w:rsidP="00340A4A">
      <w:pPr>
        <w:tabs>
          <w:tab w:val="left" w:pos="567"/>
          <w:tab w:val="left" w:pos="1134"/>
          <w:tab w:val="left" w:pos="1701"/>
        </w:tabs>
        <w:spacing w:line="360" w:lineRule="auto"/>
        <w:jc w:val="both"/>
        <w:rPr>
          <w:rtl/>
        </w:rPr>
      </w:pPr>
    </w:p>
    <w:p w14:paraId="23B530CE" w14:textId="77777777" w:rsidR="003507D7" w:rsidRDefault="003507D7" w:rsidP="004A3447">
      <w:pPr>
        <w:tabs>
          <w:tab w:val="left" w:pos="567"/>
          <w:tab w:val="left" w:pos="1134"/>
          <w:tab w:val="left" w:pos="1701"/>
        </w:tabs>
        <w:spacing w:line="360" w:lineRule="auto"/>
        <w:jc w:val="both"/>
        <w:rPr>
          <w:rtl/>
        </w:rPr>
      </w:pPr>
      <w:r w:rsidRPr="001940CF">
        <w:rPr>
          <w:u w:val="single"/>
          <w:rtl/>
        </w:rPr>
        <w:t>ב</w:t>
      </w:r>
      <w:hyperlink r:id="rId53" w:history="1">
        <w:r w:rsidR="00746032" w:rsidRPr="00746032">
          <w:rPr>
            <w:color w:val="0000FF"/>
            <w:u w:val="single"/>
            <w:rtl/>
          </w:rPr>
          <w:t>ע"פ 7516/12</w:t>
        </w:r>
      </w:hyperlink>
      <w:r>
        <w:rPr>
          <w:rtl/>
        </w:rPr>
        <w:t xml:space="preserve"> </w:t>
      </w:r>
      <w:r w:rsidRPr="001940CF">
        <w:rPr>
          <w:b/>
          <w:bCs/>
          <w:u w:val="single"/>
          <w:rtl/>
        </w:rPr>
        <w:t>פלוני נ' מדינת ישראל</w:t>
      </w:r>
      <w:r>
        <w:rPr>
          <w:rtl/>
        </w:rPr>
        <w:t xml:space="preserve"> (פורסם בנבו, 1.8.13)- נדחה ערעור של נאשם אשר הוטלו עליו 3 שנות מאסר. המערער הורשע בביצוע עבירה שעניינה שוד סניף דואר, תוך שימוש </w:t>
      </w:r>
      <w:r w:rsidRPr="004F6E95">
        <w:rPr>
          <w:b/>
          <w:bCs/>
          <w:rtl/>
        </w:rPr>
        <w:t>באקדח דמה</w:t>
      </w:r>
      <w:r>
        <w:rPr>
          <w:rtl/>
        </w:rPr>
        <w:t xml:space="preserve">, כאשר הוא רעול פנים; העבירה בוצעה בהיותו של המערער קרוב לגיל הבגירות. </w:t>
      </w:r>
    </w:p>
    <w:p w14:paraId="791E25F9" w14:textId="77777777" w:rsidR="003507D7" w:rsidRDefault="003507D7" w:rsidP="004A3447">
      <w:pPr>
        <w:tabs>
          <w:tab w:val="left" w:pos="567"/>
          <w:tab w:val="left" w:pos="1134"/>
          <w:tab w:val="left" w:pos="1701"/>
        </w:tabs>
        <w:spacing w:line="360" w:lineRule="auto"/>
        <w:jc w:val="both"/>
        <w:rPr>
          <w:rtl/>
        </w:rPr>
      </w:pPr>
    </w:p>
    <w:p w14:paraId="14A3CB2E" w14:textId="77777777" w:rsidR="003507D7" w:rsidRPr="00CE2A75" w:rsidRDefault="003507D7" w:rsidP="00340A4A">
      <w:pPr>
        <w:tabs>
          <w:tab w:val="left" w:pos="567"/>
          <w:tab w:val="left" w:pos="1134"/>
          <w:tab w:val="left" w:pos="1701"/>
        </w:tabs>
        <w:spacing w:line="360" w:lineRule="auto"/>
        <w:jc w:val="both"/>
        <w:rPr>
          <w:rtl/>
        </w:rPr>
      </w:pPr>
      <w:r w:rsidRPr="0055025B">
        <w:rPr>
          <w:u w:val="single"/>
          <w:rtl/>
        </w:rPr>
        <w:t>ב</w:t>
      </w:r>
      <w:hyperlink r:id="rId54" w:history="1">
        <w:r w:rsidR="00746032" w:rsidRPr="00746032">
          <w:rPr>
            <w:color w:val="0000FF"/>
            <w:u w:val="single"/>
            <w:rtl/>
          </w:rPr>
          <w:t>ע"פ 6640/16</w:t>
        </w:r>
      </w:hyperlink>
      <w:r>
        <w:rPr>
          <w:rtl/>
        </w:rPr>
        <w:t xml:space="preserve"> </w:t>
      </w:r>
      <w:r w:rsidRPr="0055025B">
        <w:rPr>
          <w:b/>
          <w:bCs/>
          <w:u w:val="single"/>
          <w:rtl/>
        </w:rPr>
        <w:t>אזר בדייב נ' מדינת ישראל</w:t>
      </w:r>
      <w:r>
        <w:rPr>
          <w:rtl/>
        </w:rPr>
        <w:t xml:space="preserve"> (פורסם בנבו, 19.7.17)- קיבל בית המשפט את ערעורו של נאשם אשר הוטל עליו מאסר לתקופה של 4 שנים ו- 6 חודשים ועונשו הופחת ל-46 חודשים. המדובר במי שהורשע כי שדד חנות באמצעות אקדח או דמוי אקדח (כלי השוד לא נתפס).</w:t>
      </w:r>
    </w:p>
    <w:p w14:paraId="6AB651CA" w14:textId="77777777" w:rsidR="003507D7" w:rsidRDefault="003507D7" w:rsidP="00340A4A">
      <w:pPr>
        <w:tabs>
          <w:tab w:val="left" w:pos="567"/>
          <w:tab w:val="left" w:pos="1134"/>
          <w:tab w:val="left" w:pos="1701"/>
        </w:tabs>
        <w:spacing w:line="360" w:lineRule="auto"/>
        <w:jc w:val="both"/>
        <w:rPr>
          <w:rtl/>
        </w:rPr>
      </w:pPr>
    </w:p>
    <w:p w14:paraId="6F6CA76B" w14:textId="77777777" w:rsidR="003507D7" w:rsidRPr="001064F9" w:rsidRDefault="003507D7" w:rsidP="001064F9">
      <w:pPr>
        <w:tabs>
          <w:tab w:val="left" w:pos="567"/>
          <w:tab w:val="left" w:pos="1134"/>
          <w:tab w:val="left" w:pos="1701"/>
        </w:tabs>
        <w:spacing w:line="360" w:lineRule="auto"/>
        <w:jc w:val="both"/>
        <w:rPr>
          <w:rtl/>
        </w:rPr>
      </w:pPr>
      <w:r>
        <w:rPr>
          <w:rtl/>
        </w:rPr>
        <w:t xml:space="preserve">מנגד ניתן למצוא גם פסיקה מקלה יותר, כך ראה בין היתר </w:t>
      </w:r>
      <w:hyperlink r:id="rId55" w:history="1">
        <w:r w:rsidR="00746032" w:rsidRPr="00746032">
          <w:rPr>
            <w:color w:val="0000FF"/>
            <w:u w:val="single"/>
            <w:rtl/>
          </w:rPr>
          <w:t>ע"פ 5561/14</w:t>
        </w:r>
      </w:hyperlink>
      <w:r>
        <w:rPr>
          <w:rtl/>
        </w:rPr>
        <w:t xml:space="preserve"> </w:t>
      </w:r>
      <w:r>
        <w:rPr>
          <w:b/>
          <w:bCs/>
          <w:rtl/>
        </w:rPr>
        <w:t xml:space="preserve">גפן נ' מדינת ישראל </w:t>
      </w:r>
      <w:r>
        <w:rPr>
          <w:rtl/>
        </w:rPr>
        <w:t xml:space="preserve">שם בית המשפט העליון מקל בעונשו של הנאשם שהורשע בעביר של ניסיון שוד ותקיפה, ומעמידו על תשעה חודשי מאסר בפועל נוכח קיומו של הליך שיקומי משמעותי. </w:t>
      </w:r>
      <w:r>
        <w:rPr>
          <w:b/>
          <w:bCs/>
          <w:rtl/>
        </w:rPr>
        <w:t xml:space="preserve"> </w:t>
      </w:r>
    </w:p>
    <w:p w14:paraId="365FA96F" w14:textId="77777777" w:rsidR="003507D7" w:rsidRDefault="003507D7" w:rsidP="00340A4A">
      <w:pPr>
        <w:tabs>
          <w:tab w:val="left" w:pos="567"/>
          <w:tab w:val="left" w:pos="1134"/>
          <w:tab w:val="left" w:pos="1701"/>
        </w:tabs>
        <w:spacing w:line="360" w:lineRule="auto"/>
        <w:jc w:val="both"/>
        <w:rPr>
          <w:rtl/>
        </w:rPr>
      </w:pPr>
    </w:p>
    <w:p w14:paraId="0EF3E104" w14:textId="77777777" w:rsidR="003507D7" w:rsidRDefault="003507D7" w:rsidP="00E122F6">
      <w:pPr>
        <w:tabs>
          <w:tab w:val="left" w:pos="567"/>
          <w:tab w:val="left" w:pos="1134"/>
          <w:tab w:val="left" w:pos="1701"/>
        </w:tabs>
        <w:spacing w:line="360" w:lineRule="auto"/>
        <w:jc w:val="both"/>
        <w:rPr>
          <w:rtl/>
        </w:rPr>
      </w:pPr>
      <w:r>
        <w:rPr>
          <w:rtl/>
        </w:rPr>
        <w:t>מידת הפגיעה של הנאשם בערכים המוגנים וככל שהדבר נוגע לעבירת ניסיון השוד הינה משמעותית. בהקשר לאמור, מעשיו של הנאשם נעשו לאחר תכנון ומחשבה תחילה, דבר הנלמד מהצטיידותו של הנאשם מבעוד מועד בכפפות לַטֶקס שנועדו למנוע הותרת טביעות אצבע על האקדח או על חפצים שונים בחנות ביחד עם המסכה שכל תכליתה להקשות על זיהויו. הצורך בהסוואת זהותו מקבל משנה תוקף בשים לב לכך שהלה מבקש לבצע את השוד בסביבת מגוריו, ומכאן גם הסיכוי הרב יותר שיזוהה על ידי מי מהנוכחים בחנות.</w:t>
      </w:r>
    </w:p>
    <w:p w14:paraId="3D0C1A30" w14:textId="77777777" w:rsidR="003507D7" w:rsidRDefault="003507D7" w:rsidP="00E122F6">
      <w:pPr>
        <w:tabs>
          <w:tab w:val="left" w:pos="567"/>
          <w:tab w:val="left" w:pos="1134"/>
          <w:tab w:val="left" w:pos="1701"/>
        </w:tabs>
        <w:spacing w:line="360" w:lineRule="auto"/>
        <w:jc w:val="both"/>
        <w:rPr>
          <w:rtl/>
        </w:rPr>
      </w:pPr>
    </w:p>
    <w:p w14:paraId="14558512" w14:textId="77777777" w:rsidR="003507D7" w:rsidRDefault="003507D7" w:rsidP="009519E7">
      <w:pPr>
        <w:tabs>
          <w:tab w:val="left" w:pos="567"/>
          <w:tab w:val="left" w:pos="1134"/>
          <w:tab w:val="left" w:pos="1701"/>
        </w:tabs>
        <w:spacing w:line="360" w:lineRule="auto"/>
        <w:jc w:val="both"/>
        <w:rPr>
          <w:rtl/>
        </w:rPr>
      </w:pPr>
      <w:r>
        <w:rPr>
          <w:rtl/>
        </w:rPr>
        <w:t>על כך שמדובר במעשים מתכוננים ניתן ללמוד גם מאופן התנהלותו של הנאשם כפי שהדבר נלמד מסרטון המתעד את ניסיון השוד. בסרטון זה, ניתן להבחין בהנאשם נכנס לחנות ובאופן מידיי וללא כל אינטראקציה מקדימה, ניגש למוכר, מכוון לעבר ראשו את האקדח, ודורש ממנו את הכסף בעודו דוחף אותו לעבר הקופה.</w:t>
      </w:r>
    </w:p>
    <w:p w14:paraId="2FDED104" w14:textId="77777777" w:rsidR="003507D7" w:rsidRDefault="003507D7" w:rsidP="00340A4A">
      <w:pPr>
        <w:tabs>
          <w:tab w:val="left" w:pos="567"/>
          <w:tab w:val="left" w:pos="1134"/>
          <w:tab w:val="left" w:pos="1701"/>
        </w:tabs>
        <w:spacing w:line="360" w:lineRule="auto"/>
        <w:jc w:val="both"/>
        <w:rPr>
          <w:rtl/>
        </w:rPr>
      </w:pPr>
    </w:p>
    <w:p w14:paraId="12055941" w14:textId="77777777" w:rsidR="003507D7" w:rsidRDefault="003507D7" w:rsidP="009519E7">
      <w:pPr>
        <w:tabs>
          <w:tab w:val="left" w:pos="567"/>
          <w:tab w:val="left" w:pos="1134"/>
          <w:tab w:val="left" w:pos="1701"/>
        </w:tabs>
        <w:spacing w:line="360" w:lineRule="auto"/>
        <w:jc w:val="both"/>
        <w:rPr>
          <w:rtl/>
        </w:rPr>
      </w:pPr>
      <w:r>
        <w:rPr>
          <w:rtl/>
        </w:rPr>
        <w:t xml:space="preserve">חומרה יתרה מוצא בית המשפט בשימוש אותו עושה הנאשם באקדח אמיתי שבתוכו מחסנית על מנת לאיים באמצעותם על המוכר ועל הנוכחים בחנות. קל לשער את ההשפעה הרבה והמורא הגלום בשימוש באקדח וכיונו לעבר ראשו של המתלונן, וכך גם לעברם של האחרים הנוכחים במקום. לעיתים די בעצם האמירה של השודד כי ברשותו אקדח, אף אם הדבר אינו נכון, כדי להוות איום של ממש כלפי הקורבן (וראה עניין שושני, שם כאמור הנאשם כתב על הפתק: "...אני חמוש באקדח ולא יהסס לפרק לך את המוח.."). </w:t>
      </w:r>
    </w:p>
    <w:p w14:paraId="723DBB12" w14:textId="77777777" w:rsidR="003507D7" w:rsidRDefault="003507D7" w:rsidP="009519E7">
      <w:pPr>
        <w:tabs>
          <w:tab w:val="left" w:pos="567"/>
          <w:tab w:val="left" w:pos="1134"/>
          <w:tab w:val="left" w:pos="1701"/>
        </w:tabs>
        <w:spacing w:line="360" w:lineRule="auto"/>
        <w:jc w:val="both"/>
        <w:rPr>
          <w:rtl/>
        </w:rPr>
      </w:pPr>
    </w:p>
    <w:p w14:paraId="453EA50A" w14:textId="77777777" w:rsidR="003507D7" w:rsidRDefault="003507D7" w:rsidP="009519E7">
      <w:pPr>
        <w:tabs>
          <w:tab w:val="left" w:pos="567"/>
          <w:tab w:val="left" w:pos="1134"/>
          <w:tab w:val="left" w:pos="1701"/>
        </w:tabs>
        <w:spacing w:line="360" w:lineRule="auto"/>
        <w:jc w:val="both"/>
        <w:rPr>
          <w:rtl/>
        </w:rPr>
      </w:pPr>
      <w:r>
        <w:rPr>
          <w:rtl/>
        </w:rPr>
        <w:t>על החומרה הגלומה בדפוס פעולה שכזה ניתן ללמוד גם מהאופן שבו ראה המחוקק לקבוע בצידה של עבירת שוד "רגילה" עונש מקסימום של 14 שנות מאסר, בעוד לצד עבירה של שוד שבה היה השודד מצויד בנשק עונש מקסימום של 20 שנות מאסר.</w:t>
      </w:r>
    </w:p>
    <w:p w14:paraId="0F4E4215" w14:textId="77777777" w:rsidR="003507D7" w:rsidRDefault="003507D7" w:rsidP="00340A4A">
      <w:pPr>
        <w:tabs>
          <w:tab w:val="left" w:pos="567"/>
          <w:tab w:val="left" w:pos="1134"/>
          <w:tab w:val="left" w:pos="1701"/>
        </w:tabs>
        <w:spacing w:line="360" w:lineRule="auto"/>
        <w:jc w:val="both"/>
        <w:rPr>
          <w:rtl/>
        </w:rPr>
      </w:pPr>
    </w:p>
    <w:p w14:paraId="4849E41D" w14:textId="77777777" w:rsidR="003507D7" w:rsidRDefault="003507D7" w:rsidP="009519E7">
      <w:pPr>
        <w:tabs>
          <w:tab w:val="left" w:pos="567"/>
          <w:tab w:val="left" w:pos="1134"/>
          <w:tab w:val="left" w:pos="1701"/>
        </w:tabs>
        <w:spacing w:line="360" w:lineRule="auto"/>
        <w:jc w:val="both"/>
        <w:rPr>
          <w:rtl/>
        </w:rPr>
      </w:pPr>
      <w:r>
        <w:rPr>
          <w:rtl/>
        </w:rPr>
        <w:t xml:space="preserve">ההגנה הרחיבה טיעוניה כי האקדח אותו נשא הנאשם היה נטול תחמושת. אכן יש בנתון זה באספקט של פוטנציאל הנזק, ללמד כי הסיכוי שהאירוע ידרדר לכדי אלימות קשה קטן יותר, יחד עם זאת, אין לתת לכך משקל כה רב כפי שסבורה ההגנה. הדברים אמורים בשים לב לכך שהמתלונן שמבחין באקדח אמיתי ובתוכו מחסנית אינו מודע להיעדר התחמושת, ומכאן גם ההשפעה שיש לאירוע זה עליו וחששו, אינם פוחתים. למותר להוסיף כי עצם השימוש באקדח מעמיד גם את הנאשם עצמו בסכנה היה ומי מהנוכחים במקום או שוטר שיגיע לזירה יפעלו לנטרלו בכך שירו בו, והיו דברים מעולם (וראה בין היתר </w:t>
      </w:r>
      <w:hyperlink r:id="rId56" w:history="1">
        <w:r w:rsidR="00746032" w:rsidRPr="00746032">
          <w:rPr>
            <w:color w:val="0000FF"/>
            <w:u w:val="single"/>
            <w:rtl/>
          </w:rPr>
          <w:t>ע"פ 1825/12</w:t>
        </w:r>
      </w:hyperlink>
      <w:r>
        <w:rPr>
          <w:rtl/>
        </w:rPr>
        <w:t xml:space="preserve"> </w:t>
      </w:r>
      <w:r w:rsidRPr="00C177F7">
        <w:rPr>
          <w:b/>
          <w:bCs/>
          <w:rtl/>
        </w:rPr>
        <w:t>מתן שמעון נגד מדינת ישראל</w:t>
      </w:r>
      <w:r>
        <w:rPr>
          <w:rtl/>
        </w:rPr>
        <w:t xml:space="preserve">).  </w:t>
      </w:r>
    </w:p>
    <w:p w14:paraId="55C1071F" w14:textId="77777777" w:rsidR="003507D7" w:rsidRDefault="003507D7" w:rsidP="00340A4A">
      <w:pPr>
        <w:tabs>
          <w:tab w:val="left" w:pos="567"/>
          <w:tab w:val="left" w:pos="1134"/>
          <w:tab w:val="left" w:pos="1701"/>
        </w:tabs>
        <w:spacing w:line="360" w:lineRule="auto"/>
        <w:jc w:val="both"/>
        <w:rPr>
          <w:rtl/>
        </w:rPr>
      </w:pPr>
    </w:p>
    <w:p w14:paraId="693B2140" w14:textId="77777777" w:rsidR="003507D7" w:rsidRDefault="003507D7" w:rsidP="009519E7">
      <w:pPr>
        <w:tabs>
          <w:tab w:val="left" w:pos="567"/>
          <w:tab w:val="left" w:pos="1134"/>
          <w:tab w:val="left" w:pos="1701"/>
        </w:tabs>
        <w:spacing w:line="360" w:lineRule="auto"/>
        <w:jc w:val="both"/>
        <w:rPr>
          <w:rtl/>
        </w:rPr>
      </w:pPr>
      <w:r>
        <w:rPr>
          <w:rtl/>
        </w:rPr>
        <w:t>דפוס הפעולה של הנאשם מגלם בתוכו תעוזה רבה, בפרט כאשר זה מבצע את השוד בשעה שישנה תנועה ערה מחוץ לחנות ומחוצה לה  והכל כאמור בסביבת מגוריו. בסרטון מצלמות האבטחה ניתן לראות כיצד הנאשם "מתאים" עצמו לזירה, כאשר הוא מורה עם האקדח למוכר ללכת לקופה ובמקביל מורה ליתרת הנוכחים במקום להתרכז בפינת החנות. כך גם זה עושה בשעה שעובר אורח תמים נכנס לחנות, וזה מורה לו להצטרף ליתרת הנוכחים בפינת החנות. מזימתו של הנאשם לא הגיעה לכלל מימוש בשל כך שהמוכר לחץ על לחצן המצוקה והפעיל את האזעקה, וזאת, ככל הנראה בהצטרף לכך שרבים התגודדו מחוץ לחנות והבחינו במעשיו. גם בעת מנוסתו נוקט הנאשם בדפוסי התנהגות עבריינים ומשליך את הכפפות שעטה על ידיו ואת המסכה ששימשו אותו לצורך השוד.</w:t>
      </w:r>
    </w:p>
    <w:p w14:paraId="1C779128" w14:textId="77777777" w:rsidR="003507D7" w:rsidRDefault="003507D7" w:rsidP="00340A4A">
      <w:pPr>
        <w:tabs>
          <w:tab w:val="left" w:pos="567"/>
          <w:tab w:val="left" w:pos="1134"/>
          <w:tab w:val="left" w:pos="1701"/>
        </w:tabs>
        <w:spacing w:line="360" w:lineRule="auto"/>
        <w:jc w:val="both"/>
        <w:rPr>
          <w:rtl/>
        </w:rPr>
      </w:pPr>
    </w:p>
    <w:p w14:paraId="32087D81" w14:textId="77777777" w:rsidR="003507D7" w:rsidRDefault="003507D7" w:rsidP="009519E7">
      <w:pPr>
        <w:tabs>
          <w:tab w:val="left" w:pos="567"/>
          <w:tab w:val="left" w:pos="1134"/>
          <w:tab w:val="left" w:pos="1701"/>
        </w:tabs>
        <w:spacing w:line="360" w:lineRule="auto"/>
        <w:jc w:val="both"/>
        <w:rPr>
          <w:rtl/>
        </w:rPr>
      </w:pPr>
      <w:r>
        <w:rPr>
          <w:rtl/>
        </w:rPr>
        <w:t xml:space="preserve">הנאשם מבצע את המעשים באופן בלעדי ובלבדי, כשלדבריו שתה טרם ביצוע העבירה אלכוהול ופעל תחת השפעתו במטרה להשיג כסף ואלכוהול נוספים. דברים אלו של הנאשם יש לקחת בזהירות המתבקשת, שכן גם אם זה סובל מבעיית התמכרות לאלכוהול, התנהלותו הקונקרטית במהלך האירוע כפי שזו מתועדת רחוקה מלהתיישב עם אדם שפועל בחוסר שליטה ובאופן ספונטני,ו הדברים אמורים גם על רקע הצטיידות מבעוד מועד באקדח, מסכה וכפפות.  </w:t>
      </w:r>
    </w:p>
    <w:p w14:paraId="0AC38CC4" w14:textId="77777777" w:rsidR="003507D7" w:rsidRDefault="003507D7" w:rsidP="00340A4A">
      <w:pPr>
        <w:tabs>
          <w:tab w:val="left" w:pos="567"/>
          <w:tab w:val="left" w:pos="1134"/>
          <w:tab w:val="left" w:pos="1701"/>
        </w:tabs>
        <w:spacing w:line="360" w:lineRule="auto"/>
        <w:jc w:val="both"/>
        <w:rPr>
          <w:rtl/>
        </w:rPr>
      </w:pPr>
    </w:p>
    <w:p w14:paraId="0AFBF8F3" w14:textId="77777777" w:rsidR="003507D7" w:rsidRDefault="003507D7" w:rsidP="00340A4A">
      <w:pPr>
        <w:tabs>
          <w:tab w:val="left" w:pos="567"/>
          <w:tab w:val="left" w:pos="1134"/>
          <w:tab w:val="left" w:pos="1701"/>
        </w:tabs>
        <w:spacing w:line="360" w:lineRule="auto"/>
        <w:jc w:val="both"/>
        <w:rPr>
          <w:rtl/>
        </w:rPr>
      </w:pPr>
      <w:r>
        <w:rPr>
          <w:rtl/>
        </w:rPr>
        <w:t xml:space="preserve">מנגד ולקולא, תילקח בחשבון העובדה כי הנאשם לא התעמת עם מי מהנוכחים במקום, ולמעט הזזתם של מי מהנוכחים, לא נקט באלימות ממשית (זאת בנפרד כמובן, מהאיום באמצעות האקדח). הנאשם נמלט מהמקום בשעה שהופעל לחצן המצוקה מבלי שצלח לשדוד רכוש או כסף מהקופה. האירוע עצמו היה קצר ומכניסתו של הנאשם לחנות ועד מנוסתו חולפות שניות בודדות. </w:t>
      </w:r>
    </w:p>
    <w:p w14:paraId="7F8A2929" w14:textId="77777777" w:rsidR="003507D7" w:rsidRDefault="003507D7" w:rsidP="00340A4A">
      <w:pPr>
        <w:tabs>
          <w:tab w:val="left" w:pos="567"/>
          <w:tab w:val="left" w:pos="1134"/>
          <w:tab w:val="left" w:pos="1701"/>
        </w:tabs>
        <w:spacing w:line="360" w:lineRule="auto"/>
        <w:jc w:val="both"/>
        <w:rPr>
          <w:rtl/>
        </w:rPr>
      </w:pPr>
    </w:p>
    <w:p w14:paraId="725A1482" w14:textId="77777777" w:rsidR="003507D7" w:rsidRDefault="003507D7" w:rsidP="00E122F6">
      <w:pPr>
        <w:spacing w:after="160" w:line="360" w:lineRule="auto"/>
        <w:jc w:val="both"/>
        <w:rPr>
          <w:u w:val="single"/>
          <w:rtl/>
        </w:rPr>
      </w:pPr>
      <w:r>
        <w:rPr>
          <w:rFonts w:ascii="Calibri" w:hAnsi="Calibri" w:hint="eastAsia"/>
          <w:rtl/>
        </w:rPr>
        <w:t>כסיכום</w:t>
      </w:r>
      <w:r>
        <w:rPr>
          <w:rFonts w:ascii="Calibri" w:hAnsi="Calibri"/>
          <w:rtl/>
        </w:rPr>
        <w:t xml:space="preserve"> </w:t>
      </w:r>
      <w:r>
        <w:rPr>
          <w:rFonts w:ascii="Calibri" w:hAnsi="Calibri" w:hint="eastAsia"/>
          <w:rtl/>
        </w:rPr>
        <w:t>עד</w:t>
      </w:r>
      <w:r>
        <w:rPr>
          <w:rFonts w:ascii="Calibri" w:hAnsi="Calibri"/>
          <w:rtl/>
        </w:rPr>
        <w:t xml:space="preserve"> </w:t>
      </w:r>
      <w:r>
        <w:rPr>
          <w:rFonts w:ascii="Calibri" w:hAnsi="Calibri" w:hint="eastAsia"/>
          <w:rtl/>
        </w:rPr>
        <w:t>כה</w:t>
      </w:r>
      <w:r>
        <w:rPr>
          <w:rFonts w:ascii="Calibri" w:hAnsi="Calibri"/>
          <w:rtl/>
        </w:rPr>
        <w:t xml:space="preserve">, </w:t>
      </w:r>
      <w:r w:rsidRPr="00624852">
        <w:rPr>
          <w:rFonts w:ascii="Calibri" w:hAnsi="Calibri" w:hint="eastAsia"/>
          <w:rtl/>
        </w:rPr>
        <w:t>בשים</w:t>
      </w:r>
      <w:r w:rsidRPr="00624852">
        <w:rPr>
          <w:rFonts w:ascii="Calibri" w:hAnsi="Calibri"/>
          <w:rtl/>
        </w:rPr>
        <w:t xml:space="preserve"> </w:t>
      </w:r>
      <w:r w:rsidRPr="00624852">
        <w:rPr>
          <w:rFonts w:ascii="Calibri" w:hAnsi="Calibri" w:hint="eastAsia"/>
          <w:rtl/>
        </w:rPr>
        <w:t>לב</w:t>
      </w:r>
      <w:r w:rsidRPr="00624852">
        <w:rPr>
          <w:rFonts w:ascii="Calibri" w:hAnsi="Calibri"/>
          <w:rtl/>
        </w:rPr>
        <w:t xml:space="preserve"> </w:t>
      </w:r>
      <w:r w:rsidRPr="00624852">
        <w:rPr>
          <w:rFonts w:ascii="Calibri" w:hAnsi="Calibri" w:hint="eastAsia"/>
          <w:rtl/>
        </w:rPr>
        <w:t>לערכים</w:t>
      </w:r>
      <w:r w:rsidRPr="00624852">
        <w:rPr>
          <w:rFonts w:ascii="Calibri" w:hAnsi="Calibri"/>
          <w:rtl/>
        </w:rPr>
        <w:t xml:space="preserve"> </w:t>
      </w:r>
      <w:r w:rsidRPr="00624852">
        <w:rPr>
          <w:rFonts w:ascii="Calibri" w:hAnsi="Calibri" w:hint="eastAsia"/>
          <w:rtl/>
        </w:rPr>
        <w:t>החברתיים</w:t>
      </w:r>
      <w:r w:rsidRPr="00624852">
        <w:rPr>
          <w:rFonts w:ascii="Calibri" w:hAnsi="Calibri"/>
          <w:rtl/>
        </w:rPr>
        <w:t xml:space="preserve"> </w:t>
      </w:r>
      <w:r w:rsidRPr="00624852">
        <w:rPr>
          <w:rFonts w:ascii="Calibri" w:hAnsi="Calibri" w:hint="eastAsia"/>
          <w:rtl/>
        </w:rPr>
        <w:t>שנפגעו</w:t>
      </w:r>
      <w:r w:rsidRPr="00624852">
        <w:rPr>
          <w:rFonts w:ascii="Calibri" w:hAnsi="Calibri"/>
          <w:rtl/>
        </w:rPr>
        <w:t xml:space="preserve"> </w:t>
      </w:r>
      <w:r w:rsidRPr="00624852">
        <w:rPr>
          <w:rFonts w:ascii="Calibri" w:hAnsi="Calibri" w:hint="eastAsia"/>
          <w:rtl/>
        </w:rPr>
        <w:t>ומידת</w:t>
      </w:r>
      <w:r w:rsidRPr="00624852">
        <w:rPr>
          <w:rFonts w:ascii="Calibri" w:hAnsi="Calibri"/>
          <w:rtl/>
        </w:rPr>
        <w:t xml:space="preserve"> </w:t>
      </w:r>
      <w:r w:rsidRPr="00624852">
        <w:rPr>
          <w:rFonts w:ascii="Calibri" w:hAnsi="Calibri" w:hint="eastAsia"/>
          <w:rtl/>
        </w:rPr>
        <w:t>הפגיעה</w:t>
      </w:r>
      <w:r w:rsidRPr="00624852">
        <w:rPr>
          <w:rFonts w:ascii="Calibri" w:hAnsi="Calibri"/>
          <w:rtl/>
        </w:rPr>
        <w:t xml:space="preserve"> </w:t>
      </w:r>
      <w:r w:rsidRPr="00624852">
        <w:rPr>
          <w:rFonts w:ascii="Calibri" w:hAnsi="Calibri" w:hint="eastAsia"/>
          <w:rtl/>
        </w:rPr>
        <w:t>בהם</w:t>
      </w:r>
      <w:r w:rsidRPr="00624852">
        <w:rPr>
          <w:rFonts w:ascii="Calibri" w:hAnsi="Calibri"/>
          <w:rtl/>
        </w:rPr>
        <w:t xml:space="preserve">, </w:t>
      </w:r>
      <w:r w:rsidRPr="00624852">
        <w:rPr>
          <w:rFonts w:ascii="Calibri" w:hAnsi="Calibri" w:hint="eastAsia"/>
          <w:rtl/>
        </w:rPr>
        <w:t>למדיניות</w:t>
      </w:r>
      <w:r w:rsidRPr="00624852">
        <w:rPr>
          <w:rFonts w:ascii="Calibri" w:hAnsi="Calibri"/>
          <w:rtl/>
        </w:rPr>
        <w:t xml:space="preserve"> </w:t>
      </w:r>
      <w:r w:rsidRPr="00624852">
        <w:rPr>
          <w:rFonts w:ascii="Calibri" w:hAnsi="Calibri" w:hint="eastAsia"/>
          <w:rtl/>
        </w:rPr>
        <w:t>הענישה</w:t>
      </w:r>
      <w:r w:rsidRPr="00624852">
        <w:rPr>
          <w:rFonts w:ascii="Calibri" w:hAnsi="Calibri"/>
          <w:rtl/>
        </w:rPr>
        <w:t xml:space="preserve"> </w:t>
      </w:r>
      <w:r w:rsidRPr="00624852">
        <w:rPr>
          <w:rFonts w:ascii="Calibri" w:hAnsi="Calibri" w:hint="eastAsia"/>
          <w:rtl/>
        </w:rPr>
        <w:t>הנהוגה</w:t>
      </w:r>
      <w:r w:rsidRPr="00624852">
        <w:rPr>
          <w:rFonts w:ascii="Calibri" w:hAnsi="Calibri"/>
          <w:rtl/>
        </w:rPr>
        <w:t xml:space="preserve"> </w:t>
      </w:r>
      <w:r w:rsidRPr="00624852">
        <w:rPr>
          <w:rFonts w:ascii="Calibri" w:hAnsi="Calibri" w:hint="eastAsia"/>
          <w:rtl/>
        </w:rPr>
        <w:t>בעבירות</w:t>
      </w:r>
      <w:r w:rsidRPr="00624852">
        <w:rPr>
          <w:rFonts w:ascii="Calibri" w:hAnsi="Calibri"/>
          <w:rtl/>
        </w:rPr>
        <w:t xml:space="preserve"> </w:t>
      </w:r>
      <w:r w:rsidRPr="00624852">
        <w:rPr>
          <w:rFonts w:ascii="Calibri" w:hAnsi="Calibri" w:hint="eastAsia"/>
          <w:rtl/>
        </w:rPr>
        <w:t>אלו</w:t>
      </w:r>
      <w:r w:rsidRPr="00624852">
        <w:rPr>
          <w:rFonts w:ascii="Calibri" w:hAnsi="Calibri"/>
          <w:rtl/>
        </w:rPr>
        <w:t xml:space="preserve"> </w:t>
      </w:r>
      <w:r w:rsidRPr="00624852">
        <w:rPr>
          <w:rFonts w:ascii="Calibri" w:hAnsi="Calibri" w:hint="eastAsia"/>
          <w:rtl/>
        </w:rPr>
        <w:t>וכן</w:t>
      </w:r>
      <w:r w:rsidRPr="00624852">
        <w:rPr>
          <w:rFonts w:ascii="Calibri" w:hAnsi="Calibri"/>
          <w:rtl/>
        </w:rPr>
        <w:t xml:space="preserve"> </w:t>
      </w:r>
      <w:r w:rsidRPr="00624852">
        <w:rPr>
          <w:rFonts w:ascii="Calibri" w:hAnsi="Calibri" w:hint="eastAsia"/>
          <w:rtl/>
        </w:rPr>
        <w:t>בשים</w:t>
      </w:r>
      <w:r w:rsidRPr="00624852">
        <w:rPr>
          <w:rFonts w:ascii="Calibri" w:hAnsi="Calibri"/>
          <w:rtl/>
        </w:rPr>
        <w:t xml:space="preserve"> </w:t>
      </w:r>
      <w:r w:rsidRPr="00624852">
        <w:rPr>
          <w:rFonts w:ascii="Calibri" w:hAnsi="Calibri" w:hint="eastAsia"/>
          <w:rtl/>
        </w:rPr>
        <w:t>לב</w:t>
      </w:r>
      <w:r w:rsidRPr="00624852">
        <w:rPr>
          <w:rFonts w:ascii="Calibri" w:hAnsi="Calibri"/>
          <w:rtl/>
        </w:rPr>
        <w:t xml:space="preserve"> </w:t>
      </w:r>
      <w:r w:rsidRPr="00624852">
        <w:rPr>
          <w:rFonts w:ascii="Calibri" w:hAnsi="Calibri" w:hint="eastAsia"/>
          <w:rtl/>
        </w:rPr>
        <w:t>לנסיבות</w:t>
      </w:r>
      <w:r w:rsidRPr="00624852">
        <w:rPr>
          <w:rFonts w:ascii="Calibri" w:hAnsi="Calibri"/>
          <w:rtl/>
        </w:rPr>
        <w:t xml:space="preserve"> </w:t>
      </w:r>
      <w:r w:rsidRPr="00624852">
        <w:rPr>
          <w:rFonts w:ascii="Calibri" w:hAnsi="Calibri" w:hint="eastAsia"/>
          <w:rtl/>
        </w:rPr>
        <w:t>ביצוע</w:t>
      </w:r>
      <w:r w:rsidRPr="00624852">
        <w:rPr>
          <w:rFonts w:ascii="Calibri" w:hAnsi="Calibri"/>
          <w:rtl/>
        </w:rPr>
        <w:t xml:space="preserve"> </w:t>
      </w:r>
      <w:r w:rsidRPr="00624852">
        <w:rPr>
          <w:rFonts w:ascii="Calibri" w:hAnsi="Calibri" w:hint="eastAsia"/>
          <w:rtl/>
        </w:rPr>
        <w:t>העבירה</w:t>
      </w:r>
      <w:r w:rsidRPr="00624852">
        <w:rPr>
          <w:rFonts w:ascii="Calibri" w:hAnsi="Calibri"/>
          <w:rtl/>
        </w:rPr>
        <w:t xml:space="preserve">, </w:t>
      </w:r>
      <w:r w:rsidRPr="00624852">
        <w:rPr>
          <w:rFonts w:ascii="Calibri" w:hAnsi="Calibri" w:hint="eastAsia"/>
          <w:rtl/>
        </w:rPr>
        <w:t>הנני</w:t>
      </w:r>
      <w:r w:rsidRPr="00624852">
        <w:rPr>
          <w:rFonts w:ascii="Calibri" w:hAnsi="Calibri"/>
          <w:rtl/>
        </w:rPr>
        <w:t xml:space="preserve"> </w:t>
      </w:r>
      <w:r w:rsidRPr="00624852">
        <w:rPr>
          <w:rFonts w:ascii="Calibri" w:hAnsi="Calibri" w:hint="eastAsia"/>
          <w:rtl/>
        </w:rPr>
        <w:t>לקבוע</w:t>
      </w:r>
      <w:r w:rsidRPr="00624852">
        <w:rPr>
          <w:rFonts w:ascii="Calibri" w:hAnsi="Calibri"/>
          <w:rtl/>
        </w:rPr>
        <w:t xml:space="preserve"> </w:t>
      </w:r>
      <w:r w:rsidRPr="00624852">
        <w:rPr>
          <w:rFonts w:ascii="Calibri" w:hAnsi="Calibri" w:hint="eastAsia"/>
          <w:rtl/>
        </w:rPr>
        <w:t>כי</w:t>
      </w:r>
      <w:r w:rsidRPr="00624852">
        <w:rPr>
          <w:rFonts w:ascii="Calibri" w:hAnsi="Calibri"/>
          <w:rtl/>
        </w:rPr>
        <w:t xml:space="preserve"> </w:t>
      </w:r>
      <w:r>
        <w:rPr>
          <w:rFonts w:ascii="Calibri" w:hAnsi="Calibri" w:hint="eastAsia"/>
          <w:rtl/>
        </w:rPr>
        <w:t>מתחם</w:t>
      </w:r>
      <w:r>
        <w:rPr>
          <w:rFonts w:ascii="Calibri" w:hAnsi="Calibri"/>
          <w:rtl/>
        </w:rPr>
        <w:t xml:space="preserve"> </w:t>
      </w:r>
      <w:r>
        <w:rPr>
          <w:rFonts w:ascii="Calibri" w:hAnsi="Calibri" w:hint="eastAsia"/>
          <w:rtl/>
        </w:rPr>
        <w:t>העונש</w:t>
      </w:r>
      <w:r>
        <w:rPr>
          <w:rFonts w:ascii="Calibri" w:hAnsi="Calibri"/>
          <w:rtl/>
        </w:rPr>
        <w:t xml:space="preserve"> </w:t>
      </w:r>
      <w:r w:rsidRPr="00C572AD">
        <w:rPr>
          <w:rFonts w:ascii="Calibri" w:hAnsi="Calibri" w:hint="eastAsia"/>
          <w:b/>
          <w:bCs/>
          <w:rtl/>
        </w:rPr>
        <w:t>בגין</w:t>
      </w:r>
      <w:r w:rsidRPr="00C572AD">
        <w:rPr>
          <w:rFonts w:ascii="Calibri" w:hAnsi="Calibri"/>
          <w:b/>
          <w:bCs/>
          <w:rtl/>
        </w:rPr>
        <w:t xml:space="preserve"> </w:t>
      </w:r>
      <w:r w:rsidRPr="00C572AD">
        <w:rPr>
          <w:rFonts w:ascii="Calibri" w:hAnsi="Calibri" w:hint="eastAsia"/>
          <w:b/>
          <w:bCs/>
          <w:rtl/>
        </w:rPr>
        <w:t>העבירה</w:t>
      </w:r>
      <w:r w:rsidRPr="00C572AD">
        <w:rPr>
          <w:rFonts w:ascii="Calibri" w:hAnsi="Calibri"/>
          <w:b/>
          <w:bCs/>
          <w:rtl/>
        </w:rPr>
        <w:t xml:space="preserve"> </w:t>
      </w:r>
      <w:r w:rsidRPr="00C572AD">
        <w:rPr>
          <w:rFonts w:ascii="Calibri" w:hAnsi="Calibri" w:hint="eastAsia"/>
          <w:b/>
          <w:bCs/>
          <w:rtl/>
        </w:rPr>
        <w:t>של</w:t>
      </w:r>
      <w:r w:rsidRPr="00C572AD">
        <w:rPr>
          <w:rFonts w:ascii="Calibri" w:hAnsi="Calibri"/>
          <w:b/>
          <w:bCs/>
          <w:rtl/>
        </w:rPr>
        <w:t xml:space="preserve"> </w:t>
      </w:r>
      <w:r w:rsidRPr="00C572AD">
        <w:rPr>
          <w:rFonts w:ascii="Calibri" w:hAnsi="Calibri" w:hint="eastAsia"/>
          <w:b/>
          <w:bCs/>
          <w:rtl/>
        </w:rPr>
        <w:t>החזקת</w:t>
      </w:r>
      <w:r w:rsidRPr="00C572AD">
        <w:rPr>
          <w:rFonts w:ascii="Calibri" w:hAnsi="Calibri"/>
          <w:b/>
          <w:bCs/>
          <w:rtl/>
        </w:rPr>
        <w:t xml:space="preserve"> </w:t>
      </w:r>
      <w:r w:rsidRPr="00C572AD">
        <w:rPr>
          <w:rFonts w:ascii="Calibri" w:hAnsi="Calibri" w:hint="eastAsia"/>
          <w:b/>
          <w:bCs/>
          <w:rtl/>
        </w:rPr>
        <w:t>אקדח</w:t>
      </w:r>
      <w:r>
        <w:rPr>
          <w:rFonts w:ascii="Calibri" w:hAnsi="Calibri"/>
          <w:rtl/>
        </w:rPr>
        <w:t xml:space="preserve"> </w:t>
      </w:r>
      <w:r>
        <w:rPr>
          <w:rFonts w:ascii="Calibri" w:hAnsi="Calibri" w:hint="eastAsia"/>
          <w:rtl/>
        </w:rPr>
        <w:t>נע</w:t>
      </w:r>
      <w:r>
        <w:rPr>
          <w:rFonts w:ascii="Calibri" w:hAnsi="Calibri"/>
          <w:rtl/>
        </w:rPr>
        <w:t xml:space="preserve"> </w:t>
      </w:r>
      <w:r>
        <w:rPr>
          <w:rFonts w:ascii="Calibri" w:hAnsi="Calibri" w:hint="eastAsia"/>
          <w:rtl/>
        </w:rPr>
        <w:t>בין</w:t>
      </w:r>
      <w:r>
        <w:rPr>
          <w:rFonts w:ascii="Calibri" w:hAnsi="Calibri"/>
          <w:rtl/>
        </w:rPr>
        <w:t xml:space="preserve"> </w:t>
      </w:r>
      <w:r w:rsidRPr="003338B3">
        <w:rPr>
          <w:rFonts w:ascii="Calibri" w:hAnsi="Calibri"/>
          <w:u w:val="single"/>
          <w:rtl/>
        </w:rPr>
        <w:t>30-14</w:t>
      </w:r>
      <w:r w:rsidRPr="003338B3">
        <w:rPr>
          <w:rFonts w:ascii="Calibri" w:hAnsi="Calibri" w:hint="eastAsia"/>
          <w:u w:val="single"/>
          <w:rtl/>
        </w:rPr>
        <w:t>חודשים</w:t>
      </w:r>
      <w:r w:rsidRPr="003338B3">
        <w:rPr>
          <w:rFonts w:ascii="Calibri" w:hAnsi="Calibri"/>
          <w:u w:val="single"/>
          <w:rtl/>
        </w:rPr>
        <w:t xml:space="preserve"> </w:t>
      </w:r>
      <w:r w:rsidRPr="003338B3">
        <w:rPr>
          <w:rFonts w:ascii="Calibri" w:hAnsi="Calibri" w:hint="eastAsia"/>
          <w:u w:val="single"/>
          <w:rtl/>
        </w:rPr>
        <w:t>מאסר</w:t>
      </w:r>
      <w:r w:rsidRPr="003338B3">
        <w:rPr>
          <w:rFonts w:ascii="Calibri" w:hAnsi="Calibri"/>
          <w:u w:val="single"/>
          <w:rtl/>
        </w:rPr>
        <w:t xml:space="preserve"> </w:t>
      </w:r>
      <w:r w:rsidRPr="003338B3">
        <w:rPr>
          <w:rFonts w:ascii="Calibri" w:hAnsi="Calibri" w:hint="eastAsia"/>
          <w:u w:val="single"/>
          <w:rtl/>
        </w:rPr>
        <w:t>בפועל</w:t>
      </w:r>
      <w:r>
        <w:rPr>
          <w:rFonts w:ascii="Calibri" w:hAnsi="Calibri"/>
          <w:rtl/>
        </w:rPr>
        <w:t>.</w:t>
      </w:r>
      <w:r>
        <w:rPr>
          <w:rtl/>
        </w:rPr>
        <w:t xml:space="preserve"> </w:t>
      </w:r>
      <w:r w:rsidRPr="00F30354">
        <w:rPr>
          <w:rtl/>
        </w:rPr>
        <w:t xml:space="preserve">מכל המקובץ לעיל, הריני לקבוע </w:t>
      </w:r>
      <w:r>
        <w:rPr>
          <w:rtl/>
        </w:rPr>
        <w:t xml:space="preserve">כי </w:t>
      </w:r>
      <w:r w:rsidRPr="00F30354">
        <w:rPr>
          <w:rtl/>
        </w:rPr>
        <w:t xml:space="preserve">מתחם </w:t>
      </w:r>
      <w:r>
        <w:rPr>
          <w:rtl/>
        </w:rPr>
        <w:t>ה</w:t>
      </w:r>
      <w:r w:rsidRPr="00F30354">
        <w:rPr>
          <w:rtl/>
        </w:rPr>
        <w:t xml:space="preserve">עונש </w:t>
      </w:r>
      <w:r>
        <w:rPr>
          <w:rtl/>
        </w:rPr>
        <w:t>ה</w:t>
      </w:r>
      <w:r w:rsidRPr="00F30354">
        <w:rPr>
          <w:rtl/>
        </w:rPr>
        <w:t xml:space="preserve">הולם </w:t>
      </w:r>
      <w:r>
        <w:rPr>
          <w:rtl/>
        </w:rPr>
        <w:t xml:space="preserve">ככל שהדבר נוגע </w:t>
      </w:r>
      <w:r w:rsidRPr="00C572AD">
        <w:rPr>
          <w:b/>
          <w:bCs/>
          <w:rtl/>
        </w:rPr>
        <w:t xml:space="preserve">לעבירת ניסיון השוד ונשיאת האקדח </w:t>
      </w:r>
      <w:r>
        <w:rPr>
          <w:rtl/>
        </w:rPr>
        <w:t xml:space="preserve">הנע בין </w:t>
      </w:r>
      <w:r w:rsidRPr="003338B3">
        <w:rPr>
          <w:u w:val="single"/>
          <w:rtl/>
        </w:rPr>
        <w:t>48-28 חודשים מאסר בפ</w:t>
      </w:r>
    </w:p>
    <w:p w14:paraId="04D1C0EE" w14:textId="77777777" w:rsidR="003507D7" w:rsidRDefault="003507D7" w:rsidP="00E122F6">
      <w:pPr>
        <w:spacing w:after="160" w:line="360" w:lineRule="auto"/>
        <w:jc w:val="both"/>
        <w:rPr>
          <w:rtl/>
        </w:rPr>
      </w:pPr>
      <w:r w:rsidRPr="003338B3">
        <w:rPr>
          <w:u w:val="single"/>
          <w:rtl/>
        </w:rPr>
        <w:t>ועל.</w:t>
      </w:r>
    </w:p>
    <w:p w14:paraId="7DE32E1E" w14:textId="77777777" w:rsidR="003507D7" w:rsidRPr="00F30354" w:rsidRDefault="003507D7" w:rsidP="00340A4A">
      <w:pPr>
        <w:tabs>
          <w:tab w:val="left" w:pos="567"/>
          <w:tab w:val="left" w:pos="1134"/>
          <w:tab w:val="left" w:pos="1701"/>
        </w:tabs>
        <w:spacing w:line="360" w:lineRule="auto"/>
        <w:ind w:left="885" w:hanging="885"/>
        <w:jc w:val="both"/>
        <w:rPr>
          <w:rtl/>
        </w:rPr>
      </w:pPr>
      <w:r>
        <w:rPr>
          <w:rtl/>
        </w:rPr>
        <w:t xml:space="preserve"> </w:t>
      </w:r>
    </w:p>
    <w:p w14:paraId="0F6D35EE" w14:textId="77777777" w:rsidR="003507D7" w:rsidRDefault="003507D7" w:rsidP="00340A4A">
      <w:pPr>
        <w:spacing w:line="360" w:lineRule="auto"/>
        <w:jc w:val="both"/>
        <w:rPr>
          <w:rtl/>
        </w:rPr>
      </w:pPr>
      <w:r>
        <w:rPr>
          <w:rtl/>
        </w:rPr>
        <w:t>בקביעת עונשו של הנאשם בגדרי המתחמים ולקולא תילקח בחשבון הודאתו, הודאה שיש בה משום חסכון בזמן שיפוטי יקר ובעקיפין גם הבעת חרטה ונטילת אחריות, כפי שהדברים גם עולים מדבריו לעונש.</w:t>
      </w:r>
    </w:p>
    <w:p w14:paraId="6BBA96D8" w14:textId="77777777" w:rsidR="003507D7" w:rsidRPr="00B05847" w:rsidRDefault="003507D7" w:rsidP="00340A4A">
      <w:pPr>
        <w:spacing w:line="360" w:lineRule="auto"/>
        <w:jc w:val="both"/>
        <w:rPr>
          <w:rtl/>
        </w:rPr>
      </w:pPr>
    </w:p>
    <w:p w14:paraId="7039BCD3" w14:textId="77777777" w:rsidR="003507D7" w:rsidRDefault="003507D7" w:rsidP="009F349A">
      <w:pPr>
        <w:spacing w:line="360" w:lineRule="auto"/>
        <w:jc w:val="both"/>
        <w:rPr>
          <w:rtl/>
        </w:rPr>
      </w:pPr>
      <w:r>
        <w:rPr>
          <w:rtl/>
        </w:rPr>
        <w:t>לחומרא יש לתת משקל לעברו הפלילי של הנאשם המונה 5 הרשעות קודמות. אמנם, אין המדובר בעבר פלילי מכביד באופן יחסי, יחד עם זאת יש לתת הדעת לכך שמרבית הרשעותיו של הנאשם הינן מהשנים האחרונות שניתן להבחין גם אסקלציה בטיב העבירות בהן זה חוטא.</w:t>
      </w:r>
    </w:p>
    <w:p w14:paraId="720DDB44" w14:textId="77777777" w:rsidR="003507D7" w:rsidRDefault="003507D7" w:rsidP="00340A4A">
      <w:pPr>
        <w:spacing w:line="360" w:lineRule="auto"/>
        <w:jc w:val="both"/>
        <w:rPr>
          <w:rtl/>
        </w:rPr>
      </w:pPr>
      <w:r>
        <w:rPr>
          <w:rtl/>
        </w:rPr>
        <w:t xml:space="preserve">בשנת </w:t>
      </w:r>
      <w:r w:rsidRPr="00D10AD7">
        <w:rPr>
          <w:b/>
          <w:bCs/>
          <w:rtl/>
        </w:rPr>
        <w:t>2010</w:t>
      </w:r>
      <w:r>
        <w:rPr>
          <w:rtl/>
        </w:rPr>
        <w:t xml:space="preserve"> במסגרת </w:t>
      </w:r>
      <w:hyperlink r:id="rId57" w:history="1">
        <w:r w:rsidR="00746032" w:rsidRPr="00746032">
          <w:rPr>
            <w:color w:val="0000FF"/>
            <w:u w:val="single"/>
            <w:rtl/>
          </w:rPr>
          <w:t>ת"פ 781/09</w:t>
        </w:r>
      </w:hyperlink>
      <w:r>
        <w:rPr>
          <w:rtl/>
        </w:rPr>
        <w:t xml:space="preserve"> הורשע הנאשם בעבירות של תקיפה הגורמת חבלה, היזק לרכוש והכשלת שוטר ונגזר עליו חודש מאסר בפועל שירוצה בדרך של עבודות שירות.</w:t>
      </w:r>
    </w:p>
    <w:p w14:paraId="18A1C035" w14:textId="77777777" w:rsidR="003507D7" w:rsidRDefault="003507D7" w:rsidP="00340A4A">
      <w:pPr>
        <w:spacing w:line="360" w:lineRule="auto"/>
        <w:jc w:val="both"/>
        <w:rPr>
          <w:rtl/>
        </w:rPr>
      </w:pPr>
      <w:r>
        <w:rPr>
          <w:rtl/>
        </w:rPr>
        <w:t>בשנת</w:t>
      </w:r>
      <w:r w:rsidRPr="00330851">
        <w:rPr>
          <w:b/>
          <w:bCs/>
          <w:rtl/>
        </w:rPr>
        <w:t xml:space="preserve"> 2016</w:t>
      </w:r>
      <w:r>
        <w:rPr>
          <w:rtl/>
        </w:rPr>
        <w:t xml:space="preserve"> במסגרת </w:t>
      </w:r>
      <w:hyperlink r:id="rId58" w:history="1">
        <w:r w:rsidR="00746032" w:rsidRPr="00746032">
          <w:rPr>
            <w:color w:val="0000FF"/>
            <w:u w:val="single"/>
            <w:rtl/>
          </w:rPr>
          <w:t>ת"פ 53725-09-14</w:t>
        </w:r>
      </w:hyperlink>
      <w:r>
        <w:rPr>
          <w:rtl/>
        </w:rPr>
        <w:t xml:space="preserve"> שנדון בפניי, הורשע הנאשם בעבירה של פריצה לרכב ונגזר עליו 6 חודשים מאסר בפועל למשך 3 שנים שלא יעבור כל עבירת רכוש.</w:t>
      </w:r>
    </w:p>
    <w:p w14:paraId="10577884" w14:textId="77777777" w:rsidR="003507D7" w:rsidRDefault="003507D7" w:rsidP="00340A4A">
      <w:pPr>
        <w:spacing w:line="360" w:lineRule="auto"/>
        <w:jc w:val="both"/>
        <w:rPr>
          <w:rtl/>
        </w:rPr>
      </w:pPr>
      <w:r>
        <w:rPr>
          <w:rtl/>
        </w:rPr>
        <w:t xml:space="preserve">בשנת </w:t>
      </w:r>
      <w:r w:rsidRPr="00314F53">
        <w:rPr>
          <w:b/>
          <w:bCs/>
          <w:rtl/>
        </w:rPr>
        <w:t>2017</w:t>
      </w:r>
      <w:r>
        <w:rPr>
          <w:rtl/>
        </w:rPr>
        <w:t xml:space="preserve"> במסגרת </w:t>
      </w:r>
      <w:hyperlink r:id="rId59" w:history="1">
        <w:r w:rsidR="00746032" w:rsidRPr="00746032">
          <w:rPr>
            <w:color w:val="0000FF"/>
            <w:u w:val="single"/>
            <w:rtl/>
          </w:rPr>
          <w:t>ת"פ 13918-08-13</w:t>
        </w:r>
      </w:hyperlink>
      <w:r>
        <w:rPr>
          <w:rtl/>
        </w:rPr>
        <w:t xml:space="preserve"> הורשע הנאשם בעבירות של היזק לרכוש במזיד ותקיפה סתם. בעקבות זאת, הוארך המאסר המותנה שהושת על הנאשם  למשך שנתיים.</w:t>
      </w:r>
    </w:p>
    <w:p w14:paraId="06B70978" w14:textId="77777777" w:rsidR="003507D7" w:rsidRDefault="003507D7" w:rsidP="003338B3">
      <w:pPr>
        <w:spacing w:line="360" w:lineRule="auto"/>
        <w:jc w:val="both"/>
        <w:rPr>
          <w:rtl/>
        </w:rPr>
      </w:pPr>
      <w:r>
        <w:rPr>
          <w:rtl/>
        </w:rPr>
        <w:t xml:space="preserve">בשנת </w:t>
      </w:r>
      <w:r w:rsidRPr="00D349BB">
        <w:rPr>
          <w:b/>
          <w:bCs/>
          <w:rtl/>
        </w:rPr>
        <w:t>2018</w:t>
      </w:r>
      <w:r>
        <w:rPr>
          <w:rtl/>
        </w:rPr>
        <w:t xml:space="preserve">, במסגרת </w:t>
      </w:r>
      <w:hyperlink r:id="rId60" w:history="1">
        <w:r w:rsidR="00746032" w:rsidRPr="00746032">
          <w:rPr>
            <w:color w:val="0000FF"/>
            <w:u w:val="single"/>
            <w:rtl/>
          </w:rPr>
          <w:t>ת"פ 55434-08-16</w:t>
        </w:r>
      </w:hyperlink>
      <w:r>
        <w:rPr>
          <w:rtl/>
        </w:rPr>
        <w:t xml:space="preserve"> הורשע הנאשם בעבירות של גניבה בצוותא חדא, הונאה בכרטיס חיוב בצוותא והתפרצות בצוותא חדא ונגזרו עליו 12 חודשים מאסר בפועל. עיון בכתב האישום מלמד כי בתיק זה דובר על כך שנאשם ואחרים גנבו תיק של אחות בקופת חולים. בנוסף, התפרץ הנאשם בתחבולה יחד עם אחר לביתה של קשישה, גנב את תיקה שהכיל רכוש רב ואף משך כספים באמצעות כרטיסי האשראי שהיו בתיק. </w:t>
      </w:r>
    </w:p>
    <w:p w14:paraId="36F2E5D6" w14:textId="77777777" w:rsidR="003507D7" w:rsidRDefault="003507D7" w:rsidP="00340A4A">
      <w:pPr>
        <w:spacing w:line="360" w:lineRule="auto"/>
        <w:jc w:val="both"/>
        <w:rPr>
          <w:rtl/>
        </w:rPr>
      </w:pPr>
    </w:p>
    <w:p w14:paraId="1F6800C9" w14:textId="77777777" w:rsidR="003507D7" w:rsidRDefault="003507D7" w:rsidP="00D349BB">
      <w:pPr>
        <w:spacing w:line="360" w:lineRule="auto"/>
        <w:jc w:val="both"/>
        <w:rPr>
          <w:rtl/>
        </w:rPr>
      </w:pPr>
      <w:r>
        <w:rPr>
          <w:rtl/>
        </w:rPr>
        <w:t xml:space="preserve">הנאשם מבצע את המיוחס לו בשעה שהוא מצוי בתנאים מגבילים ומנהל את משפטו (בתיקים אחרים) כאשר תלוי ועומד נגדו מאסר מותנה שהינו בר הפעלה. אלה כאלה מלמדים שהנאשם לא הורתע מההליכים הפליליים, ולא מבין הפסול במעשיו. </w:t>
      </w:r>
    </w:p>
    <w:p w14:paraId="73F2E1C7" w14:textId="77777777" w:rsidR="003507D7" w:rsidRDefault="003507D7" w:rsidP="00340A4A">
      <w:pPr>
        <w:spacing w:line="360" w:lineRule="auto"/>
        <w:jc w:val="both"/>
        <w:rPr>
          <w:rtl/>
        </w:rPr>
      </w:pPr>
    </w:p>
    <w:p w14:paraId="47CC896D" w14:textId="77777777" w:rsidR="003507D7" w:rsidRDefault="003507D7" w:rsidP="009F349A">
      <w:pPr>
        <w:spacing w:line="360" w:lineRule="auto"/>
        <w:jc w:val="both"/>
        <w:rPr>
          <w:rtl/>
        </w:rPr>
      </w:pPr>
      <w:r>
        <w:rPr>
          <w:rtl/>
        </w:rPr>
        <w:t xml:space="preserve">בתיק זה אין לדבר על הליכי שיקום הגם שקיימת נזקקות טיפולית ברורה. לא זו בלבד, שאין לדבר על הליך שיקומי, הרי שבעניינו של הנאשם קיימים שורה ארוכה של גורמי סיכון להישנות התנהגות פורצת חוק בעתיד. כך בין היתר פירט שירות המבחן בתסקירו כי מדובר בנאשם אשר גורמי אכיפת החוק, הליכים משפטיים וסנקציות עונשיות, אינם מהווים גורם מרתיע עבורו. לנאשם קושי ליצור קשר קרוב עם גורמי טיפול. שירות המבחן מוסיף כי כאשר הנאשם מצוי תחת השפעת אלכוהול, הוא מתקשה לשלוט בדחפיו ומטשטשים גבולותיו. שירות המבחן מוסיף ומציין כי </w:t>
      </w:r>
      <w:r w:rsidRPr="00D97686">
        <w:rPr>
          <w:u w:val="single"/>
          <w:rtl/>
        </w:rPr>
        <w:t>נשקפת מן הנאשם רמת סיכון גבוהה להישנות התנהלות עוברת חוק בתחום האלימות</w:t>
      </w:r>
      <w:r>
        <w:rPr>
          <w:rtl/>
        </w:rPr>
        <w:t xml:space="preserve">, ובמקרה זה יש מקום להטיל עליו מאסר ארוך ומרתיע.  שילוב עברו פלילי של הנאשם יחד עם קיומם של גורמי סיכון רבים, שנותרים ללא מענה מצדיק מתן משקל לא מבוטל לשיקולי הרתעת היחיד. </w:t>
      </w:r>
    </w:p>
    <w:p w14:paraId="0CC0F770" w14:textId="77777777" w:rsidR="003507D7" w:rsidRDefault="003507D7" w:rsidP="00340A4A">
      <w:pPr>
        <w:spacing w:line="360" w:lineRule="auto"/>
        <w:jc w:val="both"/>
        <w:rPr>
          <w:rtl/>
        </w:rPr>
      </w:pPr>
    </w:p>
    <w:p w14:paraId="61E1392F" w14:textId="77777777" w:rsidR="003507D7" w:rsidRDefault="003507D7" w:rsidP="00DA45F8">
      <w:pPr>
        <w:spacing w:line="360" w:lineRule="auto"/>
        <w:jc w:val="both"/>
        <w:rPr>
          <w:rFonts w:cs="Miriam"/>
          <w:rtl/>
        </w:rPr>
      </w:pPr>
      <w:r>
        <w:rPr>
          <w:rtl/>
        </w:rPr>
        <w:t>עוד יש לתת משקל לשיקולי הרתעת הרבים, נוכח נפוצות העבירות בהם הורשע הנאשם. אשר לעבירות הנשק, חדשות לבקרים מובאים לפתחו של בית המשפט אירועים פליליים במהלכם נעשה שימוש בנשק לא חוקי. כך הם פני הדברים ביחס לשוד "חנויות נוחות" או "פיצוציות" (כפי שאלה מכונות)  שהמוכרים בהם נתפסים כיעד קל לביצוע שוד נוכח הימצאותם במקום בכל שעות היממה, גם בשעות הלילה. ב</w:t>
      </w:r>
      <w:hyperlink r:id="rId61" w:history="1">
        <w:r w:rsidR="00746032" w:rsidRPr="00746032">
          <w:rPr>
            <w:rFonts w:ascii="Arial" w:hAnsi="Arial"/>
            <w:color w:val="0000FF"/>
            <w:u w:val="single"/>
            <w:rtl/>
          </w:rPr>
          <w:t>ע"פ 4812/12</w:t>
        </w:r>
      </w:hyperlink>
      <w:r>
        <w:rPr>
          <w:rFonts w:ascii="Arial" w:hAnsi="Arial"/>
          <w:rtl/>
        </w:rPr>
        <w:t xml:space="preserve"> </w:t>
      </w:r>
      <w:r>
        <w:rPr>
          <w:rFonts w:ascii="Arial" w:hAnsi="Arial"/>
          <w:b/>
          <w:bCs/>
          <w:rtl/>
        </w:rPr>
        <w:t xml:space="preserve">סעדייב נ' מדינת </w:t>
      </w:r>
      <w:r w:rsidRPr="003403B0">
        <w:rPr>
          <w:rFonts w:ascii="Arial" w:hAnsi="Arial"/>
          <w:b/>
          <w:bCs/>
          <w:rtl/>
        </w:rPr>
        <w:t>ישראל</w:t>
      </w:r>
      <w:r w:rsidRPr="003403B0">
        <w:rPr>
          <w:rFonts w:ascii="Arial" w:hAnsi="Arial"/>
          <w:rtl/>
        </w:rPr>
        <w:t xml:space="preserve"> (</w:t>
      </w:r>
      <w:r>
        <w:rPr>
          <w:rFonts w:ascii="Arial" w:hAnsi="Arial"/>
          <w:rtl/>
        </w:rPr>
        <w:t>פורסם בנבו,</w:t>
      </w:r>
      <w:r w:rsidRPr="003403B0">
        <w:rPr>
          <w:rFonts w:ascii="Arial" w:hAnsi="Arial"/>
          <w:rtl/>
        </w:rPr>
        <w:t xml:space="preserve"> 11.4.13</w:t>
      </w:r>
      <w:r w:rsidRPr="003403B0">
        <w:rPr>
          <w:rtl/>
        </w:rPr>
        <w:t>) התייחס בית המשפט העליון לעבירות שוד המבוצעות כלפי "עובדי הלילה":</w:t>
      </w:r>
    </w:p>
    <w:p w14:paraId="185BB471" w14:textId="77777777" w:rsidR="003507D7" w:rsidRPr="00A90C5A" w:rsidRDefault="003507D7" w:rsidP="00DA45F8">
      <w:pPr>
        <w:pStyle w:val="Ruller40"/>
        <w:spacing w:line="240" w:lineRule="auto"/>
        <w:ind w:left="567" w:right="567"/>
        <w:rPr>
          <w:b/>
          <w:bCs/>
          <w:sz w:val="24"/>
          <w:szCs w:val="24"/>
          <w:rtl/>
        </w:rPr>
      </w:pPr>
      <w:r w:rsidRPr="00D87EB7">
        <w:rPr>
          <w:b/>
          <w:bCs/>
          <w:sz w:val="24"/>
          <w:szCs w:val="24"/>
          <w:rtl/>
        </w:rPr>
        <w:t xml:space="preserve">"... שכיחותם של מקרים כגון דא מחייבת את היחלצותו של בית המשפט לעזרתם של עובדי הלילה. עובדי הקיוסקים נמנים עם שורה ארוכה של עובדים, דוגמת עובדי תחנות דלק ומאבטחים, המעניקים שירות בשעות הלילה לאלה הזקוקים לו. המדובר באנשים אשר עובדים לפרנסתם בעבודות שמטבען אינן פשוטות. בעבודתם חשופים הם למפרי חוק אשר מנצלים את אצטלת הלילה ורדת החשכה לביצוע זממם. לרוב, עובדים אלה נמצאים במקום בגפם, ועוברי האורח המצויים בסביבתם הם מעטים. לא אחת מותקפים "עובדי הלילה" על ידי יחידים או קבוצות אשר שמו להם למטרה להשיג "כסף קל" ביודעם שהעובד נמצא לבדו ולא יתנגד למתן הכסף כאשר חייו ושלמות גופו מונחים על הכף. מעבר לנזק הפיזי שגורמים התוקפים לעובדים, הפגיעה הנפשית לנוכח הטראומה שעברו ותחושת חוסר האונים בה הם מצויים הינן גבוהות במיוחד". </w:t>
      </w:r>
    </w:p>
    <w:p w14:paraId="112609E7" w14:textId="77777777" w:rsidR="003507D7" w:rsidRDefault="003507D7" w:rsidP="00DA45F8">
      <w:pPr>
        <w:spacing w:line="360" w:lineRule="auto"/>
        <w:jc w:val="both"/>
        <w:rPr>
          <w:rtl/>
        </w:rPr>
      </w:pPr>
    </w:p>
    <w:p w14:paraId="7B5694E4" w14:textId="77777777" w:rsidR="003507D7" w:rsidRDefault="003507D7" w:rsidP="00D97686">
      <w:pPr>
        <w:spacing w:line="360" w:lineRule="auto"/>
        <w:jc w:val="both"/>
        <w:rPr>
          <w:rtl/>
        </w:rPr>
      </w:pPr>
      <w:r>
        <w:rPr>
          <w:rtl/>
        </w:rPr>
        <w:t>יש בכל נסיבות אלה שאינן נוגעות לביצוע העבירה,  כדי למקם את עונשו של הנאשם בחלקו התחתון של השליש העליון של כל מתחם שנקבע, אם לא גבוה מכך.</w:t>
      </w:r>
    </w:p>
    <w:p w14:paraId="439AF4F3" w14:textId="77777777" w:rsidR="003507D7" w:rsidRDefault="003507D7" w:rsidP="00DA45F8">
      <w:pPr>
        <w:spacing w:line="360" w:lineRule="auto"/>
        <w:jc w:val="both"/>
        <w:rPr>
          <w:rtl/>
        </w:rPr>
      </w:pPr>
    </w:p>
    <w:p w14:paraId="2AB3ED83" w14:textId="77777777" w:rsidR="003507D7" w:rsidRDefault="003507D7" w:rsidP="00701074">
      <w:pPr>
        <w:spacing w:line="360" w:lineRule="auto"/>
        <w:jc w:val="both"/>
        <w:rPr>
          <w:rtl/>
        </w:rPr>
      </w:pPr>
      <w:r>
        <w:rPr>
          <w:rtl/>
        </w:rPr>
        <w:t xml:space="preserve">בהתאם להוראת </w:t>
      </w:r>
      <w:hyperlink r:id="rId62" w:history="1">
        <w:r w:rsidR="00912A47" w:rsidRPr="00912A47">
          <w:rPr>
            <w:rStyle w:val="Hyperlink"/>
            <w:rFonts w:cs="David"/>
            <w:rtl/>
          </w:rPr>
          <w:t>סעיף 40 יג (ב)</w:t>
        </w:r>
      </w:hyperlink>
      <w:r>
        <w:rPr>
          <w:rtl/>
        </w:rPr>
        <w:t xml:space="preserve"> ל</w:t>
      </w:r>
      <w:hyperlink r:id="rId63" w:history="1">
        <w:r w:rsidR="00746032" w:rsidRPr="00746032">
          <w:rPr>
            <w:color w:val="0000FF"/>
            <w:u w:val="single"/>
            <w:rtl/>
          </w:rPr>
          <w:t>חוק העונשין</w:t>
        </w:r>
      </w:hyperlink>
      <w:r>
        <w:rPr>
          <w:rtl/>
        </w:rPr>
        <w:t>, לאחר שביהמ"ש קבע מספר מתחמים לכל ארוע  בנפרד, הוא רשאי לגזור עונש נפרד לכל ארוע או עונש כולל לכל הארועים תוך קביעת החפיפה בין העונשים או הצטברותם. בעניינו של הנאשם שבפני סבורני שיש לקבוע עונש כולל, באופן שיתן ביטוי נוסף גם להודאתו, לעונש המאסר אותו הוא מרצה כעת וכך גם ליתר הנתונים שפועלים לזכותו.</w:t>
      </w:r>
    </w:p>
    <w:p w14:paraId="53AB8F42" w14:textId="77777777" w:rsidR="003507D7" w:rsidRPr="00AC02E0" w:rsidRDefault="003507D7" w:rsidP="00340A4A">
      <w:pPr>
        <w:spacing w:line="360" w:lineRule="auto"/>
        <w:jc w:val="both"/>
        <w:rPr>
          <w:rFonts w:ascii="Arial" w:hAnsi="Arial"/>
          <w:b/>
          <w:bCs/>
          <w:rtl/>
        </w:rPr>
      </w:pPr>
      <w:r w:rsidRPr="00AC02E0">
        <w:rPr>
          <w:rFonts w:ascii="Arial" w:hAnsi="Arial"/>
          <w:b/>
          <w:bCs/>
          <w:rtl/>
        </w:rPr>
        <w:t>סוף דבר, מכל המקובץ לעיל, הנני גוזר על הנאשם את העונשים הבאים:</w:t>
      </w:r>
    </w:p>
    <w:p w14:paraId="77A3BA8E" w14:textId="77777777" w:rsidR="003507D7" w:rsidRDefault="003507D7" w:rsidP="000C5129">
      <w:pPr>
        <w:spacing w:line="360" w:lineRule="auto"/>
        <w:jc w:val="both"/>
        <w:rPr>
          <w:rFonts w:ascii="Arial" w:hAnsi="Arial"/>
          <w:rtl/>
        </w:rPr>
      </w:pPr>
      <w:r>
        <w:rPr>
          <w:rFonts w:ascii="Arial" w:hAnsi="Arial"/>
          <w:rtl/>
        </w:rPr>
        <w:t>א.</w:t>
      </w:r>
      <w:r>
        <w:rPr>
          <w:rFonts w:ascii="Arial" w:hAnsi="Arial"/>
          <w:rtl/>
        </w:rPr>
        <w:tab/>
        <w:t xml:space="preserve">46 חודשים מאסר בפועל. </w:t>
      </w:r>
    </w:p>
    <w:p w14:paraId="5F38C2C9" w14:textId="77777777" w:rsidR="003507D7" w:rsidRDefault="003507D7" w:rsidP="000C5129">
      <w:pPr>
        <w:spacing w:line="360" w:lineRule="auto"/>
        <w:ind w:left="720" w:hanging="720"/>
        <w:jc w:val="both"/>
        <w:rPr>
          <w:rFonts w:ascii="Arial" w:hAnsi="Arial"/>
          <w:rtl/>
        </w:rPr>
      </w:pPr>
      <w:r>
        <w:rPr>
          <w:rFonts w:ascii="Arial" w:hAnsi="Arial"/>
          <w:rtl/>
        </w:rPr>
        <w:t>ב.</w:t>
      </w:r>
      <w:r>
        <w:rPr>
          <w:rFonts w:ascii="Arial" w:hAnsi="Arial"/>
          <w:rtl/>
        </w:rPr>
        <w:tab/>
        <w:t xml:space="preserve">מורה על הפעלת מאסר מותנה בן 6 חודשים מת"פ  781/2009 (שלום באר שבע) שהוארך במסגרת </w:t>
      </w:r>
      <w:hyperlink r:id="rId64" w:history="1">
        <w:r w:rsidR="00746032" w:rsidRPr="00746032">
          <w:rPr>
            <w:rFonts w:ascii="Arial" w:hAnsi="Arial"/>
            <w:color w:val="0000FF"/>
            <w:u w:val="single"/>
            <w:rtl/>
          </w:rPr>
          <w:t>ת"פ 13918-08-13</w:t>
        </w:r>
      </w:hyperlink>
      <w:r>
        <w:rPr>
          <w:rFonts w:ascii="Arial" w:hAnsi="Arial"/>
          <w:rtl/>
        </w:rPr>
        <w:t xml:space="preserve">, כך  ש-3 חודשים ממנו יהיו במצטבר לעונש המאסר האמור בסעיף א' לעיל והיתרה בחופף, סך הכל יהיה על הנאשם לרצות 49 חודשים מאסר בפועל בניכוי ימי מעצרו מיום 14.8.17 עד ליום 23.1.18.(המועד שבו הפך לאסיר במסגרת </w:t>
      </w:r>
      <w:hyperlink r:id="rId65" w:history="1">
        <w:r w:rsidR="00746032" w:rsidRPr="00746032">
          <w:rPr>
            <w:rFonts w:ascii="Arial" w:hAnsi="Arial"/>
            <w:color w:val="0000FF"/>
            <w:u w:val="single"/>
            <w:rtl/>
          </w:rPr>
          <w:t>ת"פ 55434-08-16</w:t>
        </w:r>
      </w:hyperlink>
      <w:r>
        <w:rPr>
          <w:rFonts w:ascii="Arial" w:hAnsi="Arial"/>
          <w:rtl/>
        </w:rPr>
        <w:t>). יתרת המאסר לאחר ניכוי ימי המעצר תרוצה במצטבר בכל עונש מאסר אחר אותו הוא מרצה כעת.</w:t>
      </w:r>
    </w:p>
    <w:p w14:paraId="1F9573C3" w14:textId="77777777" w:rsidR="003507D7" w:rsidRDefault="003507D7" w:rsidP="009F349A">
      <w:pPr>
        <w:spacing w:line="360" w:lineRule="auto"/>
        <w:ind w:left="720" w:hanging="720"/>
        <w:jc w:val="both"/>
        <w:rPr>
          <w:rFonts w:ascii="Arial" w:hAnsi="Arial"/>
          <w:rtl/>
        </w:rPr>
      </w:pPr>
      <w:r>
        <w:rPr>
          <w:rFonts w:ascii="Arial" w:hAnsi="Arial"/>
          <w:rtl/>
        </w:rPr>
        <w:t>ג.</w:t>
      </w:r>
      <w:r>
        <w:rPr>
          <w:rFonts w:ascii="Arial" w:hAnsi="Arial"/>
          <w:rtl/>
        </w:rPr>
        <w:tab/>
        <w:t>6 חודשים מאסר על תנאי למשך 3 שנים מיום שחרורו, שלא יעבור עבירות אלימות או נשק מסוג עוון.</w:t>
      </w:r>
    </w:p>
    <w:p w14:paraId="4386B20B" w14:textId="77777777" w:rsidR="003507D7" w:rsidRDefault="003507D7" w:rsidP="00340A4A">
      <w:pPr>
        <w:spacing w:line="360" w:lineRule="auto"/>
        <w:ind w:left="720" w:hanging="720"/>
        <w:jc w:val="both"/>
        <w:rPr>
          <w:rFonts w:ascii="Arial" w:hAnsi="Arial"/>
          <w:rtl/>
        </w:rPr>
      </w:pPr>
      <w:r>
        <w:rPr>
          <w:rFonts w:ascii="Arial" w:hAnsi="Arial"/>
          <w:rtl/>
        </w:rPr>
        <w:t>ד.</w:t>
      </w:r>
      <w:r>
        <w:rPr>
          <w:rFonts w:ascii="Arial" w:hAnsi="Arial"/>
          <w:rtl/>
        </w:rPr>
        <w:tab/>
        <w:t>12 חודשים מאסר על תנאי למשך 3 שנים מיום שחרורו, שלא יעבור עבירת שוד או עבירת אלימות או עבירת נשק מסוג פשע.</w:t>
      </w:r>
    </w:p>
    <w:p w14:paraId="21691E4C" w14:textId="77777777" w:rsidR="003507D7" w:rsidRDefault="003507D7" w:rsidP="00701074">
      <w:pPr>
        <w:spacing w:line="360" w:lineRule="auto"/>
        <w:ind w:left="720" w:hanging="720"/>
        <w:jc w:val="both"/>
        <w:rPr>
          <w:rFonts w:ascii="Arial" w:hAnsi="Arial"/>
          <w:rtl/>
        </w:rPr>
      </w:pPr>
      <w:r>
        <w:rPr>
          <w:rFonts w:ascii="Arial" w:hAnsi="Arial"/>
          <w:rtl/>
        </w:rPr>
        <w:t>ה.</w:t>
      </w:r>
      <w:r>
        <w:rPr>
          <w:rFonts w:ascii="Arial" w:hAnsi="Arial"/>
          <w:rtl/>
        </w:rPr>
        <w:tab/>
        <w:t>3000 ₪ קנס או 20 ימי מאסר תמורתו. הקנס ישולם ב-10 תשלומים חודשיים שווים ורציפים החל מיום 1.6.19.</w:t>
      </w:r>
    </w:p>
    <w:p w14:paraId="58BC1C54" w14:textId="77777777" w:rsidR="003507D7" w:rsidRDefault="003507D7" w:rsidP="00701074">
      <w:pPr>
        <w:spacing w:line="360" w:lineRule="auto"/>
        <w:jc w:val="both"/>
        <w:rPr>
          <w:rFonts w:ascii="Arial" w:hAnsi="Arial"/>
          <w:rtl/>
        </w:rPr>
      </w:pPr>
      <w:r>
        <w:rPr>
          <w:rFonts w:ascii="Arial" w:hAnsi="Arial"/>
          <w:rtl/>
        </w:rPr>
        <w:t>זכות ערעור תוך 45 יום מהיום לבית המשפט העליון.</w:t>
      </w:r>
    </w:p>
    <w:p w14:paraId="4397B0BC" w14:textId="77777777" w:rsidR="003507D7" w:rsidRDefault="003507D7" w:rsidP="00340A4A">
      <w:pPr>
        <w:spacing w:line="360" w:lineRule="auto"/>
        <w:jc w:val="both"/>
        <w:rPr>
          <w:rFonts w:ascii="Arial" w:hAnsi="Arial"/>
          <w:rtl/>
        </w:rPr>
      </w:pPr>
      <w:r>
        <w:rPr>
          <w:rFonts w:ascii="Arial" w:hAnsi="Arial"/>
          <w:rtl/>
        </w:rPr>
        <w:t>מורה על חילוט הנשק או השמדתו בהתאם לשיקול דעת היחידה החוקרת.</w:t>
      </w:r>
    </w:p>
    <w:p w14:paraId="2D63FD8E" w14:textId="77777777" w:rsidR="003507D7" w:rsidRDefault="003507D7" w:rsidP="00340A4A">
      <w:pPr>
        <w:spacing w:line="360" w:lineRule="auto"/>
        <w:jc w:val="both"/>
        <w:rPr>
          <w:rFonts w:ascii="Arial" w:hAnsi="Arial"/>
          <w:sz w:val="6"/>
          <w:szCs w:val="6"/>
          <w:rtl/>
        </w:rPr>
      </w:pPr>
      <w:r>
        <w:rPr>
          <w:rFonts w:ascii="Arial" w:hAnsi="Arial"/>
          <w:sz w:val="6"/>
          <w:szCs w:val="6"/>
          <w:rtl/>
        </w:rPr>
        <w:t>&lt;#4#&gt;</w:t>
      </w:r>
    </w:p>
    <w:p w14:paraId="70030195" w14:textId="77777777" w:rsidR="003507D7" w:rsidRDefault="003507D7" w:rsidP="003B08F6">
      <w:pPr>
        <w:rPr>
          <w:rtl/>
        </w:rPr>
      </w:pPr>
    </w:p>
    <w:p w14:paraId="3E609888" w14:textId="77777777" w:rsidR="003507D7" w:rsidRDefault="00746032" w:rsidP="003B08F6">
      <w:pPr>
        <w:rPr>
          <w:rtl/>
        </w:rPr>
      </w:pPr>
      <w:bookmarkStart w:id="9" w:name="Nitan"/>
      <w:r w:rsidRPr="00746032">
        <w:rPr>
          <w:b/>
          <w:bCs/>
          <w:color w:val="FFFFFF"/>
          <w:sz w:val="2"/>
          <w:szCs w:val="2"/>
          <w:rtl/>
        </w:rPr>
        <w:t>5129371</w:t>
      </w:r>
      <w:r>
        <w:rPr>
          <w:b/>
          <w:bCs/>
          <w:rtl/>
        </w:rPr>
        <w:t xml:space="preserve">ניתנה והודעה היום כ"ב סיוון תשע"ח, 05/06/2018 במעמד הנוכחים. </w:t>
      </w:r>
      <w:bookmarkEnd w:id="9"/>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3507D7" w14:paraId="79FE6724" w14:textId="77777777" w:rsidTr="003B4A84">
        <w:trPr>
          <w:trHeight w:val="316"/>
          <w:jc w:val="right"/>
        </w:trPr>
        <w:tc>
          <w:tcPr>
            <w:tcW w:w="3936" w:type="dxa"/>
            <w:vAlign w:val="bottom"/>
          </w:tcPr>
          <w:p w14:paraId="1AC8665C" w14:textId="77777777" w:rsidR="003507D7" w:rsidRPr="00746032" w:rsidRDefault="00746032" w:rsidP="003B4A84">
            <w:pPr>
              <w:jc w:val="center"/>
              <w:rPr>
                <w:rFonts w:ascii="Times New Roman" w:hAnsi="Times New Roman" w:cs="Times New Roman"/>
                <w:color w:val="FFFFFF"/>
                <w:sz w:val="2"/>
                <w:szCs w:val="2"/>
              </w:rPr>
            </w:pPr>
            <w:r w:rsidRPr="00746032">
              <w:rPr>
                <w:rFonts w:ascii="Times New Roman" w:hAnsi="Times New Roman" w:cs="Times New Roman"/>
                <w:color w:val="FFFFFF"/>
                <w:sz w:val="2"/>
                <w:szCs w:val="2"/>
                <w:rtl/>
              </w:rPr>
              <w:t>54678313</w:t>
            </w:r>
          </w:p>
          <w:p w14:paraId="150B9FCE" w14:textId="77777777" w:rsidR="003507D7" w:rsidRPr="003B4A84" w:rsidRDefault="003507D7" w:rsidP="003B4A84">
            <w:pPr>
              <w:jc w:val="center"/>
              <w:rPr>
                <w:rFonts w:ascii="Times New Roman" w:hAnsi="Times New Roman" w:cs="Times New Roman"/>
                <w:rtl/>
              </w:rPr>
            </w:pPr>
          </w:p>
        </w:tc>
      </w:tr>
      <w:tr w:rsidR="003507D7" w14:paraId="1FA80AAB" w14:textId="77777777" w:rsidTr="003B4A84">
        <w:trPr>
          <w:trHeight w:val="361"/>
          <w:jc w:val="right"/>
        </w:trPr>
        <w:tc>
          <w:tcPr>
            <w:tcW w:w="3936" w:type="dxa"/>
          </w:tcPr>
          <w:p w14:paraId="2FC7D0F5" w14:textId="77777777" w:rsidR="003507D7" w:rsidRPr="003B4A84" w:rsidRDefault="003507D7" w:rsidP="003B4A84">
            <w:pPr>
              <w:jc w:val="center"/>
              <w:rPr>
                <w:rFonts w:ascii="Times New Roman" w:hAnsi="Times New Roman"/>
                <w:b/>
                <w:bCs/>
                <w:rtl/>
              </w:rPr>
            </w:pPr>
            <w:r w:rsidRPr="003B4A84">
              <w:rPr>
                <w:rFonts w:ascii="Times New Roman" w:hAnsi="Times New Roman"/>
                <w:b/>
                <w:bCs/>
                <w:rtl/>
              </w:rPr>
              <w:t>דניאל בן טולילה, שופט</w:t>
            </w:r>
          </w:p>
        </w:tc>
      </w:tr>
    </w:tbl>
    <w:p w14:paraId="0CADF66D" w14:textId="77777777" w:rsidR="003507D7" w:rsidRPr="006C2208" w:rsidRDefault="003507D7" w:rsidP="006C2208">
      <w:pPr>
        <w:spacing w:line="360" w:lineRule="auto"/>
        <w:jc w:val="both"/>
        <w:rPr>
          <w:rtl/>
        </w:rPr>
      </w:pPr>
      <w:r>
        <w:rPr>
          <w:rtl/>
        </w:rPr>
        <w:t xml:space="preserve">    </w:t>
      </w:r>
    </w:p>
    <w:p w14:paraId="08D35ED6" w14:textId="77777777" w:rsidR="003507D7" w:rsidRPr="00746032" w:rsidRDefault="003507D7" w:rsidP="00746032">
      <w:pPr>
        <w:keepNext/>
        <w:rPr>
          <w:color w:val="000000"/>
          <w:sz w:val="22"/>
          <w:szCs w:val="22"/>
        </w:rPr>
      </w:pPr>
      <w:r>
        <w:rPr>
          <w:rtl/>
        </w:rPr>
        <w:t>הוקלד</w:t>
      </w:r>
      <w:r>
        <w:t xml:space="preserve"> </w:t>
      </w:r>
      <w:r>
        <w:rPr>
          <w:rtl/>
        </w:rPr>
        <w:t>על</w:t>
      </w:r>
      <w:r>
        <w:t xml:space="preserve"> </w:t>
      </w:r>
      <w:r>
        <w:rPr>
          <w:rtl/>
        </w:rPr>
        <w:t>ידי</w:t>
      </w:r>
      <w:r>
        <w:t xml:space="preserve"> </w:t>
      </w:r>
      <w:r>
        <w:rPr>
          <w:rtl/>
        </w:rPr>
        <w:t>אביטל</w:t>
      </w:r>
      <w:r>
        <w:t xml:space="preserve"> </w:t>
      </w:r>
      <w:r>
        <w:rPr>
          <w:rtl/>
        </w:rPr>
        <w:t>רטושני</w:t>
      </w:r>
    </w:p>
    <w:p w14:paraId="2FE9E3CD" w14:textId="77777777" w:rsidR="00746032" w:rsidRPr="00746032" w:rsidRDefault="00746032" w:rsidP="00746032">
      <w:pPr>
        <w:keepNext/>
        <w:rPr>
          <w:color w:val="000000"/>
          <w:sz w:val="22"/>
          <w:szCs w:val="22"/>
          <w:rtl/>
        </w:rPr>
      </w:pPr>
      <w:r w:rsidRPr="00746032">
        <w:rPr>
          <w:color w:val="000000"/>
          <w:sz w:val="22"/>
          <w:szCs w:val="22"/>
          <w:rtl/>
        </w:rPr>
        <w:t>דניאל בן טולילה 54678313</w:t>
      </w:r>
    </w:p>
    <w:p w14:paraId="3AD501D2" w14:textId="77777777" w:rsidR="00746032" w:rsidRDefault="00746032" w:rsidP="00746032">
      <w:r w:rsidRPr="00746032">
        <w:rPr>
          <w:color w:val="000000"/>
          <w:rtl/>
        </w:rPr>
        <w:t>נוסח מסמך זה כפוף לשינויי ניסוח ועריכה</w:t>
      </w:r>
    </w:p>
    <w:p w14:paraId="18B3A0AB" w14:textId="77777777" w:rsidR="00746032" w:rsidRDefault="00746032" w:rsidP="00746032">
      <w:pPr>
        <w:rPr>
          <w:rtl/>
        </w:rPr>
      </w:pPr>
    </w:p>
    <w:p w14:paraId="3E278F9F" w14:textId="77777777" w:rsidR="00746032" w:rsidRDefault="00746032" w:rsidP="00746032">
      <w:pPr>
        <w:jc w:val="center"/>
        <w:rPr>
          <w:color w:val="0000FF"/>
          <w:u w:val="single"/>
        </w:rPr>
      </w:pPr>
      <w:hyperlink r:id="rId66" w:history="1">
        <w:r>
          <w:rPr>
            <w:color w:val="0000FF"/>
            <w:u w:val="single"/>
            <w:rtl/>
          </w:rPr>
          <w:t>בעניין עריכה ושינויים במסמכי פסיקה, חקיקה ועוד באתר נבו – הקש כאן</w:t>
        </w:r>
      </w:hyperlink>
    </w:p>
    <w:p w14:paraId="0EBD95E4" w14:textId="77777777" w:rsidR="00746032" w:rsidRPr="00746032" w:rsidRDefault="00746032" w:rsidP="00746032">
      <w:pPr>
        <w:jc w:val="center"/>
        <w:rPr>
          <w:color w:val="0000FF"/>
          <w:u w:val="single"/>
        </w:rPr>
      </w:pPr>
    </w:p>
    <w:sectPr w:rsidR="00746032" w:rsidRPr="00746032" w:rsidSect="00746032">
      <w:headerReference w:type="even" r:id="rId67"/>
      <w:headerReference w:type="default" r:id="rId68"/>
      <w:footerReference w:type="even" r:id="rId69"/>
      <w:footerReference w:type="default" r:id="rId70"/>
      <w:pgSz w:w="11906" w:h="16838" w:code="9"/>
      <w:pgMar w:top="1701" w:right="1701" w:bottom="1440" w:left="1701" w:header="1077" w:footer="1157" w:gutter="0"/>
      <w:pgNumType w:start="1"/>
      <w:cols w:space="708"/>
      <w:rtlGutter/>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63F8133" w14:textId="77777777" w:rsidR="00873014" w:rsidRDefault="00873014">
      <w:r>
        <w:separator/>
      </w:r>
    </w:p>
  </w:endnote>
  <w:endnote w:type="continuationSeparator" w:id="0">
    <w:p w14:paraId="12745831" w14:textId="77777777" w:rsidR="00873014" w:rsidRDefault="008730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TUR">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Miriam">
    <w:panose1 w:val="020B050205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DFDD59" w14:textId="77777777" w:rsidR="00746032" w:rsidRDefault="00746032" w:rsidP="00746032">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13</w:t>
    </w:r>
    <w:r>
      <w:rPr>
        <w:rFonts w:ascii="FrankRuehl" w:hAnsi="FrankRuehl" w:cs="FrankRuehl"/>
        <w:rtl/>
      </w:rPr>
      <w:fldChar w:fldCharType="end"/>
    </w:r>
  </w:p>
  <w:p w14:paraId="653B7F17" w14:textId="77777777" w:rsidR="003507D7" w:rsidRPr="00746032" w:rsidRDefault="00746032" w:rsidP="00746032">
    <w:pPr>
      <w:pStyle w:val="a4"/>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8AD9C9" w14:textId="77777777" w:rsidR="00746032" w:rsidRDefault="00746032" w:rsidP="00746032">
    <w:pPr>
      <w:pStyle w:val="a4"/>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hint="cs"/>
      </w:rPr>
      <w:instrText xml:space="preserve">PAGE </w:instrText>
    </w:r>
    <w:r>
      <w:rPr>
        <w:rFonts w:ascii="FrankRuehl" w:hAnsi="FrankRuehl" w:cs="FrankRuehl" w:hint="cs"/>
        <w:rtl/>
      </w:rPr>
      <w:instrText xml:space="preserve"> \* </w:instrText>
    </w:r>
    <w:r>
      <w:rPr>
        <w:rFonts w:ascii="FrankRuehl" w:hAnsi="FrankRuehl" w:cs="FrankRuehl" w:hint="cs"/>
      </w:rPr>
      <w:instrText>MERGEFORMAT</w:instrText>
    </w:r>
    <w:r>
      <w:rPr>
        <w:rFonts w:ascii="FrankRuehl" w:hAnsi="FrankRuehl" w:cs="FrankRuehl"/>
        <w:rtl/>
      </w:rPr>
      <w:instrText xml:space="preserve"> </w:instrText>
    </w:r>
    <w:r>
      <w:rPr>
        <w:rFonts w:ascii="FrankRuehl" w:hAnsi="FrankRuehl" w:cs="FrankRuehl"/>
        <w:rtl/>
      </w:rPr>
      <w:fldChar w:fldCharType="separate"/>
    </w:r>
    <w:r w:rsidR="0099598D">
      <w:rPr>
        <w:rFonts w:ascii="FrankRuehl" w:hAnsi="FrankRuehl" w:cs="FrankRuehl"/>
        <w:noProof/>
        <w:rtl/>
      </w:rPr>
      <w:t>1</w:t>
    </w:r>
    <w:r>
      <w:rPr>
        <w:rFonts w:ascii="FrankRuehl" w:hAnsi="FrankRuehl" w:cs="FrankRuehl"/>
        <w:rtl/>
      </w:rPr>
      <w:fldChar w:fldCharType="end"/>
    </w:r>
  </w:p>
  <w:p w14:paraId="3AD1B97B" w14:textId="77777777" w:rsidR="003507D7" w:rsidRPr="00746032" w:rsidRDefault="00746032" w:rsidP="00746032">
    <w:pPr>
      <w:pStyle w:val="a4"/>
      <w:pBdr>
        <w:top w:val="single" w:sz="4" w:space="1" w:color="auto"/>
        <w:between w:val="single" w:sz="4" w:space="0" w:color="auto"/>
      </w:pBdr>
      <w:spacing w:after="60"/>
      <w:jc w:val="center"/>
      <w:rPr>
        <w:rFonts w:ascii="FrankRuehl" w:hAnsi="FrankRuehl" w:cs="FrankRuehl" w:hint="cs"/>
        <w:color w:val="000000"/>
        <w:rtl/>
      </w:rPr>
    </w:pPr>
    <w:r>
      <w:rPr>
        <w:rFonts w:ascii="FrankRuehl" w:hAnsi="FrankRuehl" w:cs="FrankRuehl" w:hint="cs"/>
        <w:color w:val="000000"/>
      </w:rPr>
      <w:pict w14:anchorId="6058E9B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3DA316D" w14:textId="77777777" w:rsidR="00873014" w:rsidRDefault="00873014">
      <w:r>
        <w:separator/>
      </w:r>
    </w:p>
  </w:footnote>
  <w:footnote w:type="continuationSeparator" w:id="0">
    <w:p w14:paraId="112A14A9" w14:textId="77777777" w:rsidR="00873014" w:rsidRDefault="008730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9DA01F" w14:textId="77777777" w:rsidR="00746032" w:rsidRPr="00746032" w:rsidRDefault="00746032" w:rsidP="00746032">
    <w:pPr>
      <w:pStyle w:val="a3"/>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(ב"ש) 50556-08-17</w:t>
    </w:r>
    <w:r>
      <w:rPr>
        <w:color w:val="000000"/>
        <w:sz w:val="22"/>
        <w:szCs w:val="22"/>
        <w:rtl/>
      </w:rPr>
      <w:tab/>
      <w:t xml:space="preserve"> מדינת ישראל- פמ"ד נ' ליאור סולומון  </w:t>
    </w:r>
    <w:r>
      <w:rPr>
        <w:color w:val="000000"/>
        <w:sz w:val="22"/>
        <w:szCs w:val="22"/>
      </w:rPr>
      <w:t>x</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FA253F" w14:textId="77777777" w:rsidR="00746032" w:rsidRPr="00746032" w:rsidRDefault="00746032" w:rsidP="00746032">
    <w:pPr>
      <w:pStyle w:val="a3"/>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(ב"ש) 50556-08-17</w:t>
    </w:r>
    <w:r>
      <w:rPr>
        <w:color w:val="000000"/>
        <w:sz w:val="22"/>
        <w:szCs w:val="22"/>
        <w:rtl/>
      </w:rPr>
      <w:tab/>
      <w:t xml:space="preserve"> מדינת ישראל- פמ"ד נ' ליאור סולומון  </w:t>
    </w:r>
    <w:r>
      <w:rPr>
        <w:color w:val="000000"/>
        <w:sz w:val="22"/>
        <w:szCs w:val="22"/>
      </w:rPr>
      <w:t>x</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B22529"/>
    <w:multiLevelType w:val="multilevel"/>
    <w:tmpl w:val="2ACAF330"/>
    <w:lvl w:ilvl="0">
      <w:start w:val="1"/>
      <w:numFmt w:val="decimal"/>
      <w:lvlText w:val="%1."/>
      <w:lvlJc w:val="left"/>
      <w:pPr>
        <w:tabs>
          <w:tab w:val="num" w:pos="1080"/>
        </w:tabs>
        <w:ind w:left="1080" w:hanging="360"/>
      </w:pPr>
      <w:rPr>
        <w:rFonts w:cs="Times New Roman"/>
      </w:rPr>
    </w:lvl>
    <w:lvl w:ilvl="1">
      <w:start w:val="1"/>
      <w:numFmt w:val="lowerLetter"/>
      <w:lvlText w:val="%2."/>
      <w:lvlJc w:val="left"/>
      <w:pPr>
        <w:tabs>
          <w:tab w:val="num" w:pos="1800"/>
        </w:tabs>
        <w:ind w:left="1800" w:hanging="360"/>
      </w:pPr>
      <w:rPr>
        <w:rFonts w:cs="Times New Roman"/>
      </w:rPr>
    </w:lvl>
    <w:lvl w:ilvl="2">
      <w:start w:val="1"/>
      <w:numFmt w:val="lowerRoman"/>
      <w:lvlText w:val="%3."/>
      <w:lvlJc w:val="right"/>
      <w:pPr>
        <w:tabs>
          <w:tab w:val="num" w:pos="2520"/>
        </w:tabs>
        <w:ind w:left="2520" w:hanging="180"/>
      </w:pPr>
      <w:rPr>
        <w:rFonts w:cs="Times New Roman"/>
      </w:rPr>
    </w:lvl>
    <w:lvl w:ilvl="3">
      <w:start w:val="1"/>
      <w:numFmt w:val="decimal"/>
      <w:lvlText w:val="%4."/>
      <w:lvlJc w:val="left"/>
      <w:pPr>
        <w:tabs>
          <w:tab w:val="num" w:pos="3240"/>
        </w:tabs>
        <w:ind w:left="3240" w:hanging="360"/>
      </w:pPr>
      <w:rPr>
        <w:rFonts w:cs="Times New Roman"/>
      </w:rPr>
    </w:lvl>
    <w:lvl w:ilvl="4">
      <w:start w:val="1"/>
      <w:numFmt w:val="lowerLetter"/>
      <w:lvlText w:val="%5."/>
      <w:lvlJc w:val="left"/>
      <w:pPr>
        <w:tabs>
          <w:tab w:val="num" w:pos="3960"/>
        </w:tabs>
        <w:ind w:left="3960" w:hanging="360"/>
      </w:pPr>
      <w:rPr>
        <w:rFonts w:cs="Times New Roman"/>
      </w:rPr>
    </w:lvl>
    <w:lvl w:ilvl="5">
      <w:start w:val="1"/>
      <w:numFmt w:val="lowerRoman"/>
      <w:lvlText w:val="%6."/>
      <w:lvlJc w:val="right"/>
      <w:pPr>
        <w:tabs>
          <w:tab w:val="num" w:pos="4680"/>
        </w:tabs>
        <w:ind w:left="4680" w:hanging="180"/>
      </w:pPr>
      <w:rPr>
        <w:rFonts w:cs="Times New Roman"/>
      </w:rPr>
    </w:lvl>
    <w:lvl w:ilvl="6">
      <w:start w:val="1"/>
      <w:numFmt w:val="decimal"/>
      <w:lvlText w:val="%7."/>
      <w:lvlJc w:val="left"/>
      <w:pPr>
        <w:tabs>
          <w:tab w:val="num" w:pos="5400"/>
        </w:tabs>
        <w:ind w:left="5400" w:hanging="360"/>
      </w:pPr>
      <w:rPr>
        <w:rFonts w:cs="Times New Roman"/>
      </w:rPr>
    </w:lvl>
    <w:lvl w:ilvl="7">
      <w:start w:val="1"/>
      <w:numFmt w:val="lowerLetter"/>
      <w:lvlText w:val="%8."/>
      <w:lvlJc w:val="left"/>
      <w:pPr>
        <w:tabs>
          <w:tab w:val="num" w:pos="6120"/>
        </w:tabs>
        <w:ind w:left="6120" w:hanging="360"/>
      </w:pPr>
      <w:rPr>
        <w:rFonts w:cs="Times New Roman"/>
      </w:rPr>
    </w:lvl>
    <w:lvl w:ilvl="8">
      <w:start w:val="1"/>
      <w:numFmt w:val="lowerRoman"/>
      <w:lvlText w:val="%9."/>
      <w:lvlJc w:val="right"/>
      <w:pPr>
        <w:tabs>
          <w:tab w:val="num" w:pos="6840"/>
        </w:tabs>
        <w:ind w:left="6840" w:hanging="180"/>
      </w:pPr>
      <w:rPr>
        <w:rFonts w:cs="Times New Roman"/>
      </w:rPr>
    </w:lvl>
  </w:abstractNum>
  <w:abstractNum w:abstractNumId="1" w15:restartNumberingAfterBreak="0">
    <w:nsid w:val="29F42B19"/>
    <w:multiLevelType w:val="hybridMultilevel"/>
    <w:tmpl w:val="3ADA069A"/>
    <w:lvl w:ilvl="0" w:tplc="0409000F">
      <w:start w:val="1"/>
      <w:numFmt w:val="decimal"/>
      <w:lvlText w:val="%1."/>
      <w:lvlJc w:val="left"/>
      <w:pPr>
        <w:tabs>
          <w:tab w:val="num" w:pos="792"/>
        </w:tabs>
        <w:ind w:left="792" w:hanging="360"/>
      </w:pPr>
      <w:rPr>
        <w:rFonts w:cs="Times New Roman"/>
      </w:rPr>
    </w:lvl>
    <w:lvl w:ilvl="1" w:tplc="04090019" w:tentative="1">
      <w:start w:val="1"/>
      <w:numFmt w:val="lowerLetter"/>
      <w:lvlText w:val="%2."/>
      <w:lvlJc w:val="left"/>
      <w:pPr>
        <w:tabs>
          <w:tab w:val="num" w:pos="1512"/>
        </w:tabs>
        <w:ind w:left="1512" w:hanging="360"/>
      </w:pPr>
      <w:rPr>
        <w:rFonts w:cs="Times New Roman"/>
      </w:rPr>
    </w:lvl>
    <w:lvl w:ilvl="2" w:tplc="0409001B" w:tentative="1">
      <w:start w:val="1"/>
      <w:numFmt w:val="lowerRoman"/>
      <w:lvlText w:val="%3."/>
      <w:lvlJc w:val="right"/>
      <w:pPr>
        <w:tabs>
          <w:tab w:val="num" w:pos="2232"/>
        </w:tabs>
        <w:ind w:left="2232" w:hanging="180"/>
      </w:pPr>
      <w:rPr>
        <w:rFonts w:cs="Times New Roman"/>
      </w:rPr>
    </w:lvl>
    <w:lvl w:ilvl="3" w:tplc="0409000F" w:tentative="1">
      <w:start w:val="1"/>
      <w:numFmt w:val="decimal"/>
      <w:lvlText w:val="%4."/>
      <w:lvlJc w:val="left"/>
      <w:pPr>
        <w:tabs>
          <w:tab w:val="num" w:pos="2952"/>
        </w:tabs>
        <w:ind w:left="2952" w:hanging="360"/>
      </w:pPr>
      <w:rPr>
        <w:rFonts w:cs="Times New Roman"/>
      </w:rPr>
    </w:lvl>
    <w:lvl w:ilvl="4" w:tplc="04090019" w:tentative="1">
      <w:start w:val="1"/>
      <w:numFmt w:val="lowerLetter"/>
      <w:lvlText w:val="%5."/>
      <w:lvlJc w:val="left"/>
      <w:pPr>
        <w:tabs>
          <w:tab w:val="num" w:pos="3672"/>
        </w:tabs>
        <w:ind w:left="3672" w:hanging="360"/>
      </w:pPr>
      <w:rPr>
        <w:rFonts w:cs="Times New Roman"/>
      </w:rPr>
    </w:lvl>
    <w:lvl w:ilvl="5" w:tplc="0409001B" w:tentative="1">
      <w:start w:val="1"/>
      <w:numFmt w:val="lowerRoman"/>
      <w:lvlText w:val="%6."/>
      <w:lvlJc w:val="right"/>
      <w:pPr>
        <w:tabs>
          <w:tab w:val="num" w:pos="4392"/>
        </w:tabs>
        <w:ind w:left="4392" w:hanging="180"/>
      </w:pPr>
      <w:rPr>
        <w:rFonts w:cs="Times New Roman"/>
      </w:rPr>
    </w:lvl>
    <w:lvl w:ilvl="6" w:tplc="0409000F" w:tentative="1">
      <w:start w:val="1"/>
      <w:numFmt w:val="decimal"/>
      <w:lvlText w:val="%7."/>
      <w:lvlJc w:val="left"/>
      <w:pPr>
        <w:tabs>
          <w:tab w:val="num" w:pos="5112"/>
        </w:tabs>
        <w:ind w:left="5112" w:hanging="360"/>
      </w:pPr>
      <w:rPr>
        <w:rFonts w:cs="Times New Roman"/>
      </w:rPr>
    </w:lvl>
    <w:lvl w:ilvl="7" w:tplc="04090019" w:tentative="1">
      <w:start w:val="1"/>
      <w:numFmt w:val="lowerLetter"/>
      <w:lvlText w:val="%8."/>
      <w:lvlJc w:val="left"/>
      <w:pPr>
        <w:tabs>
          <w:tab w:val="num" w:pos="5832"/>
        </w:tabs>
        <w:ind w:left="5832" w:hanging="360"/>
      </w:pPr>
      <w:rPr>
        <w:rFonts w:cs="Times New Roman"/>
      </w:rPr>
    </w:lvl>
    <w:lvl w:ilvl="8" w:tplc="0409001B" w:tentative="1">
      <w:start w:val="1"/>
      <w:numFmt w:val="lowerRoman"/>
      <w:lvlText w:val="%9."/>
      <w:lvlJc w:val="right"/>
      <w:pPr>
        <w:tabs>
          <w:tab w:val="num" w:pos="6552"/>
        </w:tabs>
        <w:ind w:left="6552" w:hanging="180"/>
      </w:pPr>
      <w:rPr>
        <w:rFonts w:cs="Times New Roman"/>
      </w:rPr>
    </w:lvl>
  </w:abstractNum>
  <w:abstractNum w:abstractNumId="2" w15:restartNumberingAfterBreak="0">
    <w:nsid w:val="3254057F"/>
    <w:multiLevelType w:val="hybridMultilevel"/>
    <w:tmpl w:val="25F6A2AA"/>
    <w:lvl w:ilvl="0" w:tplc="0409000F">
      <w:start w:val="1"/>
      <w:numFmt w:val="decimal"/>
      <w:lvlText w:val="%1."/>
      <w:lvlJc w:val="left"/>
      <w:pPr>
        <w:tabs>
          <w:tab w:val="num" w:pos="855"/>
        </w:tabs>
        <w:ind w:left="855" w:hanging="360"/>
      </w:pPr>
      <w:rPr>
        <w:rFonts w:cs="Times New Roman"/>
      </w:rPr>
    </w:lvl>
    <w:lvl w:ilvl="1" w:tplc="04090019" w:tentative="1">
      <w:start w:val="1"/>
      <w:numFmt w:val="lowerLetter"/>
      <w:lvlText w:val="%2."/>
      <w:lvlJc w:val="left"/>
      <w:pPr>
        <w:tabs>
          <w:tab w:val="num" w:pos="1575"/>
        </w:tabs>
        <w:ind w:left="1575" w:hanging="360"/>
      </w:pPr>
      <w:rPr>
        <w:rFonts w:cs="Times New Roman"/>
      </w:rPr>
    </w:lvl>
    <w:lvl w:ilvl="2" w:tplc="0409001B" w:tentative="1">
      <w:start w:val="1"/>
      <w:numFmt w:val="lowerRoman"/>
      <w:lvlText w:val="%3."/>
      <w:lvlJc w:val="right"/>
      <w:pPr>
        <w:tabs>
          <w:tab w:val="num" w:pos="2295"/>
        </w:tabs>
        <w:ind w:left="2295" w:hanging="180"/>
      </w:pPr>
      <w:rPr>
        <w:rFonts w:cs="Times New Roman"/>
      </w:rPr>
    </w:lvl>
    <w:lvl w:ilvl="3" w:tplc="0409000F" w:tentative="1">
      <w:start w:val="1"/>
      <w:numFmt w:val="decimal"/>
      <w:lvlText w:val="%4."/>
      <w:lvlJc w:val="left"/>
      <w:pPr>
        <w:tabs>
          <w:tab w:val="num" w:pos="3015"/>
        </w:tabs>
        <w:ind w:left="3015" w:hanging="360"/>
      </w:pPr>
      <w:rPr>
        <w:rFonts w:cs="Times New Roman"/>
      </w:rPr>
    </w:lvl>
    <w:lvl w:ilvl="4" w:tplc="04090019" w:tentative="1">
      <w:start w:val="1"/>
      <w:numFmt w:val="lowerLetter"/>
      <w:lvlText w:val="%5."/>
      <w:lvlJc w:val="left"/>
      <w:pPr>
        <w:tabs>
          <w:tab w:val="num" w:pos="3735"/>
        </w:tabs>
        <w:ind w:left="3735" w:hanging="360"/>
      </w:pPr>
      <w:rPr>
        <w:rFonts w:cs="Times New Roman"/>
      </w:rPr>
    </w:lvl>
    <w:lvl w:ilvl="5" w:tplc="0409001B" w:tentative="1">
      <w:start w:val="1"/>
      <w:numFmt w:val="lowerRoman"/>
      <w:lvlText w:val="%6."/>
      <w:lvlJc w:val="right"/>
      <w:pPr>
        <w:tabs>
          <w:tab w:val="num" w:pos="4455"/>
        </w:tabs>
        <w:ind w:left="4455" w:hanging="180"/>
      </w:pPr>
      <w:rPr>
        <w:rFonts w:cs="Times New Roman"/>
      </w:rPr>
    </w:lvl>
    <w:lvl w:ilvl="6" w:tplc="0409000F" w:tentative="1">
      <w:start w:val="1"/>
      <w:numFmt w:val="decimal"/>
      <w:lvlText w:val="%7."/>
      <w:lvlJc w:val="left"/>
      <w:pPr>
        <w:tabs>
          <w:tab w:val="num" w:pos="5175"/>
        </w:tabs>
        <w:ind w:left="5175" w:hanging="360"/>
      </w:pPr>
      <w:rPr>
        <w:rFonts w:cs="Times New Roman"/>
      </w:rPr>
    </w:lvl>
    <w:lvl w:ilvl="7" w:tplc="04090019" w:tentative="1">
      <w:start w:val="1"/>
      <w:numFmt w:val="lowerLetter"/>
      <w:lvlText w:val="%8."/>
      <w:lvlJc w:val="left"/>
      <w:pPr>
        <w:tabs>
          <w:tab w:val="num" w:pos="5895"/>
        </w:tabs>
        <w:ind w:left="5895" w:hanging="360"/>
      </w:pPr>
      <w:rPr>
        <w:rFonts w:cs="Times New Roman"/>
      </w:rPr>
    </w:lvl>
    <w:lvl w:ilvl="8" w:tplc="0409001B" w:tentative="1">
      <w:start w:val="1"/>
      <w:numFmt w:val="lowerRoman"/>
      <w:lvlText w:val="%9."/>
      <w:lvlJc w:val="right"/>
      <w:pPr>
        <w:tabs>
          <w:tab w:val="num" w:pos="6615"/>
        </w:tabs>
        <w:ind w:left="6615" w:hanging="180"/>
      </w:pPr>
      <w:rPr>
        <w:rFonts w:cs="Times New Roman"/>
      </w:rPr>
    </w:lvl>
  </w:abstractNum>
  <w:abstractNum w:abstractNumId="3" w15:restartNumberingAfterBreak="0">
    <w:nsid w:val="38567A26"/>
    <w:multiLevelType w:val="hybridMultilevel"/>
    <w:tmpl w:val="CBCA9138"/>
    <w:lvl w:ilvl="0" w:tplc="0409000F">
      <w:start w:val="1"/>
      <w:numFmt w:val="decimal"/>
      <w:lvlText w:val="%1."/>
      <w:lvlJc w:val="left"/>
      <w:pPr>
        <w:tabs>
          <w:tab w:val="num" w:pos="1080"/>
        </w:tabs>
        <w:ind w:left="1080" w:hanging="360"/>
      </w:pPr>
      <w:rPr>
        <w:rFonts w:cs="Times New Roman"/>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4" w15:restartNumberingAfterBreak="0">
    <w:nsid w:val="3D535BAF"/>
    <w:multiLevelType w:val="multilevel"/>
    <w:tmpl w:val="E266EED6"/>
    <w:lvl w:ilvl="0">
      <w:start w:val="95"/>
      <w:numFmt w:val="decimal"/>
      <w:lvlText w:val="%1."/>
      <w:lvlJc w:val="left"/>
      <w:pPr>
        <w:tabs>
          <w:tab w:val="num" w:pos="720"/>
        </w:tabs>
        <w:ind w:left="720" w:hanging="360"/>
      </w:pPr>
      <w:rPr>
        <w:rFonts w:cs="Times New Roman" w:hint="default"/>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5" w15:restartNumberingAfterBreak="0">
    <w:nsid w:val="4E0A2E0A"/>
    <w:multiLevelType w:val="hybridMultilevel"/>
    <w:tmpl w:val="65AE1BC6"/>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6" w15:restartNumberingAfterBreak="0">
    <w:nsid w:val="506B5A10"/>
    <w:multiLevelType w:val="multilevel"/>
    <w:tmpl w:val="2A36C966"/>
    <w:lvl w:ilvl="0">
      <w:start w:val="1"/>
      <w:numFmt w:val="decimal"/>
      <w:lvlText w:val="%1)"/>
      <w:lvlJc w:val="left"/>
      <w:pPr>
        <w:tabs>
          <w:tab w:val="num" w:pos="720"/>
        </w:tabs>
        <w:ind w:left="720" w:hanging="360"/>
      </w:pPr>
      <w:rPr>
        <w:rFonts w:cs="Times New Roman" w:hint="default"/>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7" w15:restartNumberingAfterBreak="0">
    <w:nsid w:val="56497828"/>
    <w:multiLevelType w:val="hybridMultilevel"/>
    <w:tmpl w:val="C3564EA4"/>
    <w:lvl w:ilvl="0" w:tplc="0409000F">
      <w:start w:val="1"/>
      <w:numFmt w:val="decimal"/>
      <w:lvlText w:val="%1."/>
      <w:lvlJc w:val="left"/>
      <w:pPr>
        <w:tabs>
          <w:tab w:val="num" w:pos="1215"/>
        </w:tabs>
        <w:ind w:left="1215" w:hanging="360"/>
      </w:pPr>
      <w:rPr>
        <w:rFonts w:cs="Times New Roman"/>
      </w:rPr>
    </w:lvl>
    <w:lvl w:ilvl="1" w:tplc="04090019" w:tentative="1">
      <w:start w:val="1"/>
      <w:numFmt w:val="lowerLetter"/>
      <w:lvlText w:val="%2."/>
      <w:lvlJc w:val="left"/>
      <w:pPr>
        <w:tabs>
          <w:tab w:val="num" w:pos="1935"/>
        </w:tabs>
        <w:ind w:left="1935" w:hanging="360"/>
      </w:pPr>
      <w:rPr>
        <w:rFonts w:cs="Times New Roman"/>
      </w:rPr>
    </w:lvl>
    <w:lvl w:ilvl="2" w:tplc="0409001B" w:tentative="1">
      <w:start w:val="1"/>
      <w:numFmt w:val="lowerRoman"/>
      <w:lvlText w:val="%3."/>
      <w:lvlJc w:val="right"/>
      <w:pPr>
        <w:tabs>
          <w:tab w:val="num" w:pos="2655"/>
        </w:tabs>
        <w:ind w:left="2655" w:hanging="180"/>
      </w:pPr>
      <w:rPr>
        <w:rFonts w:cs="Times New Roman"/>
      </w:rPr>
    </w:lvl>
    <w:lvl w:ilvl="3" w:tplc="0409000F" w:tentative="1">
      <w:start w:val="1"/>
      <w:numFmt w:val="decimal"/>
      <w:lvlText w:val="%4."/>
      <w:lvlJc w:val="left"/>
      <w:pPr>
        <w:tabs>
          <w:tab w:val="num" w:pos="3375"/>
        </w:tabs>
        <w:ind w:left="3375" w:hanging="360"/>
      </w:pPr>
      <w:rPr>
        <w:rFonts w:cs="Times New Roman"/>
      </w:rPr>
    </w:lvl>
    <w:lvl w:ilvl="4" w:tplc="04090019" w:tentative="1">
      <w:start w:val="1"/>
      <w:numFmt w:val="lowerLetter"/>
      <w:lvlText w:val="%5."/>
      <w:lvlJc w:val="left"/>
      <w:pPr>
        <w:tabs>
          <w:tab w:val="num" w:pos="4095"/>
        </w:tabs>
        <w:ind w:left="4095" w:hanging="360"/>
      </w:pPr>
      <w:rPr>
        <w:rFonts w:cs="Times New Roman"/>
      </w:rPr>
    </w:lvl>
    <w:lvl w:ilvl="5" w:tplc="0409001B" w:tentative="1">
      <w:start w:val="1"/>
      <w:numFmt w:val="lowerRoman"/>
      <w:lvlText w:val="%6."/>
      <w:lvlJc w:val="right"/>
      <w:pPr>
        <w:tabs>
          <w:tab w:val="num" w:pos="4815"/>
        </w:tabs>
        <w:ind w:left="4815" w:hanging="180"/>
      </w:pPr>
      <w:rPr>
        <w:rFonts w:cs="Times New Roman"/>
      </w:rPr>
    </w:lvl>
    <w:lvl w:ilvl="6" w:tplc="0409000F" w:tentative="1">
      <w:start w:val="1"/>
      <w:numFmt w:val="decimal"/>
      <w:lvlText w:val="%7."/>
      <w:lvlJc w:val="left"/>
      <w:pPr>
        <w:tabs>
          <w:tab w:val="num" w:pos="5535"/>
        </w:tabs>
        <w:ind w:left="5535" w:hanging="360"/>
      </w:pPr>
      <w:rPr>
        <w:rFonts w:cs="Times New Roman"/>
      </w:rPr>
    </w:lvl>
    <w:lvl w:ilvl="7" w:tplc="04090019" w:tentative="1">
      <w:start w:val="1"/>
      <w:numFmt w:val="lowerLetter"/>
      <w:lvlText w:val="%8."/>
      <w:lvlJc w:val="left"/>
      <w:pPr>
        <w:tabs>
          <w:tab w:val="num" w:pos="6255"/>
        </w:tabs>
        <w:ind w:left="6255" w:hanging="360"/>
      </w:pPr>
      <w:rPr>
        <w:rFonts w:cs="Times New Roman"/>
      </w:rPr>
    </w:lvl>
    <w:lvl w:ilvl="8" w:tplc="0409001B" w:tentative="1">
      <w:start w:val="1"/>
      <w:numFmt w:val="lowerRoman"/>
      <w:lvlText w:val="%9."/>
      <w:lvlJc w:val="right"/>
      <w:pPr>
        <w:tabs>
          <w:tab w:val="num" w:pos="6975"/>
        </w:tabs>
        <w:ind w:left="6975" w:hanging="180"/>
      </w:pPr>
      <w:rPr>
        <w:rFonts w:cs="Times New Roman"/>
      </w:rPr>
    </w:lvl>
  </w:abstractNum>
  <w:abstractNum w:abstractNumId="8" w15:restartNumberingAfterBreak="0">
    <w:nsid w:val="581261FB"/>
    <w:multiLevelType w:val="multilevel"/>
    <w:tmpl w:val="EAA69612"/>
    <w:lvl w:ilvl="0">
      <w:start w:val="1"/>
      <w:numFmt w:val="decimal"/>
      <w:lvlText w:val="%1."/>
      <w:lvlJc w:val="left"/>
      <w:pPr>
        <w:tabs>
          <w:tab w:val="num" w:pos="1080"/>
        </w:tabs>
        <w:ind w:left="1080" w:hanging="360"/>
      </w:pPr>
      <w:rPr>
        <w:rFonts w:cs="Times New Roman"/>
      </w:rPr>
    </w:lvl>
    <w:lvl w:ilvl="1">
      <w:start w:val="1"/>
      <w:numFmt w:val="lowerLetter"/>
      <w:lvlText w:val="%2."/>
      <w:lvlJc w:val="left"/>
      <w:pPr>
        <w:tabs>
          <w:tab w:val="num" w:pos="1800"/>
        </w:tabs>
        <w:ind w:left="1800" w:hanging="360"/>
      </w:pPr>
      <w:rPr>
        <w:rFonts w:cs="Times New Roman"/>
      </w:rPr>
    </w:lvl>
    <w:lvl w:ilvl="2">
      <w:start w:val="1"/>
      <w:numFmt w:val="lowerRoman"/>
      <w:lvlText w:val="%3."/>
      <w:lvlJc w:val="right"/>
      <w:pPr>
        <w:tabs>
          <w:tab w:val="num" w:pos="2520"/>
        </w:tabs>
        <w:ind w:left="2520" w:hanging="180"/>
      </w:pPr>
      <w:rPr>
        <w:rFonts w:cs="Times New Roman"/>
      </w:rPr>
    </w:lvl>
    <w:lvl w:ilvl="3">
      <w:start w:val="1"/>
      <w:numFmt w:val="decimal"/>
      <w:lvlText w:val="%4."/>
      <w:lvlJc w:val="left"/>
      <w:pPr>
        <w:tabs>
          <w:tab w:val="num" w:pos="3240"/>
        </w:tabs>
        <w:ind w:left="3240" w:hanging="360"/>
      </w:pPr>
      <w:rPr>
        <w:rFonts w:cs="Times New Roman"/>
      </w:rPr>
    </w:lvl>
    <w:lvl w:ilvl="4">
      <w:start w:val="1"/>
      <w:numFmt w:val="lowerLetter"/>
      <w:lvlText w:val="%5."/>
      <w:lvlJc w:val="left"/>
      <w:pPr>
        <w:tabs>
          <w:tab w:val="num" w:pos="3960"/>
        </w:tabs>
        <w:ind w:left="3960" w:hanging="360"/>
      </w:pPr>
      <w:rPr>
        <w:rFonts w:cs="Times New Roman"/>
      </w:rPr>
    </w:lvl>
    <w:lvl w:ilvl="5">
      <w:start w:val="1"/>
      <w:numFmt w:val="lowerRoman"/>
      <w:lvlText w:val="%6."/>
      <w:lvlJc w:val="right"/>
      <w:pPr>
        <w:tabs>
          <w:tab w:val="num" w:pos="4680"/>
        </w:tabs>
        <w:ind w:left="4680" w:hanging="180"/>
      </w:pPr>
      <w:rPr>
        <w:rFonts w:cs="Times New Roman"/>
      </w:rPr>
    </w:lvl>
    <w:lvl w:ilvl="6">
      <w:start w:val="1"/>
      <w:numFmt w:val="decimal"/>
      <w:lvlText w:val="%7."/>
      <w:lvlJc w:val="left"/>
      <w:pPr>
        <w:tabs>
          <w:tab w:val="num" w:pos="5400"/>
        </w:tabs>
        <w:ind w:left="5400" w:hanging="360"/>
      </w:pPr>
      <w:rPr>
        <w:rFonts w:cs="Times New Roman"/>
      </w:rPr>
    </w:lvl>
    <w:lvl w:ilvl="7">
      <w:start w:val="1"/>
      <w:numFmt w:val="lowerLetter"/>
      <w:lvlText w:val="%8."/>
      <w:lvlJc w:val="left"/>
      <w:pPr>
        <w:tabs>
          <w:tab w:val="num" w:pos="6120"/>
        </w:tabs>
        <w:ind w:left="6120" w:hanging="360"/>
      </w:pPr>
      <w:rPr>
        <w:rFonts w:cs="Times New Roman"/>
      </w:rPr>
    </w:lvl>
    <w:lvl w:ilvl="8">
      <w:start w:val="1"/>
      <w:numFmt w:val="lowerRoman"/>
      <w:lvlText w:val="%9."/>
      <w:lvlJc w:val="right"/>
      <w:pPr>
        <w:tabs>
          <w:tab w:val="num" w:pos="6840"/>
        </w:tabs>
        <w:ind w:left="6840" w:hanging="180"/>
      </w:pPr>
      <w:rPr>
        <w:rFonts w:cs="Times New Roman"/>
      </w:rPr>
    </w:lvl>
  </w:abstractNum>
  <w:abstractNum w:abstractNumId="9" w15:restartNumberingAfterBreak="0">
    <w:nsid w:val="59E3320D"/>
    <w:multiLevelType w:val="hybridMultilevel"/>
    <w:tmpl w:val="C0922748"/>
    <w:lvl w:ilvl="0" w:tplc="0409000F">
      <w:start w:val="1"/>
      <w:numFmt w:val="decimal"/>
      <w:lvlText w:val="%1."/>
      <w:lvlJc w:val="left"/>
      <w:pPr>
        <w:tabs>
          <w:tab w:val="num" w:pos="792"/>
        </w:tabs>
        <w:ind w:left="792" w:hanging="360"/>
      </w:pPr>
      <w:rPr>
        <w:rFonts w:cs="Times New Roman"/>
      </w:rPr>
    </w:lvl>
    <w:lvl w:ilvl="1" w:tplc="04090019" w:tentative="1">
      <w:start w:val="1"/>
      <w:numFmt w:val="lowerLetter"/>
      <w:lvlText w:val="%2."/>
      <w:lvlJc w:val="left"/>
      <w:pPr>
        <w:tabs>
          <w:tab w:val="num" w:pos="1512"/>
        </w:tabs>
        <w:ind w:left="1512" w:hanging="360"/>
      </w:pPr>
      <w:rPr>
        <w:rFonts w:cs="Times New Roman"/>
      </w:rPr>
    </w:lvl>
    <w:lvl w:ilvl="2" w:tplc="0409001B" w:tentative="1">
      <w:start w:val="1"/>
      <w:numFmt w:val="lowerRoman"/>
      <w:lvlText w:val="%3."/>
      <w:lvlJc w:val="right"/>
      <w:pPr>
        <w:tabs>
          <w:tab w:val="num" w:pos="2232"/>
        </w:tabs>
        <w:ind w:left="2232" w:hanging="180"/>
      </w:pPr>
      <w:rPr>
        <w:rFonts w:cs="Times New Roman"/>
      </w:rPr>
    </w:lvl>
    <w:lvl w:ilvl="3" w:tplc="0409000F" w:tentative="1">
      <w:start w:val="1"/>
      <w:numFmt w:val="decimal"/>
      <w:lvlText w:val="%4."/>
      <w:lvlJc w:val="left"/>
      <w:pPr>
        <w:tabs>
          <w:tab w:val="num" w:pos="2952"/>
        </w:tabs>
        <w:ind w:left="2952" w:hanging="360"/>
      </w:pPr>
      <w:rPr>
        <w:rFonts w:cs="Times New Roman"/>
      </w:rPr>
    </w:lvl>
    <w:lvl w:ilvl="4" w:tplc="04090019" w:tentative="1">
      <w:start w:val="1"/>
      <w:numFmt w:val="lowerLetter"/>
      <w:lvlText w:val="%5."/>
      <w:lvlJc w:val="left"/>
      <w:pPr>
        <w:tabs>
          <w:tab w:val="num" w:pos="3672"/>
        </w:tabs>
        <w:ind w:left="3672" w:hanging="360"/>
      </w:pPr>
      <w:rPr>
        <w:rFonts w:cs="Times New Roman"/>
      </w:rPr>
    </w:lvl>
    <w:lvl w:ilvl="5" w:tplc="0409001B" w:tentative="1">
      <w:start w:val="1"/>
      <w:numFmt w:val="lowerRoman"/>
      <w:lvlText w:val="%6."/>
      <w:lvlJc w:val="right"/>
      <w:pPr>
        <w:tabs>
          <w:tab w:val="num" w:pos="4392"/>
        </w:tabs>
        <w:ind w:left="4392" w:hanging="180"/>
      </w:pPr>
      <w:rPr>
        <w:rFonts w:cs="Times New Roman"/>
      </w:rPr>
    </w:lvl>
    <w:lvl w:ilvl="6" w:tplc="0409000F" w:tentative="1">
      <w:start w:val="1"/>
      <w:numFmt w:val="decimal"/>
      <w:lvlText w:val="%7."/>
      <w:lvlJc w:val="left"/>
      <w:pPr>
        <w:tabs>
          <w:tab w:val="num" w:pos="5112"/>
        </w:tabs>
        <w:ind w:left="5112" w:hanging="360"/>
      </w:pPr>
      <w:rPr>
        <w:rFonts w:cs="Times New Roman"/>
      </w:rPr>
    </w:lvl>
    <w:lvl w:ilvl="7" w:tplc="04090019" w:tentative="1">
      <w:start w:val="1"/>
      <w:numFmt w:val="lowerLetter"/>
      <w:lvlText w:val="%8."/>
      <w:lvlJc w:val="left"/>
      <w:pPr>
        <w:tabs>
          <w:tab w:val="num" w:pos="5832"/>
        </w:tabs>
        <w:ind w:left="5832" w:hanging="360"/>
      </w:pPr>
      <w:rPr>
        <w:rFonts w:cs="Times New Roman"/>
      </w:rPr>
    </w:lvl>
    <w:lvl w:ilvl="8" w:tplc="0409001B" w:tentative="1">
      <w:start w:val="1"/>
      <w:numFmt w:val="lowerRoman"/>
      <w:lvlText w:val="%9."/>
      <w:lvlJc w:val="right"/>
      <w:pPr>
        <w:tabs>
          <w:tab w:val="num" w:pos="6552"/>
        </w:tabs>
        <w:ind w:left="6552" w:hanging="180"/>
      </w:pPr>
      <w:rPr>
        <w:rFonts w:cs="Times New Roman"/>
      </w:rPr>
    </w:lvl>
  </w:abstractNum>
  <w:abstractNum w:abstractNumId="10" w15:restartNumberingAfterBreak="0">
    <w:nsid w:val="59F377F1"/>
    <w:multiLevelType w:val="hybridMultilevel"/>
    <w:tmpl w:val="51464388"/>
    <w:lvl w:ilvl="0" w:tplc="974CA20E">
      <w:start w:val="1"/>
      <w:numFmt w:val="decimal"/>
      <w:lvlText w:val="%1."/>
      <w:lvlJc w:val="left"/>
      <w:pPr>
        <w:tabs>
          <w:tab w:val="num" w:pos="1080"/>
        </w:tabs>
        <w:ind w:left="1080" w:hanging="360"/>
      </w:pPr>
      <w:rPr>
        <w:rFonts w:cs="Times New Roman" w:hint="default"/>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11" w15:restartNumberingAfterBreak="0">
    <w:nsid w:val="5AD74143"/>
    <w:multiLevelType w:val="hybridMultilevel"/>
    <w:tmpl w:val="E492690A"/>
    <w:lvl w:ilvl="0" w:tplc="974CA20E">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2" w15:restartNumberingAfterBreak="0">
    <w:nsid w:val="5E425930"/>
    <w:multiLevelType w:val="multilevel"/>
    <w:tmpl w:val="65AE1BC6"/>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3" w15:restartNumberingAfterBreak="0">
    <w:nsid w:val="62633B08"/>
    <w:multiLevelType w:val="hybridMultilevel"/>
    <w:tmpl w:val="D44C08BE"/>
    <w:lvl w:ilvl="0" w:tplc="0409000F">
      <w:start w:val="1"/>
      <w:numFmt w:val="decimal"/>
      <w:lvlText w:val="%1."/>
      <w:lvlJc w:val="left"/>
      <w:pPr>
        <w:tabs>
          <w:tab w:val="num" w:pos="1215"/>
        </w:tabs>
        <w:ind w:left="1215" w:hanging="360"/>
      </w:pPr>
      <w:rPr>
        <w:rFonts w:cs="Times New Roman"/>
      </w:rPr>
    </w:lvl>
    <w:lvl w:ilvl="1" w:tplc="04090019" w:tentative="1">
      <w:start w:val="1"/>
      <w:numFmt w:val="lowerLetter"/>
      <w:lvlText w:val="%2."/>
      <w:lvlJc w:val="left"/>
      <w:pPr>
        <w:tabs>
          <w:tab w:val="num" w:pos="1935"/>
        </w:tabs>
        <w:ind w:left="1935" w:hanging="360"/>
      </w:pPr>
      <w:rPr>
        <w:rFonts w:cs="Times New Roman"/>
      </w:rPr>
    </w:lvl>
    <w:lvl w:ilvl="2" w:tplc="0409001B" w:tentative="1">
      <w:start w:val="1"/>
      <w:numFmt w:val="lowerRoman"/>
      <w:lvlText w:val="%3."/>
      <w:lvlJc w:val="right"/>
      <w:pPr>
        <w:tabs>
          <w:tab w:val="num" w:pos="2655"/>
        </w:tabs>
        <w:ind w:left="2655" w:hanging="180"/>
      </w:pPr>
      <w:rPr>
        <w:rFonts w:cs="Times New Roman"/>
      </w:rPr>
    </w:lvl>
    <w:lvl w:ilvl="3" w:tplc="0409000F" w:tentative="1">
      <w:start w:val="1"/>
      <w:numFmt w:val="decimal"/>
      <w:lvlText w:val="%4."/>
      <w:lvlJc w:val="left"/>
      <w:pPr>
        <w:tabs>
          <w:tab w:val="num" w:pos="3375"/>
        </w:tabs>
        <w:ind w:left="3375" w:hanging="360"/>
      </w:pPr>
      <w:rPr>
        <w:rFonts w:cs="Times New Roman"/>
      </w:rPr>
    </w:lvl>
    <w:lvl w:ilvl="4" w:tplc="04090019" w:tentative="1">
      <w:start w:val="1"/>
      <w:numFmt w:val="lowerLetter"/>
      <w:lvlText w:val="%5."/>
      <w:lvlJc w:val="left"/>
      <w:pPr>
        <w:tabs>
          <w:tab w:val="num" w:pos="4095"/>
        </w:tabs>
        <w:ind w:left="4095" w:hanging="360"/>
      </w:pPr>
      <w:rPr>
        <w:rFonts w:cs="Times New Roman"/>
      </w:rPr>
    </w:lvl>
    <w:lvl w:ilvl="5" w:tplc="0409001B" w:tentative="1">
      <w:start w:val="1"/>
      <w:numFmt w:val="lowerRoman"/>
      <w:lvlText w:val="%6."/>
      <w:lvlJc w:val="right"/>
      <w:pPr>
        <w:tabs>
          <w:tab w:val="num" w:pos="4815"/>
        </w:tabs>
        <w:ind w:left="4815" w:hanging="180"/>
      </w:pPr>
      <w:rPr>
        <w:rFonts w:cs="Times New Roman"/>
      </w:rPr>
    </w:lvl>
    <w:lvl w:ilvl="6" w:tplc="0409000F" w:tentative="1">
      <w:start w:val="1"/>
      <w:numFmt w:val="decimal"/>
      <w:lvlText w:val="%7."/>
      <w:lvlJc w:val="left"/>
      <w:pPr>
        <w:tabs>
          <w:tab w:val="num" w:pos="5535"/>
        </w:tabs>
        <w:ind w:left="5535" w:hanging="360"/>
      </w:pPr>
      <w:rPr>
        <w:rFonts w:cs="Times New Roman"/>
      </w:rPr>
    </w:lvl>
    <w:lvl w:ilvl="7" w:tplc="04090019" w:tentative="1">
      <w:start w:val="1"/>
      <w:numFmt w:val="lowerLetter"/>
      <w:lvlText w:val="%8."/>
      <w:lvlJc w:val="left"/>
      <w:pPr>
        <w:tabs>
          <w:tab w:val="num" w:pos="6255"/>
        </w:tabs>
        <w:ind w:left="6255" w:hanging="360"/>
      </w:pPr>
      <w:rPr>
        <w:rFonts w:cs="Times New Roman"/>
      </w:rPr>
    </w:lvl>
    <w:lvl w:ilvl="8" w:tplc="0409001B" w:tentative="1">
      <w:start w:val="1"/>
      <w:numFmt w:val="lowerRoman"/>
      <w:lvlText w:val="%9."/>
      <w:lvlJc w:val="right"/>
      <w:pPr>
        <w:tabs>
          <w:tab w:val="num" w:pos="6975"/>
        </w:tabs>
        <w:ind w:left="6975" w:hanging="180"/>
      </w:pPr>
      <w:rPr>
        <w:rFonts w:cs="Times New Roman"/>
      </w:rPr>
    </w:lvl>
  </w:abstractNum>
  <w:abstractNum w:abstractNumId="14" w15:restartNumberingAfterBreak="0">
    <w:nsid w:val="63DA7697"/>
    <w:multiLevelType w:val="hybridMultilevel"/>
    <w:tmpl w:val="A12827EA"/>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5" w15:restartNumberingAfterBreak="0">
    <w:nsid w:val="6D32625F"/>
    <w:multiLevelType w:val="hybridMultilevel"/>
    <w:tmpl w:val="284C7706"/>
    <w:lvl w:ilvl="0" w:tplc="0409000F">
      <w:start w:val="1"/>
      <w:numFmt w:val="decimal"/>
      <w:lvlText w:val="%1."/>
      <w:lvlJc w:val="left"/>
      <w:pPr>
        <w:tabs>
          <w:tab w:val="num" w:pos="792"/>
        </w:tabs>
        <w:ind w:left="792" w:hanging="360"/>
      </w:pPr>
      <w:rPr>
        <w:rFonts w:cs="Times New Roman"/>
      </w:rPr>
    </w:lvl>
    <w:lvl w:ilvl="1" w:tplc="04090019" w:tentative="1">
      <w:start w:val="1"/>
      <w:numFmt w:val="lowerLetter"/>
      <w:lvlText w:val="%2."/>
      <w:lvlJc w:val="left"/>
      <w:pPr>
        <w:tabs>
          <w:tab w:val="num" w:pos="1512"/>
        </w:tabs>
        <w:ind w:left="1512" w:hanging="360"/>
      </w:pPr>
      <w:rPr>
        <w:rFonts w:cs="Times New Roman"/>
      </w:rPr>
    </w:lvl>
    <w:lvl w:ilvl="2" w:tplc="0409001B" w:tentative="1">
      <w:start w:val="1"/>
      <w:numFmt w:val="lowerRoman"/>
      <w:lvlText w:val="%3."/>
      <w:lvlJc w:val="right"/>
      <w:pPr>
        <w:tabs>
          <w:tab w:val="num" w:pos="2232"/>
        </w:tabs>
        <w:ind w:left="2232" w:hanging="180"/>
      </w:pPr>
      <w:rPr>
        <w:rFonts w:cs="Times New Roman"/>
      </w:rPr>
    </w:lvl>
    <w:lvl w:ilvl="3" w:tplc="0409000F" w:tentative="1">
      <w:start w:val="1"/>
      <w:numFmt w:val="decimal"/>
      <w:lvlText w:val="%4."/>
      <w:lvlJc w:val="left"/>
      <w:pPr>
        <w:tabs>
          <w:tab w:val="num" w:pos="2952"/>
        </w:tabs>
        <w:ind w:left="2952" w:hanging="360"/>
      </w:pPr>
      <w:rPr>
        <w:rFonts w:cs="Times New Roman"/>
      </w:rPr>
    </w:lvl>
    <w:lvl w:ilvl="4" w:tplc="04090019" w:tentative="1">
      <w:start w:val="1"/>
      <w:numFmt w:val="lowerLetter"/>
      <w:lvlText w:val="%5."/>
      <w:lvlJc w:val="left"/>
      <w:pPr>
        <w:tabs>
          <w:tab w:val="num" w:pos="3672"/>
        </w:tabs>
        <w:ind w:left="3672" w:hanging="360"/>
      </w:pPr>
      <w:rPr>
        <w:rFonts w:cs="Times New Roman"/>
      </w:rPr>
    </w:lvl>
    <w:lvl w:ilvl="5" w:tplc="0409001B" w:tentative="1">
      <w:start w:val="1"/>
      <w:numFmt w:val="lowerRoman"/>
      <w:lvlText w:val="%6."/>
      <w:lvlJc w:val="right"/>
      <w:pPr>
        <w:tabs>
          <w:tab w:val="num" w:pos="4392"/>
        </w:tabs>
        <w:ind w:left="4392" w:hanging="180"/>
      </w:pPr>
      <w:rPr>
        <w:rFonts w:cs="Times New Roman"/>
      </w:rPr>
    </w:lvl>
    <w:lvl w:ilvl="6" w:tplc="0409000F" w:tentative="1">
      <w:start w:val="1"/>
      <w:numFmt w:val="decimal"/>
      <w:lvlText w:val="%7."/>
      <w:lvlJc w:val="left"/>
      <w:pPr>
        <w:tabs>
          <w:tab w:val="num" w:pos="5112"/>
        </w:tabs>
        <w:ind w:left="5112" w:hanging="360"/>
      </w:pPr>
      <w:rPr>
        <w:rFonts w:cs="Times New Roman"/>
      </w:rPr>
    </w:lvl>
    <w:lvl w:ilvl="7" w:tplc="04090019" w:tentative="1">
      <w:start w:val="1"/>
      <w:numFmt w:val="lowerLetter"/>
      <w:lvlText w:val="%8."/>
      <w:lvlJc w:val="left"/>
      <w:pPr>
        <w:tabs>
          <w:tab w:val="num" w:pos="5832"/>
        </w:tabs>
        <w:ind w:left="5832" w:hanging="360"/>
      </w:pPr>
      <w:rPr>
        <w:rFonts w:cs="Times New Roman"/>
      </w:rPr>
    </w:lvl>
    <w:lvl w:ilvl="8" w:tplc="0409001B" w:tentative="1">
      <w:start w:val="1"/>
      <w:numFmt w:val="lowerRoman"/>
      <w:lvlText w:val="%9."/>
      <w:lvlJc w:val="right"/>
      <w:pPr>
        <w:tabs>
          <w:tab w:val="num" w:pos="6552"/>
        </w:tabs>
        <w:ind w:left="6552" w:hanging="180"/>
      </w:pPr>
      <w:rPr>
        <w:rFonts w:cs="Times New Roman"/>
      </w:rPr>
    </w:lvl>
  </w:abstractNum>
  <w:abstractNum w:abstractNumId="16" w15:restartNumberingAfterBreak="0">
    <w:nsid w:val="771C3C93"/>
    <w:multiLevelType w:val="hybridMultilevel"/>
    <w:tmpl w:val="EAA69612"/>
    <w:lvl w:ilvl="0" w:tplc="0409000F">
      <w:start w:val="1"/>
      <w:numFmt w:val="decimal"/>
      <w:lvlText w:val="%1."/>
      <w:lvlJc w:val="left"/>
      <w:pPr>
        <w:tabs>
          <w:tab w:val="num" w:pos="1080"/>
        </w:tabs>
        <w:ind w:left="1080" w:hanging="360"/>
      </w:pPr>
      <w:rPr>
        <w:rFonts w:cs="Times New Roman"/>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num w:numId="1" w16cid:durableId="1334645310">
    <w:abstractNumId w:val="14"/>
  </w:num>
  <w:num w:numId="2" w16cid:durableId="368726169">
    <w:abstractNumId w:val="5"/>
  </w:num>
  <w:num w:numId="3" w16cid:durableId="825433394">
    <w:abstractNumId w:val="12"/>
  </w:num>
  <w:num w:numId="4" w16cid:durableId="867257472">
    <w:abstractNumId w:val="11"/>
  </w:num>
  <w:num w:numId="5" w16cid:durableId="205220789">
    <w:abstractNumId w:val="4"/>
  </w:num>
  <w:num w:numId="6" w16cid:durableId="1312905259">
    <w:abstractNumId w:val="6"/>
  </w:num>
  <w:num w:numId="7" w16cid:durableId="999889854">
    <w:abstractNumId w:val="16"/>
  </w:num>
  <w:num w:numId="8" w16cid:durableId="89469286">
    <w:abstractNumId w:val="0"/>
  </w:num>
  <w:num w:numId="9" w16cid:durableId="1549613153">
    <w:abstractNumId w:val="10"/>
  </w:num>
  <w:num w:numId="10" w16cid:durableId="334695397">
    <w:abstractNumId w:val="8"/>
  </w:num>
  <w:num w:numId="11" w16cid:durableId="1936933694">
    <w:abstractNumId w:val="3"/>
  </w:num>
  <w:num w:numId="12" w16cid:durableId="1491405523">
    <w:abstractNumId w:val="15"/>
  </w:num>
  <w:num w:numId="13" w16cid:durableId="1642074591">
    <w:abstractNumId w:val="9"/>
  </w:num>
  <w:num w:numId="14" w16cid:durableId="998583843">
    <w:abstractNumId w:val="2"/>
  </w:num>
  <w:num w:numId="15" w16cid:durableId="691689503">
    <w:abstractNumId w:val="13"/>
  </w:num>
  <w:num w:numId="16" w16cid:durableId="1472869471">
    <w:abstractNumId w:val="1"/>
  </w:num>
  <w:num w:numId="17" w16cid:durableId="146959446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characterSpacingControl w:val="doNotCompress"/>
  <w:saveInvalidXml/>
  <w:ignoreMixedContent/>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aseDisplayIdentifier" w:val="50556-08-17"/>
    <w:docVar w:name="caseId" w:val="74782271"/>
    <w:docVar w:name="deriveClass" w:val="NGCS.Protocol.BL.Client.ProtocolBLClientCriminal"/>
    <w:docVar w:name="firstPageNumber" w:val="12"/>
    <w:docVar w:name="MyInfo" w:val="This document was extracted from Nevo's site"/>
    <w:docVar w:name="NGCS.caseInterestID" w:val="-1"/>
    <w:docVar w:name="NGCS.caseTypeID" w:val="-1"/>
    <w:docVar w:name="NGCS.courtID" w:val="-1"/>
    <w:docVar w:name="NGCS.isReservedAddressPlace" w:val="0"/>
    <w:docVar w:name="NGCS.isReservedVoucherPlace" w:val="0"/>
    <w:docVar w:name="NGCS.proceedingID" w:val="2"/>
    <w:docVar w:name="NGCS.userUPN" w:val="ëåìí"/>
    <w:docVar w:name="privellegeId" w:val="1"/>
    <w:docVar w:name="protocolId" w:val="8702361"/>
    <w:docVar w:name="releaseSign" w:val="0"/>
    <w:docVar w:name="sittingDateTime" w:val="05/06/2018 15:00     "/>
    <w:docVar w:name="sittingId" w:val="84623301"/>
    <w:docVar w:name="sittingTypeId" w:val="2"/>
    <w:docVar w:name="WordClientAssemblyName" w:val="NGCS.Protocol.BL.Client"/>
    <w:docVar w:name="WordClientClassName" w:val="NGCS.Templates.UIP.TemplateWordClient"/>
  </w:docVars>
  <w:rsids>
    <w:rsidRoot w:val="00EB1D9D"/>
    <w:rsid w:val="0000736A"/>
    <w:rsid w:val="00014F26"/>
    <w:rsid w:val="00016C3B"/>
    <w:rsid w:val="00030486"/>
    <w:rsid w:val="000309E2"/>
    <w:rsid w:val="00032A68"/>
    <w:rsid w:val="000360BF"/>
    <w:rsid w:val="00053909"/>
    <w:rsid w:val="000555F0"/>
    <w:rsid w:val="000608AB"/>
    <w:rsid w:val="00074BD2"/>
    <w:rsid w:val="000A0B62"/>
    <w:rsid w:val="000A12E7"/>
    <w:rsid w:val="000A4C4B"/>
    <w:rsid w:val="000C0D83"/>
    <w:rsid w:val="000C3D5F"/>
    <w:rsid w:val="000C5129"/>
    <w:rsid w:val="000C7499"/>
    <w:rsid w:val="000D766C"/>
    <w:rsid w:val="000E37CD"/>
    <w:rsid w:val="000F5A62"/>
    <w:rsid w:val="00100FD9"/>
    <w:rsid w:val="001064F9"/>
    <w:rsid w:val="00115104"/>
    <w:rsid w:val="00130DA3"/>
    <w:rsid w:val="00131385"/>
    <w:rsid w:val="00137D59"/>
    <w:rsid w:val="0014434E"/>
    <w:rsid w:val="001526FC"/>
    <w:rsid w:val="0016231B"/>
    <w:rsid w:val="00163279"/>
    <w:rsid w:val="001666D0"/>
    <w:rsid w:val="001705B8"/>
    <w:rsid w:val="00174C6C"/>
    <w:rsid w:val="00180246"/>
    <w:rsid w:val="001940CF"/>
    <w:rsid w:val="001960C0"/>
    <w:rsid w:val="001A63A4"/>
    <w:rsid w:val="001C6A74"/>
    <w:rsid w:val="001D399C"/>
    <w:rsid w:val="001E65A5"/>
    <w:rsid w:val="001E6DFB"/>
    <w:rsid w:val="002063A6"/>
    <w:rsid w:val="00226549"/>
    <w:rsid w:val="00227A15"/>
    <w:rsid w:val="00237F64"/>
    <w:rsid w:val="00245547"/>
    <w:rsid w:val="00247199"/>
    <w:rsid w:val="002736EA"/>
    <w:rsid w:val="00296868"/>
    <w:rsid w:val="002A169D"/>
    <w:rsid w:val="002A1C94"/>
    <w:rsid w:val="002C6835"/>
    <w:rsid w:val="002E24EE"/>
    <w:rsid w:val="002E727A"/>
    <w:rsid w:val="002F455E"/>
    <w:rsid w:val="002F5A82"/>
    <w:rsid w:val="00301481"/>
    <w:rsid w:val="00314C92"/>
    <w:rsid w:val="00314F53"/>
    <w:rsid w:val="00317E26"/>
    <w:rsid w:val="00330851"/>
    <w:rsid w:val="003338B3"/>
    <w:rsid w:val="003403B0"/>
    <w:rsid w:val="00340759"/>
    <w:rsid w:val="00340A4A"/>
    <w:rsid w:val="0034100C"/>
    <w:rsid w:val="00342D84"/>
    <w:rsid w:val="00347ACF"/>
    <w:rsid w:val="003507D7"/>
    <w:rsid w:val="0038194F"/>
    <w:rsid w:val="003A3124"/>
    <w:rsid w:val="003B08F6"/>
    <w:rsid w:val="003B4A84"/>
    <w:rsid w:val="003C0ADF"/>
    <w:rsid w:val="003F6EFC"/>
    <w:rsid w:val="004057A0"/>
    <w:rsid w:val="004060A3"/>
    <w:rsid w:val="00440118"/>
    <w:rsid w:val="00442655"/>
    <w:rsid w:val="00445270"/>
    <w:rsid w:val="004473FE"/>
    <w:rsid w:val="004752AF"/>
    <w:rsid w:val="00484023"/>
    <w:rsid w:val="00486DEE"/>
    <w:rsid w:val="00494C2F"/>
    <w:rsid w:val="004A3447"/>
    <w:rsid w:val="004C0CA7"/>
    <w:rsid w:val="004D4B57"/>
    <w:rsid w:val="004F4B4A"/>
    <w:rsid w:val="004F6E95"/>
    <w:rsid w:val="00503959"/>
    <w:rsid w:val="00510083"/>
    <w:rsid w:val="0051734E"/>
    <w:rsid w:val="00532A9F"/>
    <w:rsid w:val="0055025B"/>
    <w:rsid w:val="00551705"/>
    <w:rsid w:val="00560CB1"/>
    <w:rsid w:val="00564AAC"/>
    <w:rsid w:val="00577444"/>
    <w:rsid w:val="0058186B"/>
    <w:rsid w:val="005832BA"/>
    <w:rsid w:val="00583C6F"/>
    <w:rsid w:val="00594F89"/>
    <w:rsid w:val="005B395D"/>
    <w:rsid w:val="005D47FD"/>
    <w:rsid w:val="005D68B0"/>
    <w:rsid w:val="005D6FD9"/>
    <w:rsid w:val="00600219"/>
    <w:rsid w:val="00601F75"/>
    <w:rsid w:val="00604BB0"/>
    <w:rsid w:val="006110FD"/>
    <w:rsid w:val="00612093"/>
    <w:rsid w:val="0061652F"/>
    <w:rsid w:val="006204AE"/>
    <w:rsid w:val="00620E3F"/>
    <w:rsid w:val="0062119D"/>
    <w:rsid w:val="00623CCF"/>
    <w:rsid w:val="00624852"/>
    <w:rsid w:val="00631222"/>
    <w:rsid w:val="00633BA9"/>
    <w:rsid w:val="00635C8E"/>
    <w:rsid w:val="006424C7"/>
    <w:rsid w:val="00646EA7"/>
    <w:rsid w:val="006830E7"/>
    <w:rsid w:val="00685581"/>
    <w:rsid w:val="006A4D3D"/>
    <w:rsid w:val="006B639D"/>
    <w:rsid w:val="006C2208"/>
    <w:rsid w:val="006C2240"/>
    <w:rsid w:val="006D4845"/>
    <w:rsid w:val="006D4DB9"/>
    <w:rsid w:val="006D72D1"/>
    <w:rsid w:val="006E3A90"/>
    <w:rsid w:val="006F0E02"/>
    <w:rsid w:val="00700409"/>
    <w:rsid w:val="00701074"/>
    <w:rsid w:val="00701199"/>
    <w:rsid w:val="00721B54"/>
    <w:rsid w:val="007326D0"/>
    <w:rsid w:val="007378AE"/>
    <w:rsid w:val="007378FE"/>
    <w:rsid w:val="00746032"/>
    <w:rsid w:val="00770F7C"/>
    <w:rsid w:val="00781736"/>
    <w:rsid w:val="00791EB6"/>
    <w:rsid w:val="007A19D7"/>
    <w:rsid w:val="007B2E08"/>
    <w:rsid w:val="007B6499"/>
    <w:rsid w:val="007C080F"/>
    <w:rsid w:val="007C0D02"/>
    <w:rsid w:val="007C2A2E"/>
    <w:rsid w:val="007D4DDF"/>
    <w:rsid w:val="007D71BF"/>
    <w:rsid w:val="007E3AB0"/>
    <w:rsid w:val="007E4ADE"/>
    <w:rsid w:val="007F46CA"/>
    <w:rsid w:val="007F4959"/>
    <w:rsid w:val="008100EF"/>
    <w:rsid w:val="0081212E"/>
    <w:rsid w:val="008138D1"/>
    <w:rsid w:val="008147C4"/>
    <w:rsid w:val="00816980"/>
    <w:rsid w:val="00833BD9"/>
    <w:rsid w:val="0083639D"/>
    <w:rsid w:val="008411C5"/>
    <w:rsid w:val="0085535F"/>
    <w:rsid w:val="00856E94"/>
    <w:rsid w:val="00873014"/>
    <w:rsid w:val="0088228B"/>
    <w:rsid w:val="008B5819"/>
    <w:rsid w:val="008D15AB"/>
    <w:rsid w:val="008D7896"/>
    <w:rsid w:val="008E3CC3"/>
    <w:rsid w:val="008E7204"/>
    <w:rsid w:val="008F06A2"/>
    <w:rsid w:val="00912A47"/>
    <w:rsid w:val="00927BB3"/>
    <w:rsid w:val="00934830"/>
    <w:rsid w:val="00934BA1"/>
    <w:rsid w:val="0094049A"/>
    <w:rsid w:val="0094092B"/>
    <w:rsid w:val="00943E5D"/>
    <w:rsid w:val="009474AF"/>
    <w:rsid w:val="009519E7"/>
    <w:rsid w:val="009521C7"/>
    <w:rsid w:val="00960E66"/>
    <w:rsid w:val="00966439"/>
    <w:rsid w:val="00967A97"/>
    <w:rsid w:val="0097713F"/>
    <w:rsid w:val="0098094C"/>
    <w:rsid w:val="00980B87"/>
    <w:rsid w:val="009857E4"/>
    <w:rsid w:val="0099598D"/>
    <w:rsid w:val="009B24E2"/>
    <w:rsid w:val="009C08D6"/>
    <w:rsid w:val="009C7639"/>
    <w:rsid w:val="009D7934"/>
    <w:rsid w:val="009E46EC"/>
    <w:rsid w:val="009E6E0A"/>
    <w:rsid w:val="009F349A"/>
    <w:rsid w:val="00A04531"/>
    <w:rsid w:val="00A140DE"/>
    <w:rsid w:val="00A1573A"/>
    <w:rsid w:val="00A25356"/>
    <w:rsid w:val="00A25FE5"/>
    <w:rsid w:val="00A53909"/>
    <w:rsid w:val="00A55764"/>
    <w:rsid w:val="00A64302"/>
    <w:rsid w:val="00A64696"/>
    <w:rsid w:val="00A67D1A"/>
    <w:rsid w:val="00A90C5A"/>
    <w:rsid w:val="00A910BF"/>
    <w:rsid w:val="00A9385E"/>
    <w:rsid w:val="00AA3C0A"/>
    <w:rsid w:val="00AB1CE7"/>
    <w:rsid w:val="00AC02E0"/>
    <w:rsid w:val="00AC0E91"/>
    <w:rsid w:val="00AC7677"/>
    <w:rsid w:val="00AD1366"/>
    <w:rsid w:val="00B05847"/>
    <w:rsid w:val="00B24CA7"/>
    <w:rsid w:val="00B30584"/>
    <w:rsid w:val="00B44123"/>
    <w:rsid w:val="00B6568E"/>
    <w:rsid w:val="00B66459"/>
    <w:rsid w:val="00B71B81"/>
    <w:rsid w:val="00B82C03"/>
    <w:rsid w:val="00B870E1"/>
    <w:rsid w:val="00BA3141"/>
    <w:rsid w:val="00BA6A0D"/>
    <w:rsid w:val="00BB75CF"/>
    <w:rsid w:val="00BD13A0"/>
    <w:rsid w:val="00BD64A3"/>
    <w:rsid w:val="00BF00B0"/>
    <w:rsid w:val="00BF68A5"/>
    <w:rsid w:val="00C03756"/>
    <w:rsid w:val="00C177F7"/>
    <w:rsid w:val="00C25E4D"/>
    <w:rsid w:val="00C326D7"/>
    <w:rsid w:val="00C4595F"/>
    <w:rsid w:val="00C471D1"/>
    <w:rsid w:val="00C50277"/>
    <w:rsid w:val="00C518EA"/>
    <w:rsid w:val="00C572AD"/>
    <w:rsid w:val="00C667A1"/>
    <w:rsid w:val="00C8613B"/>
    <w:rsid w:val="00CA022A"/>
    <w:rsid w:val="00CA26CF"/>
    <w:rsid w:val="00CB6B34"/>
    <w:rsid w:val="00CE01EF"/>
    <w:rsid w:val="00CE2A75"/>
    <w:rsid w:val="00D055CD"/>
    <w:rsid w:val="00D0615F"/>
    <w:rsid w:val="00D1015B"/>
    <w:rsid w:val="00D10AD7"/>
    <w:rsid w:val="00D23D09"/>
    <w:rsid w:val="00D2736A"/>
    <w:rsid w:val="00D349BB"/>
    <w:rsid w:val="00D57D9B"/>
    <w:rsid w:val="00D85E5A"/>
    <w:rsid w:val="00D86190"/>
    <w:rsid w:val="00D87EB7"/>
    <w:rsid w:val="00D95817"/>
    <w:rsid w:val="00D97686"/>
    <w:rsid w:val="00DA45F8"/>
    <w:rsid w:val="00DA7A07"/>
    <w:rsid w:val="00DC3CD8"/>
    <w:rsid w:val="00DC4526"/>
    <w:rsid w:val="00DC7E11"/>
    <w:rsid w:val="00DD214B"/>
    <w:rsid w:val="00DD4634"/>
    <w:rsid w:val="00DD4926"/>
    <w:rsid w:val="00DE171C"/>
    <w:rsid w:val="00DF69AA"/>
    <w:rsid w:val="00E122F6"/>
    <w:rsid w:val="00E15F20"/>
    <w:rsid w:val="00E32947"/>
    <w:rsid w:val="00E37759"/>
    <w:rsid w:val="00E4581A"/>
    <w:rsid w:val="00E620AB"/>
    <w:rsid w:val="00E679BB"/>
    <w:rsid w:val="00E74FCF"/>
    <w:rsid w:val="00E866B5"/>
    <w:rsid w:val="00E9798F"/>
    <w:rsid w:val="00EA333A"/>
    <w:rsid w:val="00EB1D9D"/>
    <w:rsid w:val="00ED6DAD"/>
    <w:rsid w:val="00EF4548"/>
    <w:rsid w:val="00F24B4E"/>
    <w:rsid w:val="00F25FB1"/>
    <w:rsid w:val="00F30354"/>
    <w:rsid w:val="00F30675"/>
    <w:rsid w:val="00F32899"/>
    <w:rsid w:val="00F449AC"/>
    <w:rsid w:val="00F53662"/>
    <w:rsid w:val="00F53B32"/>
    <w:rsid w:val="00F56690"/>
    <w:rsid w:val="00F56B3A"/>
    <w:rsid w:val="00F579C4"/>
    <w:rsid w:val="00F773E3"/>
    <w:rsid w:val="00F836C5"/>
    <w:rsid w:val="00F861D3"/>
    <w:rsid w:val="00F91F7D"/>
    <w:rsid w:val="00F941D7"/>
    <w:rsid w:val="00FA2034"/>
    <w:rsid w:val="00FA308E"/>
    <w:rsid w:val="00FA615F"/>
    <w:rsid w:val="00FB685B"/>
    <w:rsid w:val="00FD12D3"/>
    <w:rsid w:val="00FE234A"/>
    <w:rsid w:val="00FE463A"/>
    <w:rsid w:val="00FF139B"/>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3FA60320"/>
  <w15:chartTrackingRefBased/>
  <w15:docId w15:val="{DE5768E3-F586-4E2F-B702-B469C16A7B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David" w:eastAsia="David" w:hAnsi="David" w:cs="David"/>
        <w:lang w:val="en-US" w:eastAsia="en-US" w:bidi="he-IL"/>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qFormat="1"/>
    <w:lsdException w:name="heading 3" w:lock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caption" w:locked="1" w:semiHidden="1" w:unhideWhenUsed="1" w:qFormat="1"/>
    <w:lsdException w:name="List Number" w:locked="1"/>
    <w:lsdException w:name="List 4" w:locked="1"/>
    <w:lsdException w:name="List 5" w:locked="1"/>
    <w:lsdException w:name="Title" w:locked="1" w:qFormat="1"/>
    <w:lsdException w:name="Subtitle" w:locked="1" w:qFormat="1"/>
    <w:lsdException w:name="Salutation" w:locked="1"/>
    <w:lsdException w:name="Date" w:locked="1"/>
    <w:lsdException w:name="Body Text First Indent" w:locked="1"/>
    <w:lsdException w:name="Hyperlink" w:locked="1"/>
    <w:lsdException w:name="Strong" w:locked="1" w:qFormat="1"/>
    <w:lsdException w:name="Emphasis" w:locked="1" w:qFormat="1"/>
    <w:lsdException w:name="Table Grid"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rFonts w:eastAsia="Times New Roman"/>
      <w:sz w:val="24"/>
      <w:szCs w:val="24"/>
    </w:rPr>
  </w:style>
  <w:style w:type="paragraph" w:styleId="1">
    <w:name w:val="heading 1"/>
    <w:basedOn w:val="a"/>
    <w:next w:val="a"/>
    <w:qFormat/>
    <w:pPr>
      <w:keepNext/>
      <w:spacing w:before="240" w:after="60"/>
      <w:outlineLvl w:val="0"/>
    </w:pPr>
    <w:rPr>
      <w:rFonts w:ascii="Arial" w:hAnsi="Arial"/>
      <w:b/>
      <w:bCs/>
      <w:kern w:val="32"/>
      <w:sz w:val="32"/>
      <w:szCs w:val="32"/>
    </w:rPr>
  </w:style>
  <w:style w:type="paragraph" w:styleId="2">
    <w:name w:val="heading 2"/>
    <w:basedOn w:val="a"/>
    <w:next w:val="a"/>
    <w:qFormat/>
    <w:pPr>
      <w:keepNext/>
      <w:spacing w:before="240" w:after="60"/>
      <w:outlineLvl w:val="1"/>
    </w:pPr>
    <w:rPr>
      <w:b/>
      <w:bCs/>
      <w:i/>
      <w:iCs/>
    </w:rPr>
  </w:style>
  <w:style w:type="paragraph" w:styleId="3">
    <w:name w:val="heading 3"/>
    <w:basedOn w:val="a"/>
    <w:next w:val="a"/>
    <w:qFormat/>
    <w:pPr>
      <w:keepNext/>
      <w:spacing w:before="240" w:after="60"/>
      <w:outlineLvl w:val="2"/>
    </w:pPr>
    <w:rPr>
      <w:b/>
      <w:bCs/>
      <w:sz w:val="26"/>
      <w:szCs w:val="26"/>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pPr>
      <w:tabs>
        <w:tab w:val="center" w:pos="4153"/>
        <w:tab w:val="right" w:pos="8306"/>
      </w:tabs>
    </w:pPr>
  </w:style>
  <w:style w:type="paragraph" w:styleId="a4">
    <w:name w:val="footer"/>
    <w:basedOn w:val="a"/>
    <w:pPr>
      <w:tabs>
        <w:tab w:val="center" w:pos="4153"/>
        <w:tab w:val="right" w:pos="8306"/>
      </w:tabs>
    </w:pPr>
  </w:style>
  <w:style w:type="table" w:styleId="a5">
    <w:name w:val="Table Grid"/>
    <w:basedOn w:val="a1"/>
    <w:pPr>
      <w:jc w:val="right"/>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annotation text"/>
    <w:basedOn w:val="a"/>
    <w:semiHidden/>
    <w:rPr>
      <w:rFonts w:ascii="Times New Roman" w:eastAsia="David" w:hAnsi="Times New Roman" w:cs="Times New Roman"/>
      <w:sz w:val="20"/>
      <w:szCs w:val="20"/>
    </w:rPr>
  </w:style>
  <w:style w:type="character" w:styleId="a7">
    <w:name w:val="annotation reference"/>
    <w:semiHidden/>
    <w:rPr>
      <w:rFonts w:cs="Times New Roman"/>
      <w:sz w:val="16"/>
      <w:szCs w:val="16"/>
    </w:rPr>
  </w:style>
  <w:style w:type="paragraph" w:styleId="a8">
    <w:name w:val="Balloon Text"/>
    <w:basedOn w:val="a"/>
    <w:semiHidden/>
    <w:rPr>
      <w:rFonts w:ascii="Tahoma" w:hAnsi="Tahoma" w:cs="Tahoma"/>
      <w:sz w:val="16"/>
      <w:szCs w:val="16"/>
    </w:rPr>
  </w:style>
  <w:style w:type="character" w:styleId="a9">
    <w:name w:val="page number"/>
    <w:rPr>
      <w:rFonts w:cs="Times New Roman"/>
    </w:rPr>
  </w:style>
  <w:style w:type="character" w:styleId="aa">
    <w:name w:val="line number"/>
    <w:rPr>
      <w:rFonts w:cs="Arial"/>
      <w:sz w:val="20"/>
      <w:szCs w:val="20"/>
    </w:rPr>
  </w:style>
  <w:style w:type="character" w:customStyle="1" w:styleId="TimesNewRomanTimesNewRoman">
    <w:name w:val="סגנון (לטיני) Times New Roman (עברית ושפות אחרות) Times New Roman..."/>
    <w:rsid w:val="0000736A"/>
    <w:rPr>
      <w:rFonts w:ascii="Times New Roman" w:hAnsi="Times New Roman" w:cs="David"/>
      <w:b/>
      <w:bCs/>
      <w:sz w:val="26"/>
      <w:szCs w:val="26"/>
    </w:rPr>
  </w:style>
  <w:style w:type="paragraph" w:customStyle="1" w:styleId="Arial">
    <w:name w:val="סגנון (לטיני) Arial מיושר לשני הצדדים מרווח בין שורות:  שורה וחצי"/>
    <w:basedOn w:val="a"/>
    <w:rsid w:val="0000736A"/>
    <w:pPr>
      <w:spacing w:line="360" w:lineRule="auto"/>
      <w:jc w:val="both"/>
    </w:pPr>
    <w:rPr>
      <w:rFonts w:ascii="Arial" w:eastAsia="David" w:hAnsi="Arial"/>
    </w:rPr>
  </w:style>
  <w:style w:type="paragraph" w:customStyle="1" w:styleId="Arial0">
    <w:name w:val="סגנון (לטיני) Arial מודגש מיושר לשני הצדדים מרווח בין שורות:  שו..."/>
    <w:basedOn w:val="a"/>
    <w:rsid w:val="00631222"/>
    <w:pPr>
      <w:spacing w:line="360" w:lineRule="auto"/>
      <w:jc w:val="both"/>
    </w:pPr>
    <w:rPr>
      <w:rFonts w:ascii="Arial" w:eastAsia="David" w:hAnsi="Arial"/>
      <w:b/>
      <w:bCs/>
    </w:rPr>
  </w:style>
  <w:style w:type="paragraph" w:customStyle="1" w:styleId="TimesNewRoman13">
    <w:name w:val="סגנון (לטיני) Times New Roman ‏13 נק' מודגש מיושר לשני הצדדים מ..."/>
    <w:basedOn w:val="a"/>
    <w:rsid w:val="00163279"/>
    <w:pPr>
      <w:spacing w:line="360" w:lineRule="auto"/>
      <w:jc w:val="both"/>
    </w:pPr>
    <w:rPr>
      <w:rFonts w:ascii="Times New Roman" w:eastAsia="David" w:hAnsi="Times New Roman"/>
      <w:b/>
      <w:bCs/>
      <w:sz w:val="26"/>
      <w:szCs w:val="26"/>
    </w:rPr>
  </w:style>
  <w:style w:type="character" w:customStyle="1" w:styleId="PlaceholderText">
    <w:name w:val="Placeholder Text"/>
    <w:semiHidden/>
    <w:rsid w:val="004D4B57"/>
    <w:rPr>
      <w:rFonts w:cs="Times New Roman"/>
      <w:color w:val="808080"/>
    </w:rPr>
  </w:style>
  <w:style w:type="paragraph" w:customStyle="1" w:styleId="12">
    <w:name w:val="רגיל + ‏12 נק'"/>
    <w:aliases w:val="מיושר לשני הצדדים,מרווח בין שורות:  שורה וחצי"/>
    <w:basedOn w:val="a"/>
    <w:rsid w:val="006D4DB9"/>
    <w:rPr>
      <w:rFonts w:ascii="Times New Roman" w:eastAsia="David" w:hAnsi="Times New Roman"/>
      <w:b/>
      <w:bCs/>
      <w:u w:val="single"/>
    </w:rPr>
  </w:style>
  <w:style w:type="character" w:styleId="Hyperlink">
    <w:name w:val="Hyperlink"/>
    <w:semiHidden/>
    <w:rsid w:val="00340A4A"/>
    <w:rPr>
      <w:rFonts w:cs="Times New Roman"/>
      <w:color w:val="0000FF"/>
      <w:u w:val="single"/>
    </w:rPr>
  </w:style>
  <w:style w:type="character" w:customStyle="1" w:styleId="Ruller4">
    <w:name w:val="Ruller4 תו"/>
    <w:link w:val="Ruller40"/>
    <w:locked/>
    <w:rsid w:val="00340A4A"/>
    <w:rPr>
      <w:rFonts w:ascii="Arial TUR" w:hAnsi="Arial TUR"/>
      <w:spacing w:val="10"/>
      <w:sz w:val="28"/>
    </w:rPr>
  </w:style>
  <w:style w:type="paragraph" w:customStyle="1" w:styleId="Ruller40">
    <w:name w:val="Ruller4"/>
    <w:basedOn w:val="a"/>
    <w:link w:val="Ruller4"/>
    <w:rsid w:val="00340A4A"/>
    <w:pPr>
      <w:tabs>
        <w:tab w:val="left" w:pos="800"/>
      </w:tabs>
      <w:overflowPunct w:val="0"/>
      <w:autoSpaceDE w:val="0"/>
      <w:autoSpaceDN w:val="0"/>
      <w:adjustRightInd w:val="0"/>
      <w:spacing w:line="360" w:lineRule="auto"/>
      <w:jc w:val="both"/>
    </w:pPr>
    <w:rPr>
      <w:rFonts w:ascii="Arial TUR" w:hAnsi="Arial TUR" w:cs="Times New Roman"/>
      <w:spacing w:val="10"/>
      <w:sz w:val="2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 w:id="4">
      <w:marLeft w:val="0"/>
      <w:marRight w:val="0"/>
      <w:marTop w:val="0"/>
      <w:marBottom w:val="0"/>
      <w:divBdr>
        <w:top w:val="none" w:sz="0" w:space="0" w:color="auto"/>
        <w:left w:val="none" w:sz="0" w:space="0" w:color="auto"/>
        <w:bottom w:val="none" w:sz="0" w:space="0" w:color="auto"/>
        <w:right w:val="none" w:sz="0" w:space="0" w:color="auto"/>
      </w:divBdr>
    </w:div>
    <w:div w:id="5">
      <w:marLeft w:val="0"/>
      <w:marRight w:val="0"/>
      <w:marTop w:val="0"/>
      <w:marBottom w:val="0"/>
      <w:divBdr>
        <w:top w:val="none" w:sz="0" w:space="0" w:color="auto"/>
        <w:left w:val="none" w:sz="0" w:space="0" w:color="auto"/>
        <w:bottom w:val="none" w:sz="0" w:space="0" w:color="auto"/>
        <w:right w:val="none" w:sz="0" w:space="0" w:color="auto"/>
      </w:divBdr>
    </w:div>
    <w:div w:id="6">
      <w:marLeft w:val="0"/>
      <w:marRight w:val="0"/>
      <w:marTop w:val="0"/>
      <w:marBottom w:val="0"/>
      <w:divBdr>
        <w:top w:val="none" w:sz="0" w:space="0" w:color="auto"/>
        <w:left w:val="none" w:sz="0" w:space="0" w:color="auto"/>
        <w:bottom w:val="none" w:sz="0" w:space="0" w:color="auto"/>
        <w:right w:val="none" w:sz="0" w:space="0" w:color="auto"/>
      </w:divBdr>
    </w:div>
    <w:div w:id="7">
      <w:marLeft w:val="0"/>
      <w:marRight w:val="0"/>
      <w:marTop w:val="0"/>
      <w:marBottom w:val="0"/>
      <w:divBdr>
        <w:top w:val="none" w:sz="0" w:space="0" w:color="auto"/>
        <w:left w:val="none" w:sz="0" w:space="0" w:color="auto"/>
        <w:bottom w:val="none" w:sz="0" w:space="0" w:color="auto"/>
        <w:right w:val="none" w:sz="0" w:space="0" w:color="auto"/>
      </w:divBdr>
    </w:div>
    <w:div w:id="8">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26" Type="http://schemas.openxmlformats.org/officeDocument/2006/relationships/hyperlink" Target="http://www.nevo.co.il/law/70301/40c.a" TargetMode="External"/><Relationship Id="rId21" Type="http://schemas.openxmlformats.org/officeDocument/2006/relationships/hyperlink" Target="http://www.nevo.co.il/law/70301/25" TargetMode="External"/><Relationship Id="rId42" Type="http://schemas.openxmlformats.org/officeDocument/2006/relationships/hyperlink" Target="http://www.nevo.co.il/case/23129098" TargetMode="External"/><Relationship Id="rId47" Type="http://schemas.openxmlformats.org/officeDocument/2006/relationships/hyperlink" Target="http://www.nevo.co.il/case/16987351" TargetMode="External"/><Relationship Id="rId63" Type="http://schemas.openxmlformats.org/officeDocument/2006/relationships/hyperlink" Target="http://www.nevo.co.il/law/70301" TargetMode="External"/><Relationship Id="rId68" Type="http://schemas.openxmlformats.org/officeDocument/2006/relationships/header" Target="header2.xml"/><Relationship Id="rId7" Type="http://schemas.openxmlformats.org/officeDocument/2006/relationships/endnotes" Target="endnotes.xml"/><Relationship Id="rId71"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nevo.co.il/law/70301/hC" TargetMode="External"/><Relationship Id="rId29" Type="http://schemas.openxmlformats.org/officeDocument/2006/relationships/hyperlink" Target="http://www.nevo.co.il/law/70301/hC" TargetMode="External"/><Relationship Id="rId11" Type="http://schemas.openxmlformats.org/officeDocument/2006/relationships/hyperlink" Target="http://www.nevo.co.il/law/70301/144.a" TargetMode="External"/><Relationship Id="rId24" Type="http://schemas.openxmlformats.org/officeDocument/2006/relationships/hyperlink" Target="http://www.nevo.co.il/case/17023776" TargetMode="External"/><Relationship Id="rId32" Type="http://schemas.openxmlformats.org/officeDocument/2006/relationships/hyperlink" Target="http://www.nevo.co.il/case/5821328" TargetMode="External"/><Relationship Id="rId37" Type="http://schemas.openxmlformats.org/officeDocument/2006/relationships/hyperlink" Target="http://www.nevo.co.il/case/6078308" TargetMode="External"/><Relationship Id="rId40" Type="http://schemas.openxmlformats.org/officeDocument/2006/relationships/hyperlink" Target="http://www.nevo.co.il/case/6058757" TargetMode="External"/><Relationship Id="rId45" Type="http://schemas.openxmlformats.org/officeDocument/2006/relationships/hyperlink" Target="http://www.nevo.co.il/case/22112345" TargetMode="External"/><Relationship Id="rId53" Type="http://schemas.openxmlformats.org/officeDocument/2006/relationships/hyperlink" Target="http://www.nevo.co.il/case/6247854" TargetMode="External"/><Relationship Id="rId58" Type="http://schemas.openxmlformats.org/officeDocument/2006/relationships/hyperlink" Target="http://www.nevo.co.il/case/18053327" TargetMode="External"/><Relationship Id="rId66" Type="http://schemas.openxmlformats.org/officeDocument/2006/relationships/hyperlink" Target="http://www.nevo.co.il/advertisements/nevo-100.doc" TargetMode="External"/><Relationship Id="rId5" Type="http://schemas.openxmlformats.org/officeDocument/2006/relationships/webSettings" Target="webSettings.xml"/><Relationship Id="rId61" Type="http://schemas.openxmlformats.org/officeDocument/2006/relationships/hyperlink" Target="http://www.nevo.co.il/case/5588062" TargetMode="External"/><Relationship Id="rId19" Type="http://schemas.openxmlformats.org/officeDocument/2006/relationships/hyperlink" Target="http://www.nevo.co.il/law/70301/144.b" TargetMode="External"/><Relationship Id="rId14" Type="http://schemas.openxmlformats.org/officeDocument/2006/relationships/hyperlink" Target="http://www.nevo.co.il/law/70301/402.b" TargetMode="External"/><Relationship Id="rId22" Type="http://schemas.openxmlformats.org/officeDocument/2006/relationships/hyperlink" Target="http://www.nevo.co.il/case/13093721" TargetMode="External"/><Relationship Id="rId27" Type="http://schemas.openxmlformats.org/officeDocument/2006/relationships/hyperlink" Target="http://www.nevo.co.il/law/70301" TargetMode="External"/><Relationship Id="rId30" Type="http://schemas.openxmlformats.org/officeDocument/2006/relationships/hyperlink" Target="http://www.nevo.co.il/case/17929065" TargetMode="External"/><Relationship Id="rId35" Type="http://schemas.openxmlformats.org/officeDocument/2006/relationships/hyperlink" Target="http://www.nevo.co.il/case/7791493" TargetMode="External"/><Relationship Id="rId43" Type="http://schemas.openxmlformats.org/officeDocument/2006/relationships/hyperlink" Target="http://www.nevo.co.il/case/22696250" TargetMode="External"/><Relationship Id="rId48" Type="http://schemas.openxmlformats.org/officeDocument/2006/relationships/hyperlink" Target="http://www.nevo.co.il/law/70301/402.a" TargetMode="External"/><Relationship Id="rId56" Type="http://schemas.openxmlformats.org/officeDocument/2006/relationships/hyperlink" Target="http://www.nevo.co.il/case/5578150" TargetMode="External"/><Relationship Id="rId64" Type="http://schemas.openxmlformats.org/officeDocument/2006/relationships/hyperlink" Target="http://www.nevo.co.il/case/7935646" TargetMode="External"/><Relationship Id="rId69" Type="http://schemas.openxmlformats.org/officeDocument/2006/relationships/footer" Target="footer1.xml"/><Relationship Id="rId8" Type="http://schemas.openxmlformats.org/officeDocument/2006/relationships/hyperlink" Target="http://www.nevo.co.il/law/70301" TargetMode="External"/><Relationship Id="rId51" Type="http://schemas.openxmlformats.org/officeDocument/2006/relationships/hyperlink" Target="http://www.nevo.co.il/case/10502090" TargetMode="External"/><Relationship Id="rId72"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http://www.nevo.co.il/law/70301/144.b" TargetMode="External"/><Relationship Id="rId17" Type="http://schemas.openxmlformats.org/officeDocument/2006/relationships/hyperlink" Target="http://www.nevo.co.il/law/70301/144.a" TargetMode="External"/><Relationship Id="rId25" Type="http://schemas.openxmlformats.org/officeDocument/2006/relationships/hyperlink" Target="http://www.nevo.co.il/case/17954235" TargetMode="External"/><Relationship Id="rId33" Type="http://schemas.openxmlformats.org/officeDocument/2006/relationships/hyperlink" Target="http://www.nevo.co.il/case/22006503" TargetMode="External"/><Relationship Id="rId38" Type="http://schemas.openxmlformats.org/officeDocument/2006/relationships/hyperlink" Target="http://www.nevo.co.il/case/6024035" TargetMode="External"/><Relationship Id="rId46" Type="http://schemas.openxmlformats.org/officeDocument/2006/relationships/hyperlink" Target="http://www.nevo.co.il/case/5906249" TargetMode="External"/><Relationship Id="rId59" Type="http://schemas.openxmlformats.org/officeDocument/2006/relationships/hyperlink" Target="http://www.nevo.co.il/case/7935646" TargetMode="External"/><Relationship Id="rId67" Type="http://schemas.openxmlformats.org/officeDocument/2006/relationships/header" Target="header1.xml"/><Relationship Id="rId20" Type="http://schemas.openxmlformats.org/officeDocument/2006/relationships/hyperlink" Target="http://www.nevo.co.il/law/70301/402.b" TargetMode="External"/><Relationship Id="rId41" Type="http://schemas.openxmlformats.org/officeDocument/2006/relationships/hyperlink" Target="http://www.nevo.co.il/case/5958231" TargetMode="External"/><Relationship Id="rId54" Type="http://schemas.openxmlformats.org/officeDocument/2006/relationships/hyperlink" Target="http://www.nevo.co.il/case/21478552" TargetMode="External"/><Relationship Id="rId62" Type="http://schemas.openxmlformats.org/officeDocument/2006/relationships/hyperlink" Target="http://www.nevo.co.il/law/70301/40jc.b" TargetMode="External"/><Relationship Id="rId70" Type="http://schemas.openxmlformats.org/officeDocument/2006/relationships/footer" Target="footer2.xml"/><Relationship Id="rId1" Type="http://schemas.microsoft.com/office/2006/relationships/keyMapCustomizations" Target="customizations.xml"/><Relationship Id="rId6" Type="http://schemas.openxmlformats.org/officeDocument/2006/relationships/footnotes" Target="footnotes.xml"/><Relationship Id="rId15" Type="http://schemas.openxmlformats.org/officeDocument/2006/relationships/hyperlink" Target="http://www.nevo.co.il/law/70301/40jc.b" TargetMode="External"/><Relationship Id="rId23" Type="http://schemas.openxmlformats.org/officeDocument/2006/relationships/hyperlink" Target="http://www.nevo.co.il/case/20157961" TargetMode="External"/><Relationship Id="rId28" Type="http://schemas.openxmlformats.org/officeDocument/2006/relationships/hyperlink" Target="http://www.nevo.co.il/law/70301" TargetMode="External"/><Relationship Id="rId36" Type="http://schemas.openxmlformats.org/officeDocument/2006/relationships/hyperlink" Target="http://www.nevo.co.il/case/21475572" TargetMode="External"/><Relationship Id="rId49" Type="http://schemas.openxmlformats.org/officeDocument/2006/relationships/hyperlink" Target="http://www.nevo.co.il/case/21473119" TargetMode="External"/><Relationship Id="rId57" Type="http://schemas.openxmlformats.org/officeDocument/2006/relationships/hyperlink" Target="http://www.nevo.co.il/case/3826347" TargetMode="External"/><Relationship Id="rId10" Type="http://schemas.openxmlformats.org/officeDocument/2006/relationships/hyperlink" Target="http://www.nevo.co.il/law/70301/40c.a" TargetMode="External"/><Relationship Id="rId31" Type="http://schemas.openxmlformats.org/officeDocument/2006/relationships/hyperlink" Target="http://www.nevo.co.il/case/5852404" TargetMode="External"/><Relationship Id="rId44" Type="http://schemas.openxmlformats.org/officeDocument/2006/relationships/hyperlink" Target="http://www.nevo.co.il/case/22607175" TargetMode="External"/><Relationship Id="rId52" Type="http://schemas.openxmlformats.org/officeDocument/2006/relationships/hyperlink" Target="http://www.nevo.co.il/case/21472762" TargetMode="External"/><Relationship Id="rId60" Type="http://schemas.openxmlformats.org/officeDocument/2006/relationships/hyperlink" Target="http://www.nevo.co.il/case/21572055" TargetMode="External"/><Relationship Id="rId65" Type="http://schemas.openxmlformats.org/officeDocument/2006/relationships/hyperlink" Target="http://www.nevo.co.il/case/21572055" TargetMode="External"/><Relationship Id="rId4" Type="http://schemas.openxmlformats.org/officeDocument/2006/relationships/settings" Target="settings.xml"/><Relationship Id="rId9" Type="http://schemas.openxmlformats.org/officeDocument/2006/relationships/hyperlink" Target="http://www.nevo.co.il/law/70301/25" TargetMode="External"/><Relationship Id="rId13" Type="http://schemas.openxmlformats.org/officeDocument/2006/relationships/hyperlink" Target="http://www.nevo.co.il/law/70301/402.a" TargetMode="External"/><Relationship Id="rId18" Type="http://schemas.openxmlformats.org/officeDocument/2006/relationships/hyperlink" Target="http://www.nevo.co.il/law/70301" TargetMode="External"/><Relationship Id="rId39" Type="http://schemas.openxmlformats.org/officeDocument/2006/relationships/hyperlink" Target="http://www.nevo.co.il/case/21474168" TargetMode="External"/><Relationship Id="rId34" Type="http://schemas.openxmlformats.org/officeDocument/2006/relationships/hyperlink" Target="http://www.nevo.co.il/case/13090914" TargetMode="External"/><Relationship Id="rId50" Type="http://schemas.openxmlformats.org/officeDocument/2006/relationships/hyperlink" Target="http://www.nevo.co.il/case/16935047" TargetMode="External"/><Relationship Id="rId55" Type="http://schemas.openxmlformats.org/officeDocument/2006/relationships/hyperlink" Target="http://www.nevo.co.il/case/17934709"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5313</Words>
  <Characters>26565</Characters>
  <Application>Microsoft Office Word</Application>
  <DocSecurity>0</DocSecurity>
  <Lines>221</Lines>
  <Paragraphs>63</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31815</CharactersWithSpaces>
  <SharedDoc>false</SharedDoc>
  <HLinks>
    <vt:vector size="354" baseType="variant">
      <vt:variant>
        <vt:i4>393283</vt:i4>
      </vt:variant>
      <vt:variant>
        <vt:i4>174</vt:i4>
      </vt:variant>
      <vt:variant>
        <vt:i4>0</vt:i4>
      </vt:variant>
      <vt:variant>
        <vt:i4>5</vt:i4>
      </vt:variant>
      <vt:variant>
        <vt:lpwstr>http://www.nevo.co.il/advertisements/nevo-100.doc</vt:lpwstr>
      </vt:variant>
      <vt:variant>
        <vt:lpwstr/>
      </vt:variant>
      <vt:variant>
        <vt:i4>3145842</vt:i4>
      </vt:variant>
      <vt:variant>
        <vt:i4>171</vt:i4>
      </vt:variant>
      <vt:variant>
        <vt:i4>0</vt:i4>
      </vt:variant>
      <vt:variant>
        <vt:i4>5</vt:i4>
      </vt:variant>
      <vt:variant>
        <vt:lpwstr>http://www.nevo.co.il/case/21572055</vt:lpwstr>
      </vt:variant>
      <vt:variant>
        <vt:lpwstr/>
      </vt:variant>
      <vt:variant>
        <vt:i4>3407996</vt:i4>
      </vt:variant>
      <vt:variant>
        <vt:i4>168</vt:i4>
      </vt:variant>
      <vt:variant>
        <vt:i4>0</vt:i4>
      </vt:variant>
      <vt:variant>
        <vt:i4>5</vt:i4>
      </vt:variant>
      <vt:variant>
        <vt:lpwstr>http://www.nevo.co.il/case/7935646</vt:lpwstr>
      </vt:variant>
      <vt:variant>
        <vt:lpwstr/>
      </vt:variant>
      <vt:variant>
        <vt:i4>7995492</vt:i4>
      </vt:variant>
      <vt:variant>
        <vt:i4>165</vt:i4>
      </vt:variant>
      <vt:variant>
        <vt:i4>0</vt:i4>
      </vt:variant>
      <vt:variant>
        <vt:i4>5</vt:i4>
      </vt:variant>
      <vt:variant>
        <vt:lpwstr>http://www.nevo.co.il/law/70301</vt:lpwstr>
      </vt:variant>
      <vt:variant>
        <vt:lpwstr/>
      </vt:variant>
      <vt:variant>
        <vt:i4>6553637</vt:i4>
      </vt:variant>
      <vt:variant>
        <vt:i4>162</vt:i4>
      </vt:variant>
      <vt:variant>
        <vt:i4>0</vt:i4>
      </vt:variant>
      <vt:variant>
        <vt:i4>5</vt:i4>
      </vt:variant>
      <vt:variant>
        <vt:lpwstr>http://www.nevo.co.il/law/70301/40jc.b</vt:lpwstr>
      </vt:variant>
      <vt:variant>
        <vt:lpwstr/>
      </vt:variant>
      <vt:variant>
        <vt:i4>4128895</vt:i4>
      </vt:variant>
      <vt:variant>
        <vt:i4>159</vt:i4>
      </vt:variant>
      <vt:variant>
        <vt:i4>0</vt:i4>
      </vt:variant>
      <vt:variant>
        <vt:i4>5</vt:i4>
      </vt:variant>
      <vt:variant>
        <vt:lpwstr>http://www.nevo.co.il/case/5588062</vt:lpwstr>
      </vt:variant>
      <vt:variant>
        <vt:lpwstr/>
      </vt:variant>
      <vt:variant>
        <vt:i4>3145842</vt:i4>
      </vt:variant>
      <vt:variant>
        <vt:i4>156</vt:i4>
      </vt:variant>
      <vt:variant>
        <vt:i4>0</vt:i4>
      </vt:variant>
      <vt:variant>
        <vt:i4>5</vt:i4>
      </vt:variant>
      <vt:variant>
        <vt:lpwstr>http://www.nevo.co.il/case/21572055</vt:lpwstr>
      </vt:variant>
      <vt:variant>
        <vt:lpwstr/>
      </vt:variant>
      <vt:variant>
        <vt:i4>3407996</vt:i4>
      </vt:variant>
      <vt:variant>
        <vt:i4>153</vt:i4>
      </vt:variant>
      <vt:variant>
        <vt:i4>0</vt:i4>
      </vt:variant>
      <vt:variant>
        <vt:i4>5</vt:i4>
      </vt:variant>
      <vt:variant>
        <vt:lpwstr>http://www.nevo.co.il/case/7935646</vt:lpwstr>
      </vt:variant>
      <vt:variant>
        <vt:lpwstr/>
      </vt:variant>
      <vt:variant>
        <vt:i4>3145850</vt:i4>
      </vt:variant>
      <vt:variant>
        <vt:i4>150</vt:i4>
      </vt:variant>
      <vt:variant>
        <vt:i4>0</vt:i4>
      </vt:variant>
      <vt:variant>
        <vt:i4>5</vt:i4>
      </vt:variant>
      <vt:variant>
        <vt:lpwstr>http://www.nevo.co.il/case/18053327</vt:lpwstr>
      </vt:variant>
      <vt:variant>
        <vt:lpwstr/>
      </vt:variant>
      <vt:variant>
        <vt:i4>3473534</vt:i4>
      </vt:variant>
      <vt:variant>
        <vt:i4>147</vt:i4>
      </vt:variant>
      <vt:variant>
        <vt:i4>0</vt:i4>
      </vt:variant>
      <vt:variant>
        <vt:i4>5</vt:i4>
      </vt:variant>
      <vt:variant>
        <vt:lpwstr>http://www.nevo.co.il/case/3826347</vt:lpwstr>
      </vt:variant>
      <vt:variant>
        <vt:lpwstr/>
      </vt:variant>
      <vt:variant>
        <vt:i4>3342460</vt:i4>
      </vt:variant>
      <vt:variant>
        <vt:i4>144</vt:i4>
      </vt:variant>
      <vt:variant>
        <vt:i4>0</vt:i4>
      </vt:variant>
      <vt:variant>
        <vt:i4>5</vt:i4>
      </vt:variant>
      <vt:variant>
        <vt:lpwstr>http://www.nevo.co.il/case/5578150</vt:lpwstr>
      </vt:variant>
      <vt:variant>
        <vt:lpwstr/>
      </vt:variant>
      <vt:variant>
        <vt:i4>3932279</vt:i4>
      </vt:variant>
      <vt:variant>
        <vt:i4>141</vt:i4>
      </vt:variant>
      <vt:variant>
        <vt:i4>0</vt:i4>
      </vt:variant>
      <vt:variant>
        <vt:i4>5</vt:i4>
      </vt:variant>
      <vt:variant>
        <vt:lpwstr>http://www.nevo.co.il/case/17934709</vt:lpwstr>
      </vt:variant>
      <vt:variant>
        <vt:lpwstr/>
      </vt:variant>
      <vt:variant>
        <vt:i4>3866743</vt:i4>
      </vt:variant>
      <vt:variant>
        <vt:i4>138</vt:i4>
      </vt:variant>
      <vt:variant>
        <vt:i4>0</vt:i4>
      </vt:variant>
      <vt:variant>
        <vt:i4>5</vt:i4>
      </vt:variant>
      <vt:variant>
        <vt:lpwstr>http://www.nevo.co.il/case/21478552</vt:lpwstr>
      </vt:variant>
      <vt:variant>
        <vt:lpwstr/>
      </vt:variant>
      <vt:variant>
        <vt:i4>4063348</vt:i4>
      </vt:variant>
      <vt:variant>
        <vt:i4>135</vt:i4>
      </vt:variant>
      <vt:variant>
        <vt:i4>0</vt:i4>
      </vt:variant>
      <vt:variant>
        <vt:i4>5</vt:i4>
      </vt:variant>
      <vt:variant>
        <vt:lpwstr>http://www.nevo.co.il/case/6247854</vt:lpwstr>
      </vt:variant>
      <vt:variant>
        <vt:lpwstr/>
      </vt:variant>
      <vt:variant>
        <vt:i4>3276917</vt:i4>
      </vt:variant>
      <vt:variant>
        <vt:i4>132</vt:i4>
      </vt:variant>
      <vt:variant>
        <vt:i4>0</vt:i4>
      </vt:variant>
      <vt:variant>
        <vt:i4>5</vt:i4>
      </vt:variant>
      <vt:variant>
        <vt:lpwstr>http://www.nevo.co.il/case/21472762</vt:lpwstr>
      </vt:variant>
      <vt:variant>
        <vt:lpwstr/>
      </vt:variant>
      <vt:variant>
        <vt:i4>4128884</vt:i4>
      </vt:variant>
      <vt:variant>
        <vt:i4>129</vt:i4>
      </vt:variant>
      <vt:variant>
        <vt:i4>0</vt:i4>
      </vt:variant>
      <vt:variant>
        <vt:i4>5</vt:i4>
      </vt:variant>
      <vt:variant>
        <vt:lpwstr>http://www.nevo.co.il/case/10502090</vt:lpwstr>
      </vt:variant>
      <vt:variant>
        <vt:lpwstr/>
      </vt:variant>
      <vt:variant>
        <vt:i4>3735665</vt:i4>
      </vt:variant>
      <vt:variant>
        <vt:i4>126</vt:i4>
      </vt:variant>
      <vt:variant>
        <vt:i4>0</vt:i4>
      </vt:variant>
      <vt:variant>
        <vt:i4>5</vt:i4>
      </vt:variant>
      <vt:variant>
        <vt:lpwstr>http://www.nevo.co.il/case/16935047</vt:lpwstr>
      </vt:variant>
      <vt:variant>
        <vt:lpwstr/>
      </vt:variant>
      <vt:variant>
        <vt:i4>3407987</vt:i4>
      </vt:variant>
      <vt:variant>
        <vt:i4>123</vt:i4>
      </vt:variant>
      <vt:variant>
        <vt:i4>0</vt:i4>
      </vt:variant>
      <vt:variant>
        <vt:i4>5</vt:i4>
      </vt:variant>
      <vt:variant>
        <vt:lpwstr>http://www.nevo.co.il/case/21473119</vt:lpwstr>
      </vt:variant>
      <vt:variant>
        <vt:lpwstr/>
      </vt:variant>
      <vt:variant>
        <vt:i4>4915283</vt:i4>
      </vt:variant>
      <vt:variant>
        <vt:i4>120</vt:i4>
      </vt:variant>
      <vt:variant>
        <vt:i4>0</vt:i4>
      </vt:variant>
      <vt:variant>
        <vt:i4>5</vt:i4>
      </vt:variant>
      <vt:variant>
        <vt:lpwstr>http://www.nevo.co.il/law/70301/402.a</vt:lpwstr>
      </vt:variant>
      <vt:variant>
        <vt:lpwstr/>
      </vt:variant>
      <vt:variant>
        <vt:i4>3801209</vt:i4>
      </vt:variant>
      <vt:variant>
        <vt:i4>117</vt:i4>
      </vt:variant>
      <vt:variant>
        <vt:i4>0</vt:i4>
      </vt:variant>
      <vt:variant>
        <vt:i4>5</vt:i4>
      </vt:variant>
      <vt:variant>
        <vt:lpwstr>http://www.nevo.co.il/case/16987351</vt:lpwstr>
      </vt:variant>
      <vt:variant>
        <vt:lpwstr/>
      </vt:variant>
      <vt:variant>
        <vt:i4>4063359</vt:i4>
      </vt:variant>
      <vt:variant>
        <vt:i4>114</vt:i4>
      </vt:variant>
      <vt:variant>
        <vt:i4>0</vt:i4>
      </vt:variant>
      <vt:variant>
        <vt:i4>5</vt:i4>
      </vt:variant>
      <vt:variant>
        <vt:lpwstr>http://www.nevo.co.il/case/5906249</vt:lpwstr>
      </vt:variant>
      <vt:variant>
        <vt:lpwstr/>
      </vt:variant>
      <vt:variant>
        <vt:i4>3473524</vt:i4>
      </vt:variant>
      <vt:variant>
        <vt:i4>111</vt:i4>
      </vt:variant>
      <vt:variant>
        <vt:i4>0</vt:i4>
      </vt:variant>
      <vt:variant>
        <vt:i4>5</vt:i4>
      </vt:variant>
      <vt:variant>
        <vt:lpwstr>http://www.nevo.co.il/case/22112345</vt:lpwstr>
      </vt:variant>
      <vt:variant>
        <vt:lpwstr/>
      </vt:variant>
      <vt:variant>
        <vt:i4>3407991</vt:i4>
      </vt:variant>
      <vt:variant>
        <vt:i4>108</vt:i4>
      </vt:variant>
      <vt:variant>
        <vt:i4>0</vt:i4>
      </vt:variant>
      <vt:variant>
        <vt:i4>5</vt:i4>
      </vt:variant>
      <vt:variant>
        <vt:lpwstr>http://www.nevo.co.il/case/22607175</vt:lpwstr>
      </vt:variant>
      <vt:variant>
        <vt:lpwstr/>
      </vt:variant>
      <vt:variant>
        <vt:i4>3604605</vt:i4>
      </vt:variant>
      <vt:variant>
        <vt:i4>105</vt:i4>
      </vt:variant>
      <vt:variant>
        <vt:i4>0</vt:i4>
      </vt:variant>
      <vt:variant>
        <vt:i4>5</vt:i4>
      </vt:variant>
      <vt:variant>
        <vt:lpwstr>http://www.nevo.co.il/case/22696250</vt:lpwstr>
      </vt:variant>
      <vt:variant>
        <vt:lpwstr/>
      </vt:variant>
      <vt:variant>
        <vt:i4>3342453</vt:i4>
      </vt:variant>
      <vt:variant>
        <vt:i4>102</vt:i4>
      </vt:variant>
      <vt:variant>
        <vt:i4>0</vt:i4>
      </vt:variant>
      <vt:variant>
        <vt:i4>5</vt:i4>
      </vt:variant>
      <vt:variant>
        <vt:lpwstr>http://www.nevo.co.il/case/23129098</vt:lpwstr>
      </vt:variant>
      <vt:variant>
        <vt:lpwstr/>
      </vt:variant>
      <vt:variant>
        <vt:i4>3342454</vt:i4>
      </vt:variant>
      <vt:variant>
        <vt:i4>99</vt:i4>
      </vt:variant>
      <vt:variant>
        <vt:i4>0</vt:i4>
      </vt:variant>
      <vt:variant>
        <vt:i4>5</vt:i4>
      </vt:variant>
      <vt:variant>
        <vt:lpwstr>http://www.nevo.co.il/case/5958231</vt:lpwstr>
      </vt:variant>
      <vt:variant>
        <vt:lpwstr/>
      </vt:variant>
      <vt:variant>
        <vt:i4>3342457</vt:i4>
      </vt:variant>
      <vt:variant>
        <vt:i4>96</vt:i4>
      </vt:variant>
      <vt:variant>
        <vt:i4>0</vt:i4>
      </vt:variant>
      <vt:variant>
        <vt:i4>5</vt:i4>
      </vt:variant>
      <vt:variant>
        <vt:lpwstr>http://www.nevo.co.il/case/6058757</vt:lpwstr>
      </vt:variant>
      <vt:variant>
        <vt:lpwstr/>
      </vt:variant>
      <vt:variant>
        <vt:i4>3407987</vt:i4>
      </vt:variant>
      <vt:variant>
        <vt:i4>93</vt:i4>
      </vt:variant>
      <vt:variant>
        <vt:i4>0</vt:i4>
      </vt:variant>
      <vt:variant>
        <vt:i4>5</vt:i4>
      </vt:variant>
      <vt:variant>
        <vt:lpwstr>http://www.nevo.co.il/case/21474168</vt:lpwstr>
      </vt:variant>
      <vt:variant>
        <vt:lpwstr/>
      </vt:variant>
      <vt:variant>
        <vt:i4>3211379</vt:i4>
      </vt:variant>
      <vt:variant>
        <vt:i4>90</vt:i4>
      </vt:variant>
      <vt:variant>
        <vt:i4>0</vt:i4>
      </vt:variant>
      <vt:variant>
        <vt:i4>5</vt:i4>
      </vt:variant>
      <vt:variant>
        <vt:lpwstr>http://www.nevo.co.il/case/6024035</vt:lpwstr>
      </vt:variant>
      <vt:variant>
        <vt:lpwstr/>
      </vt:variant>
      <vt:variant>
        <vt:i4>3801212</vt:i4>
      </vt:variant>
      <vt:variant>
        <vt:i4>87</vt:i4>
      </vt:variant>
      <vt:variant>
        <vt:i4>0</vt:i4>
      </vt:variant>
      <vt:variant>
        <vt:i4>5</vt:i4>
      </vt:variant>
      <vt:variant>
        <vt:lpwstr>http://www.nevo.co.il/case/6078308</vt:lpwstr>
      </vt:variant>
      <vt:variant>
        <vt:lpwstr/>
      </vt:variant>
      <vt:variant>
        <vt:i4>3407991</vt:i4>
      </vt:variant>
      <vt:variant>
        <vt:i4>84</vt:i4>
      </vt:variant>
      <vt:variant>
        <vt:i4>0</vt:i4>
      </vt:variant>
      <vt:variant>
        <vt:i4>5</vt:i4>
      </vt:variant>
      <vt:variant>
        <vt:lpwstr>http://www.nevo.co.il/case/21475572</vt:lpwstr>
      </vt:variant>
      <vt:variant>
        <vt:lpwstr/>
      </vt:variant>
      <vt:variant>
        <vt:i4>3735675</vt:i4>
      </vt:variant>
      <vt:variant>
        <vt:i4>81</vt:i4>
      </vt:variant>
      <vt:variant>
        <vt:i4>0</vt:i4>
      </vt:variant>
      <vt:variant>
        <vt:i4>5</vt:i4>
      </vt:variant>
      <vt:variant>
        <vt:lpwstr>http://www.nevo.co.il/case/7791493</vt:lpwstr>
      </vt:variant>
      <vt:variant>
        <vt:lpwstr/>
      </vt:variant>
      <vt:variant>
        <vt:i4>3145847</vt:i4>
      </vt:variant>
      <vt:variant>
        <vt:i4>78</vt:i4>
      </vt:variant>
      <vt:variant>
        <vt:i4>0</vt:i4>
      </vt:variant>
      <vt:variant>
        <vt:i4>5</vt:i4>
      </vt:variant>
      <vt:variant>
        <vt:lpwstr>http://www.nevo.co.il/case/13090914</vt:lpwstr>
      </vt:variant>
      <vt:variant>
        <vt:lpwstr/>
      </vt:variant>
      <vt:variant>
        <vt:i4>3407987</vt:i4>
      </vt:variant>
      <vt:variant>
        <vt:i4>75</vt:i4>
      </vt:variant>
      <vt:variant>
        <vt:i4>0</vt:i4>
      </vt:variant>
      <vt:variant>
        <vt:i4>5</vt:i4>
      </vt:variant>
      <vt:variant>
        <vt:lpwstr>http://www.nevo.co.il/case/22006503</vt:lpwstr>
      </vt:variant>
      <vt:variant>
        <vt:lpwstr/>
      </vt:variant>
      <vt:variant>
        <vt:i4>3932287</vt:i4>
      </vt:variant>
      <vt:variant>
        <vt:i4>72</vt:i4>
      </vt:variant>
      <vt:variant>
        <vt:i4>0</vt:i4>
      </vt:variant>
      <vt:variant>
        <vt:i4>5</vt:i4>
      </vt:variant>
      <vt:variant>
        <vt:lpwstr>http://www.nevo.co.il/case/5821328</vt:lpwstr>
      </vt:variant>
      <vt:variant>
        <vt:lpwstr/>
      </vt:variant>
      <vt:variant>
        <vt:i4>3145854</vt:i4>
      </vt:variant>
      <vt:variant>
        <vt:i4>69</vt:i4>
      </vt:variant>
      <vt:variant>
        <vt:i4>0</vt:i4>
      </vt:variant>
      <vt:variant>
        <vt:i4>5</vt:i4>
      </vt:variant>
      <vt:variant>
        <vt:lpwstr>http://www.nevo.co.il/case/5852404</vt:lpwstr>
      </vt:variant>
      <vt:variant>
        <vt:lpwstr/>
      </vt:variant>
      <vt:variant>
        <vt:i4>3604593</vt:i4>
      </vt:variant>
      <vt:variant>
        <vt:i4>66</vt:i4>
      </vt:variant>
      <vt:variant>
        <vt:i4>0</vt:i4>
      </vt:variant>
      <vt:variant>
        <vt:i4>5</vt:i4>
      </vt:variant>
      <vt:variant>
        <vt:lpwstr>http://www.nevo.co.il/case/17929065</vt:lpwstr>
      </vt:variant>
      <vt:variant>
        <vt:lpwstr/>
      </vt:variant>
      <vt:variant>
        <vt:i4>3539005</vt:i4>
      </vt:variant>
      <vt:variant>
        <vt:i4>63</vt:i4>
      </vt:variant>
      <vt:variant>
        <vt:i4>0</vt:i4>
      </vt:variant>
      <vt:variant>
        <vt:i4>5</vt:i4>
      </vt:variant>
      <vt:variant>
        <vt:lpwstr>http://www.nevo.co.il/law/70301/hC</vt:lpwstr>
      </vt:variant>
      <vt:variant>
        <vt:lpwstr/>
      </vt:variant>
      <vt:variant>
        <vt:i4>7995492</vt:i4>
      </vt:variant>
      <vt:variant>
        <vt:i4>60</vt:i4>
      </vt:variant>
      <vt:variant>
        <vt:i4>0</vt:i4>
      </vt:variant>
      <vt:variant>
        <vt:i4>5</vt:i4>
      </vt:variant>
      <vt:variant>
        <vt:lpwstr>http://www.nevo.co.il/law/70301</vt:lpwstr>
      </vt:variant>
      <vt:variant>
        <vt:lpwstr/>
      </vt:variant>
      <vt:variant>
        <vt:i4>7995492</vt:i4>
      </vt:variant>
      <vt:variant>
        <vt:i4>57</vt:i4>
      </vt:variant>
      <vt:variant>
        <vt:i4>0</vt:i4>
      </vt:variant>
      <vt:variant>
        <vt:i4>5</vt:i4>
      </vt:variant>
      <vt:variant>
        <vt:lpwstr>http://www.nevo.co.il/law/70301</vt:lpwstr>
      </vt:variant>
      <vt:variant>
        <vt:lpwstr/>
      </vt:variant>
      <vt:variant>
        <vt:i4>4915202</vt:i4>
      </vt:variant>
      <vt:variant>
        <vt:i4>54</vt:i4>
      </vt:variant>
      <vt:variant>
        <vt:i4>0</vt:i4>
      </vt:variant>
      <vt:variant>
        <vt:i4>5</vt:i4>
      </vt:variant>
      <vt:variant>
        <vt:lpwstr>http://www.nevo.co.il/law/70301/40c.a</vt:lpwstr>
      </vt:variant>
      <vt:variant>
        <vt:lpwstr/>
      </vt:variant>
      <vt:variant>
        <vt:i4>4128884</vt:i4>
      </vt:variant>
      <vt:variant>
        <vt:i4>51</vt:i4>
      </vt:variant>
      <vt:variant>
        <vt:i4>0</vt:i4>
      </vt:variant>
      <vt:variant>
        <vt:i4>5</vt:i4>
      </vt:variant>
      <vt:variant>
        <vt:lpwstr>http://www.nevo.co.il/case/17954235</vt:lpwstr>
      </vt:variant>
      <vt:variant>
        <vt:lpwstr/>
      </vt:variant>
      <vt:variant>
        <vt:i4>3473526</vt:i4>
      </vt:variant>
      <vt:variant>
        <vt:i4>48</vt:i4>
      </vt:variant>
      <vt:variant>
        <vt:i4>0</vt:i4>
      </vt:variant>
      <vt:variant>
        <vt:i4>5</vt:i4>
      </vt:variant>
      <vt:variant>
        <vt:lpwstr>http://www.nevo.co.il/case/17023776</vt:lpwstr>
      </vt:variant>
      <vt:variant>
        <vt:lpwstr/>
      </vt:variant>
      <vt:variant>
        <vt:i4>3276920</vt:i4>
      </vt:variant>
      <vt:variant>
        <vt:i4>45</vt:i4>
      </vt:variant>
      <vt:variant>
        <vt:i4>0</vt:i4>
      </vt:variant>
      <vt:variant>
        <vt:i4>5</vt:i4>
      </vt:variant>
      <vt:variant>
        <vt:lpwstr>http://www.nevo.co.il/case/20157961</vt:lpwstr>
      </vt:variant>
      <vt:variant>
        <vt:lpwstr/>
      </vt:variant>
      <vt:variant>
        <vt:i4>3145849</vt:i4>
      </vt:variant>
      <vt:variant>
        <vt:i4>42</vt:i4>
      </vt:variant>
      <vt:variant>
        <vt:i4>0</vt:i4>
      </vt:variant>
      <vt:variant>
        <vt:i4>5</vt:i4>
      </vt:variant>
      <vt:variant>
        <vt:lpwstr>http://www.nevo.co.il/case/13093721</vt:lpwstr>
      </vt:variant>
      <vt:variant>
        <vt:lpwstr/>
      </vt:variant>
      <vt:variant>
        <vt:i4>6291559</vt:i4>
      </vt:variant>
      <vt:variant>
        <vt:i4>39</vt:i4>
      </vt:variant>
      <vt:variant>
        <vt:i4>0</vt:i4>
      </vt:variant>
      <vt:variant>
        <vt:i4>5</vt:i4>
      </vt:variant>
      <vt:variant>
        <vt:lpwstr>http://www.nevo.co.il/law/70301/25</vt:lpwstr>
      </vt:variant>
      <vt:variant>
        <vt:lpwstr/>
      </vt:variant>
      <vt:variant>
        <vt:i4>4915283</vt:i4>
      </vt:variant>
      <vt:variant>
        <vt:i4>36</vt:i4>
      </vt:variant>
      <vt:variant>
        <vt:i4>0</vt:i4>
      </vt:variant>
      <vt:variant>
        <vt:i4>5</vt:i4>
      </vt:variant>
      <vt:variant>
        <vt:lpwstr>http://www.nevo.co.il/law/70301/402.b</vt:lpwstr>
      </vt:variant>
      <vt:variant>
        <vt:lpwstr/>
      </vt:variant>
      <vt:variant>
        <vt:i4>5177424</vt:i4>
      </vt:variant>
      <vt:variant>
        <vt:i4>33</vt:i4>
      </vt:variant>
      <vt:variant>
        <vt:i4>0</vt:i4>
      </vt:variant>
      <vt:variant>
        <vt:i4>5</vt:i4>
      </vt:variant>
      <vt:variant>
        <vt:lpwstr>http://www.nevo.co.il/law/70301/144.b</vt:lpwstr>
      </vt:variant>
      <vt:variant>
        <vt:lpwstr/>
      </vt:variant>
      <vt:variant>
        <vt:i4>7995492</vt:i4>
      </vt:variant>
      <vt:variant>
        <vt:i4>30</vt:i4>
      </vt:variant>
      <vt:variant>
        <vt:i4>0</vt:i4>
      </vt:variant>
      <vt:variant>
        <vt:i4>5</vt:i4>
      </vt:variant>
      <vt:variant>
        <vt:lpwstr>http://www.nevo.co.il/law/70301</vt:lpwstr>
      </vt:variant>
      <vt:variant>
        <vt:lpwstr/>
      </vt:variant>
      <vt:variant>
        <vt:i4>5177424</vt:i4>
      </vt:variant>
      <vt:variant>
        <vt:i4>27</vt:i4>
      </vt:variant>
      <vt:variant>
        <vt:i4>0</vt:i4>
      </vt:variant>
      <vt:variant>
        <vt:i4>5</vt:i4>
      </vt:variant>
      <vt:variant>
        <vt:lpwstr>http://www.nevo.co.il/law/70301/144.a</vt:lpwstr>
      </vt:variant>
      <vt:variant>
        <vt:lpwstr/>
      </vt:variant>
      <vt:variant>
        <vt:i4>3539005</vt:i4>
      </vt:variant>
      <vt:variant>
        <vt:i4>24</vt:i4>
      </vt:variant>
      <vt:variant>
        <vt:i4>0</vt:i4>
      </vt:variant>
      <vt:variant>
        <vt:i4>5</vt:i4>
      </vt:variant>
      <vt:variant>
        <vt:lpwstr>http://www.nevo.co.il/law/70301/hC</vt:lpwstr>
      </vt:variant>
      <vt:variant>
        <vt:lpwstr/>
      </vt:variant>
      <vt:variant>
        <vt:i4>6553637</vt:i4>
      </vt:variant>
      <vt:variant>
        <vt:i4>21</vt:i4>
      </vt:variant>
      <vt:variant>
        <vt:i4>0</vt:i4>
      </vt:variant>
      <vt:variant>
        <vt:i4>5</vt:i4>
      </vt:variant>
      <vt:variant>
        <vt:lpwstr>http://www.nevo.co.il/law/70301/40jc.b</vt:lpwstr>
      </vt:variant>
      <vt:variant>
        <vt:lpwstr/>
      </vt:variant>
      <vt:variant>
        <vt:i4>4915283</vt:i4>
      </vt:variant>
      <vt:variant>
        <vt:i4>18</vt:i4>
      </vt:variant>
      <vt:variant>
        <vt:i4>0</vt:i4>
      </vt:variant>
      <vt:variant>
        <vt:i4>5</vt:i4>
      </vt:variant>
      <vt:variant>
        <vt:lpwstr>http://www.nevo.co.il/law/70301/402.b</vt:lpwstr>
      </vt:variant>
      <vt:variant>
        <vt:lpwstr/>
      </vt:variant>
      <vt:variant>
        <vt:i4>4915283</vt:i4>
      </vt:variant>
      <vt:variant>
        <vt:i4>15</vt:i4>
      </vt:variant>
      <vt:variant>
        <vt:i4>0</vt:i4>
      </vt:variant>
      <vt:variant>
        <vt:i4>5</vt:i4>
      </vt:variant>
      <vt:variant>
        <vt:lpwstr>http://www.nevo.co.il/law/70301/402.a</vt:lpwstr>
      </vt:variant>
      <vt:variant>
        <vt:lpwstr/>
      </vt:variant>
      <vt:variant>
        <vt:i4>5177424</vt:i4>
      </vt:variant>
      <vt:variant>
        <vt:i4>12</vt:i4>
      </vt:variant>
      <vt:variant>
        <vt:i4>0</vt:i4>
      </vt:variant>
      <vt:variant>
        <vt:i4>5</vt:i4>
      </vt:variant>
      <vt:variant>
        <vt:lpwstr>http://www.nevo.co.il/law/70301/144.b</vt:lpwstr>
      </vt:variant>
      <vt:variant>
        <vt:lpwstr/>
      </vt:variant>
      <vt:variant>
        <vt:i4>5177424</vt:i4>
      </vt:variant>
      <vt:variant>
        <vt:i4>9</vt:i4>
      </vt:variant>
      <vt:variant>
        <vt:i4>0</vt:i4>
      </vt:variant>
      <vt:variant>
        <vt:i4>5</vt:i4>
      </vt:variant>
      <vt:variant>
        <vt:lpwstr>http://www.nevo.co.il/law/70301/144.a</vt:lpwstr>
      </vt:variant>
      <vt:variant>
        <vt:lpwstr/>
      </vt:variant>
      <vt:variant>
        <vt:i4>4915202</vt:i4>
      </vt:variant>
      <vt:variant>
        <vt:i4>6</vt:i4>
      </vt:variant>
      <vt:variant>
        <vt:i4>0</vt:i4>
      </vt:variant>
      <vt:variant>
        <vt:i4>5</vt:i4>
      </vt:variant>
      <vt:variant>
        <vt:lpwstr>http://www.nevo.co.il/law/70301/40c.a</vt:lpwstr>
      </vt:variant>
      <vt:variant>
        <vt:lpwstr/>
      </vt:variant>
      <vt:variant>
        <vt:i4>6291559</vt:i4>
      </vt:variant>
      <vt:variant>
        <vt:i4>3</vt:i4>
      </vt:variant>
      <vt:variant>
        <vt:i4>0</vt:i4>
      </vt:variant>
      <vt:variant>
        <vt:i4>5</vt:i4>
      </vt:variant>
      <vt:variant>
        <vt:lpwstr>http://www.nevo.co.il/law/70301/25</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cp:lastPrinted>2018-06-06T07:12:00Z</cp:lastPrinted>
  <dcterms:created xsi:type="dcterms:W3CDTF">2025-01-19T16:18:00Z</dcterms:created>
  <dcterms:modified xsi:type="dcterms:W3CDTF">2025-01-19T16:18:00Z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50556</vt:lpwstr>
  </property>
  <property fmtid="{D5CDD505-2E9C-101B-9397-08002B2CF9AE}" pid="6" name="NEWPARTB">
    <vt:lpwstr>08</vt:lpwstr>
  </property>
  <property fmtid="{D5CDD505-2E9C-101B-9397-08002B2CF9AE}" pid="7" name="NEWPARTC">
    <vt:lpwstr>17</vt:lpwstr>
  </property>
  <property fmtid="{D5CDD505-2E9C-101B-9397-08002B2CF9AE}" pid="8" name="APPELLANT">
    <vt:lpwstr>מדינת ישראל- פמ#ד</vt:lpwstr>
  </property>
  <property fmtid="{D5CDD505-2E9C-101B-9397-08002B2CF9AE}" pid="9" name="APPELLEE">
    <vt:lpwstr>ליאור סולומון</vt:lpwstr>
  </property>
  <property fmtid="{D5CDD505-2E9C-101B-9397-08002B2CF9AE}" pid="10" name="LAWYER">
    <vt:lpwstr>ניר פוגל;גינת</vt:lpwstr>
  </property>
  <property fmtid="{D5CDD505-2E9C-101B-9397-08002B2CF9AE}" pid="11" name="JUDGE">
    <vt:lpwstr>דניאל בן טולילה</vt:lpwstr>
  </property>
  <property fmtid="{D5CDD505-2E9C-101B-9397-08002B2CF9AE}" pid="12" name="CITY">
    <vt:lpwstr>ב"ש</vt:lpwstr>
  </property>
  <property fmtid="{D5CDD505-2E9C-101B-9397-08002B2CF9AE}" pid="13" name="DATE">
    <vt:lpwstr>20180605</vt:lpwstr>
  </property>
  <property fmtid="{D5CDD505-2E9C-101B-9397-08002B2CF9AE}" pid="14" name="TYPE_N_DATE">
    <vt:lpwstr>39020180605</vt:lpwstr>
  </property>
  <property fmtid="{D5CDD505-2E9C-101B-9397-08002B2CF9AE}" pid="15" name="CASESLISTTMP1">
    <vt:lpwstr>13093721;20157961;17023776;17954235;17929065;5852404;5821328;22006503;13090914;7791493;21475572;6078308;6024035;21474168;6058757;5958231;23129098;22696250;22607175;22112345;5906249;16987351;21473119;16935047;10502090;21472762;6247854;21478552;17934709</vt:lpwstr>
  </property>
  <property fmtid="{D5CDD505-2E9C-101B-9397-08002B2CF9AE}" pid="16" name="CASESLISTTMP2">
    <vt:lpwstr>5578150;3826347;18053327;7935646:2;21572055:2;5588062</vt:lpwstr>
  </property>
  <property fmtid="{D5CDD505-2E9C-101B-9397-08002B2CF9AE}" pid="17" name="CASENOTES1">
    <vt:lpwstr>ProcID=30&amp;PartA=625&amp;PartC=82</vt:lpwstr>
  </property>
  <property fmtid="{D5CDD505-2E9C-101B-9397-08002B2CF9AE}" pid="18" name="CASENOTES2">
    <vt:lpwstr>ProcID=133;209&amp;PartA=1332&amp;PartC=04</vt:lpwstr>
  </property>
  <property fmtid="{D5CDD505-2E9C-101B-9397-08002B2CF9AE}" pid="19" name="WORDNUMPAGES">
    <vt:lpwstr>13</vt:lpwstr>
  </property>
  <property fmtid="{D5CDD505-2E9C-101B-9397-08002B2CF9AE}" pid="20" name="TYPE_ABS_DATE">
    <vt:lpwstr>390020180605</vt:lpwstr>
  </property>
  <property fmtid="{D5CDD505-2E9C-101B-9397-08002B2CF9AE}" pid="21" name="ISABSTRACT">
    <vt:lpwstr>Y</vt:lpwstr>
  </property>
  <property fmtid="{D5CDD505-2E9C-101B-9397-08002B2CF9AE}" pid="22" name="APPELLANT1">
    <vt:lpwstr/>
  </property>
  <property fmtid="{D5CDD505-2E9C-101B-9397-08002B2CF9AE}" pid="23" name="APPELLANT2">
    <vt:lpwstr/>
  </property>
  <property fmtid="{D5CDD505-2E9C-101B-9397-08002B2CF9AE}" pid="24" name="APPELLEE1">
    <vt:lpwstr/>
  </property>
  <property fmtid="{D5CDD505-2E9C-101B-9397-08002B2CF9AE}" pid="25" name="APPELLEE2">
    <vt:lpwstr/>
  </property>
  <property fmtid="{D5CDD505-2E9C-101B-9397-08002B2CF9AE}" pid="26" name="PROCESS">
    <vt:lpwstr/>
  </property>
  <property fmtid="{D5CDD505-2E9C-101B-9397-08002B2CF9AE}" pid="27" name="PROCNUM">
    <vt:lpwstr/>
  </property>
  <property fmtid="{D5CDD505-2E9C-101B-9397-08002B2CF9AE}" pid="28" name="PROCYEAR">
    <vt:lpwstr/>
  </property>
  <property fmtid="{D5CDD505-2E9C-101B-9397-08002B2CF9AE}" pid="29" name="VOLUME">
    <vt:lpwstr/>
  </property>
  <property fmtid="{D5CDD505-2E9C-101B-9397-08002B2CF9AE}" pid="30" name="PART">
    <vt:lpwstr/>
  </property>
  <property fmtid="{D5CDD505-2E9C-101B-9397-08002B2CF9AE}" pid="31" name="PAGE">
    <vt:lpwstr/>
  </property>
  <property fmtid="{D5CDD505-2E9C-101B-9397-08002B2CF9AE}" pid="32" name="PADIMAIL">
    <vt:lpwstr/>
  </property>
  <property fmtid="{D5CDD505-2E9C-101B-9397-08002B2CF9AE}" pid="33" name="DELEMATA">
    <vt:lpwstr/>
  </property>
  <property fmtid="{D5CDD505-2E9C-101B-9397-08002B2CF9AE}" pid="34" name="LINKK1">
    <vt:lpwstr/>
  </property>
  <property fmtid="{D5CDD505-2E9C-101B-9397-08002B2CF9AE}" pid="35" name="LINKK2">
    <vt:lpwstr/>
  </property>
  <property fmtid="{D5CDD505-2E9C-101B-9397-08002B2CF9AE}" pid="36" name="LINKK3">
    <vt:lpwstr/>
  </property>
  <property fmtid="{D5CDD505-2E9C-101B-9397-08002B2CF9AE}" pid="37" name="LINKK4">
    <vt:lpwstr/>
  </property>
  <property fmtid="{D5CDD505-2E9C-101B-9397-08002B2CF9AE}" pid="38" name="LINKK5">
    <vt:lpwstr/>
  </property>
  <property fmtid="{D5CDD505-2E9C-101B-9397-08002B2CF9AE}" pid="39" name="LAWLISTTMP1">
    <vt:lpwstr>70301/144.a;144.b;402.b;025;040c.a;hC;402.a;40jc.b</vt:lpwstr>
  </property>
</Properties>
</file>