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F0D74" w:rsidRPr="00AE1E60" w14:paraId="2C17E2BA" w14:textId="77777777" w:rsidTr="00C92A43">
        <w:trPr>
          <w:trHeight w:hRule="exact" w:val="418"/>
          <w:jc w:val="center"/>
        </w:trPr>
        <w:tc>
          <w:tcPr>
            <w:tcW w:w="8721" w:type="dxa"/>
            <w:gridSpan w:val="2"/>
          </w:tcPr>
          <w:p w14:paraId="2DEE5AA3" w14:textId="77777777" w:rsidR="006F0D74" w:rsidRPr="00AE1E60" w:rsidRDefault="006F0D74" w:rsidP="0003468B">
            <w:pPr>
              <w:pStyle w:val="a3"/>
              <w:jc w:val="center"/>
              <w:rPr>
                <w:rFonts w:ascii="Tahoma" w:hAnsi="Tahoma" w:cs="Tahoma"/>
                <w:color w:val="000080"/>
                <w:rtl/>
              </w:rPr>
            </w:pPr>
            <w:bookmarkStart w:id="0" w:name="LastJudge"/>
            <w:r w:rsidRPr="00AE1E60">
              <w:rPr>
                <w:rFonts w:ascii="Tahoma" w:hAnsi="Tahoma" w:cs="Tahoma"/>
                <w:b/>
                <w:bCs/>
                <w:color w:val="000080"/>
                <w:rtl/>
              </w:rPr>
              <w:t>בית המשפט המחוזי בחיפה</w:t>
            </w:r>
          </w:p>
        </w:tc>
      </w:tr>
      <w:tr w:rsidR="006F0D74" w:rsidRPr="00AE1E60" w14:paraId="06A0912C" w14:textId="77777777" w:rsidTr="00C92A43">
        <w:trPr>
          <w:trHeight w:val="337"/>
          <w:jc w:val="center"/>
        </w:trPr>
        <w:tc>
          <w:tcPr>
            <w:tcW w:w="5054" w:type="dxa"/>
          </w:tcPr>
          <w:p w14:paraId="2B61C64C" w14:textId="77777777" w:rsidR="006F0D74" w:rsidRPr="0015434D" w:rsidRDefault="006F0D74" w:rsidP="0003468B">
            <w:pPr>
              <w:rPr>
                <w:rFonts w:ascii="David" w:hAnsi="David"/>
                <w:b/>
                <w:bCs/>
                <w:sz w:val="26"/>
                <w:szCs w:val="26"/>
                <w:rtl/>
              </w:rPr>
            </w:pPr>
            <w:r w:rsidRPr="0015434D">
              <w:rPr>
                <w:rFonts w:ascii="David" w:hAnsi="David"/>
                <w:b/>
                <w:bCs/>
                <w:sz w:val="26"/>
                <w:szCs w:val="26"/>
                <w:rtl/>
              </w:rPr>
              <w:t>ת"פ 49995-09-17 מדינת ישראל נ' עלי</w:t>
            </w:r>
          </w:p>
          <w:p w14:paraId="61012B72" w14:textId="77777777" w:rsidR="006F0D74" w:rsidRPr="00AE1E60" w:rsidRDefault="006F0D74" w:rsidP="0003468B">
            <w:pPr>
              <w:pStyle w:val="a3"/>
              <w:rPr>
                <w:rFonts w:cs="FrankRuehl"/>
                <w:sz w:val="28"/>
                <w:szCs w:val="28"/>
                <w:rtl/>
              </w:rPr>
            </w:pPr>
          </w:p>
        </w:tc>
        <w:tc>
          <w:tcPr>
            <w:tcW w:w="3667" w:type="dxa"/>
          </w:tcPr>
          <w:p w14:paraId="04ECAC74" w14:textId="77777777" w:rsidR="006F0D74" w:rsidRPr="00AE1E60" w:rsidRDefault="006F0D74" w:rsidP="0003468B">
            <w:pPr>
              <w:pStyle w:val="a3"/>
              <w:jc w:val="right"/>
              <w:rPr>
                <w:rFonts w:cs="FrankRuehl"/>
                <w:sz w:val="28"/>
                <w:szCs w:val="28"/>
                <w:rtl/>
              </w:rPr>
            </w:pPr>
          </w:p>
        </w:tc>
      </w:tr>
    </w:tbl>
    <w:p w14:paraId="58EDECD8" w14:textId="77777777" w:rsidR="006F0D74" w:rsidRPr="00AE1E60" w:rsidRDefault="006F0D74" w:rsidP="006F0D74">
      <w:pPr>
        <w:pStyle w:val="a3"/>
        <w:rPr>
          <w:rtl/>
        </w:rPr>
      </w:pPr>
      <w:r w:rsidRPr="00AE1E60">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03468B" w:rsidRPr="00AE1E60" w14:paraId="4283A278" w14:textId="77777777" w:rsidTr="00547F0B">
        <w:trPr>
          <w:gridAfter w:val="1"/>
          <w:wAfter w:w="84" w:type="dxa"/>
        </w:trPr>
        <w:tc>
          <w:tcPr>
            <w:tcW w:w="8718" w:type="dxa"/>
            <w:gridSpan w:val="2"/>
            <w:shd w:val="clear" w:color="auto" w:fill="auto"/>
          </w:tcPr>
          <w:p w14:paraId="3AA40C96" w14:textId="77777777" w:rsidR="006F0D74" w:rsidRPr="00AE1E60" w:rsidRDefault="006F0D74" w:rsidP="0003468B">
            <w:pPr>
              <w:rPr>
                <w:b/>
                <w:bCs/>
                <w:sz w:val="26"/>
                <w:szCs w:val="26"/>
                <w:rtl/>
              </w:rPr>
            </w:pPr>
            <w:r w:rsidRPr="00AE1E60">
              <w:rPr>
                <w:rFonts w:hint="cs"/>
                <w:b/>
                <w:bCs/>
                <w:sz w:val="26"/>
                <w:szCs w:val="26"/>
                <w:rtl/>
              </w:rPr>
              <w:t>לפני כבוד השופטת רונית בש</w:t>
            </w:r>
            <w:r w:rsidRPr="00AE1E60">
              <w:rPr>
                <w:rStyle w:val="TimesNewRomanTimesNewRoman"/>
                <w:rFonts w:hint="cs"/>
                <w:rtl/>
              </w:rPr>
              <w:t xml:space="preserve"> </w:t>
            </w:r>
          </w:p>
        </w:tc>
      </w:tr>
      <w:tr w:rsidR="0003468B" w:rsidRPr="00AE1E60" w14:paraId="102433B7" w14:textId="77777777" w:rsidTr="00547F0B">
        <w:trPr>
          <w:cantSplit/>
          <w:trHeight w:val="724"/>
        </w:trPr>
        <w:tc>
          <w:tcPr>
            <w:tcW w:w="2880" w:type="dxa"/>
            <w:shd w:val="clear" w:color="auto" w:fill="auto"/>
          </w:tcPr>
          <w:p w14:paraId="4EFCB67A" w14:textId="77777777" w:rsidR="006F0D74" w:rsidRPr="00AE1E60" w:rsidRDefault="006F0D74" w:rsidP="006F0D74">
            <w:pPr>
              <w:ind w:left="26"/>
              <w:rPr>
                <w:b/>
                <w:bCs/>
                <w:sz w:val="26"/>
                <w:szCs w:val="26"/>
                <w:rtl/>
              </w:rPr>
            </w:pPr>
            <w:bookmarkStart w:id="1" w:name="FirstAppellant"/>
          </w:p>
          <w:p w14:paraId="4FF13AD7" w14:textId="77777777" w:rsidR="006F0D74" w:rsidRPr="00AE1E60" w:rsidRDefault="006F0D74" w:rsidP="006F0D74">
            <w:pPr>
              <w:ind w:left="26"/>
              <w:rPr>
                <w:b/>
                <w:bCs/>
                <w:sz w:val="26"/>
                <w:szCs w:val="26"/>
                <w:rtl/>
              </w:rPr>
            </w:pPr>
            <w:r w:rsidRPr="00AE1E60">
              <w:rPr>
                <w:rFonts w:hint="cs"/>
                <w:b/>
                <w:bCs/>
                <w:sz w:val="26"/>
                <w:szCs w:val="26"/>
                <w:rtl/>
              </w:rPr>
              <w:t>המאשימה</w:t>
            </w:r>
            <w:r w:rsidRPr="00AE1E60">
              <w:rPr>
                <w:b/>
                <w:bCs/>
                <w:sz w:val="26"/>
                <w:szCs w:val="26"/>
                <w:rtl/>
              </w:rPr>
              <w:t>:</w:t>
            </w:r>
          </w:p>
        </w:tc>
        <w:tc>
          <w:tcPr>
            <w:tcW w:w="5922" w:type="dxa"/>
            <w:gridSpan w:val="2"/>
            <w:shd w:val="clear" w:color="auto" w:fill="auto"/>
          </w:tcPr>
          <w:p w14:paraId="746B1FBF" w14:textId="77777777" w:rsidR="006F0D74" w:rsidRPr="00AE1E60" w:rsidRDefault="006F0D74" w:rsidP="0003468B">
            <w:pPr>
              <w:rPr>
                <w:rtl/>
              </w:rPr>
            </w:pPr>
          </w:p>
          <w:p w14:paraId="4CADD3D4" w14:textId="77777777" w:rsidR="006F0D74" w:rsidRPr="00AE1E60" w:rsidRDefault="006F0D74" w:rsidP="0003468B">
            <w:pPr>
              <w:rPr>
                <w:b/>
                <w:bCs/>
                <w:sz w:val="26"/>
                <w:szCs w:val="26"/>
                <w:rtl/>
              </w:rPr>
            </w:pPr>
            <w:r w:rsidRPr="00AE1E60">
              <w:rPr>
                <w:rtl/>
              </w:rPr>
              <w:t xml:space="preserve"> </w:t>
            </w:r>
            <w:r w:rsidRPr="00AE1E60">
              <w:rPr>
                <w:rFonts w:hint="cs"/>
                <w:b/>
                <w:bCs/>
                <w:sz w:val="26"/>
                <w:szCs w:val="26"/>
                <w:rtl/>
              </w:rPr>
              <w:t>מדינת ישראל</w:t>
            </w:r>
          </w:p>
          <w:p w14:paraId="43A44628" w14:textId="77777777" w:rsidR="006F0D74" w:rsidRPr="00AE1E60" w:rsidRDefault="006F0D74" w:rsidP="0003468B">
            <w:pPr>
              <w:rPr>
                <w:b/>
                <w:bCs/>
                <w:sz w:val="26"/>
                <w:szCs w:val="26"/>
                <w:rtl/>
              </w:rPr>
            </w:pPr>
          </w:p>
        </w:tc>
      </w:tr>
      <w:bookmarkEnd w:id="1"/>
      <w:tr w:rsidR="0003468B" w:rsidRPr="00AE1E60" w14:paraId="57308060" w14:textId="77777777" w:rsidTr="00547F0B">
        <w:tc>
          <w:tcPr>
            <w:tcW w:w="8802" w:type="dxa"/>
            <w:gridSpan w:val="3"/>
            <w:shd w:val="clear" w:color="auto" w:fill="auto"/>
            <w:vAlign w:val="center"/>
          </w:tcPr>
          <w:p w14:paraId="57E0BC62" w14:textId="77777777" w:rsidR="006F0D74" w:rsidRPr="00AE1E60" w:rsidRDefault="006F0D74" w:rsidP="006F0D74">
            <w:pPr>
              <w:jc w:val="center"/>
              <w:rPr>
                <w:rFonts w:ascii="Arial" w:hAnsi="Arial"/>
                <w:b/>
                <w:bCs/>
                <w:sz w:val="26"/>
                <w:szCs w:val="26"/>
                <w:rtl/>
              </w:rPr>
            </w:pPr>
          </w:p>
          <w:p w14:paraId="63A7F1B0" w14:textId="77777777" w:rsidR="006F0D74" w:rsidRPr="00AE1E60" w:rsidRDefault="006F0D74" w:rsidP="006F0D74">
            <w:pPr>
              <w:jc w:val="center"/>
              <w:rPr>
                <w:rFonts w:ascii="Arial" w:hAnsi="Arial"/>
                <w:b/>
                <w:bCs/>
                <w:sz w:val="26"/>
                <w:szCs w:val="26"/>
                <w:rtl/>
              </w:rPr>
            </w:pPr>
            <w:r w:rsidRPr="00AE1E60">
              <w:rPr>
                <w:rFonts w:ascii="Arial" w:hAnsi="Arial" w:hint="cs"/>
                <w:b/>
                <w:bCs/>
                <w:sz w:val="26"/>
                <w:szCs w:val="26"/>
                <w:rtl/>
              </w:rPr>
              <w:t>נגד</w:t>
            </w:r>
          </w:p>
          <w:p w14:paraId="3CEFD0F8" w14:textId="77777777" w:rsidR="006F0D74" w:rsidRPr="00AE1E60" w:rsidRDefault="006F0D74" w:rsidP="0003468B">
            <w:pPr>
              <w:rPr>
                <w:rFonts w:ascii="Arial" w:hAnsi="Arial"/>
                <w:b/>
                <w:bCs/>
                <w:sz w:val="26"/>
                <w:szCs w:val="26"/>
                <w:rtl/>
              </w:rPr>
            </w:pPr>
          </w:p>
        </w:tc>
      </w:tr>
      <w:tr w:rsidR="0003468B" w:rsidRPr="00AE1E60" w14:paraId="75E6AA82" w14:textId="77777777" w:rsidTr="00547F0B">
        <w:tc>
          <w:tcPr>
            <w:tcW w:w="2880" w:type="dxa"/>
            <w:shd w:val="clear" w:color="auto" w:fill="auto"/>
          </w:tcPr>
          <w:p w14:paraId="7AB9CB3F" w14:textId="77777777" w:rsidR="006F0D74" w:rsidRPr="00AE1E60" w:rsidRDefault="006F0D74" w:rsidP="006F0D74">
            <w:pPr>
              <w:ind w:left="26"/>
              <w:rPr>
                <w:b/>
                <w:bCs/>
                <w:sz w:val="26"/>
                <w:szCs w:val="26"/>
              </w:rPr>
            </w:pPr>
            <w:r w:rsidRPr="00AE1E60">
              <w:rPr>
                <w:rFonts w:hint="cs"/>
                <w:b/>
                <w:bCs/>
                <w:sz w:val="26"/>
                <w:szCs w:val="26"/>
                <w:rtl/>
              </w:rPr>
              <w:t>הנאשם</w:t>
            </w:r>
            <w:r w:rsidRPr="00AE1E60">
              <w:rPr>
                <w:b/>
                <w:bCs/>
                <w:sz w:val="26"/>
                <w:szCs w:val="26"/>
                <w:rtl/>
              </w:rPr>
              <w:t>:</w:t>
            </w:r>
          </w:p>
        </w:tc>
        <w:tc>
          <w:tcPr>
            <w:tcW w:w="5922" w:type="dxa"/>
            <w:gridSpan w:val="2"/>
            <w:shd w:val="clear" w:color="auto" w:fill="auto"/>
          </w:tcPr>
          <w:p w14:paraId="44B73110" w14:textId="77777777" w:rsidR="006F0D74" w:rsidRPr="00AE1E60" w:rsidRDefault="006F0D74" w:rsidP="0003468B">
            <w:pPr>
              <w:rPr>
                <w:b/>
                <w:bCs/>
                <w:sz w:val="26"/>
                <w:szCs w:val="26"/>
                <w:rtl/>
              </w:rPr>
            </w:pPr>
            <w:r w:rsidRPr="00AE1E60">
              <w:rPr>
                <w:rtl/>
              </w:rPr>
              <w:t xml:space="preserve"> </w:t>
            </w:r>
            <w:r w:rsidRPr="00AE1E60">
              <w:rPr>
                <w:rFonts w:hint="cs"/>
                <w:b/>
                <w:bCs/>
                <w:sz w:val="26"/>
                <w:szCs w:val="26"/>
                <w:rtl/>
              </w:rPr>
              <w:t>סאמי עלי</w:t>
            </w:r>
            <w:r w:rsidRPr="00AE1E60">
              <w:rPr>
                <w:rtl/>
              </w:rPr>
              <w:t xml:space="preserve"> </w:t>
            </w:r>
            <w:r w:rsidRPr="00AE1E60">
              <w:rPr>
                <w:rFonts w:hint="cs"/>
                <w:b/>
                <w:bCs/>
                <w:sz w:val="26"/>
                <w:szCs w:val="26"/>
                <w:rtl/>
              </w:rPr>
              <w:t xml:space="preserve">ת.ז.  </w:t>
            </w:r>
            <w:r w:rsidR="00AE1E60">
              <w:rPr>
                <w:b/>
                <w:bCs/>
                <w:sz w:val="26"/>
                <w:szCs w:val="26"/>
              </w:rPr>
              <w:t>xxxxxxxxxx</w:t>
            </w:r>
          </w:p>
          <w:p w14:paraId="42E21259" w14:textId="77777777" w:rsidR="006F0D74" w:rsidRPr="00AE1E60" w:rsidRDefault="006F0D74" w:rsidP="0003468B">
            <w:pPr>
              <w:rPr>
                <w:b/>
                <w:bCs/>
                <w:sz w:val="26"/>
                <w:szCs w:val="26"/>
                <w:rtl/>
              </w:rPr>
            </w:pPr>
          </w:p>
        </w:tc>
      </w:tr>
    </w:tbl>
    <w:p w14:paraId="2D2836B0" w14:textId="77777777" w:rsidR="00547F0B" w:rsidRPr="00547F0B" w:rsidRDefault="00547F0B" w:rsidP="00547F0B">
      <w:pPr>
        <w:spacing w:after="120" w:line="240" w:lineRule="exact"/>
        <w:ind w:left="283" w:hanging="283"/>
        <w:jc w:val="both"/>
        <w:rPr>
          <w:rFonts w:ascii="FrankRuehl" w:hAnsi="FrankRuehl" w:cs="FrankRuehl"/>
          <w:rtl/>
        </w:rPr>
      </w:pPr>
      <w:bookmarkStart w:id="2" w:name="LawTable"/>
      <w:bookmarkEnd w:id="0"/>
      <w:bookmarkEnd w:id="2"/>
    </w:p>
    <w:p w14:paraId="7AC6C258" w14:textId="77777777" w:rsidR="00547F0B" w:rsidRPr="00547F0B" w:rsidRDefault="00547F0B" w:rsidP="00547F0B">
      <w:pPr>
        <w:spacing w:after="120" w:line="240" w:lineRule="exact"/>
        <w:ind w:left="283" w:hanging="283"/>
        <w:jc w:val="both"/>
        <w:rPr>
          <w:rFonts w:ascii="FrankRuehl" w:hAnsi="FrankRuehl" w:cs="FrankRuehl"/>
          <w:rtl/>
        </w:rPr>
      </w:pPr>
      <w:r w:rsidRPr="00547F0B">
        <w:rPr>
          <w:rFonts w:ascii="FrankRuehl" w:hAnsi="FrankRuehl" w:cs="FrankRuehl"/>
          <w:rtl/>
        </w:rPr>
        <w:t xml:space="preserve">חקיקה שאוזכרה: </w:t>
      </w:r>
    </w:p>
    <w:p w14:paraId="361AA3F4" w14:textId="77777777" w:rsidR="00547F0B" w:rsidRPr="00547F0B" w:rsidRDefault="00547F0B" w:rsidP="00547F0B">
      <w:pPr>
        <w:spacing w:after="120" w:line="240" w:lineRule="exact"/>
        <w:ind w:left="283" w:hanging="283"/>
        <w:jc w:val="both"/>
        <w:rPr>
          <w:rFonts w:ascii="FrankRuehl" w:hAnsi="FrankRuehl" w:cs="FrankRuehl"/>
          <w:rtl/>
        </w:rPr>
      </w:pPr>
      <w:hyperlink r:id="rId7" w:history="1">
        <w:r w:rsidRPr="00547F0B">
          <w:rPr>
            <w:rFonts w:ascii="FrankRuehl" w:hAnsi="FrankRuehl" w:cs="FrankRuehl"/>
            <w:color w:val="0000FF"/>
            <w:u w:val="single"/>
            <w:rtl/>
          </w:rPr>
          <w:t>חוק העונשין, תשל"ז-1977</w:t>
        </w:r>
      </w:hyperlink>
      <w:r w:rsidRPr="00547F0B">
        <w:rPr>
          <w:rFonts w:ascii="FrankRuehl" w:hAnsi="FrankRuehl" w:cs="FrankRuehl"/>
          <w:rtl/>
        </w:rPr>
        <w:t xml:space="preserve">: סע'  </w:t>
      </w:r>
      <w:hyperlink r:id="rId8" w:history="1">
        <w:r w:rsidRPr="00547F0B">
          <w:rPr>
            <w:rFonts w:ascii="FrankRuehl" w:hAnsi="FrankRuehl" w:cs="FrankRuehl"/>
            <w:color w:val="0000FF"/>
            <w:u w:val="single"/>
            <w:rtl/>
          </w:rPr>
          <w:t>40ב</w:t>
        </w:r>
      </w:hyperlink>
      <w:r w:rsidRPr="00547F0B">
        <w:rPr>
          <w:rFonts w:ascii="FrankRuehl" w:hAnsi="FrankRuehl" w:cs="FrankRuehl"/>
          <w:rtl/>
        </w:rPr>
        <w:t xml:space="preserve">, </w:t>
      </w:r>
      <w:hyperlink r:id="rId9" w:history="1">
        <w:r w:rsidRPr="00547F0B">
          <w:rPr>
            <w:rFonts w:ascii="FrankRuehl" w:hAnsi="FrankRuehl" w:cs="FrankRuehl"/>
            <w:color w:val="0000FF"/>
            <w:u w:val="single"/>
            <w:rtl/>
          </w:rPr>
          <w:t>40ג</w:t>
        </w:r>
      </w:hyperlink>
      <w:r w:rsidRPr="00547F0B">
        <w:rPr>
          <w:rFonts w:ascii="FrankRuehl" w:hAnsi="FrankRuehl" w:cs="FrankRuehl"/>
          <w:rtl/>
        </w:rPr>
        <w:t xml:space="preserve">, </w:t>
      </w:r>
      <w:hyperlink r:id="rId10" w:history="1">
        <w:r w:rsidRPr="00547F0B">
          <w:rPr>
            <w:rFonts w:ascii="FrankRuehl" w:hAnsi="FrankRuehl" w:cs="FrankRuehl"/>
            <w:color w:val="0000FF"/>
            <w:u w:val="single"/>
            <w:rtl/>
          </w:rPr>
          <w:t>40ט</w:t>
        </w:r>
      </w:hyperlink>
      <w:r w:rsidRPr="00547F0B">
        <w:rPr>
          <w:rFonts w:ascii="FrankRuehl" w:hAnsi="FrankRuehl" w:cs="FrankRuehl"/>
          <w:rtl/>
        </w:rPr>
        <w:t xml:space="preserve">, </w:t>
      </w:r>
      <w:hyperlink r:id="rId11" w:history="1">
        <w:r w:rsidRPr="00547F0B">
          <w:rPr>
            <w:rFonts w:ascii="FrankRuehl" w:hAnsi="FrankRuehl" w:cs="FrankRuehl"/>
            <w:color w:val="0000FF"/>
            <w:u w:val="single"/>
            <w:rtl/>
          </w:rPr>
          <w:t>144</w:t>
        </w:r>
      </w:hyperlink>
      <w:r w:rsidRPr="00547F0B">
        <w:rPr>
          <w:rFonts w:ascii="FrankRuehl" w:hAnsi="FrankRuehl" w:cs="FrankRuehl"/>
          <w:rtl/>
        </w:rPr>
        <w:t xml:space="preserve">, </w:t>
      </w:r>
      <w:hyperlink r:id="rId12" w:history="1">
        <w:r w:rsidRPr="00547F0B">
          <w:rPr>
            <w:rFonts w:ascii="FrankRuehl" w:hAnsi="FrankRuehl" w:cs="FrankRuehl"/>
            <w:color w:val="0000FF"/>
            <w:u w:val="single"/>
            <w:rtl/>
          </w:rPr>
          <w:t>144 (א)</w:t>
        </w:r>
      </w:hyperlink>
      <w:r w:rsidRPr="00547F0B">
        <w:rPr>
          <w:rFonts w:ascii="FrankRuehl" w:hAnsi="FrankRuehl" w:cs="FrankRuehl"/>
          <w:rtl/>
        </w:rPr>
        <w:t xml:space="preserve">, </w:t>
      </w:r>
      <w:hyperlink r:id="rId13" w:history="1">
        <w:r w:rsidRPr="00547F0B">
          <w:rPr>
            <w:rFonts w:ascii="FrankRuehl" w:hAnsi="FrankRuehl" w:cs="FrankRuehl"/>
            <w:color w:val="0000FF"/>
            <w:u w:val="single"/>
            <w:rtl/>
          </w:rPr>
          <w:t>144 (ב2)</w:t>
        </w:r>
      </w:hyperlink>
      <w:r w:rsidRPr="00547F0B">
        <w:rPr>
          <w:rFonts w:ascii="FrankRuehl" w:hAnsi="FrankRuehl" w:cs="FrankRuehl"/>
          <w:rtl/>
        </w:rPr>
        <w:t xml:space="preserve">, </w:t>
      </w:r>
      <w:hyperlink r:id="rId14" w:history="1">
        <w:r w:rsidRPr="00547F0B">
          <w:rPr>
            <w:rFonts w:ascii="FrankRuehl" w:hAnsi="FrankRuehl" w:cs="FrankRuehl"/>
            <w:color w:val="0000FF"/>
            <w:u w:val="single"/>
            <w:rtl/>
          </w:rPr>
          <w:t>144 (ג)(3)</w:t>
        </w:r>
      </w:hyperlink>
      <w:r w:rsidRPr="00547F0B">
        <w:rPr>
          <w:rFonts w:ascii="FrankRuehl" w:hAnsi="FrankRuehl" w:cs="FrankRuehl"/>
          <w:rtl/>
        </w:rPr>
        <w:t xml:space="preserve">, </w:t>
      </w:r>
      <w:hyperlink r:id="rId15" w:history="1">
        <w:r w:rsidRPr="00547F0B">
          <w:rPr>
            <w:rFonts w:ascii="FrankRuehl" w:hAnsi="FrankRuehl" w:cs="FrankRuehl"/>
            <w:color w:val="0000FF"/>
            <w:u w:val="single"/>
            <w:rtl/>
          </w:rPr>
          <w:t>186</w:t>
        </w:r>
      </w:hyperlink>
      <w:r w:rsidRPr="00547F0B">
        <w:rPr>
          <w:rFonts w:ascii="FrankRuehl" w:hAnsi="FrankRuehl" w:cs="FrankRuehl"/>
          <w:rtl/>
        </w:rPr>
        <w:t xml:space="preserve">, </w:t>
      </w:r>
      <w:hyperlink r:id="rId16" w:history="1">
        <w:r w:rsidRPr="00547F0B">
          <w:rPr>
            <w:rFonts w:ascii="FrankRuehl" w:hAnsi="FrankRuehl" w:cs="FrankRuehl"/>
            <w:color w:val="0000FF"/>
            <w:u w:val="single"/>
            <w:rtl/>
          </w:rPr>
          <w:t>186(א)</w:t>
        </w:r>
      </w:hyperlink>
    </w:p>
    <w:p w14:paraId="37109664" w14:textId="77777777" w:rsidR="00547F0B" w:rsidRPr="00547F0B" w:rsidRDefault="00547F0B" w:rsidP="00547F0B">
      <w:pPr>
        <w:spacing w:after="120" w:line="240" w:lineRule="exact"/>
        <w:ind w:left="283" w:hanging="283"/>
        <w:jc w:val="both"/>
        <w:rPr>
          <w:rFonts w:ascii="FrankRuehl" w:hAnsi="FrankRuehl" w:cs="FrankRuehl"/>
          <w:rtl/>
        </w:rPr>
      </w:pPr>
    </w:p>
    <w:p w14:paraId="12665080" w14:textId="77777777" w:rsidR="00547F0B" w:rsidRDefault="00547F0B" w:rsidP="00547F0B">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7A2AEDA0"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47F0B">
        <w:rPr>
          <w:rFonts w:cs="FrankRuehl"/>
          <w:szCs w:val="26"/>
          <w:rtl/>
        </w:rPr>
        <w:t>בית המשפט גזר על הנאשם שהורשע על פי הודאתו, במסגרת הסדר טיעון, בעבירה של ייצור נשק, בעבירה של החזקת נשק, וכן בעבירה של החזקת סכין שלא כדין, עונש של מאסר בפועל לתקופה של 6 חודשים, אשר ירוצה על ידי הנאשם בדרך של עבודות שירות.</w:t>
      </w:r>
    </w:p>
    <w:p w14:paraId="5BEB1CFE" w14:textId="77777777" w:rsidR="00547F0B" w:rsidRDefault="00547F0B" w:rsidP="00547F0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65C41E81" w14:textId="77777777" w:rsidR="00547F0B" w:rsidRDefault="00547F0B" w:rsidP="00547F0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FD319B9"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הנאשם הורשע, על יסוד הודאתו בעובדות כתב האישום שתוקן במסגרת הסדר טיעון בין הצדדים, אשר לא כלל הסכמה לעניין העונש, וזאת בעבירה של ייצור נשק, בעבירה של החזקת נשק, וכן בעבירה של החזקת סכין שלא כדין.</w:t>
      </w:r>
    </w:p>
    <w:p w14:paraId="508EA666" w14:textId="77777777" w:rsidR="00547F0B" w:rsidRPr="00547F0B" w:rsidRDefault="00547F0B" w:rsidP="00547F0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B9268E1"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בית המשפט פסק כלהלן:</w:t>
      </w:r>
    </w:p>
    <w:p w14:paraId="0ACE40B4"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על ביהמ"ש לקבוע מתחם עונש הולם למעשה העבירה שביצע הנאשם, בהתאם לעיקרון המנחה שנקבע בתיקון מס' 113 לחו</w:t>
      </w:r>
      <w:r w:rsidRPr="00547F0B">
        <w:rPr>
          <w:rFonts w:cs="FrankRuehl" w:hint="cs"/>
          <w:szCs w:val="26"/>
          <w:rtl/>
        </w:rPr>
        <w:t>ק</w:t>
      </w:r>
      <w:r w:rsidRPr="00547F0B">
        <w:rPr>
          <w:rFonts w:cs="FrankRuehl"/>
          <w:szCs w:val="26"/>
          <w:rtl/>
        </w:rPr>
        <w:t xml:space="preserve"> העונשין. לשם כך, יתחשב ביהמ"ש בערך החברתי שנפגע מביצוע העבירה, במידת הפגיעה בו, במדיניות הענישה הנהוגה ובנסיבות הקשורות בביצוע העבירה, הכלולות </w:t>
      </w:r>
      <w:hyperlink r:id="rId17" w:history="1">
        <w:r w:rsidRPr="00547F0B">
          <w:rPr>
            <w:rFonts w:cs="FrankRuehl"/>
            <w:szCs w:val="26"/>
            <w:rtl/>
          </w:rPr>
          <w:t>בסעיף 40ט</w:t>
        </w:r>
      </w:hyperlink>
      <w:r w:rsidRPr="00547F0B">
        <w:rPr>
          <w:rFonts w:cs="FrankRuehl"/>
          <w:szCs w:val="26"/>
          <w:rtl/>
        </w:rPr>
        <w:t xml:space="preserve"> ל</w:t>
      </w:r>
      <w:hyperlink r:id="rId18" w:history="1">
        <w:r w:rsidRPr="00547F0B">
          <w:rPr>
            <w:rFonts w:cs="FrankRuehl"/>
            <w:szCs w:val="26"/>
            <w:rtl/>
          </w:rPr>
          <w:t>חוק העונשין</w:t>
        </w:r>
      </w:hyperlink>
      <w:r w:rsidRPr="00547F0B">
        <w:rPr>
          <w:rFonts w:cs="FrankRuehl"/>
          <w:szCs w:val="26"/>
          <w:rtl/>
        </w:rPr>
        <w:t>.</w:t>
      </w:r>
    </w:p>
    <w:p w14:paraId="2594FF60"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הערך המוגן הנפגע כתוצאה מביצוע העבירות שעניינן ייצור נשק והחזקתו שלא כדין הוא שלום הציבור ובטחונו</w:t>
      </w:r>
      <w:r w:rsidRPr="00547F0B">
        <w:rPr>
          <w:rFonts w:cs="FrankRuehl"/>
          <w:szCs w:val="26"/>
        </w:rPr>
        <w:t xml:space="preserve"> </w:t>
      </w:r>
      <w:r w:rsidRPr="00547F0B">
        <w:rPr>
          <w:rFonts w:cs="FrankRuehl"/>
          <w:szCs w:val="26"/>
          <w:rtl/>
        </w:rPr>
        <w:t xml:space="preserve">לצד ההגנה על שלמות הגוף. </w:t>
      </w:r>
    </w:p>
    <w:p w14:paraId="6015D260" w14:textId="77777777" w:rsidR="00547F0B" w:rsidRPr="00547F0B" w:rsidRDefault="00547F0B" w:rsidP="00547F0B">
      <w:pPr>
        <w:pBdr>
          <w:top w:val="single" w:sz="4" w:space="1" w:color="auto"/>
          <w:bottom w:val="single" w:sz="4" w:space="1" w:color="auto"/>
        </w:pBdr>
        <w:spacing w:after="120" w:line="320" w:lineRule="exact"/>
        <w:jc w:val="both"/>
        <w:rPr>
          <w:rFonts w:cs="FrankRuehl"/>
          <w:szCs w:val="26"/>
          <w:rtl/>
        </w:rPr>
      </w:pPr>
      <w:r w:rsidRPr="00547F0B">
        <w:rPr>
          <w:rFonts w:cs="FrankRuehl"/>
          <w:szCs w:val="26"/>
          <w:rtl/>
        </w:rPr>
        <w:t>מתחם העונש ההולם בתיק זה נע בין עונש של</w:t>
      </w:r>
      <w:r>
        <w:rPr>
          <w:rFonts w:cs="FrankRuehl"/>
          <w:szCs w:val="26"/>
          <w:rtl/>
        </w:rPr>
        <w:t xml:space="preserve"> </w:t>
      </w:r>
      <w:r w:rsidRPr="00547F0B">
        <w:rPr>
          <w:rFonts w:cs="FrankRuehl"/>
          <w:szCs w:val="26"/>
          <w:rtl/>
        </w:rPr>
        <w:t>6 חודשי מאסר בפועל, לרבות בדרך של עבודות שירות, לבין עונש של 18 חודשי מאסר בפועל, וזאת לצד רכיבי ענישה של מאסר על תנאי מרתיע וקנס כספי.</w:t>
      </w:r>
      <w:r>
        <w:rPr>
          <w:rFonts w:cs="FrankRuehl"/>
          <w:szCs w:val="26"/>
          <w:rtl/>
        </w:rPr>
        <w:t xml:space="preserve"> </w:t>
      </w:r>
    </w:p>
    <w:p w14:paraId="4034982C" w14:textId="77777777" w:rsidR="00547F0B" w:rsidRDefault="00547F0B" w:rsidP="00547F0B">
      <w:pPr>
        <w:spacing w:after="160" w:line="259" w:lineRule="auto"/>
        <w:jc w:val="center"/>
        <w:rPr>
          <w:rFonts w:ascii="Arial" w:hAnsi="Arial" w:cs="FrankRuehl" w:hint="cs"/>
          <w:sz w:val="32"/>
          <w:szCs w:val="32"/>
          <w:rtl/>
        </w:rPr>
      </w:pPr>
      <w:bookmarkStart w:id="5" w:name="ABSTRACT_END"/>
      <w:bookmarkEnd w:id="5"/>
    </w:p>
    <w:p w14:paraId="3CBEAE05" w14:textId="77777777" w:rsidR="00547F0B" w:rsidRDefault="00547F0B" w:rsidP="00547F0B">
      <w:pPr>
        <w:spacing w:line="360" w:lineRule="auto"/>
        <w:jc w:val="center"/>
        <w:rPr>
          <w:rFonts w:hint="cs"/>
          <w:rtl/>
        </w:rPr>
      </w:pPr>
      <w:bookmarkStart w:id="6" w:name="PsakDin"/>
      <w:r w:rsidRPr="00AE1E60">
        <w:rPr>
          <w:rFonts w:ascii="Arial" w:hAnsi="Arial" w:cs="FrankRuehl"/>
          <w:b/>
          <w:bCs/>
          <w:sz w:val="32"/>
          <w:szCs w:val="32"/>
          <w:u w:val="single"/>
          <w:rtl/>
        </w:rPr>
        <w:t>גזר דין</w:t>
      </w:r>
    </w:p>
    <w:bookmarkEnd w:id="6"/>
    <w:p w14:paraId="7A26CE14" w14:textId="77777777" w:rsidR="00547F0B" w:rsidRDefault="00547F0B" w:rsidP="006F0D74">
      <w:pPr>
        <w:spacing w:line="360" w:lineRule="auto"/>
        <w:jc w:val="both"/>
        <w:rPr>
          <w:rFonts w:hint="cs"/>
          <w:rtl/>
        </w:rPr>
      </w:pPr>
    </w:p>
    <w:p w14:paraId="3DBCD46B" w14:textId="77777777" w:rsidR="006F0D74" w:rsidRPr="003F715C" w:rsidRDefault="006F0D74" w:rsidP="006F0D74">
      <w:pPr>
        <w:spacing w:line="360" w:lineRule="auto"/>
        <w:jc w:val="both"/>
        <w:rPr>
          <w:rtl/>
        </w:rPr>
      </w:pPr>
      <w:r w:rsidRPr="003F715C">
        <w:rPr>
          <w:rtl/>
        </w:rPr>
        <w:t>1.</w:t>
      </w:r>
      <w:r w:rsidRPr="003F715C">
        <w:rPr>
          <w:rtl/>
        </w:rPr>
        <w:tab/>
        <w:t>הנאשם הורשע</w:t>
      </w:r>
      <w:r>
        <w:rPr>
          <w:rFonts w:hint="cs"/>
          <w:rtl/>
        </w:rPr>
        <w:t>,</w:t>
      </w:r>
      <w:r w:rsidRPr="003F715C">
        <w:rPr>
          <w:rtl/>
        </w:rPr>
        <w:t xml:space="preserve"> על יסוד הודאתו בעובדות כתב האישום שתוקן</w:t>
      </w:r>
      <w:r>
        <w:rPr>
          <w:rtl/>
        </w:rPr>
        <w:t xml:space="preserve"> במסגרת הסדר טיעון בין הצדדים, </w:t>
      </w:r>
      <w:r w:rsidRPr="003F715C">
        <w:rPr>
          <w:rtl/>
        </w:rPr>
        <w:t xml:space="preserve">אשר לא כלל הסכמה לעניין העונש, </w:t>
      </w:r>
      <w:r>
        <w:rPr>
          <w:rFonts w:hint="cs"/>
          <w:rtl/>
        </w:rPr>
        <w:t xml:space="preserve">וזאת </w:t>
      </w:r>
      <w:r w:rsidRPr="003F715C">
        <w:rPr>
          <w:rtl/>
        </w:rPr>
        <w:t xml:space="preserve">בעבירה של ייצור נשק, לפי סעיפים </w:t>
      </w:r>
      <w:hyperlink r:id="rId19" w:history="1">
        <w:r w:rsidR="00C92A43" w:rsidRPr="00C92A43">
          <w:rPr>
            <w:color w:val="0000FF"/>
            <w:u w:val="single"/>
            <w:rtl/>
          </w:rPr>
          <w:t>144 (ב2)</w:t>
        </w:r>
      </w:hyperlink>
      <w:r w:rsidRPr="003F715C">
        <w:rPr>
          <w:rtl/>
        </w:rPr>
        <w:t xml:space="preserve"> + </w:t>
      </w:r>
      <w:hyperlink r:id="rId20" w:history="1">
        <w:r w:rsidR="00C92A43" w:rsidRPr="00C92A43">
          <w:rPr>
            <w:color w:val="0000FF"/>
            <w:u w:val="single"/>
            <w:rtl/>
          </w:rPr>
          <w:t>144 (ג)(3)</w:t>
        </w:r>
      </w:hyperlink>
      <w:r w:rsidRPr="003F715C">
        <w:rPr>
          <w:rtl/>
        </w:rPr>
        <w:t xml:space="preserve"> ל</w:t>
      </w:r>
      <w:hyperlink r:id="rId21" w:history="1">
        <w:r w:rsidR="00AE1E60" w:rsidRPr="00AE1E60">
          <w:rPr>
            <w:color w:val="0000FF"/>
            <w:u w:val="single"/>
            <w:rtl/>
          </w:rPr>
          <w:t>חוק העונשין</w:t>
        </w:r>
      </w:hyperlink>
      <w:r w:rsidRPr="003F715C">
        <w:rPr>
          <w:rtl/>
        </w:rPr>
        <w:t xml:space="preserve">, התשל"ז-1977 (להלן: </w:t>
      </w:r>
      <w:hyperlink r:id="rId22" w:history="1">
        <w:r w:rsidR="00AE1E60" w:rsidRPr="00AE1E60">
          <w:rPr>
            <w:rFonts w:cs="Miriam"/>
            <w:color w:val="0000FF"/>
            <w:u w:val="single"/>
            <w:rtl/>
          </w:rPr>
          <w:t>חוק  העונשין</w:t>
        </w:r>
      </w:hyperlink>
      <w:r w:rsidRPr="003F715C">
        <w:rPr>
          <w:rtl/>
        </w:rPr>
        <w:t xml:space="preserve">), </w:t>
      </w:r>
      <w:r>
        <w:rPr>
          <w:rFonts w:hint="cs"/>
          <w:rtl/>
        </w:rPr>
        <w:t xml:space="preserve">בעבירה של </w:t>
      </w:r>
      <w:r w:rsidRPr="003F715C">
        <w:rPr>
          <w:rtl/>
        </w:rPr>
        <w:t xml:space="preserve">החזקת נשק, לפי סעיף </w:t>
      </w:r>
      <w:hyperlink r:id="rId23" w:history="1">
        <w:r w:rsidR="00C92A43" w:rsidRPr="00C92A43">
          <w:rPr>
            <w:color w:val="0000FF"/>
            <w:u w:val="single"/>
            <w:rtl/>
          </w:rPr>
          <w:t>144 (א)</w:t>
        </w:r>
      </w:hyperlink>
      <w:r w:rsidRPr="003F715C">
        <w:rPr>
          <w:rtl/>
        </w:rPr>
        <w:t xml:space="preserve"> ל</w:t>
      </w:r>
      <w:hyperlink r:id="rId24" w:history="1">
        <w:r w:rsidR="00AE1E60" w:rsidRPr="00AE1E60">
          <w:rPr>
            <w:color w:val="0000FF"/>
            <w:u w:val="single"/>
            <w:rtl/>
          </w:rPr>
          <w:t>חוק העונשין</w:t>
        </w:r>
      </w:hyperlink>
      <w:r w:rsidRPr="003F715C">
        <w:rPr>
          <w:rtl/>
        </w:rPr>
        <w:t xml:space="preserve">, </w:t>
      </w:r>
      <w:r>
        <w:rPr>
          <w:rFonts w:hint="cs"/>
          <w:rtl/>
        </w:rPr>
        <w:t xml:space="preserve">וכן בעבירה של </w:t>
      </w:r>
      <w:r w:rsidRPr="003F715C">
        <w:rPr>
          <w:rtl/>
        </w:rPr>
        <w:t xml:space="preserve">החזקת סכין שלא כדין, לפי </w:t>
      </w:r>
      <w:hyperlink r:id="rId25" w:history="1">
        <w:r w:rsidR="00C92A43" w:rsidRPr="00C92A43">
          <w:rPr>
            <w:color w:val="0000FF"/>
            <w:u w:val="single"/>
            <w:rtl/>
          </w:rPr>
          <w:t>סעיף 186(א)</w:t>
        </w:r>
      </w:hyperlink>
      <w:r w:rsidRPr="003F715C">
        <w:rPr>
          <w:rtl/>
        </w:rPr>
        <w:t xml:space="preserve"> לחוק העונשין. </w:t>
      </w:r>
    </w:p>
    <w:p w14:paraId="102DF028" w14:textId="77777777" w:rsidR="006F0D74" w:rsidRPr="003F715C" w:rsidRDefault="006F0D74" w:rsidP="006F0D74">
      <w:pPr>
        <w:spacing w:line="360" w:lineRule="auto"/>
        <w:jc w:val="both"/>
        <w:rPr>
          <w:rtl/>
        </w:rPr>
      </w:pPr>
    </w:p>
    <w:p w14:paraId="4D62D57E" w14:textId="77777777" w:rsidR="006F0D74" w:rsidRPr="003F715C" w:rsidRDefault="006F0D74" w:rsidP="006F0D74">
      <w:pPr>
        <w:spacing w:line="360" w:lineRule="auto"/>
        <w:jc w:val="both"/>
        <w:rPr>
          <w:rtl/>
        </w:rPr>
      </w:pPr>
      <w:r w:rsidRPr="003F715C">
        <w:rPr>
          <w:rtl/>
        </w:rPr>
        <w:t xml:space="preserve">2.         כעת, לאחר שהוגשו תסקירי שירות המבחן בעניינו של הנאשם ונשמעו טיעוני באי כוח הצדדים לעניין העונש, אפנה אל מלאכת גזירת הדין.   </w:t>
      </w:r>
    </w:p>
    <w:p w14:paraId="63A52DFE" w14:textId="77777777" w:rsidR="006F0D74" w:rsidRPr="003F715C" w:rsidRDefault="006F0D74" w:rsidP="006F0D74">
      <w:pPr>
        <w:spacing w:line="360" w:lineRule="auto"/>
        <w:jc w:val="both"/>
        <w:rPr>
          <w:rtl/>
        </w:rPr>
      </w:pPr>
    </w:p>
    <w:p w14:paraId="52E266B4" w14:textId="77777777" w:rsidR="006F0D74" w:rsidRPr="003F715C" w:rsidRDefault="006F0D74" w:rsidP="006F0D74">
      <w:pPr>
        <w:spacing w:line="360" w:lineRule="auto"/>
        <w:jc w:val="both"/>
        <w:rPr>
          <w:u w:val="single"/>
          <w:rtl/>
        </w:rPr>
      </w:pPr>
      <w:r w:rsidRPr="003F715C">
        <w:rPr>
          <w:rFonts w:cs="Miriam"/>
          <w:u w:val="single"/>
          <w:rtl/>
        </w:rPr>
        <w:t>כתב האישום המתוקן</w:t>
      </w:r>
      <w:r w:rsidRPr="003F715C">
        <w:rPr>
          <w:u w:val="single"/>
          <w:rtl/>
        </w:rPr>
        <w:t xml:space="preserve"> (להלן גם: </w:t>
      </w:r>
      <w:r w:rsidRPr="003F715C">
        <w:rPr>
          <w:rFonts w:cs="Miriam"/>
          <w:u w:val="single"/>
          <w:rtl/>
        </w:rPr>
        <w:t>כתב האישום</w:t>
      </w:r>
      <w:r w:rsidRPr="003F715C">
        <w:rPr>
          <w:u w:val="single"/>
          <w:rtl/>
        </w:rPr>
        <w:t>)</w:t>
      </w:r>
    </w:p>
    <w:p w14:paraId="528AE3C7" w14:textId="77777777" w:rsidR="006F0D74" w:rsidRPr="003F715C" w:rsidRDefault="006F0D74" w:rsidP="006F0D74">
      <w:pPr>
        <w:spacing w:line="360" w:lineRule="auto"/>
        <w:jc w:val="both"/>
        <w:rPr>
          <w:rtl/>
        </w:rPr>
      </w:pPr>
    </w:p>
    <w:p w14:paraId="355121B6" w14:textId="77777777" w:rsidR="006F0D74" w:rsidRPr="003F715C" w:rsidRDefault="006F0D74" w:rsidP="006F0D74">
      <w:pPr>
        <w:spacing w:line="360" w:lineRule="auto"/>
        <w:jc w:val="both"/>
        <w:rPr>
          <w:rtl/>
        </w:rPr>
      </w:pPr>
      <w:r w:rsidRPr="003F715C">
        <w:rPr>
          <w:rtl/>
        </w:rPr>
        <w:t>3.</w:t>
      </w:r>
      <w:r w:rsidRPr="003F715C">
        <w:rPr>
          <w:rtl/>
        </w:rPr>
        <w:tab/>
        <w:t>בתאריך 16</w:t>
      </w:r>
      <w:r>
        <w:rPr>
          <w:rFonts w:hint="cs"/>
          <w:rtl/>
        </w:rPr>
        <w:t>/</w:t>
      </w:r>
      <w:r w:rsidRPr="003F715C">
        <w:rPr>
          <w:rtl/>
        </w:rPr>
        <w:t>09</w:t>
      </w:r>
      <w:r>
        <w:rPr>
          <w:rFonts w:hint="cs"/>
          <w:rtl/>
        </w:rPr>
        <w:t>/</w:t>
      </w:r>
      <w:r w:rsidRPr="003F715C">
        <w:rPr>
          <w:rtl/>
        </w:rPr>
        <w:t xml:space="preserve">17 או סמוך לפניו, במועד שאינו ידוע במדויק למאשימה, ייצר הנאשם, שלא כדין, מטען חבלה מאולתר, בכך שפירק זיקוקין, שפך את תוכנם למיכל מתכת גלילי, מילא אותו בנייר, חיבר לו פתיל ועטף אותו בסרט בידוד (להלן: </w:t>
      </w:r>
      <w:r w:rsidRPr="003F715C">
        <w:rPr>
          <w:rFonts w:cs="Miriam"/>
          <w:rtl/>
        </w:rPr>
        <w:t>המטען)</w:t>
      </w:r>
      <w:r w:rsidRPr="003F715C">
        <w:rPr>
          <w:rtl/>
        </w:rPr>
        <w:t>. המטען הוא חפץ נפיץ שבכוחו לגרום לפגיעה גופנית בעת פעולתו, בכפוף לקרבה למוקד הפעולה.</w:t>
      </w:r>
    </w:p>
    <w:p w14:paraId="0487037C" w14:textId="77777777" w:rsidR="006F0D74" w:rsidRPr="003F715C" w:rsidRDefault="006F0D74" w:rsidP="006F0D74">
      <w:pPr>
        <w:spacing w:line="360" w:lineRule="auto"/>
        <w:jc w:val="both"/>
        <w:rPr>
          <w:rtl/>
        </w:rPr>
      </w:pPr>
    </w:p>
    <w:p w14:paraId="4A9D60A5" w14:textId="77777777" w:rsidR="006F0D74" w:rsidRPr="003F715C" w:rsidRDefault="006F0D74" w:rsidP="006F0D74">
      <w:pPr>
        <w:spacing w:line="360" w:lineRule="auto"/>
        <w:jc w:val="both"/>
        <w:rPr>
          <w:rtl/>
        </w:rPr>
      </w:pPr>
      <w:r w:rsidRPr="003F715C">
        <w:rPr>
          <w:rtl/>
        </w:rPr>
        <w:t xml:space="preserve">4. </w:t>
      </w:r>
      <w:r w:rsidRPr="003F715C">
        <w:rPr>
          <w:rtl/>
        </w:rPr>
        <w:tab/>
        <w:t xml:space="preserve"> בתאריך 16</w:t>
      </w:r>
      <w:r>
        <w:rPr>
          <w:rFonts w:hint="cs"/>
          <w:rtl/>
        </w:rPr>
        <w:t>/</w:t>
      </w:r>
      <w:r w:rsidRPr="003F715C">
        <w:rPr>
          <w:rtl/>
        </w:rPr>
        <w:t>09</w:t>
      </w:r>
      <w:r>
        <w:rPr>
          <w:rFonts w:hint="cs"/>
          <w:rtl/>
        </w:rPr>
        <w:t>/</w:t>
      </w:r>
      <w:r w:rsidRPr="003F715C">
        <w:rPr>
          <w:rtl/>
        </w:rPr>
        <w:t xml:space="preserve">17 או בסמוך לו, הסתיר הנאשם את המטען ברכבו מ.ר. 71-382-75 (להלן: </w:t>
      </w:r>
      <w:r w:rsidRPr="003F715C">
        <w:rPr>
          <w:rFonts w:cs="Miriam"/>
          <w:rtl/>
        </w:rPr>
        <w:t>הרכב</w:t>
      </w:r>
      <w:r w:rsidRPr="003F715C">
        <w:rPr>
          <w:rtl/>
        </w:rPr>
        <w:t xml:space="preserve">), מתחת לשטיחון תא המטען, בסמוך לגלגל חלופי (להלן: </w:t>
      </w:r>
      <w:r w:rsidRPr="003F715C">
        <w:rPr>
          <w:rFonts w:cs="Miriam"/>
          <w:rtl/>
        </w:rPr>
        <w:t>מקום המסתור</w:t>
      </w:r>
      <w:r w:rsidRPr="003F715C">
        <w:rPr>
          <w:rtl/>
        </w:rPr>
        <w:t xml:space="preserve">). </w:t>
      </w:r>
    </w:p>
    <w:p w14:paraId="1291876A" w14:textId="77777777" w:rsidR="006F0D74" w:rsidRPr="003F715C" w:rsidRDefault="006F0D74" w:rsidP="006F0D74">
      <w:pPr>
        <w:spacing w:line="360" w:lineRule="auto"/>
        <w:jc w:val="both"/>
        <w:rPr>
          <w:rtl/>
        </w:rPr>
      </w:pPr>
    </w:p>
    <w:p w14:paraId="7404AF71" w14:textId="77777777" w:rsidR="006F0D74" w:rsidRPr="003F715C" w:rsidRDefault="006F0D74" w:rsidP="006F0D74">
      <w:pPr>
        <w:spacing w:line="360" w:lineRule="auto"/>
        <w:jc w:val="both"/>
        <w:rPr>
          <w:rtl/>
        </w:rPr>
      </w:pPr>
      <w:r w:rsidRPr="003F715C">
        <w:rPr>
          <w:rtl/>
        </w:rPr>
        <w:t>5.</w:t>
      </w:r>
      <w:r w:rsidRPr="003F715C">
        <w:rPr>
          <w:rtl/>
        </w:rPr>
        <w:tab/>
        <w:t>בתאריך 18</w:t>
      </w:r>
      <w:r>
        <w:rPr>
          <w:rFonts w:hint="cs"/>
          <w:rtl/>
        </w:rPr>
        <w:t>/</w:t>
      </w:r>
      <w:r w:rsidRPr="003F715C">
        <w:rPr>
          <w:rtl/>
        </w:rPr>
        <w:t>09</w:t>
      </w:r>
      <w:r>
        <w:rPr>
          <w:rFonts w:hint="cs"/>
          <w:rtl/>
        </w:rPr>
        <w:t>/</w:t>
      </w:r>
      <w:r w:rsidRPr="003F715C">
        <w:rPr>
          <w:rtl/>
        </w:rPr>
        <w:t>17, בסמוך לשעה 00:30, נסע הנאשם ברכב לאגם מונפורט במעלות תרשיחא, כשהוא מחזיק את המטען במקום המסתור, וכשהוא מחזיק, שלא למטרה כשרה,  בדלת הנהג ברכב</w:t>
      </w:r>
      <w:r>
        <w:rPr>
          <w:rFonts w:hint="cs"/>
          <w:rtl/>
        </w:rPr>
        <w:t>,</w:t>
      </w:r>
      <w:r w:rsidRPr="003F715C">
        <w:rPr>
          <w:rtl/>
        </w:rPr>
        <w:t xml:space="preserve"> שתי סכינים, שניתן להפ</w:t>
      </w:r>
      <w:r>
        <w:rPr>
          <w:rFonts w:hint="cs"/>
          <w:rtl/>
        </w:rPr>
        <w:t>וך אותן,</w:t>
      </w:r>
      <w:r w:rsidRPr="003F715C">
        <w:rPr>
          <w:rtl/>
        </w:rPr>
        <w:t xml:space="preserve"> ב</w:t>
      </w:r>
      <w:r>
        <w:rPr>
          <w:rFonts w:hint="cs"/>
          <w:rtl/>
        </w:rPr>
        <w:t>ע</w:t>
      </w:r>
      <w:r w:rsidRPr="003F715C">
        <w:rPr>
          <w:rtl/>
        </w:rPr>
        <w:t xml:space="preserve">זרת קפיץ או באמצעי אחר, לסכינים שלהביהן קבועים (להלן: </w:t>
      </w:r>
      <w:r w:rsidRPr="003F715C">
        <w:rPr>
          <w:rFonts w:cs="Miriam"/>
          <w:rtl/>
        </w:rPr>
        <w:t>הסכינים),</w:t>
      </w:r>
      <w:r w:rsidRPr="003F715C">
        <w:rPr>
          <w:rtl/>
        </w:rPr>
        <w:t xml:space="preserve"> וכן </w:t>
      </w:r>
      <w:r>
        <w:rPr>
          <w:rFonts w:hint="cs"/>
          <w:rtl/>
        </w:rPr>
        <w:t xml:space="preserve">החזיק </w:t>
      </w:r>
      <w:r w:rsidRPr="003F715C">
        <w:rPr>
          <w:rtl/>
        </w:rPr>
        <w:t xml:space="preserve">מיכל גז פלפל, שמונה כדורי רובה ומהלום (שוקר חשמלי). </w:t>
      </w:r>
    </w:p>
    <w:p w14:paraId="72CB7C42" w14:textId="77777777" w:rsidR="006F0D74" w:rsidRPr="003F715C" w:rsidRDefault="006F0D74" w:rsidP="006F0D74">
      <w:pPr>
        <w:spacing w:line="360" w:lineRule="auto"/>
        <w:jc w:val="both"/>
        <w:rPr>
          <w:rtl/>
        </w:rPr>
      </w:pPr>
    </w:p>
    <w:p w14:paraId="036AD3B6" w14:textId="77777777" w:rsidR="006F0D74" w:rsidRPr="003F715C" w:rsidRDefault="006F0D74" w:rsidP="006F0D74">
      <w:pPr>
        <w:spacing w:line="360" w:lineRule="auto"/>
        <w:jc w:val="both"/>
        <w:rPr>
          <w:rtl/>
        </w:rPr>
      </w:pPr>
      <w:r w:rsidRPr="003F715C">
        <w:rPr>
          <w:rtl/>
        </w:rPr>
        <w:t>6. במעשיו המפורטים לעיל, הנאשם ייצר והחזיק נשק בלא רשות על פי דין, וכן החזיק שתי סכינים מחוץ לתחום ביתו או חצריו</w:t>
      </w:r>
      <w:r>
        <w:rPr>
          <w:rFonts w:hint="cs"/>
          <w:rtl/>
        </w:rPr>
        <w:t>,</w:t>
      </w:r>
      <w:r w:rsidRPr="003F715C">
        <w:rPr>
          <w:rtl/>
        </w:rPr>
        <w:t xml:space="preserve"> שלא למטרה כשרה.   </w:t>
      </w:r>
    </w:p>
    <w:p w14:paraId="3448979A" w14:textId="77777777" w:rsidR="006F0D74" w:rsidRPr="003F715C" w:rsidRDefault="006F0D74" w:rsidP="006F0D74">
      <w:pPr>
        <w:spacing w:line="360" w:lineRule="auto"/>
        <w:jc w:val="both"/>
        <w:rPr>
          <w:rtl/>
        </w:rPr>
      </w:pPr>
    </w:p>
    <w:p w14:paraId="5FECC868" w14:textId="77777777" w:rsidR="006F0D74" w:rsidRDefault="006F0D74" w:rsidP="006F0D74">
      <w:pPr>
        <w:spacing w:line="360" w:lineRule="auto"/>
        <w:jc w:val="both"/>
        <w:rPr>
          <w:rFonts w:cs="Miriam"/>
          <w:u w:val="single"/>
          <w:rtl/>
        </w:rPr>
      </w:pPr>
      <w:r w:rsidRPr="003F715C">
        <w:rPr>
          <w:rFonts w:cs="Miriam"/>
          <w:u w:val="single"/>
          <w:rtl/>
        </w:rPr>
        <w:t>תסקירי שירות המבחן</w:t>
      </w:r>
    </w:p>
    <w:p w14:paraId="19D13957" w14:textId="77777777" w:rsidR="006F0D74" w:rsidRPr="003F715C" w:rsidRDefault="006F0D74" w:rsidP="006F0D74">
      <w:pPr>
        <w:spacing w:line="360" w:lineRule="auto"/>
        <w:jc w:val="both"/>
        <w:rPr>
          <w:rFonts w:cs="Miriam"/>
          <w:u w:val="single"/>
          <w:rtl/>
        </w:rPr>
      </w:pPr>
    </w:p>
    <w:p w14:paraId="0A91863E" w14:textId="77777777" w:rsidR="006F0D74" w:rsidRPr="003F715C" w:rsidRDefault="006F0D74" w:rsidP="006F0D74">
      <w:pPr>
        <w:spacing w:line="360" w:lineRule="auto"/>
        <w:jc w:val="both"/>
        <w:rPr>
          <w:rtl/>
        </w:rPr>
      </w:pPr>
      <w:r>
        <w:rPr>
          <w:rFonts w:hint="cs"/>
          <w:rtl/>
        </w:rPr>
        <w:t>7</w:t>
      </w:r>
      <w:r w:rsidRPr="003F715C">
        <w:rPr>
          <w:rtl/>
        </w:rPr>
        <w:t>.</w:t>
      </w:r>
      <w:r w:rsidRPr="003F715C">
        <w:rPr>
          <w:rtl/>
        </w:rPr>
        <w:tab/>
        <w:t xml:space="preserve"> מתסקיר שירות המבחן, שנערך </w:t>
      </w:r>
      <w:r>
        <w:rPr>
          <w:rFonts w:hint="cs"/>
          <w:rtl/>
        </w:rPr>
        <w:t xml:space="preserve">בעניינו של הנאשם </w:t>
      </w:r>
      <w:r w:rsidRPr="003F715C">
        <w:rPr>
          <w:rtl/>
        </w:rPr>
        <w:t>ביום 21/5/18,  עולה כי הנאשם בן 28, רווק, ממוצא דרוזי, תושב הכפר פקיעין. עוד עולה, כי הנאשם הוא בעל השכלה תיכונית, ללא תעודת בגרות.</w:t>
      </w:r>
      <w:r>
        <w:rPr>
          <w:rFonts w:hint="cs"/>
          <w:rtl/>
        </w:rPr>
        <w:t xml:space="preserve"> </w:t>
      </w:r>
      <w:r w:rsidRPr="003F715C">
        <w:rPr>
          <w:rtl/>
        </w:rPr>
        <w:t>לאחר הלימודים התגייס הנאשם לצה"ל</w:t>
      </w:r>
      <w:r>
        <w:rPr>
          <w:rFonts w:hint="cs"/>
          <w:rtl/>
        </w:rPr>
        <w:t xml:space="preserve"> ו</w:t>
      </w:r>
      <w:r w:rsidRPr="003F715C">
        <w:rPr>
          <w:rtl/>
        </w:rPr>
        <w:t xml:space="preserve">שירת בשירות חובה כטבח. לאחר שחרורו </w:t>
      </w:r>
      <w:r w:rsidRPr="003F715C">
        <w:rPr>
          <w:rtl/>
        </w:rPr>
        <w:lastRenderedPageBreak/>
        <w:t xml:space="preserve">מהצבא עבד הנאשם במשך 5 שנים כמאבטח מתקנים, מוסדות וישובים באזור ירושלים. בהמשך, בשנת 2016 התגייס הנאשם לשירות קבע בצבא, במעמד של שירות מילואים בתנאי קבע. במסגרת זו שירת הנאשם כנהג על גבול המערכת בין ישראל ללבנון. כחודש לפני מעצרו שוחרר הנאשם לחופשה מאולצת עד לאישור מעמדו כחייל קבע. כיום הנאשם מועסק יחד עם גיסו בעבודות בניין ושיפוצים.  אביו של הנאשם אינו כשיר לעבודה ונזקק לסיוע בפעילות יומיומית בשל נכות ומחלה מהם </w:t>
      </w:r>
      <w:r>
        <w:rPr>
          <w:rFonts w:hint="cs"/>
          <w:rtl/>
        </w:rPr>
        <w:t xml:space="preserve">הוא </w:t>
      </w:r>
      <w:r w:rsidRPr="003F715C">
        <w:rPr>
          <w:rtl/>
        </w:rPr>
        <w:t xml:space="preserve">סובל, ואמו </w:t>
      </w:r>
      <w:r>
        <w:rPr>
          <w:rFonts w:hint="cs"/>
          <w:rtl/>
        </w:rPr>
        <w:t xml:space="preserve">של הנאשם </w:t>
      </w:r>
      <w:r w:rsidRPr="003F715C">
        <w:rPr>
          <w:rtl/>
        </w:rPr>
        <w:t>עובדת בעבוד</w:t>
      </w:r>
      <w:r>
        <w:rPr>
          <w:rFonts w:hint="cs"/>
          <w:rtl/>
        </w:rPr>
        <w:t>ו</w:t>
      </w:r>
      <w:r w:rsidRPr="003F715C">
        <w:rPr>
          <w:rtl/>
        </w:rPr>
        <w:t xml:space="preserve">ת ניקיון בבית ספר בכפר. לנאשם 4 אחים, </w:t>
      </w:r>
      <w:r>
        <w:rPr>
          <w:rFonts w:hint="cs"/>
          <w:rtl/>
        </w:rPr>
        <w:t xml:space="preserve">אשר </w:t>
      </w:r>
      <w:r w:rsidRPr="003F715C">
        <w:rPr>
          <w:rtl/>
        </w:rPr>
        <w:t xml:space="preserve">שניים מהם נשואים ומנהלים משקי בית נפרדים. בשל </w:t>
      </w:r>
      <w:r>
        <w:rPr>
          <w:rFonts w:hint="cs"/>
          <w:rtl/>
        </w:rPr>
        <w:t xml:space="preserve">כך </w:t>
      </w:r>
      <w:r w:rsidRPr="003F715C">
        <w:rPr>
          <w:rtl/>
        </w:rPr>
        <w:t xml:space="preserve">הנאשם הוא </w:t>
      </w:r>
      <w:r>
        <w:rPr>
          <w:rFonts w:hint="cs"/>
          <w:rtl/>
        </w:rPr>
        <w:t>ה</w:t>
      </w:r>
      <w:r w:rsidRPr="003F715C">
        <w:rPr>
          <w:rtl/>
        </w:rPr>
        <w:t xml:space="preserve">מפרנס </w:t>
      </w:r>
      <w:r>
        <w:rPr>
          <w:rFonts w:hint="cs"/>
          <w:rtl/>
        </w:rPr>
        <w:t>ה</w:t>
      </w:r>
      <w:r w:rsidRPr="003F715C">
        <w:rPr>
          <w:rtl/>
        </w:rPr>
        <w:t xml:space="preserve">מרכזי במשפחה. </w:t>
      </w:r>
    </w:p>
    <w:p w14:paraId="0BD79E84" w14:textId="77777777" w:rsidR="006F0D74" w:rsidRPr="003F715C" w:rsidRDefault="006F0D74" w:rsidP="006F0D74">
      <w:pPr>
        <w:spacing w:line="360" w:lineRule="auto"/>
        <w:jc w:val="both"/>
        <w:rPr>
          <w:rtl/>
        </w:rPr>
      </w:pPr>
      <w:r w:rsidRPr="003F715C">
        <w:rPr>
          <w:rtl/>
        </w:rPr>
        <w:t xml:space="preserve"> </w:t>
      </w:r>
    </w:p>
    <w:p w14:paraId="69E8E4F3" w14:textId="77777777" w:rsidR="006F0D74" w:rsidRPr="003F715C" w:rsidRDefault="006F0D74" w:rsidP="006F0D74">
      <w:pPr>
        <w:spacing w:line="360" w:lineRule="auto"/>
        <w:jc w:val="both"/>
        <w:rPr>
          <w:rtl/>
        </w:rPr>
      </w:pPr>
      <w:r>
        <w:rPr>
          <w:rFonts w:hint="cs"/>
          <w:rtl/>
        </w:rPr>
        <w:t>8</w:t>
      </w:r>
      <w:r w:rsidRPr="003F715C">
        <w:rPr>
          <w:rtl/>
        </w:rPr>
        <w:t xml:space="preserve">. </w:t>
      </w:r>
      <w:r w:rsidRPr="003F715C">
        <w:rPr>
          <w:rtl/>
        </w:rPr>
        <w:tab/>
        <w:t>עוד נרשם בתסקיר הנ"ל, כי הנאשם התקשה לקבל אחריות מלאה למיוחס לו בכתב האישום המתוקן והתמקד בהצגת עמדה קורבנית ביחס לכתב האישום שהוגש נגדו, תוך השלכת האחריות למעורבותו בפלילים על אחרים</w:t>
      </w:r>
      <w:r>
        <w:rPr>
          <w:rFonts w:hint="cs"/>
          <w:rtl/>
        </w:rPr>
        <w:t xml:space="preserve">. </w:t>
      </w:r>
      <w:r w:rsidRPr="003F715C">
        <w:rPr>
          <w:rtl/>
        </w:rPr>
        <w:t>לגישתו</w:t>
      </w:r>
      <w:r>
        <w:rPr>
          <w:rFonts w:hint="cs"/>
          <w:rtl/>
        </w:rPr>
        <w:t>,</w:t>
      </w:r>
      <w:r w:rsidRPr="003F715C">
        <w:rPr>
          <w:rtl/>
        </w:rPr>
        <w:t xml:space="preserve"> מנסים לסבכו בפלילים. הנאשם ציין בפני שרו</w:t>
      </w:r>
      <w:r>
        <w:rPr>
          <w:rtl/>
        </w:rPr>
        <w:t>ת המבחן, כי ברקע לביצוע העבירות</w:t>
      </w:r>
      <w:r w:rsidRPr="003F715C">
        <w:rPr>
          <w:rtl/>
        </w:rPr>
        <w:t xml:space="preserve"> עמדה תחושת שעמום, ריקנות ותסכול שחווה בעקבות החופשה המאולצת מהצבא, ובשל קשייו לתכנן את עתידו האישי והמקצועי. עוד מסר הנאשם לשירות המבחן, כי הוא מתקשה לתפקד מאז יציאתו לחופשה המאולצת מהצבא וקטיעת רצף אורח חייו, וכי הוא מתמודד עם פגיעה בדימויו ובטחונו העצמי וחש תחושת אכזבה מעצמו. בתסקיר צוין</w:t>
      </w:r>
      <w:r>
        <w:rPr>
          <w:rFonts w:hint="cs"/>
          <w:rtl/>
        </w:rPr>
        <w:t>,</w:t>
      </w:r>
      <w:r w:rsidRPr="003F715C">
        <w:rPr>
          <w:rtl/>
        </w:rPr>
        <w:t xml:space="preserve"> כי לנאשם אין עבר פלילי וכי זו הסתבכותו הראשונה בפלילים, וכן </w:t>
      </w:r>
      <w:r>
        <w:rPr>
          <w:rFonts w:hint="cs"/>
          <w:rtl/>
        </w:rPr>
        <w:t>עולה מהתסקיר</w:t>
      </w:r>
      <w:r w:rsidRPr="003F715C">
        <w:rPr>
          <w:rtl/>
        </w:rPr>
        <w:t xml:space="preserve"> </w:t>
      </w:r>
      <w:r>
        <w:rPr>
          <w:rFonts w:hint="cs"/>
          <w:rtl/>
        </w:rPr>
        <w:t>כי ה</w:t>
      </w:r>
      <w:r w:rsidRPr="003F715C">
        <w:rPr>
          <w:rtl/>
        </w:rPr>
        <w:t>נאשם  עבר</w:t>
      </w:r>
      <w:r>
        <w:rPr>
          <w:rFonts w:hint="cs"/>
          <w:rtl/>
        </w:rPr>
        <w:t xml:space="preserve"> </w:t>
      </w:r>
      <w:r w:rsidRPr="003F715C">
        <w:rPr>
          <w:rtl/>
        </w:rPr>
        <w:t>חוויה קשה במהלך מעצרו, בשל היחשפותו לראשונה בחייו לעולם העברייני, ו</w:t>
      </w:r>
      <w:r>
        <w:rPr>
          <w:rFonts w:hint="cs"/>
          <w:rtl/>
        </w:rPr>
        <w:t xml:space="preserve">כי </w:t>
      </w:r>
      <w:r w:rsidRPr="003F715C">
        <w:rPr>
          <w:rtl/>
        </w:rPr>
        <w:t xml:space="preserve"> הוא מקפיד </w:t>
      </w:r>
      <w:r>
        <w:rPr>
          <w:rFonts w:hint="cs"/>
          <w:rtl/>
        </w:rPr>
        <w:t xml:space="preserve">כיום </w:t>
      </w:r>
      <w:r w:rsidRPr="003F715C">
        <w:rPr>
          <w:rtl/>
        </w:rPr>
        <w:t xml:space="preserve">למלא אחר תנאי </w:t>
      </w:r>
      <w:r>
        <w:rPr>
          <w:rFonts w:hint="cs"/>
          <w:rtl/>
        </w:rPr>
        <w:t>שחרורו</w:t>
      </w:r>
      <w:r w:rsidRPr="003F715C">
        <w:rPr>
          <w:rtl/>
        </w:rPr>
        <w:t xml:space="preserve">. הנאשם הלין בפני שרות המבחן </w:t>
      </w:r>
      <w:r>
        <w:rPr>
          <w:rFonts w:hint="cs"/>
          <w:rtl/>
        </w:rPr>
        <w:t>ע</w:t>
      </w:r>
      <w:r w:rsidRPr="003F715C">
        <w:rPr>
          <w:rtl/>
        </w:rPr>
        <w:t>ל כך שמאז מעצרו הוא מצוי במצוקה כלכלית, בהיעדר מפרנס מרכזי בבית.</w:t>
      </w:r>
    </w:p>
    <w:p w14:paraId="26A4248E" w14:textId="77777777" w:rsidR="006F0D74" w:rsidRPr="003F715C" w:rsidRDefault="006F0D74" w:rsidP="006F0D74">
      <w:pPr>
        <w:spacing w:line="360" w:lineRule="auto"/>
        <w:jc w:val="both"/>
        <w:rPr>
          <w:rtl/>
        </w:rPr>
      </w:pPr>
    </w:p>
    <w:p w14:paraId="021B331B" w14:textId="77777777" w:rsidR="006F0D74" w:rsidRPr="003F715C" w:rsidRDefault="006F0D74" w:rsidP="006F0D74">
      <w:pPr>
        <w:spacing w:line="360" w:lineRule="auto"/>
        <w:jc w:val="both"/>
        <w:rPr>
          <w:rtl/>
        </w:rPr>
      </w:pPr>
      <w:r>
        <w:rPr>
          <w:rFonts w:hint="cs"/>
          <w:rtl/>
        </w:rPr>
        <w:t>9</w:t>
      </w:r>
      <w:r w:rsidRPr="003F715C">
        <w:rPr>
          <w:rtl/>
        </w:rPr>
        <w:t xml:space="preserve">. </w:t>
      </w:r>
      <w:r w:rsidRPr="003F715C">
        <w:rPr>
          <w:rtl/>
        </w:rPr>
        <w:tab/>
        <w:t>שרות המבחן התרשם</w:t>
      </w:r>
      <w:r>
        <w:rPr>
          <w:rFonts w:hint="cs"/>
          <w:rtl/>
        </w:rPr>
        <w:t>,</w:t>
      </w:r>
      <w:r w:rsidRPr="003F715C">
        <w:rPr>
          <w:rtl/>
        </w:rPr>
        <w:t xml:space="preserve"> לחיוב</w:t>
      </w:r>
      <w:r>
        <w:rPr>
          <w:rFonts w:hint="cs"/>
          <w:rtl/>
        </w:rPr>
        <w:t>,</w:t>
      </w:r>
      <w:r w:rsidRPr="003F715C">
        <w:rPr>
          <w:rtl/>
        </w:rPr>
        <w:t xml:space="preserve"> בתסקירו הראשון מכך שהנאשם שמר לכאורה על רצף תעסוקתי לאורך השנים, תוך סיוע בפרנסת המשפחה, ו</w:t>
      </w:r>
      <w:r>
        <w:rPr>
          <w:rFonts w:hint="cs"/>
          <w:rtl/>
        </w:rPr>
        <w:t xml:space="preserve">כן </w:t>
      </w:r>
      <w:r w:rsidRPr="003F715C">
        <w:rPr>
          <w:rtl/>
        </w:rPr>
        <w:t>מהיות ההליך המשפטי גורם מרתיע עבורו נוכח העובדה שזו לו מעורבותו הראשונה בפלילים. מנגד, צוין בתסקיר, כי הנאשם התקשה לקבל אחריות על מעשיו, נקט בגישה קורבנית והשתמש במנגנוני הגנה נוקשים של מזעור המעשים כהסבר להתנהגותו, תוך התמקדות במחירים הרגשיים והכלכליים הנובעים ממעורבותו בתיק זה. קשייו של הנאשם לערוך התבוננות ביקורתית ביחס לדפוסי התנהגותו, נסיבותיו המשפחתיות ותחושותיו במהלך התפתחותו, לצד חוסר קבלת אחריות אקטיבית על מעשיו, מהווים, לשיטתו של שרות המבחן, גורמים המעלים את הסיכון להישנות התנהגות עוברת חוק ע</w:t>
      </w:r>
      <w:r>
        <w:rPr>
          <w:rFonts w:hint="cs"/>
          <w:rtl/>
        </w:rPr>
        <w:t>ל ידו</w:t>
      </w:r>
      <w:r w:rsidRPr="003F715C">
        <w:rPr>
          <w:rtl/>
        </w:rPr>
        <w:t xml:space="preserve"> בעתיד. הנאשם שלל בפני שרות המבחן נזקקות טיפולית, תוך שהביע חשש לגבי תוצאות ההליך המשפטי,</w:t>
      </w:r>
      <w:r>
        <w:rPr>
          <w:rFonts w:hint="cs"/>
          <w:rtl/>
        </w:rPr>
        <w:t xml:space="preserve"> </w:t>
      </w:r>
      <w:r w:rsidRPr="003F715C">
        <w:rPr>
          <w:rtl/>
        </w:rPr>
        <w:t>חשש מהטלת עונש מאסר בפועל עליו שיפגע בתפקודו האישי והמקצועי ויעמיק את מצוקתו הכלכלית.</w:t>
      </w:r>
    </w:p>
    <w:p w14:paraId="68844C47" w14:textId="77777777" w:rsidR="006F0D74" w:rsidRPr="003F715C" w:rsidRDefault="006F0D74" w:rsidP="006F0D74">
      <w:pPr>
        <w:spacing w:line="360" w:lineRule="auto"/>
        <w:jc w:val="both"/>
        <w:rPr>
          <w:rtl/>
        </w:rPr>
      </w:pPr>
    </w:p>
    <w:p w14:paraId="366F25D9" w14:textId="77777777" w:rsidR="006F0D74" w:rsidRPr="003F715C" w:rsidRDefault="006F0D74" w:rsidP="006F0D74">
      <w:pPr>
        <w:spacing w:line="360" w:lineRule="auto"/>
        <w:jc w:val="both"/>
        <w:rPr>
          <w:rtl/>
        </w:rPr>
      </w:pPr>
      <w:r>
        <w:rPr>
          <w:rFonts w:hint="cs"/>
          <w:rtl/>
        </w:rPr>
        <w:t>10</w:t>
      </w:r>
      <w:r w:rsidRPr="003F715C">
        <w:rPr>
          <w:rtl/>
        </w:rPr>
        <w:t>.</w:t>
      </w:r>
      <w:r w:rsidRPr="003F715C">
        <w:rPr>
          <w:rtl/>
        </w:rPr>
        <w:tab/>
        <w:t>נוכח כל האמור לעיל, ובהינתן חומרת העבירות, נמנע שירות המבחן בתסקירו הראשון מלבוא בהמלצה טיפולית אודות הנאשם, אשר עשויה להפחית את הסיכון להישנות מעורבת נוספ</w:t>
      </w:r>
      <w:r>
        <w:rPr>
          <w:rFonts w:hint="cs"/>
          <w:rtl/>
        </w:rPr>
        <w:t>ת</w:t>
      </w:r>
      <w:r w:rsidRPr="003F715C">
        <w:rPr>
          <w:rtl/>
        </w:rPr>
        <w:t xml:space="preserve"> של הנאשם בפלילים בעתיד. בדיון בפניי ביום 3/6/18 לאחר שהנאשם הבהיר בפניי, כי הוא לוקח אחריות מלאה על מעשיו מושא כתב האישום המתוקן, וטען כי לא הובן כהלכה ע"י קצינת המבחן, נעתרתי לבקשת ההגנה והוריתי על קבלת תסקיר משלים של שרות המבחן.</w:t>
      </w:r>
    </w:p>
    <w:p w14:paraId="610BCF72" w14:textId="77777777" w:rsidR="006F0D74" w:rsidRPr="003F715C" w:rsidRDefault="006F0D74" w:rsidP="006F0D74">
      <w:pPr>
        <w:spacing w:line="360" w:lineRule="auto"/>
        <w:jc w:val="both"/>
        <w:rPr>
          <w:rtl/>
        </w:rPr>
      </w:pPr>
    </w:p>
    <w:p w14:paraId="1D222B8C" w14:textId="77777777" w:rsidR="006F0D74" w:rsidRDefault="006F0D74" w:rsidP="006F0D74">
      <w:pPr>
        <w:spacing w:line="360" w:lineRule="auto"/>
        <w:jc w:val="both"/>
        <w:rPr>
          <w:rtl/>
        </w:rPr>
      </w:pPr>
      <w:r w:rsidRPr="003F715C">
        <w:rPr>
          <w:rtl/>
        </w:rPr>
        <w:t>1</w:t>
      </w:r>
      <w:r>
        <w:rPr>
          <w:rFonts w:hint="cs"/>
          <w:rtl/>
        </w:rPr>
        <w:t>1</w:t>
      </w:r>
      <w:r w:rsidRPr="003F715C">
        <w:rPr>
          <w:rtl/>
        </w:rPr>
        <w:t>.</w:t>
      </w:r>
      <w:r w:rsidRPr="003F715C">
        <w:rPr>
          <w:rtl/>
        </w:rPr>
        <w:tab/>
        <w:t>מהתסקיר המשלים</w:t>
      </w:r>
      <w:r>
        <w:rPr>
          <w:rFonts w:hint="cs"/>
          <w:rtl/>
        </w:rPr>
        <w:t xml:space="preserve"> עולה, כי הנאשם הודה בפני שרות המבחן כי הכין באופן עצמאי את מטען החבלה המאולתר, המתואר בכתב האישום המתוקן, אך בד בבד טען כי לא התכוון להשתמש בו וכי לא הייתה כוונה פלילית במעשיו. הנאשם טען, כי גז הפלפל נמצא ברשותו מתקופת שירותו הצבאי וכי את הסכין קנה כקישוט. לעניין כדורי הרובה שנמצאו ברכב, טען הנאשם כי ייתכן שהם נפלו ממחסנית בה החזיק במהלך תקופת שירותו הצבאי. נוכח הבדלי הגרסאות בין שני התסקירים, התרשם שרות המבחן מהתנהלות מורכבת ומניפולטיבית של הנאשם, אשר טען לקושי בפיתוח יחסי אמון עם שרות המבחן, שהובילו לגרסתו בתסקיר הראשון. כן טען הנאשם בפני שרות המבחן, כי בפני בית המשפט הוא שב ומקבל אחריות לאמור בכתב האישום המתוקן בהנחיית בא כוחו.</w:t>
      </w:r>
    </w:p>
    <w:p w14:paraId="42ED5940" w14:textId="77777777" w:rsidR="006F0D74" w:rsidRDefault="006F0D74" w:rsidP="006F0D74">
      <w:pPr>
        <w:spacing w:line="360" w:lineRule="auto"/>
        <w:jc w:val="both"/>
        <w:rPr>
          <w:rtl/>
        </w:rPr>
      </w:pPr>
    </w:p>
    <w:p w14:paraId="2685B95A" w14:textId="77777777" w:rsidR="006F0D74" w:rsidRPr="003F715C" w:rsidRDefault="006F0D74" w:rsidP="006F0D74">
      <w:pPr>
        <w:spacing w:line="360" w:lineRule="auto"/>
        <w:jc w:val="both"/>
        <w:rPr>
          <w:rtl/>
        </w:rPr>
      </w:pPr>
      <w:r>
        <w:rPr>
          <w:rFonts w:hint="cs"/>
          <w:rtl/>
        </w:rPr>
        <w:t>12.</w:t>
      </w:r>
      <w:r>
        <w:rPr>
          <w:rtl/>
        </w:rPr>
        <w:tab/>
      </w:r>
      <w:r>
        <w:rPr>
          <w:rFonts w:hint="cs"/>
          <w:rtl/>
        </w:rPr>
        <w:t>שרות המבחן התרשם, כי מתחת לפסאדה של תפקוד תקין, קיימים אצל הנאשם כוחות אישיותיים מצומצמים ואֶגו נעדר כוחות. שרות המבחן התרשם, כי הנאשם מוצף רגשית, מציג עמדה קורבנית  ואינו בוחן את עצמו, בהיעדר אמון באחר ומתוך פגיעה נרקיסיסטית, אשר מונעת ממנו לבטא נזקקות לטיפול ובקשת עזרה. הנאשם הגיב באופן מאופק, התנגד כשנדרש להתבונן בדפוסי התנהגותו וענה באופן מצומצם לשאלות שהופנו אליו, תוך שנראה היה כי הוא אוצר בתוכו כעס רב. אי לכך, התרשם שרות המבחן, כי הנאשם יתקשה להפיק תועלת מקשר טיפולי. הנאשם התקשה, גם עפ"י התסקיר המשלים, לגלות הבנה או רצון להשתלב באפיק טיפולי, תוך שהתקשה להציב לעצמו מטרות לטיפול ייעודי.</w:t>
      </w:r>
    </w:p>
    <w:p w14:paraId="73248803" w14:textId="77777777" w:rsidR="006F0D74" w:rsidRDefault="006F0D74" w:rsidP="006F0D74">
      <w:pPr>
        <w:spacing w:line="360" w:lineRule="auto"/>
        <w:jc w:val="both"/>
        <w:rPr>
          <w:rtl/>
        </w:rPr>
      </w:pPr>
    </w:p>
    <w:p w14:paraId="5B82BE85" w14:textId="77777777" w:rsidR="006F0D74" w:rsidRPr="003F715C" w:rsidRDefault="006F0D74" w:rsidP="006F0D74">
      <w:pPr>
        <w:spacing w:line="360" w:lineRule="auto"/>
        <w:jc w:val="both"/>
        <w:rPr>
          <w:rtl/>
        </w:rPr>
      </w:pPr>
      <w:r>
        <w:rPr>
          <w:rFonts w:hint="cs"/>
          <w:rtl/>
        </w:rPr>
        <w:t>13.</w:t>
      </w:r>
      <w:r>
        <w:rPr>
          <w:rFonts w:hint="cs"/>
          <w:rtl/>
        </w:rPr>
        <w:tab/>
        <w:t>לפיכך ונוכח חומרת העבירות, שב שירות המבחן בתסקירו המשלים וציין כי הוא אינו רואה בהמלצה לחלופה שיקומית-עונשית, במסגרת שרות המבחן ובקהילה, כאמצעי העשוי להפחית את הסיכון להישנות מעורבות בעתיד של הנאשם בפלילים.</w:t>
      </w:r>
    </w:p>
    <w:p w14:paraId="41D3CFA7" w14:textId="77777777" w:rsidR="006F0D74" w:rsidRPr="003F715C" w:rsidRDefault="006F0D74" w:rsidP="006F0D74">
      <w:pPr>
        <w:spacing w:line="360" w:lineRule="auto"/>
        <w:jc w:val="both"/>
        <w:rPr>
          <w:rtl/>
        </w:rPr>
      </w:pPr>
    </w:p>
    <w:p w14:paraId="75D2239D" w14:textId="77777777" w:rsidR="006F0D74" w:rsidRPr="00317A4F" w:rsidRDefault="006F0D74" w:rsidP="006F0D74">
      <w:pPr>
        <w:spacing w:line="360" w:lineRule="auto"/>
        <w:jc w:val="both"/>
        <w:rPr>
          <w:rFonts w:cs="Miriam"/>
          <w:u w:val="single"/>
          <w:rtl/>
        </w:rPr>
      </w:pPr>
      <w:r w:rsidRPr="00317A4F">
        <w:rPr>
          <w:rFonts w:cs="Miriam"/>
          <w:u w:val="single"/>
          <w:rtl/>
        </w:rPr>
        <w:t>טיעוני הצדדים לעונש</w:t>
      </w:r>
    </w:p>
    <w:p w14:paraId="19AD3819" w14:textId="77777777" w:rsidR="006F0D74" w:rsidRPr="003F715C" w:rsidRDefault="006F0D74" w:rsidP="006F0D74">
      <w:pPr>
        <w:spacing w:line="360" w:lineRule="auto"/>
        <w:jc w:val="both"/>
        <w:rPr>
          <w:u w:val="single"/>
          <w:rtl/>
        </w:rPr>
      </w:pPr>
    </w:p>
    <w:p w14:paraId="254DC683" w14:textId="77777777" w:rsidR="006F0D74" w:rsidRDefault="006F0D74" w:rsidP="006F0D74">
      <w:pPr>
        <w:spacing w:line="360" w:lineRule="auto"/>
        <w:jc w:val="both"/>
        <w:rPr>
          <w:rtl/>
        </w:rPr>
      </w:pPr>
      <w:r>
        <w:rPr>
          <w:rFonts w:hint="cs"/>
          <w:rtl/>
        </w:rPr>
        <w:t xml:space="preserve">14. </w:t>
      </w:r>
      <w:r>
        <w:rPr>
          <w:rFonts w:hint="cs"/>
          <w:rtl/>
        </w:rPr>
        <w:tab/>
        <w:t>באת כוח המאשימה הגישה את טיעוניה לעונש בכתב (</w:t>
      </w:r>
      <w:r w:rsidRPr="00B62DD3">
        <w:rPr>
          <w:rFonts w:cs="Miriam" w:hint="cs"/>
          <w:rtl/>
        </w:rPr>
        <w:t>ט/1</w:t>
      </w:r>
      <w:r>
        <w:rPr>
          <w:rFonts w:hint="cs"/>
          <w:rtl/>
        </w:rPr>
        <w:t xml:space="preserve">) והוסיפה וטענה בעל-פה בדיון בפניי ביום 02/10/2018. מטיעוני באת כוח המאשימה לעונש עולה כי הערך החברתי המוגן שנפגע במקרה דנן הוא שלום הציבור וההגנה על שלמות הגוף. כן נטען כי בית המשפט העליון נתן דעתו בפסיקתו להשלכות הרות האסון הנובעות מעבירות הנשק ומהסיכון הגלום בהן. צוין כי  זמינות כלי הנשק העוברים מיד ליד תורמים להגדלת מעגל האלימות. עוד טענה באת כוח המאשימה כי מקום שאדם נמצא מחזיק בנשק ללא רישיון, מותר להניח לחובתו כי הוא עושה כן למטרות שאינן כשרות. </w:t>
      </w:r>
    </w:p>
    <w:p w14:paraId="33C5689B" w14:textId="77777777" w:rsidR="006F0D74" w:rsidRDefault="006F0D74" w:rsidP="006F0D74">
      <w:pPr>
        <w:spacing w:line="360" w:lineRule="auto"/>
        <w:jc w:val="both"/>
        <w:rPr>
          <w:rtl/>
        </w:rPr>
      </w:pPr>
    </w:p>
    <w:p w14:paraId="374AD40E" w14:textId="77777777" w:rsidR="006F0D74" w:rsidRDefault="006F0D74" w:rsidP="006F0D74">
      <w:pPr>
        <w:spacing w:line="360" w:lineRule="auto"/>
        <w:jc w:val="both"/>
        <w:rPr>
          <w:rtl/>
        </w:rPr>
      </w:pPr>
      <w:r>
        <w:rPr>
          <w:rFonts w:hint="cs"/>
          <w:rtl/>
        </w:rPr>
        <w:t xml:space="preserve">15. </w:t>
      </w:r>
      <w:r>
        <w:rPr>
          <w:rFonts w:hint="cs"/>
          <w:rtl/>
        </w:rPr>
        <w:tab/>
        <w:t>באשר לנסיבות הקשורות בביצוע העבירה, נטען ע"י המאשימה כי חומרת המקרה שבפנינו נעוצה בכך שהנאשם הסתיר את המטען ברכבו והחזיק בו בשעת לילה במקום ציבורי, ביחד עם כלי לחימה נוספים. לעניין זה צוינו הסכינים בהן החזיק הנאשם, לצד 8 כדורי רובה, שוקר חשמלי וגז פלפל. בנקודה זו ראוי לציין לגבי כדורי הרובה, כי  לנאשם לא מיוחסת בתיק זה עבירה של החזקת תחמושת לנשק שלא כדין.</w:t>
      </w:r>
    </w:p>
    <w:p w14:paraId="4CB5FD71" w14:textId="77777777" w:rsidR="006F0D74" w:rsidRDefault="006F0D74" w:rsidP="006F0D74">
      <w:pPr>
        <w:spacing w:line="360" w:lineRule="auto"/>
        <w:jc w:val="both"/>
        <w:rPr>
          <w:rtl/>
        </w:rPr>
      </w:pPr>
    </w:p>
    <w:p w14:paraId="7CC8C884" w14:textId="77777777" w:rsidR="006F0D74" w:rsidRDefault="006F0D74" w:rsidP="006F0D74">
      <w:pPr>
        <w:spacing w:line="360" w:lineRule="auto"/>
        <w:jc w:val="both"/>
        <w:rPr>
          <w:rtl/>
        </w:rPr>
      </w:pPr>
      <w:r>
        <w:rPr>
          <w:rFonts w:hint="cs"/>
          <w:rtl/>
        </w:rPr>
        <w:t xml:space="preserve">16. </w:t>
      </w:r>
      <w:r>
        <w:rPr>
          <w:rFonts w:hint="cs"/>
          <w:rtl/>
        </w:rPr>
        <w:tab/>
        <w:t xml:space="preserve">באת כוח המאשימה ביקשה להדגיש, בטיעוניה לעונש, את המסוכנות הגלומה בהחזקת כלי נשק וייצורם, לצד זמינותם ונפיצותם.  לעניין מדיניות הענישה הנהוגה הפנתה באת כוח המאשימה ל-3 פסקי דין. יוער כי פסקי הדין אליהם הפנתה באת כוח המאשימה מתייחסים למקרים החמורים בנסיבותיהם מהמקרה דנן, כפי שנטען לעניין זה ע"י הסנגור המלומד, ולפיכך אין הנדון דומה לראיה. </w:t>
      </w:r>
    </w:p>
    <w:p w14:paraId="3DC16272" w14:textId="77777777" w:rsidR="006F0D74" w:rsidRDefault="006F0D74" w:rsidP="006F0D74">
      <w:pPr>
        <w:spacing w:line="360" w:lineRule="auto"/>
        <w:jc w:val="both"/>
        <w:rPr>
          <w:rtl/>
        </w:rPr>
      </w:pPr>
    </w:p>
    <w:p w14:paraId="3EEA77DF" w14:textId="77777777" w:rsidR="006F0D74" w:rsidRDefault="006F0D74" w:rsidP="006F0D74">
      <w:pPr>
        <w:spacing w:line="360" w:lineRule="auto"/>
        <w:jc w:val="both"/>
        <w:rPr>
          <w:rtl/>
        </w:rPr>
      </w:pPr>
      <w:r>
        <w:rPr>
          <w:rFonts w:hint="cs"/>
          <w:rtl/>
        </w:rPr>
        <w:t xml:space="preserve">17. </w:t>
      </w:r>
      <w:r>
        <w:rPr>
          <w:rFonts w:hint="cs"/>
          <w:rtl/>
        </w:rPr>
        <w:tab/>
        <w:t xml:space="preserve">באת כוח המאשימה טענה למתחם עונש הולם, הנע בין 3 </w:t>
      </w:r>
      <w:r>
        <w:rPr>
          <w:rtl/>
        </w:rPr>
        <w:t>–</w:t>
      </w:r>
      <w:r>
        <w:rPr>
          <w:rFonts w:hint="cs"/>
          <w:rtl/>
        </w:rPr>
        <w:t xml:space="preserve"> 7 שנות מאסר בפועל, תוך  שציינה כי הנחיית פרקליט המדינה מתייחסת, לעניין החזקה וייצור של מטעני חבלה, למתחם עונש הולם הנע בין  3.5 עד 8 שנות מאסר בפועל. באת כוח המאשימה  הפנתה לאמור בתסקירי שירות המבחן, תוך שציינה כי הנאשם התקשה לקחת אחריות על מעשיו ומבטא עמדה קורבנית, כמו גם שולל נזקקות טיפולית, דבר שהביא את שירות המבחן להימנעות מהמלצה טיפולית שתוכל להפחית את הסיכון להישנות עבירות דומות בעתיד. בסיכומו של דבר, ביקשה באת כוח המאשימה להשית על הנאשם מאסר בפועל במחצית הראשונה של מתחם העונש ההולם המתבקש ע"י המאשימה, וזאת לצד מאסר על תנאי מרתיע וקנס כספי. </w:t>
      </w:r>
    </w:p>
    <w:p w14:paraId="4405724A" w14:textId="77777777" w:rsidR="006F0D74" w:rsidRDefault="006F0D74" w:rsidP="006F0D74">
      <w:pPr>
        <w:spacing w:line="360" w:lineRule="auto"/>
        <w:jc w:val="both"/>
        <w:rPr>
          <w:rtl/>
        </w:rPr>
      </w:pPr>
    </w:p>
    <w:p w14:paraId="1FFE5747" w14:textId="77777777" w:rsidR="006F0D74" w:rsidRDefault="006F0D74" w:rsidP="006F0D74">
      <w:pPr>
        <w:spacing w:line="360" w:lineRule="auto"/>
        <w:jc w:val="both"/>
        <w:rPr>
          <w:rtl/>
        </w:rPr>
      </w:pPr>
      <w:r>
        <w:rPr>
          <w:rFonts w:hint="cs"/>
          <w:rtl/>
        </w:rPr>
        <w:t xml:space="preserve">18. </w:t>
      </w:r>
      <w:r>
        <w:rPr>
          <w:rFonts w:hint="cs"/>
          <w:rtl/>
        </w:rPr>
        <w:tab/>
        <w:t xml:space="preserve">הסנגור, בטיעוניו לעונש, ציין כי מדובר אך במטען שהורכב מזיקוקין שנקנו ע"י הנאשם בחנות בכפרו. כן נטען כי פוטנציאל הפגיעה הטמון במטען זה כמעט ולא קיים, שכן אין חומר נפץ  בתוך המטען והמטען יכול לגרום לחבלה גופנית בעת פעולה אך ורק בכפוף לקרבה למוקד הפעולה.  הסנגור הוסיף וטען, כי עסקינן בנאשם שסיים  12 שנות לימוד והתגייס לצה"ל.  הנאשם עבד במשך  5 שנים כמאבטח ובשנת 2016 החל לשרת שוב בצבא בשירות קבע. בתקופה הרלוונטית  שהה הנאשם בחופשה לצורך חידוש חוזה העסקתו בצה"ל. אולם, בעקבות פתיחת התיק שבפנינו לא חודש ההסכם, דבר שגרם לנאשם נזק תעסוקתי גדול. </w:t>
      </w:r>
    </w:p>
    <w:p w14:paraId="7B6702D3" w14:textId="77777777" w:rsidR="006F0D74" w:rsidRDefault="006F0D74" w:rsidP="006F0D74">
      <w:pPr>
        <w:spacing w:line="360" w:lineRule="auto"/>
        <w:jc w:val="both"/>
        <w:rPr>
          <w:rtl/>
        </w:rPr>
      </w:pPr>
    </w:p>
    <w:p w14:paraId="39E45628" w14:textId="77777777" w:rsidR="006F0D74" w:rsidRDefault="006F0D74" w:rsidP="006F0D74">
      <w:pPr>
        <w:spacing w:line="360" w:lineRule="auto"/>
        <w:jc w:val="both"/>
        <w:rPr>
          <w:rtl/>
        </w:rPr>
      </w:pPr>
      <w:r>
        <w:rPr>
          <w:rFonts w:hint="cs"/>
          <w:rtl/>
        </w:rPr>
        <w:t xml:space="preserve">19. </w:t>
      </w:r>
      <w:r>
        <w:rPr>
          <w:rFonts w:hint="cs"/>
          <w:rtl/>
        </w:rPr>
        <w:tab/>
        <w:t>הסנגור הוסיף וטען, כי הנאשם היה נתון במעצר בגין תיק זה במשך כשבוע ולאחר מכן שוחרר למעצר בית מלא. כיום מצוי הנאשם במעצר בית חלקי.  כן נטען כי לא נפתחו לנאשם תיקים נוספים מאז ביצוע העבירות וזו לו הסתבכותו היחידה בחייו. הסנגור הוסיף והפנה לתמונה העולה מתסקיר שירות המבחן, הן לעניין נסיבותיו האישיות של הנאשם והן לעניין התייחסותו לביצוע העבירה.  בנקודה זו  ציין הסנגור, כי הנאשם אינו רואה עצמו כמי שהכין מטען חבלה, ולכן התקשה לקבל אחריות לביצוע העבירה בפני שירות המבחן, דבר שהוביל את שירות המבחן להימנע ממתן המלצה טיפולית. עם זאת, ביקש הסנגור ליתן הדעת לטובת הנאשם לכך שהתסקיר אינו כולל בחובו המלצה להשית על הנאשם ענישה מוחשית.</w:t>
      </w:r>
    </w:p>
    <w:p w14:paraId="07CA1FF7" w14:textId="77777777" w:rsidR="006F0D74" w:rsidRDefault="006F0D74" w:rsidP="006F0D74">
      <w:pPr>
        <w:spacing w:line="360" w:lineRule="auto"/>
        <w:jc w:val="both"/>
        <w:rPr>
          <w:rtl/>
        </w:rPr>
      </w:pPr>
    </w:p>
    <w:p w14:paraId="7038FBA1" w14:textId="77777777" w:rsidR="006F0D74" w:rsidRDefault="006F0D74" w:rsidP="006F0D74">
      <w:pPr>
        <w:spacing w:line="360" w:lineRule="auto"/>
        <w:jc w:val="both"/>
        <w:rPr>
          <w:rtl/>
        </w:rPr>
      </w:pPr>
      <w:r>
        <w:rPr>
          <w:rFonts w:hint="cs"/>
          <w:rtl/>
        </w:rPr>
        <w:t xml:space="preserve">20. </w:t>
      </w:r>
      <w:r>
        <w:rPr>
          <w:rFonts w:hint="cs"/>
          <w:rtl/>
        </w:rPr>
        <w:tab/>
        <w:t xml:space="preserve">הסנגור הבהיר כי לא ניתן לאתר פסיקה המתייחסת ספציפית לנשק שבפנינו, שהינו מטען שהורכב מזיקוקין. אולם, הוסיף וטען, מבלי להגיש פסיקה,  כי בגין הכנת מטענים מאולתרים הושתו ע"י בתי המשפט עונשים החל ממאסר בעבודות שירות ועד מספר חודשי מאסר בפועל. </w:t>
      </w:r>
    </w:p>
    <w:p w14:paraId="551A3278" w14:textId="77777777" w:rsidR="006F0D74" w:rsidRDefault="006F0D74" w:rsidP="006F0D74">
      <w:pPr>
        <w:spacing w:line="360" w:lineRule="auto"/>
        <w:jc w:val="both"/>
        <w:rPr>
          <w:rtl/>
        </w:rPr>
      </w:pPr>
    </w:p>
    <w:p w14:paraId="690EFD7C" w14:textId="77777777" w:rsidR="006F0D74" w:rsidRDefault="006F0D74" w:rsidP="006F0D74">
      <w:pPr>
        <w:spacing w:line="360" w:lineRule="auto"/>
        <w:jc w:val="both"/>
        <w:rPr>
          <w:rtl/>
        </w:rPr>
      </w:pPr>
      <w:r>
        <w:rPr>
          <w:rFonts w:hint="cs"/>
          <w:rtl/>
        </w:rPr>
        <w:t xml:space="preserve">21. </w:t>
      </w:r>
      <w:r>
        <w:rPr>
          <w:rFonts w:hint="cs"/>
          <w:rtl/>
        </w:rPr>
        <w:tab/>
        <w:t xml:space="preserve">הסנגור טען כי אלמלא החזקת הסכינים מן הראוי היה לסגור את התיק נגד הנאשם שעברו נקי, מחמת חוסר עניין לציבור, שכן הנאשם לא פעל לצורך מימוש מטרה פלילית.  בסיכומו של דבר, טען הסנגור כי מן הראוי להשית על  הנאשם בתיק זה עונש של מאסר בפועל שירוצה בדרך של עבודות שירות. </w:t>
      </w:r>
    </w:p>
    <w:p w14:paraId="7F1F5A5B" w14:textId="77777777" w:rsidR="006F0D74" w:rsidRPr="003F715C" w:rsidRDefault="006F0D74" w:rsidP="006F0D74">
      <w:pPr>
        <w:spacing w:line="360" w:lineRule="auto"/>
        <w:jc w:val="both"/>
        <w:rPr>
          <w:rtl/>
        </w:rPr>
      </w:pPr>
    </w:p>
    <w:p w14:paraId="70DA4CDE" w14:textId="77777777" w:rsidR="006F0D74" w:rsidRPr="003F715C" w:rsidRDefault="006F0D74" w:rsidP="006F0D74">
      <w:pPr>
        <w:spacing w:line="360" w:lineRule="auto"/>
        <w:jc w:val="both"/>
        <w:rPr>
          <w:rFonts w:cs="Miriam"/>
          <w:u w:val="single"/>
          <w:rtl/>
        </w:rPr>
      </w:pPr>
      <w:r w:rsidRPr="003F715C">
        <w:rPr>
          <w:rFonts w:cs="Miriam"/>
          <w:u w:val="single"/>
          <w:rtl/>
        </w:rPr>
        <w:t>דבר הנאשם</w:t>
      </w:r>
    </w:p>
    <w:p w14:paraId="01C3CB93" w14:textId="77777777" w:rsidR="006F0D74" w:rsidRPr="003F715C" w:rsidRDefault="006F0D74" w:rsidP="006F0D74">
      <w:pPr>
        <w:spacing w:line="360" w:lineRule="auto"/>
        <w:jc w:val="both"/>
        <w:rPr>
          <w:rtl/>
        </w:rPr>
      </w:pPr>
    </w:p>
    <w:p w14:paraId="4F6581AC" w14:textId="77777777" w:rsidR="006F0D74" w:rsidRDefault="006F0D74" w:rsidP="006F0D74">
      <w:pPr>
        <w:spacing w:line="360" w:lineRule="auto"/>
        <w:jc w:val="both"/>
        <w:rPr>
          <w:rtl/>
        </w:rPr>
      </w:pPr>
      <w:r>
        <w:rPr>
          <w:rFonts w:hint="cs"/>
          <w:rtl/>
        </w:rPr>
        <w:t xml:space="preserve">22. </w:t>
      </w:r>
      <w:r>
        <w:rPr>
          <w:rFonts w:hint="cs"/>
          <w:rtl/>
        </w:rPr>
        <w:tab/>
        <w:t xml:space="preserve">להלן אביא כלשונם את דבריו של הנאשם בדיון בפניי: </w:t>
      </w:r>
    </w:p>
    <w:p w14:paraId="042C70F7" w14:textId="77777777" w:rsidR="006F0D74" w:rsidRDefault="006F0D74" w:rsidP="006F0D74">
      <w:pPr>
        <w:spacing w:line="360" w:lineRule="auto"/>
        <w:jc w:val="both"/>
        <w:rPr>
          <w:rtl/>
        </w:rPr>
      </w:pPr>
    </w:p>
    <w:p w14:paraId="37F6772B" w14:textId="77777777" w:rsidR="006F0D74" w:rsidRDefault="006F0D74" w:rsidP="006F0D74">
      <w:pPr>
        <w:spacing w:line="360" w:lineRule="auto"/>
        <w:ind w:left="1440" w:right="851"/>
        <w:jc w:val="both"/>
      </w:pPr>
      <w:r>
        <w:rPr>
          <w:rFonts w:hint="cs"/>
          <w:rtl/>
        </w:rPr>
        <w:t>"</w:t>
      </w:r>
      <w:r w:rsidRPr="003C21F3">
        <w:rPr>
          <w:rFonts w:cs="Miriam" w:hint="cs"/>
          <w:rtl/>
        </w:rPr>
        <w:t>אני מודה על כל הדבר, אני מצטער על כל הדבר, אני מבקש שלא ללכת לבית הסוהר, זה טעות שלי, אני רוצה לסיים עם הכל.  אני לא אדם מסוכן. לפני חודשיים חזרתי ממילואים.  היו לי  מחסניות  עם  150 כדורים</w:t>
      </w:r>
      <w:r>
        <w:rPr>
          <w:rFonts w:hint="cs"/>
          <w:rtl/>
        </w:rPr>
        <w:t xml:space="preserve">".   </w:t>
      </w:r>
    </w:p>
    <w:p w14:paraId="05467262" w14:textId="77777777" w:rsidR="006F0D74" w:rsidRDefault="006F0D74" w:rsidP="006F0D74">
      <w:pPr>
        <w:spacing w:line="360" w:lineRule="auto"/>
        <w:jc w:val="both"/>
        <w:rPr>
          <w:rFonts w:cs="Miriam"/>
          <w:rtl/>
        </w:rPr>
      </w:pPr>
      <w:r w:rsidRPr="003F715C">
        <w:rPr>
          <w:rtl/>
        </w:rPr>
        <w:t xml:space="preserve"> </w:t>
      </w:r>
    </w:p>
    <w:p w14:paraId="7A9ED132" w14:textId="77777777" w:rsidR="006F0D74" w:rsidRDefault="006F0D74" w:rsidP="006F0D74">
      <w:pPr>
        <w:spacing w:line="360" w:lineRule="auto"/>
        <w:jc w:val="both"/>
        <w:rPr>
          <w:rFonts w:cs="Miriam"/>
          <w:rtl/>
        </w:rPr>
      </w:pPr>
    </w:p>
    <w:p w14:paraId="39CC62D3" w14:textId="77777777" w:rsidR="006F0D74" w:rsidRPr="003F715C" w:rsidRDefault="006F0D74" w:rsidP="006F0D74">
      <w:pPr>
        <w:spacing w:line="360" w:lineRule="auto"/>
        <w:jc w:val="both"/>
        <w:rPr>
          <w:rFonts w:cs="Miriam"/>
          <w:rtl/>
        </w:rPr>
      </w:pPr>
    </w:p>
    <w:p w14:paraId="70F815A3" w14:textId="77777777" w:rsidR="006F0D74" w:rsidRPr="003F715C" w:rsidRDefault="006F0D74" w:rsidP="006F0D74">
      <w:pPr>
        <w:spacing w:line="360" w:lineRule="auto"/>
        <w:jc w:val="both"/>
        <w:rPr>
          <w:rFonts w:cs="Miriam"/>
          <w:u w:val="single"/>
          <w:rtl/>
        </w:rPr>
      </w:pPr>
      <w:r w:rsidRPr="003F715C">
        <w:rPr>
          <w:rFonts w:cs="Miriam"/>
          <w:u w:val="single"/>
          <w:rtl/>
        </w:rPr>
        <w:t>דיון והכרעה</w:t>
      </w:r>
    </w:p>
    <w:p w14:paraId="7862F803" w14:textId="77777777" w:rsidR="006F0D74" w:rsidRPr="003F715C" w:rsidRDefault="006F0D74" w:rsidP="006F0D74">
      <w:pPr>
        <w:spacing w:line="360" w:lineRule="auto"/>
        <w:jc w:val="both"/>
        <w:rPr>
          <w:rtl/>
        </w:rPr>
      </w:pPr>
    </w:p>
    <w:p w14:paraId="07D17737" w14:textId="77777777" w:rsidR="006F0D74" w:rsidRPr="006F0D74" w:rsidRDefault="006F0D74" w:rsidP="0015434D">
      <w:pPr>
        <w:spacing w:after="160" w:line="360" w:lineRule="auto"/>
        <w:jc w:val="both"/>
        <w:rPr>
          <w:rFonts w:ascii="Calibri" w:hAnsi="Calibri"/>
          <w:rtl/>
        </w:rPr>
      </w:pPr>
      <w:r w:rsidRPr="006F0D74">
        <w:rPr>
          <w:rFonts w:ascii="Calibri" w:hAnsi="Calibri" w:hint="cs"/>
          <w:rtl/>
        </w:rPr>
        <w:t>23.</w:t>
      </w:r>
      <w:r w:rsidRPr="006F0D74">
        <w:rPr>
          <w:rFonts w:ascii="Calibri" w:hAnsi="Calibri" w:hint="cs"/>
          <w:rtl/>
        </w:rPr>
        <w:tab/>
      </w:r>
      <w:r w:rsidRPr="006F0D74">
        <w:rPr>
          <w:rFonts w:ascii="Calibri" w:hAnsi="Calibri" w:hint="eastAsia"/>
          <w:rtl/>
        </w:rPr>
        <w:t>תיקון</w:t>
      </w:r>
      <w:r w:rsidRPr="006F0D74">
        <w:rPr>
          <w:rFonts w:ascii="Calibri" w:hAnsi="Calibri"/>
          <w:rtl/>
        </w:rPr>
        <w:t xml:space="preserve"> </w:t>
      </w:r>
      <w:r w:rsidRPr="006F0D74">
        <w:rPr>
          <w:rFonts w:ascii="Calibri" w:hAnsi="Calibri" w:hint="eastAsia"/>
          <w:rtl/>
        </w:rPr>
        <w:t>מס</w:t>
      </w:r>
      <w:r w:rsidRPr="006F0D74">
        <w:rPr>
          <w:rFonts w:ascii="Calibri" w:hAnsi="Calibri"/>
          <w:rtl/>
        </w:rPr>
        <w:t xml:space="preserve">' 113 </w:t>
      </w:r>
      <w:r w:rsidRPr="006F0D74">
        <w:rPr>
          <w:rFonts w:ascii="Calibri" w:hAnsi="Calibri" w:hint="eastAsia"/>
          <w:rtl/>
        </w:rPr>
        <w:t>ל</w:t>
      </w:r>
      <w:hyperlink r:id="rId26" w:history="1">
        <w:r w:rsidR="00AE1E60" w:rsidRPr="00AE1E60">
          <w:rPr>
            <w:rFonts w:ascii="Calibri" w:hAnsi="Calibri" w:hint="eastAsia"/>
            <w:color w:val="0000FF"/>
            <w:u w:val="single"/>
            <w:rtl/>
          </w:rPr>
          <w:t>חוק</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העונשין</w:t>
        </w:r>
      </w:hyperlink>
      <w:r w:rsidRPr="006F0D74">
        <w:rPr>
          <w:rFonts w:ascii="Calibri" w:hAnsi="Calibri"/>
          <w:rtl/>
        </w:rPr>
        <w:t xml:space="preserve"> </w:t>
      </w:r>
      <w:r w:rsidRPr="006F0D74">
        <w:rPr>
          <w:rFonts w:ascii="Calibri" w:hAnsi="Calibri" w:hint="eastAsia"/>
          <w:rtl/>
        </w:rPr>
        <w:t>מתווה</w:t>
      </w:r>
      <w:r w:rsidRPr="006F0D74">
        <w:rPr>
          <w:rFonts w:ascii="Calibri" w:hAnsi="Calibri"/>
          <w:rtl/>
        </w:rPr>
        <w:t xml:space="preserve"> </w:t>
      </w:r>
      <w:r w:rsidRPr="006F0D74">
        <w:rPr>
          <w:rFonts w:ascii="Calibri" w:hAnsi="Calibri" w:hint="eastAsia"/>
          <w:rtl/>
        </w:rPr>
        <w:t>את</w:t>
      </w:r>
      <w:r w:rsidRPr="006F0D74">
        <w:rPr>
          <w:rFonts w:ascii="Calibri" w:hAnsi="Calibri"/>
          <w:rtl/>
        </w:rPr>
        <w:t xml:space="preserve"> </w:t>
      </w:r>
      <w:r w:rsidRPr="006F0D74">
        <w:rPr>
          <w:rFonts w:ascii="Calibri" w:hAnsi="Calibri" w:hint="eastAsia"/>
          <w:rtl/>
        </w:rPr>
        <w:t>העיקרון</w:t>
      </w:r>
      <w:r w:rsidRPr="006F0D74">
        <w:rPr>
          <w:rFonts w:ascii="Calibri" w:hAnsi="Calibri"/>
          <w:rtl/>
        </w:rPr>
        <w:t xml:space="preserve"> </w:t>
      </w:r>
      <w:r w:rsidRPr="006F0D74">
        <w:rPr>
          <w:rFonts w:ascii="Calibri" w:hAnsi="Calibri" w:hint="eastAsia"/>
          <w:rtl/>
        </w:rPr>
        <w:t>המנחה</w:t>
      </w:r>
      <w:r w:rsidRPr="006F0D74">
        <w:rPr>
          <w:rFonts w:ascii="Calibri" w:hAnsi="Calibri"/>
          <w:rtl/>
        </w:rPr>
        <w:t xml:space="preserve"> </w:t>
      </w:r>
      <w:r w:rsidRPr="006F0D74">
        <w:rPr>
          <w:rFonts w:ascii="Calibri" w:hAnsi="Calibri" w:hint="eastAsia"/>
          <w:rtl/>
        </w:rPr>
        <w:t>כיום</w:t>
      </w:r>
      <w:r w:rsidRPr="006F0D74">
        <w:rPr>
          <w:rFonts w:ascii="Calibri" w:hAnsi="Calibri"/>
          <w:rtl/>
        </w:rPr>
        <w:t xml:space="preserve"> (</w:t>
      </w:r>
      <w:r w:rsidRPr="006F0D74">
        <w:rPr>
          <w:rFonts w:ascii="Calibri" w:hAnsi="Calibri" w:hint="eastAsia"/>
          <w:rtl/>
        </w:rPr>
        <w:t>החל</w:t>
      </w:r>
      <w:r w:rsidRPr="006F0D74">
        <w:rPr>
          <w:rFonts w:ascii="Calibri" w:hAnsi="Calibri"/>
          <w:rtl/>
        </w:rPr>
        <w:t xml:space="preserve"> </w:t>
      </w:r>
      <w:r w:rsidRPr="006F0D74">
        <w:rPr>
          <w:rFonts w:ascii="Calibri" w:hAnsi="Calibri" w:hint="eastAsia"/>
          <w:rtl/>
        </w:rPr>
        <w:t>מיום</w:t>
      </w:r>
      <w:r w:rsidRPr="006F0D74">
        <w:rPr>
          <w:rFonts w:ascii="Calibri" w:hAnsi="Calibri"/>
          <w:rtl/>
        </w:rPr>
        <w:t xml:space="preserve"> 10.7.12) </w:t>
      </w:r>
      <w:r w:rsidRPr="006F0D74">
        <w:rPr>
          <w:rFonts w:ascii="Calibri" w:hAnsi="Calibri" w:hint="eastAsia"/>
          <w:rtl/>
        </w:rPr>
        <w:t>את</w:t>
      </w:r>
      <w:r w:rsidRPr="006F0D74">
        <w:rPr>
          <w:rFonts w:ascii="Calibri" w:hAnsi="Calibri"/>
          <w:rtl/>
        </w:rPr>
        <w:t xml:space="preserve"> </w:t>
      </w:r>
      <w:r w:rsidRPr="006F0D74">
        <w:rPr>
          <w:rFonts w:ascii="Calibri" w:hAnsi="Calibri" w:hint="eastAsia"/>
          <w:rtl/>
        </w:rPr>
        <w:t>ביהמ</w:t>
      </w:r>
      <w:r w:rsidRPr="006F0D74">
        <w:rPr>
          <w:rFonts w:ascii="Calibri" w:hAnsi="Calibri"/>
          <w:rtl/>
        </w:rPr>
        <w:t>"</w:t>
      </w:r>
      <w:r w:rsidRPr="006F0D74">
        <w:rPr>
          <w:rFonts w:ascii="Calibri" w:hAnsi="Calibri" w:hint="eastAsia"/>
          <w:rtl/>
        </w:rPr>
        <w:t>ש</w:t>
      </w:r>
      <w:r w:rsidRPr="006F0D74">
        <w:rPr>
          <w:rFonts w:ascii="Calibri" w:hAnsi="Calibri"/>
          <w:rtl/>
        </w:rPr>
        <w:t xml:space="preserve"> </w:t>
      </w:r>
      <w:r w:rsidRPr="006F0D74">
        <w:rPr>
          <w:rFonts w:ascii="Calibri" w:hAnsi="Calibri" w:hint="eastAsia"/>
          <w:rtl/>
        </w:rPr>
        <w:t>בבואו</w:t>
      </w:r>
      <w:r w:rsidRPr="006F0D74">
        <w:rPr>
          <w:rFonts w:ascii="Calibri" w:hAnsi="Calibri"/>
          <w:rtl/>
        </w:rPr>
        <w:t xml:space="preserve"> </w:t>
      </w:r>
      <w:r w:rsidRPr="006F0D74">
        <w:rPr>
          <w:rFonts w:ascii="Calibri" w:hAnsi="Calibri" w:hint="eastAsia"/>
          <w:rtl/>
        </w:rPr>
        <w:t>לגזור</w:t>
      </w:r>
      <w:r w:rsidRPr="006F0D74">
        <w:rPr>
          <w:rFonts w:ascii="Calibri" w:hAnsi="Calibri"/>
          <w:rtl/>
        </w:rPr>
        <w:t xml:space="preserve"> </w:t>
      </w:r>
      <w:r w:rsidRPr="006F0D74">
        <w:rPr>
          <w:rFonts w:ascii="Calibri" w:hAnsi="Calibri" w:hint="eastAsia"/>
          <w:rtl/>
        </w:rPr>
        <w:t>דינו</w:t>
      </w:r>
      <w:r w:rsidRPr="006F0D74">
        <w:rPr>
          <w:rFonts w:ascii="Calibri" w:hAnsi="Calibri"/>
          <w:rtl/>
        </w:rPr>
        <w:t xml:space="preserve"> </w:t>
      </w:r>
      <w:r w:rsidRPr="006F0D74">
        <w:rPr>
          <w:rFonts w:ascii="Calibri" w:hAnsi="Calibri" w:hint="eastAsia"/>
          <w:rtl/>
        </w:rPr>
        <w:t>של</w:t>
      </w:r>
      <w:r w:rsidRPr="006F0D74">
        <w:rPr>
          <w:rFonts w:ascii="Calibri" w:hAnsi="Calibri"/>
          <w:rtl/>
        </w:rPr>
        <w:t xml:space="preserve"> </w:t>
      </w:r>
      <w:r w:rsidRPr="006F0D74">
        <w:rPr>
          <w:rFonts w:ascii="Calibri" w:hAnsi="Calibri" w:hint="eastAsia"/>
          <w:rtl/>
        </w:rPr>
        <w:t>נאשם</w:t>
      </w:r>
      <w:r w:rsidRPr="006F0D74">
        <w:rPr>
          <w:rFonts w:ascii="Calibri" w:hAnsi="Calibri"/>
          <w:rtl/>
        </w:rPr>
        <w:t xml:space="preserve">, </w:t>
      </w:r>
      <w:r w:rsidRPr="006F0D74">
        <w:rPr>
          <w:rFonts w:ascii="Calibri" w:hAnsi="Calibri" w:hint="eastAsia"/>
          <w:rtl/>
        </w:rPr>
        <w:t>שהינו</w:t>
      </w:r>
      <w:r w:rsidRPr="006F0D74">
        <w:rPr>
          <w:rFonts w:ascii="Calibri" w:hAnsi="Calibri"/>
          <w:rtl/>
        </w:rPr>
        <w:t xml:space="preserve">, </w:t>
      </w:r>
      <w:r w:rsidRPr="006F0D74">
        <w:rPr>
          <w:rFonts w:ascii="Calibri" w:hAnsi="Calibri" w:hint="eastAsia"/>
          <w:rtl/>
        </w:rPr>
        <w:t>לפי</w:t>
      </w:r>
      <w:r w:rsidRPr="006F0D74">
        <w:rPr>
          <w:rFonts w:ascii="Calibri" w:hAnsi="Calibri"/>
          <w:rtl/>
        </w:rPr>
        <w:t xml:space="preserve"> </w:t>
      </w:r>
      <w:hyperlink r:id="rId27" w:history="1">
        <w:r w:rsidR="00C92A43" w:rsidRPr="00C92A43">
          <w:rPr>
            <w:rFonts w:ascii="Calibri" w:hAnsi="Calibri" w:hint="eastAsia"/>
            <w:color w:val="0000FF"/>
            <w:u w:val="single"/>
            <w:rtl/>
          </w:rPr>
          <w:t>סעיף</w:t>
        </w:r>
        <w:r w:rsidR="00C92A43" w:rsidRPr="00C92A43">
          <w:rPr>
            <w:rFonts w:ascii="Calibri" w:hAnsi="Calibri"/>
            <w:color w:val="0000FF"/>
            <w:u w:val="single"/>
            <w:rtl/>
          </w:rPr>
          <w:t xml:space="preserve"> 40</w:t>
        </w:r>
        <w:r w:rsidR="00C92A43" w:rsidRPr="00C92A43">
          <w:rPr>
            <w:rFonts w:ascii="Calibri" w:hAnsi="Calibri" w:hint="eastAsia"/>
            <w:color w:val="0000FF"/>
            <w:u w:val="single"/>
            <w:rtl/>
          </w:rPr>
          <w:t>ב</w:t>
        </w:r>
      </w:hyperlink>
      <w:r w:rsidRPr="006F0D74">
        <w:rPr>
          <w:rFonts w:ascii="Calibri" w:hAnsi="Calibri"/>
          <w:rtl/>
        </w:rPr>
        <w:t xml:space="preserve"> </w:t>
      </w:r>
      <w:r w:rsidRPr="006F0D74">
        <w:rPr>
          <w:rFonts w:ascii="Calibri" w:hAnsi="Calibri" w:hint="eastAsia"/>
          <w:rtl/>
        </w:rPr>
        <w:t>לחוק</w:t>
      </w:r>
      <w:r w:rsidRPr="006F0D74">
        <w:rPr>
          <w:rFonts w:ascii="Calibri" w:hAnsi="Calibri"/>
          <w:rtl/>
        </w:rPr>
        <w:t xml:space="preserve"> </w:t>
      </w:r>
      <w:r w:rsidRPr="006F0D74">
        <w:rPr>
          <w:rFonts w:ascii="Calibri" w:hAnsi="Calibri" w:hint="eastAsia"/>
          <w:rtl/>
        </w:rPr>
        <w:t>העונשין</w:t>
      </w:r>
      <w:r w:rsidRPr="006F0D74">
        <w:rPr>
          <w:rFonts w:ascii="Calibri" w:hAnsi="Calibri"/>
          <w:rtl/>
        </w:rPr>
        <w:t xml:space="preserve">, </w:t>
      </w:r>
      <w:r w:rsidRPr="006F0D74">
        <w:rPr>
          <w:rFonts w:ascii="Calibri" w:hAnsi="Calibri" w:hint="eastAsia"/>
          <w:rtl/>
        </w:rPr>
        <w:t>עיקרון</w:t>
      </w:r>
      <w:r w:rsidRPr="006F0D74">
        <w:rPr>
          <w:rFonts w:ascii="Calibri" w:hAnsi="Calibri"/>
          <w:rtl/>
        </w:rPr>
        <w:t xml:space="preserve"> </w:t>
      </w:r>
      <w:r w:rsidRPr="006F0D74">
        <w:rPr>
          <w:rFonts w:ascii="Calibri" w:hAnsi="Calibri" w:hint="eastAsia"/>
          <w:rtl/>
        </w:rPr>
        <w:t>ההלימה</w:t>
      </w:r>
      <w:r w:rsidRPr="006F0D74">
        <w:rPr>
          <w:rFonts w:ascii="Calibri" w:hAnsi="Calibri"/>
          <w:rtl/>
        </w:rPr>
        <w:t xml:space="preserve">, </w:t>
      </w:r>
      <w:r w:rsidRPr="006F0D74">
        <w:rPr>
          <w:rFonts w:ascii="Calibri" w:hAnsi="Calibri" w:hint="eastAsia"/>
          <w:rtl/>
        </w:rPr>
        <w:t>לפיו</w:t>
      </w:r>
      <w:r w:rsidRPr="006F0D74">
        <w:rPr>
          <w:rFonts w:ascii="Calibri" w:hAnsi="Calibri"/>
          <w:rtl/>
        </w:rPr>
        <w:t xml:space="preserve"> </w:t>
      </w:r>
      <w:r w:rsidRPr="006F0D74">
        <w:rPr>
          <w:rFonts w:ascii="Calibri" w:hAnsi="Calibri" w:hint="eastAsia"/>
          <w:rtl/>
        </w:rPr>
        <w:t>צריך</w:t>
      </w:r>
      <w:r w:rsidRPr="006F0D74">
        <w:rPr>
          <w:rFonts w:ascii="Calibri" w:hAnsi="Calibri"/>
          <w:rtl/>
        </w:rPr>
        <w:t xml:space="preserve"> </w:t>
      </w:r>
      <w:r w:rsidRPr="006F0D74">
        <w:rPr>
          <w:rFonts w:ascii="Calibri" w:hAnsi="Calibri" w:hint="eastAsia"/>
          <w:rtl/>
        </w:rPr>
        <w:t>להתקיים</w:t>
      </w:r>
      <w:r w:rsidRPr="006F0D74">
        <w:rPr>
          <w:rFonts w:ascii="Calibri" w:hAnsi="Calibri"/>
          <w:rtl/>
        </w:rPr>
        <w:t xml:space="preserve"> </w:t>
      </w:r>
      <w:r w:rsidRPr="006F0D74">
        <w:rPr>
          <w:rFonts w:ascii="Calibri" w:hAnsi="Calibri" w:hint="eastAsia"/>
          <w:rtl/>
        </w:rPr>
        <w:t>יחס</w:t>
      </w:r>
      <w:r w:rsidRPr="006F0D74">
        <w:rPr>
          <w:rFonts w:ascii="Calibri" w:hAnsi="Calibri"/>
          <w:rtl/>
        </w:rPr>
        <w:t xml:space="preserve"> </w:t>
      </w:r>
      <w:r w:rsidRPr="006F0D74">
        <w:rPr>
          <w:rFonts w:ascii="Calibri" w:hAnsi="Calibri" w:hint="eastAsia"/>
          <w:rtl/>
        </w:rPr>
        <w:t>הולם</w:t>
      </w:r>
      <w:r w:rsidRPr="006F0D74">
        <w:rPr>
          <w:rFonts w:ascii="Calibri" w:hAnsi="Calibri"/>
          <w:rtl/>
        </w:rPr>
        <w:t xml:space="preserve"> </w:t>
      </w:r>
      <w:r w:rsidRPr="006F0D74">
        <w:rPr>
          <w:rFonts w:ascii="Calibri" w:hAnsi="Calibri" w:hint="eastAsia"/>
          <w:rtl/>
        </w:rPr>
        <w:t>בין</w:t>
      </w:r>
      <w:r w:rsidRPr="006F0D74">
        <w:rPr>
          <w:rFonts w:ascii="Calibri" w:hAnsi="Calibri"/>
          <w:rtl/>
        </w:rPr>
        <w:t xml:space="preserve"> </w:t>
      </w:r>
      <w:r w:rsidRPr="006F0D74">
        <w:rPr>
          <w:rFonts w:ascii="Calibri" w:hAnsi="Calibri" w:hint="eastAsia"/>
          <w:rtl/>
        </w:rPr>
        <w:t>חומרת</w:t>
      </w:r>
      <w:r w:rsidRPr="006F0D74">
        <w:rPr>
          <w:rFonts w:ascii="Calibri" w:hAnsi="Calibri"/>
          <w:rtl/>
        </w:rPr>
        <w:t xml:space="preserve"> </w:t>
      </w:r>
      <w:r w:rsidRPr="006F0D74">
        <w:rPr>
          <w:rFonts w:ascii="Calibri" w:hAnsi="Calibri" w:hint="eastAsia"/>
          <w:rtl/>
        </w:rPr>
        <w:t>מעש</w:t>
      </w:r>
      <w:r w:rsidRPr="006F0D74">
        <w:rPr>
          <w:rFonts w:ascii="Calibri" w:hAnsi="Calibri" w:hint="cs"/>
          <w:rtl/>
        </w:rPr>
        <w:t>ה</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בנסיבותיו</w:t>
      </w:r>
      <w:r w:rsidRPr="006F0D74">
        <w:rPr>
          <w:rFonts w:ascii="Calibri" w:hAnsi="Calibri"/>
          <w:rtl/>
        </w:rPr>
        <w:t xml:space="preserve"> </w:t>
      </w:r>
      <w:r w:rsidRPr="006F0D74">
        <w:rPr>
          <w:rFonts w:ascii="Calibri" w:hAnsi="Calibri" w:hint="eastAsia"/>
          <w:rtl/>
        </w:rPr>
        <w:t>ומידת</w:t>
      </w:r>
      <w:r w:rsidRPr="006F0D74">
        <w:rPr>
          <w:rFonts w:ascii="Calibri" w:hAnsi="Calibri"/>
          <w:rtl/>
        </w:rPr>
        <w:t xml:space="preserve"> </w:t>
      </w:r>
      <w:r w:rsidRPr="006F0D74">
        <w:rPr>
          <w:rFonts w:ascii="Calibri" w:hAnsi="Calibri" w:hint="eastAsia"/>
          <w:rtl/>
        </w:rPr>
        <w:t>אשמו</w:t>
      </w:r>
      <w:r w:rsidRPr="006F0D74">
        <w:rPr>
          <w:rFonts w:ascii="Calibri" w:hAnsi="Calibri"/>
          <w:rtl/>
        </w:rPr>
        <w:t xml:space="preserve"> </w:t>
      </w:r>
      <w:r w:rsidRPr="006F0D74">
        <w:rPr>
          <w:rFonts w:ascii="Calibri" w:hAnsi="Calibri" w:hint="eastAsia"/>
          <w:rtl/>
        </w:rPr>
        <w:t>של</w:t>
      </w:r>
      <w:r w:rsidRPr="006F0D74">
        <w:rPr>
          <w:rFonts w:ascii="Calibri" w:hAnsi="Calibri"/>
          <w:rtl/>
        </w:rPr>
        <w:t xml:space="preserve"> </w:t>
      </w:r>
      <w:r w:rsidRPr="006F0D74">
        <w:rPr>
          <w:rFonts w:ascii="Calibri" w:hAnsi="Calibri" w:hint="eastAsia"/>
          <w:rtl/>
        </w:rPr>
        <w:t>הנאשם</w:t>
      </w:r>
      <w:r w:rsidRPr="006F0D74">
        <w:rPr>
          <w:rFonts w:ascii="Calibri" w:hAnsi="Calibri"/>
          <w:rtl/>
        </w:rPr>
        <w:t xml:space="preserve"> </w:t>
      </w:r>
      <w:r w:rsidRPr="006F0D74">
        <w:rPr>
          <w:rFonts w:ascii="Calibri" w:hAnsi="Calibri" w:hint="eastAsia"/>
          <w:rtl/>
        </w:rPr>
        <w:t>לבין</w:t>
      </w:r>
      <w:r w:rsidRPr="006F0D74">
        <w:rPr>
          <w:rFonts w:ascii="Calibri" w:hAnsi="Calibri"/>
          <w:rtl/>
        </w:rPr>
        <w:t xml:space="preserve"> </w:t>
      </w:r>
      <w:r w:rsidRPr="006F0D74">
        <w:rPr>
          <w:rFonts w:ascii="Calibri" w:hAnsi="Calibri" w:hint="eastAsia"/>
          <w:rtl/>
        </w:rPr>
        <w:t>סוג</w:t>
      </w:r>
      <w:r w:rsidRPr="006F0D74">
        <w:rPr>
          <w:rFonts w:ascii="Calibri" w:hAnsi="Calibri"/>
          <w:rtl/>
        </w:rPr>
        <w:t xml:space="preserve"> </w:t>
      </w:r>
      <w:r w:rsidRPr="006F0D74">
        <w:rPr>
          <w:rFonts w:ascii="Calibri" w:hAnsi="Calibri" w:hint="eastAsia"/>
          <w:rtl/>
        </w:rPr>
        <w:t>ומידת</w:t>
      </w:r>
      <w:r w:rsidRPr="006F0D74">
        <w:rPr>
          <w:rFonts w:ascii="Calibri" w:hAnsi="Calibri"/>
          <w:rtl/>
        </w:rPr>
        <w:t xml:space="preserve"> </w:t>
      </w:r>
      <w:r w:rsidRPr="006F0D74">
        <w:rPr>
          <w:rFonts w:ascii="Calibri" w:hAnsi="Calibri" w:hint="eastAsia"/>
          <w:rtl/>
        </w:rPr>
        <w:t>העונש</w:t>
      </w:r>
      <w:r w:rsidRPr="006F0D74">
        <w:rPr>
          <w:rFonts w:ascii="Calibri" w:hAnsi="Calibri"/>
          <w:rtl/>
        </w:rPr>
        <w:t xml:space="preserve"> </w:t>
      </w:r>
      <w:r w:rsidRPr="006F0D74">
        <w:rPr>
          <w:rFonts w:ascii="Calibri" w:hAnsi="Calibri" w:hint="eastAsia"/>
          <w:rtl/>
        </w:rPr>
        <w:t>המוטל</w:t>
      </w:r>
      <w:r w:rsidRPr="006F0D74">
        <w:rPr>
          <w:rFonts w:ascii="Calibri" w:hAnsi="Calibri"/>
          <w:rtl/>
        </w:rPr>
        <w:t xml:space="preserve"> </w:t>
      </w:r>
      <w:r w:rsidRPr="006F0D74">
        <w:rPr>
          <w:rFonts w:ascii="Calibri" w:hAnsi="Calibri" w:hint="eastAsia"/>
          <w:rtl/>
        </w:rPr>
        <w:t>עליו</w:t>
      </w:r>
      <w:r w:rsidRPr="006F0D74">
        <w:rPr>
          <w:rFonts w:ascii="Calibri" w:hAnsi="Calibri"/>
          <w:rtl/>
        </w:rPr>
        <w:t xml:space="preserve">. </w:t>
      </w:r>
      <w:r w:rsidRPr="006F0D74">
        <w:rPr>
          <w:rFonts w:ascii="Calibri" w:hAnsi="Calibri" w:hint="eastAsia"/>
          <w:rtl/>
        </w:rPr>
        <w:t>יחס</w:t>
      </w:r>
      <w:r w:rsidRPr="006F0D74">
        <w:rPr>
          <w:rFonts w:ascii="Calibri" w:hAnsi="Calibri"/>
          <w:rtl/>
        </w:rPr>
        <w:t xml:space="preserve"> </w:t>
      </w:r>
      <w:r w:rsidRPr="006F0D74">
        <w:rPr>
          <w:rFonts w:ascii="Calibri" w:hAnsi="Calibri" w:hint="eastAsia"/>
          <w:rtl/>
        </w:rPr>
        <w:t>זה</w:t>
      </w:r>
      <w:r w:rsidRPr="006F0D74">
        <w:rPr>
          <w:rFonts w:ascii="Calibri" w:hAnsi="Calibri"/>
          <w:rtl/>
        </w:rPr>
        <w:t xml:space="preserve"> </w:t>
      </w:r>
      <w:r w:rsidRPr="006F0D74">
        <w:rPr>
          <w:rFonts w:ascii="Calibri" w:hAnsi="Calibri" w:hint="eastAsia"/>
          <w:rtl/>
        </w:rPr>
        <w:t>מבטא</w:t>
      </w:r>
      <w:r w:rsidRPr="006F0D74">
        <w:rPr>
          <w:rFonts w:ascii="Calibri" w:hAnsi="Calibri"/>
          <w:rtl/>
        </w:rPr>
        <w:t xml:space="preserve">, </w:t>
      </w:r>
      <w:r w:rsidRPr="006F0D74">
        <w:rPr>
          <w:rFonts w:ascii="Calibri" w:hAnsi="Calibri" w:hint="eastAsia"/>
          <w:rtl/>
        </w:rPr>
        <w:t>למעשה</w:t>
      </w:r>
      <w:r w:rsidRPr="006F0D74">
        <w:rPr>
          <w:rFonts w:ascii="Calibri" w:hAnsi="Calibri"/>
          <w:rtl/>
        </w:rPr>
        <w:t xml:space="preserve">, </w:t>
      </w:r>
      <w:r w:rsidRPr="006F0D74">
        <w:rPr>
          <w:rFonts w:ascii="Calibri" w:hAnsi="Calibri" w:hint="eastAsia"/>
          <w:rtl/>
        </w:rPr>
        <w:t>את</w:t>
      </w:r>
      <w:r w:rsidRPr="006F0D74">
        <w:rPr>
          <w:rFonts w:ascii="Calibri" w:hAnsi="Calibri"/>
          <w:rtl/>
        </w:rPr>
        <w:t xml:space="preserve"> </w:t>
      </w:r>
      <w:r w:rsidRPr="006F0D74">
        <w:rPr>
          <w:rFonts w:ascii="Calibri" w:hAnsi="Calibri" w:hint="eastAsia"/>
          <w:rtl/>
        </w:rPr>
        <w:t>עיקרון</w:t>
      </w:r>
      <w:r w:rsidRPr="006F0D74">
        <w:rPr>
          <w:rFonts w:ascii="Calibri" w:hAnsi="Calibri"/>
          <w:rtl/>
        </w:rPr>
        <w:t xml:space="preserve"> </w:t>
      </w:r>
      <w:r w:rsidRPr="006F0D74">
        <w:rPr>
          <w:rFonts w:ascii="Calibri" w:hAnsi="Calibri" w:hint="eastAsia"/>
          <w:rtl/>
        </w:rPr>
        <w:t>הגמול</w:t>
      </w:r>
      <w:r w:rsidRPr="006F0D74">
        <w:rPr>
          <w:rFonts w:ascii="Calibri" w:hAnsi="Calibri"/>
          <w:rtl/>
        </w:rPr>
        <w:t xml:space="preserve"> (</w:t>
      </w:r>
      <w:r w:rsidRPr="006F0D74">
        <w:rPr>
          <w:rFonts w:ascii="Calibri" w:hAnsi="Calibri" w:hint="eastAsia"/>
          <w:rtl/>
        </w:rPr>
        <w:t>רא</w:t>
      </w:r>
      <w:r w:rsidRPr="006F0D74">
        <w:rPr>
          <w:rFonts w:ascii="Calibri" w:hAnsi="Calibri" w:hint="cs"/>
          <w:rtl/>
        </w:rPr>
        <w:t>ו:</w:t>
      </w:r>
      <w:r w:rsidRPr="006F0D74">
        <w:rPr>
          <w:rFonts w:ascii="Calibri" w:hAnsi="Calibri"/>
          <w:rtl/>
        </w:rPr>
        <w:t xml:space="preserve"> </w:t>
      </w:r>
      <w:hyperlink r:id="rId28" w:history="1">
        <w:r w:rsidR="00AE1E60" w:rsidRPr="00AE1E60">
          <w:rPr>
            <w:rFonts w:ascii="Calibri" w:hAnsi="Calibri" w:hint="eastAsia"/>
            <w:color w:val="0000FF"/>
            <w:u w:val="single"/>
            <w:rtl/>
          </w:rPr>
          <w:t>ע</w:t>
        </w:r>
        <w:r w:rsidR="00AE1E60" w:rsidRPr="00AE1E60">
          <w:rPr>
            <w:rFonts w:ascii="Calibri" w:hAnsi="Calibri"/>
            <w:color w:val="0000FF"/>
            <w:u w:val="single"/>
            <w:rtl/>
          </w:rPr>
          <w:t>.</w:t>
        </w:r>
        <w:r w:rsidR="00AE1E60" w:rsidRPr="00AE1E60">
          <w:rPr>
            <w:rFonts w:ascii="Calibri" w:hAnsi="Calibri" w:hint="eastAsia"/>
            <w:color w:val="0000FF"/>
            <w:u w:val="single"/>
            <w:rtl/>
          </w:rPr>
          <w:t>פ</w:t>
        </w:r>
        <w:r w:rsidR="00AE1E60" w:rsidRPr="00AE1E60">
          <w:rPr>
            <w:rFonts w:ascii="Calibri" w:hAnsi="Calibri"/>
            <w:color w:val="0000FF"/>
            <w:u w:val="single"/>
            <w:rtl/>
          </w:rPr>
          <w:t>. 1523/10</w:t>
        </w:r>
      </w:hyperlink>
      <w:r w:rsidRPr="006F0D74">
        <w:rPr>
          <w:rFonts w:ascii="Calibri" w:hAnsi="Calibri"/>
          <w:rtl/>
        </w:rPr>
        <w:t xml:space="preserve"> </w:t>
      </w:r>
      <w:r w:rsidRPr="006F0D74">
        <w:rPr>
          <w:rFonts w:ascii="Calibri" w:hAnsi="Calibri" w:cs="Miriam" w:hint="eastAsia"/>
          <w:rtl/>
        </w:rPr>
        <w:t>פלוני</w:t>
      </w:r>
      <w:r w:rsidRPr="006F0D74">
        <w:rPr>
          <w:rFonts w:ascii="Calibri" w:hAnsi="Calibri" w:cs="Miriam"/>
          <w:rtl/>
        </w:rPr>
        <w:t xml:space="preserve"> </w:t>
      </w:r>
      <w:r w:rsidRPr="006F0D74">
        <w:rPr>
          <w:rFonts w:ascii="Calibri" w:hAnsi="Calibri" w:cs="Miriam" w:hint="eastAsia"/>
          <w:rtl/>
        </w:rPr>
        <w:t>נ</w:t>
      </w:r>
      <w:r w:rsidRPr="006F0D74">
        <w:rPr>
          <w:rFonts w:ascii="Calibri" w:hAnsi="Calibri" w:cs="Miriam"/>
          <w:rtl/>
        </w:rPr>
        <w:t xml:space="preserve">' </w:t>
      </w:r>
      <w:r w:rsidRPr="006F0D74">
        <w:rPr>
          <w:rFonts w:ascii="Calibri" w:hAnsi="Calibri" w:cs="Miriam" w:hint="eastAsia"/>
          <w:rtl/>
        </w:rPr>
        <w:t>מדינת</w:t>
      </w:r>
      <w:r w:rsidRPr="006F0D74">
        <w:rPr>
          <w:rFonts w:ascii="Calibri" w:hAnsi="Calibri" w:cs="Miriam"/>
          <w:rtl/>
        </w:rPr>
        <w:t xml:space="preserve"> </w:t>
      </w:r>
      <w:r w:rsidRPr="006F0D74">
        <w:rPr>
          <w:rFonts w:ascii="Calibri" w:hAnsi="Calibri" w:cs="Miriam" w:hint="eastAsia"/>
          <w:rtl/>
        </w:rPr>
        <w:t>ישראל</w:t>
      </w:r>
      <w:r w:rsidR="0015434D">
        <w:rPr>
          <w:rFonts w:ascii="Calibri" w:hAnsi="Calibri" w:cs="Miriam" w:hint="cs"/>
          <w:rtl/>
        </w:rPr>
        <w:t xml:space="preserve">, </w:t>
      </w:r>
      <w:r w:rsidR="0015434D" w:rsidRPr="0015434D">
        <w:rPr>
          <w:sz w:val="22"/>
          <w:rtl/>
        </w:rPr>
        <w:t>[</w:t>
      </w:r>
      <w:r w:rsidR="0015434D" w:rsidRPr="0015434D">
        <w:rPr>
          <w:rFonts w:hint="eastAsia"/>
          <w:sz w:val="22"/>
          <w:rtl/>
        </w:rPr>
        <w:t>פורסם</w:t>
      </w:r>
      <w:r w:rsidR="0015434D" w:rsidRPr="0015434D">
        <w:rPr>
          <w:sz w:val="22"/>
          <w:rtl/>
        </w:rPr>
        <w:t xml:space="preserve"> </w:t>
      </w:r>
      <w:r w:rsidR="0015434D" w:rsidRPr="0015434D">
        <w:rPr>
          <w:rFonts w:hint="eastAsia"/>
          <w:sz w:val="22"/>
          <w:rtl/>
        </w:rPr>
        <w:t>בנבו</w:t>
      </w:r>
      <w:r w:rsidR="0015434D" w:rsidRPr="0015434D">
        <w:rPr>
          <w:sz w:val="22"/>
          <w:rtl/>
        </w:rPr>
        <w:t>]</w:t>
      </w:r>
      <w:r w:rsidRPr="006F0D74">
        <w:rPr>
          <w:rFonts w:ascii="Calibri" w:hAnsi="Calibri"/>
          <w:rtl/>
        </w:rPr>
        <w:t xml:space="preserve">, 18/4/12). </w:t>
      </w:r>
      <w:hyperlink r:id="rId29" w:history="1">
        <w:r w:rsidR="00C92A43" w:rsidRPr="00C92A43">
          <w:rPr>
            <w:rFonts w:ascii="Calibri" w:hAnsi="Calibri" w:hint="eastAsia"/>
            <w:color w:val="0000FF"/>
            <w:u w:val="single"/>
            <w:rtl/>
          </w:rPr>
          <w:t>סעיף</w:t>
        </w:r>
        <w:r w:rsidR="00C92A43" w:rsidRPr="00C92A43">
          <w:rPr>
            <w:rFonts w:ascii="Calibri" w:hAnsi="Calibri"/>
            <w:color w:val="0000FF"/>
            <w:u w:val="single"/>
            <w:rtl/>
          </w:rPr>
          <w:t xml:space="preserve"> 40</w:t>
        </w:r>
        <w:r w:rsidR="00C92A43" w:rsidRPr="00C92A43">
          <w:rPr>
            <w:rFonts w:ascii="Calibri" w:hAnsi="Calibri" w:hint="eastAsia"/>
            <w:color w:val="0000FF"/>
            <w:u w:val="single"/>
            <w:rtl/>
          </w:rPr>
          <w:t>ג</w:t>
        </w:r>
      </w:hyperlink>
      <w:r w:rsidRPr="006F0D74">
        <w:rPr>
          <w:rFonts w:ascii="Calibri" w:hAnsi="Calibri"/>
          <w:rtl/>
        </w:rPr>
        <w:t xml:space="preserve"> </w:t>
      </w:r>
      <w:r w:rsidRPr="006F0D74">
        <w:rPr>
          <w:rFonts w:ascii="Calibri" w:hAnsi="Calibri" w:hint="eastAsia"/>
          <w:rtl/>
        </w:rPr>
        <w:t>ל</w:t>
      </w:r>
      <w:hyperlink r:id="rId30" w:history="1">
        <w:r w:rsidR="00AE1E60" w:rsidRPr="00AE1E60">
          <w:rPr>
            <w:rFonts w:ascii="Calibri" w:hAnsi="Calibri" w:hint="eastAsia"/>
            <w:color w:val="0000FF"/>
            <w:u w:val="single"/>
            <w:rtl/>
          </w:rPr>
          <w:t>חוק</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העונשין</w:t>
        </w:r>
      </w:hyperlink>
      <w:r w:rsidRPr="006F0D74">
        <w:rPr>
          <w:rFonts w:ascii="Calibri" w:hAnsi="Calibri"/>
          <w:rtl/>
        </w:rPr>
        <w:t xml:space="preserve"> </w:t>
      </w:r>
      <w:r w:rsidRPr="006F0D74">
        <w:rPr>
          <w:rFonts w:ascii="Calibri" w:hAnsi="Calibri" w:hint="eastAsia"/>
          <w:rtl/>
        </w:rPr>
        <w:t>קובע</w:t>
      </w:r>
      <w:r w:rsidRPr="006F0D74">
        <w:rPr>
          <w:rFonts w:ascii="Calibri" w:hAnsi="Calibri"/>
          <w:rtl/>
        </w:rPr>
        <w:t xml:space="preserve">, </w:t>
      </w:r>
      <w:r w:rsidRPr="006F0D74">
        <w:rPr>
          <w:rFonts w:ascii="Calibri" w:hAnsi="Calibri" w:hint="eastAsia"/>
          <w:rtl/>
        </w:rPr>
        <w:t>כי</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ביהמ</w:t>
      </w:r>
      <w:r w:rsidRPr="006F0D74">
        <w:rPr>
          <w:rFonts w:ascii="Calibri" w:hAnsi="Calibri"/>
          <w:rtl/>
        </w:rPr>
        <w:t>"</w:t>
      </w:r>
      <w:r w:rsidRPr="006F0D74">
        <w:rPr>
          <w:rFonts w:ascii="Calibri" w:hAnsi="Calibri" w:hint="eastAsia"/>
          <w:rtl/>
        </w:rPr>
        <w:t>ש</w:t>
      </w:r>
      <w:r w:rsidRPr="006F0D74">
        <w:rPr>
          <w:rFonts w:ascii="Calibri" w:hAnsi="Calibri"/>
          <w:rtl/>
        </w:rPr>
        <w:t xml:space="preserve"> </w:t>
      </w:r>
      <w:r w:rsidRPr="006F0D74">
        <w:rPr>
          <w:rFonts w:ascii="Calibri" w:hAnsi="Calibri" w:hint="eastAsia"/>
          <w:rtl/>
        </w:rPr>
        <w:t>לקבוע</w:t>
      </w:r>
      <w:r w:rsidRPr="006F0D74">
        <w:rPr>
          <w:rFonts w:ascii="Calibri" w:hAnsi="Calibri"/>
          <w:rtl/>
        </w:rPr>
        <w:t xml:space="preserve"> </w:t>
      </w:r>
      <w:r w:rsidRPr="006F0D74">
        <w:rPr>
          <w:rFonts w:ascii="Calibri" w:hAnsi="Calibri" w:hint="eastAsia"/>
          <w:rtl/>
        </w:rPr>
        <w:t>מתחם</w:t>
      </w:r>
      <w:r w:rsidRPr="006F0D74">
        <w:rPr>
          <w:rFonts w:ascii="Calibri" w:hAnsi="Calibri"/>
          <w:rtl/>
        </w:rPr>
        <w:t xml:space="preserve"> </w:t>
      </w:r>
      <w:r w:rsidRPr="006F0D74">
        <w:rPr>
          <w:rFonts w:ascii="Calibri" w:hAnsi="Calibri" w:hint="eastAsia"/>
          <w:rtl/>
        </w:rPr>
        <w:t>עונש</w:t>
      </w:r>
      <w:r w:rsidRPr="006F0D74">
        <w:rPr>
          <w:rFonts w:ascii="Calibri" w:hAnsi="Calibri"/>
          <w:rtl/>
        </w:rPr>
        <w:t xml:space="preserve"> </w:t>
      </w:r>
      <w:r w:rsidRPr="006F0D74">
        <w:rPr>
          <w:rFonts w:ascii="Calibri" w:hAnsi="Calibri" w:hint="eastAsia"/>
          <w:rtl/>
        </w:rPr>
        <w:t>הולם</w:t>
      </w:r>
      <w:r w:rsidRPr="006F0D74">
        <w:rPr>
          <w:rFonts w:ascii="Calibri" w:hAnsi="Calibri"/>
          <w:rtl/>
        </w:rPr>
        <w:t xml:space="preserve"> </w:t>
      </w:r>
      <w:r w:rsidRPr="006F0D74">
        <w:rPr>
          <w:rFonts w:ascii="Calibri" w:hAnsi="Calibri" w:hint="eastAsia"/>
          <w:rtl/>
        </w:rPr>
        <w:t>למעשה</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שביצע</w:t>
      </w:r>
      <w:r w:rsidRPr="006F0D74">
        <w:rPr>
          <w:rFonts w:ascii="Calibri" w:hAnsi="Calibri"/>
          <w:rtl/>
        </w:rPr>
        <w:t xml:space="preserve"> </w:t>
      </w:r>
      <w:r w:rsidRPr="006F0D74">
        <w:rPr>
          <w:rFonts w:ascii="Calibri" w:hAnsi="Calibri" w:hint="eastAsia"/>
          <w:rtl/>
        </w:rPr>
        <w:t>הנאשם</w:t>
      </w:r>
      <w:r w:rsidRPr="006F0D74">
        <w:rPr>
          <w:rFonts w:ascii="Calibri" w:hAnsi="Calibri"/>
          <w:rtl/>
        </w:rPr>
        <w:t xml:space="preserve">, </w:t>
      </w:r>
      <w:r w:rsidRPr="006F0D74">
        <w:rPr>
          <w:rFonts w:ascii="Calibri" w:hAnsi="Calibri" w:hint="eastAsia"/>
          <w:rtl/>
        </w:rPr>
        <w:t>בהתאם</w:t>
      </w:r>
      <w:r w:rsidRPr="006F0D74">
        <w:rPr>
          <w:rFonts w:ascii="Calibri" w:hAnsi="Calibri"/>
          <w:rtl/>
        </w:rPr>
        <w:t xml:space="preserve"> </w:t>
      </w:r>
      <w:r w:rsidRPr="006F0D74">
        <w:rPr>
          <w:rFonts w:ascii="Calibri" w:hAnsi="Calibri" w:hint="eastAsia"/>
          <w:rtl/>
        </w:rPr>
        <w:t>לעיקרון</w:t>
      </w:r>
      <w:r w:rsidRPr="006F0D74">
        <w:rPr>
          <w:rFonts w:ascii="Calibri" w:hAnsi="Calibri"/>
          <w:rtl/>
        </w:rPr>
        <w:t xml:space="preserve"> </w:t>
      </w:r>
      <w:r w:rsidRPr="006F0D74">
        <w:rPr>
          <w:rFonts w:ascii="Calibri" w:hAnsi="Calibri" w:hint="eastAsia"/>
          <w:rtl/>
        </w:rPr>
        <w:t>המנחה</w:t>
      </w:r>
      <w:r w:rsidRPr="006F0D74">
        <w:rPr>
          <w:rFonts w:ascii="Calibri" w:hAnsi="Calibri"/>
          <w:rtl/>
        </w:rPr>
        <w:t xml:space="preserve"> </w:t>
      </w:r>
      <w:r w:rsidRPr="006F0D74">
        <w:rPr>
          <w:rFonts w:ascii="Calibri" w:hAnsi="Calibri" w:hint="eastAsia"/>
          <w:rtl/>
        </w:rPr>
        <w:t>הנ</w:t>
      </w:r>
      <w:r w:rsidRPr="006F0D74">
        <w:rPr>
          <w:rFonts w:ascii="Calibri" w:hAnsi="Calibri"/>
          <w:rtl/>
        </w:rPr>
        <w:t>"</w:t>
      </w:r>
      <w:r w:rsidRPr="006F0D74">
        <w:rPr>
          <w:rFonts w:ascii="Calibri" w:hAnsi="Calibri" w:hint="eastAsia"/>
          <w:rtl/>
        </w:rPr>
        <w:t>ל</w:t>
      </w:r>
      <w:r w:rsidRPr="006F0D74">
        <w:rPr>
          <w:rFonts w:ascii="Calibri" w:hAnsi="Calibri"/>
          <w:rtl/>
        </w:rPr>
        <w:t xml:space="preserve">. </w:t>
      </w:r>
      <w:r w:rsidRPr="006F0D74">
        <w:rPr>
          <w:rFonts w:ascii="Calibri" w:hAnsi="Calibri" w:hint="eastAsia"/>
          <w:rtl/>
        </w:rPr>
        <w:t>לשם</w:t>
      </w:r>
      <w:r w:rsidRPr="006F0D74">
        <w:rPr>
          <w:rFonts w:ascii="Calibri" w:hAnsi="Calibri"/>
          <w:rtl/>
        </w:rPr>
        <w:t xml:space="preserve"> </w:t>
      </w:r>
      <w:r w:rsidRPr="006F0D74">
        <w:rPr>
          <w:rFonts w:ascii="Calibri" w:hAnsi="Calibri" w:hint="eastAsia"/>
          <w:rtl/>
        </w:rPr>
        <w:t>כך</w:t>
      </w:r>
      <w:r w:rsidRPr="006F0D74">
        <w:rPr>
          <w:rFonts w:ascii="Calibri" w:hAnsi="Calibri"/>
          <w:rtl/>
        </w:rPr>
        <w:t xml:space="preserve">, </w:t>
      </w:r>
      <w:r w:rsidRPr="006F0D74">
        <w:rPr>
          <w:rFonts w:ascii="Calibri" w:hAnsi="Calibri" w:hint="eastAsia"/>
          <w:rtl/>
        </w:rPr>
        <w:t>יתחשב</w:t>
      </w:r>
      <w:r w:rsidRPr="006F0D74">
        <w:rPr>
          <w:rFonts w:ascii="Calibri" w:hAnsi="Calibri"/>
          <w:rtl/>
        </w:rPr>
        <w:t xml:space="preserve"> </w:t>
      </w:r>
      <w:r w:rsidRPr="006F0D74">
        <w:rPr>
          <w:rFonts w:ascii="Calibri" w:hAnsi="Calibri" w:hint="eastAsia"/>
          <w:rtl/>
        </w:rPr>
        <w:t>ביהמ</w:t>
      </w:r>
      <w:r w:rsidRPr="006F0D74">
        <w:rPr>
          <w:rFonts w:ascii="Calibri" w:hAnsi="Calibri"/>
          <w:rtl/>
        </w:rPr>
        <w:t>"</w:t>
      </w:r>
      <w:r w:rsidRPr="006F0D74">
        <w:rPr>
          <w:rFonts w:ascii="Calibri" w:hAnsi="Calibri" w:hint="eastAsia"/>
          <w:rtl/>
        </w:rPr>
        <w:t>ש</w:t>
      </w:r>
      <w:r w:rsidRPr="006F0D74">
        <w:rPr>
          <w:rFonts w:ascii="Calibri" w:hAnsi="Calibri"/>
          <w:rtl/>
        </w:rPr>
        <w:t xml:space="preserve"> </w:t>
      </w:r>
      <w:r w:rsidRPr="006F0D74">
        <w:rPr>
          <w:rFonts w:ascii="Calibri" w:hAnsi="Calibri" w:hint="eastAsia"/>
          <w:rtl/>
        </w:rPr>
        <w:t>בערך</w:t>
      </w:r>
      <w:r w:rsidRPr="006F0D74">
        <w:rPr>
          <w:rFonts w:ascii="Calibri" w:hAnsi="Calibri"/>
          <w:rtl/>
        </w:rPr>
        <w:t xml:space="preserve"> </w:t>
      </w:r>
      <w:r w:rsidRPr="006F0D74">
        <w:rPr>
          <w:rFonts w:ascii="Calibri" w:hAnsi="Calibri" w:hint="eastAsia"/>
          <w:rtl/>
        </w:rPr>
        <w:t>החברתי</w:t>
      </w:r>
      <w:r w:rsidRPr="006F0D74">
        <w:rPr>
          <w:rFonts w:ascii="Calibri" w:hAnsi="Calibri"/>
          <w:rtl/>
        </w:rPr>
        <w:t xml:space="preserve"> </w:t>
      </w:r>
      <w:r w:rsidRPr="006F0D74">
        <w:rPr>
          <w:rFonts w:ascii="Calibri" w:hAnsi="Calibri" w:hint="eastAsia"/>
          <w:rtl/>
        </w:rPr>
        <w:t>שנפגע</w:t>
      </w:r>
      <w:r w:rsidRPr="006F0D74">
        <w:rPr>
          <w:rFonts w:ascii="Calibri" w:hAnsi="Calibri"/>
          <w:rtl/>
        </w:rPr>
        <w:t xml:space="preserve"> </w:t>
      </w:r>
      <w:r w:rsidRPr="006F0D74">
        <w:rPr>
          <w:rFonts w:ascii="Calibri" w:hAnsi="Calibri" w:hint="eastAsia"/>
          <w:rtl/>
        </w:rPr>
        <w:t>מביצוע</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במידת</w:t>
      </w:r>
      <w:r w:rsidRPr="006F0D74">
        <w:rPr>
          <w:rFonts w:ascii="Calibri" w:hAnsi="Calibri"/>
          <w:rtl/>
        </w:rPr>
        <w:t xml:space="preserve"> </w:t>
      </w:r>
      <w:r w:rsidRPr="006F0D74">
        <w:rPr>
          <w:rFonts w:ascii="Calibri" w:hAnsi="Calibri" w:hint="eastAsia"/>
          <w:rtl/>
        </w:rPr>
        <w:t>הפגיעה</w:t>
      </w:r>
      <w:r w:rsidRPr="006F0D74">
        <w:rPr>
          <w:rFonts w:ascii="Calibri" w:hAnsi="Calibri"/>
          <w:rtl/>
        </w:rPr>
        <w:t xml:space="preserve"> </w:t>
      </w:r>
      <w:r w:rsidRPr="006F0D74">
        <w:rPr>
          <w:rFonts w:ascii="Calibri" w:hAnsi="Calibri" w:hint="eastAsia"/>
          <w:rtl/>
        </w:rPr>
        <w:t>בו</w:t>
      </w:r>
      <w:r w:rsidRPr="006F0D74">
        <w:rPr>
          <w:rFonts w:ascii="Calibri" w:hAnsi="Calibri"/>
          <w:rtl/>
        </w:rPr>
        <w:t xml:space="preserve">, </w:t>
      </w:r>
      <w:r w:rsidRPr="006F0D74">
        <w:rPr>
          <w:rFonts w:ascii="Calibri" w:hAnsi="Calibri" w:hint="eastAsia"/>
          <w:rtl/>
        </w:rPr>
        <w:t>במדיניות</w:t>
      </w:r>
      <w:r w:rsidRPr="006F0D74">
        <w:rPr>
          <w:rFonts w:ascii="Calibri" w:hAnsi="Calibri"/>
          <w:rtl/>
        </w:rPr>
        <w:t xml:space="preserve"> </w:t>
      </w:r>
      <w:r w:rsidRPr="006F0D74">
        <w:rPr>
          <w:rFonts w:ascii="Calibri" w:hAnsi="Calibri" w:hint="eastAsia"/>
          <w:rtl/>
        </w:rPr>
        <w:t>הענישה</w:t>
      </w:r>
      <w:r w:rsidRPr="006F0D74">
        <w:rPr>
          <w:rFonts w:ascii="Calibri" w:hAnsi="Calibri"/>
          <w:rtl/>
        </w:rPr>
        <w:t xml:space="preserve"> </w:t>
      </w:r>
      <w:r w:rsidRPr="006F0D74">
        <w:rPr>
          <w:rFonts w:ascii="Calibri" w:hAnsi="Calibri" w:hint="eastAsia"/>
          <w:rtl/>
        </w:rPr>
        <w:t>הנהוגה</w:t>
      </w:r>
      <w:r w:rsidRPr="006F0D74">
        <w:rPr>
          <w:rFonts w:ascii="Calibri" w:hAnsi="Calibri"/>
          <w:rtl/>
        </w:rPr>
        <w:t xml:space="preserve"> </w:t>
      </w:r>
      <w:r w:rsidRPr="006F0D74">
        <w:rPr>
          <w:rFonts w:ascii="Calibri" w:hAnsi="Calibri" w:hint="eastAsia"/>
          <w:rtl/>
        </w:rPr>
        <w:t>ובנסיבות</w:t>
      </w:r>
      <w:r w:rsidRPr="006F0D74">
        <w:rPr>
          <w:rFonts w:ascii="Calibri" w:hAnsi="Calibri"/>
          <w:rtl/>
        </w:rPr>
        <w:t xml:space="preserve"> </w:t>
      </w:r>
      <w:r w:rsidRPr="006F0D74">
        <w:rPr>
          <w:rFonts w:ascii="Calibri" w:hAnsi="Calibri" w:hint="eastAsia"/>
          <w:rtl/>
        </w:rPr>
        <w:t>הקשורות</w:t>
      </w:r>
      <w:r w:rsidRPr="006F0D74">
        <w:rPr>
          <w:rFonts w:ascii="Calibri" w:hAnsi="Calibri"/>
          <w:rtl/>
        </w:rPr>
        <w:t xml:space="preserve"> </w:t>
      </w:r>
      <w:r w:rsidRPr="006F0D74">
        <w:rPr>
          <w:rFonts w:ascii="Calibri" w:hAnsi="Calibri" w:hint="eastAsia"/>
          <w:rtl/>
        </w:rPr>
        <w:t>בביצוע</w:t>
      </w:r>
      <w:r w:rsidRPr="006F0D74">
        <w:rPr>
          <w:rFonts w:ascii="Calibri" w:hAnsi="Calibri"/>
          <w:rtl/>
        </w:rPr>
        <w:t xml:space="preserve"> </w:t>
      </w:r>
      <w:r w:rsidRPr="006F0D74">
        <w:rPr>
          <w:rFonts w:ascii="Calibri" w:hAnsi="Calibri" w:hint="eastAsia"/>
          <w:rtl/>
        </w:rPr>
        <w:t>העבירה</w:t>
      </w:r>
      <w:r w:rsidRPr="006F0D74">
        <w:rPr>
          <w:rFonts w:ascii="Calibri" w:hAnsi="Calibri"/>
          <w:rtl/>
        </w:rPr>
        <w:t xml:space="preserve">, </w:t>
      </w:r>
      <w:r w:rsidRPr="006F0D74">
        <w:rPr>
          <w:rFonts w:ascii="Calibri" w:hAnsi="Calibri" w:hint="eastAsia"/>
          <w:rtl/>
        </w:rPr>
        <w:t>הכלולות</w:t>
      </w:r>
      <w:r w:rsidRPr="006F0D74">
        <w:rPr>
          <w:rFonts w:ascii="Calibri" w:hAnsi="Calibri"/>
          <w:rtl/>
        </w:rPr>
        <w:t xml:space="preserve"> </w:t>
      </w:r>
      <w:hyperlink r:id="rId31" w:history="1">
        <w:r w:rsidR="00C92A43" w:rsidRPr="00C92A43">
          <w:rPr>
            <w:rFonts w:ascii="Calibri" w:hAnsi="Calibri" w:hint="eastAsia"/>
            <w:color w:val="0000FF"/>
            <w:u w:val="single"/>
            <w:rtl/>
          </w:rPr>
          <w:t>בסעיף</w:t>
        </w:r>
        <w:r w:rsidR="00C92A43" w:rsidRPr="00C92A43">
          <w:rPr>
            <w:rFonts w:ascii="Calibri" w:hAnsi="Calibri"/>
            <w:color w:val="0000FF"/>
            <w:u w:val="single"/>
            <w:rtl/>
          </w:rPr>
          <w:t xml:space="preserve"> 40</w:t>
        </w:r>
        <w:r w:rsidR="00C92A43" w:rsidRPr="00C92A43">
          <w:rPr>
            <w:rFonts w:ascii="Calibri" w:hAnsi="Calibri" w:hint="eastAsia"/>
            <w:color w:val="0000FF"/>
            <w:u w:val="single"/>
            <w:rtl/>
          </w:rPr>
          <w:t>ט</w:t>
        </w:r>
      </w:hyperlink>
      <w:r w:rsidRPr="006F0D74">
        <w:rPr>
          <w:rFonts w:ascii="Calibri" w:hAnsi="Calibri" w:hint="cs"/>
          <w:rtl/>
        </w:rPr>
        <w:t xml:space="preserve"> </w:t>
      </w:r>
      <w:r w:rsidRPr="006F0D74">
        <w:rPr>
          <w:rFonts w:ascii="Calibri" w:hAnsi="Calibri"/>
          <w:rtl/>
        </w:rPr>
        <w:t xml:space="preserve"> </w:t>
      </w:r>
      <w:r w:rsidRPr="006F0D74">
        <w:rPr>
          <w:rFonts w:ascii="Calibri" w:hAnsi="Calibri" w:hint="eastAsia"/>
          <w:rtl/>
        </w:rPr>
        <w:t>ל</w:t>
      </w:r>
      <w:hyperlink r:id="rId32" w:history="1">
        <w:r w:rsidR="00AE1E60" w:rsidRPr="00AE1E60">
          <w:rPr>
            <w:rFonts w:ascii="Calibri" w:hAnsi="Calibri" w:hint="eastAsia"/>
            <w:color w:val="0000FF"/>
            <w:u w:val="single"/>
            <w:rtl/>
          </w:rPr>
          <w:t>חוק</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העונשין</w:t>
        </w:r>
      </w:hyperlink>
      <w:r w:rsidRPr="006F0D74">
        <w:rPr>
          <w:rFonts w:ascii="Calibri" w:hAnsi="Calibri"/>
          <w:rtl/>
        </w:rPr>
        <w:t>.</w:t>
      </w:r>
    </w:p>
    <w:p w14:paraId="09D730A8" w14:textId="77777777" w:rsidR="006F0D74" w:rsidRPr="006F0D74" w:rsidRDefault="006F0D74" w:rsidP="006F0D74">
      <w:pPr>
        <w:spacing w:after="160"/>
        <w:rPr>
          <w:rFonts w:ascii="Calibri" w:hAnsi="Calibri"/>
          <w:rtl/>
        </w:rPr>
      </w:pPr>
    </w:p>
    <w:p w14:paraId="1F724EF0" w14:textId="77777777" w:rsidR="006F0D74" w:rsidRPr="006F0D74" w:rsidRDefault="006F0D74" w:rsidP="006F0D74">
      <w:pPr>
        <w:spacing w:after="160" w:line="360" w:lineRule="auto"/>
        <w:jc w:val="both"/>
        <w:rPr>
          <w:rFonts w:ascii="Calibri" w:hAnsi="Calibri"/>
          <w:rtl/>
        </w:rPr>
      </w:pPr>
      <w:r w:rsidRPr="006F0D74">
        <w:rPr>
          <w:rFonts w:ascii="Calibri" w:hAnsi="Calibri" w:hint="cs"/>
          <w:rtl/>
        </w:rPr>
        <w:t>24.</w:t>
      </w:r>
      <w:r w:rsidRPr="006F0D74">
        <w:rPr>
          <w:rFonts w:ascii="Calibri" w:hAnsi="Calibri"/>
          <w:rtl/>
        </w:rPr>
        <w:tab/>
      </w:r>
      <w:r w:rsidRPr="006F0D74">
        <w:rPr>
          <w:rFonts w:ascii="Calibri" w:hAnsi="Calibri" w:hint="eastAsia"/>
          <w:rtl/>
        </w:rPr>
        <w:t>הערך</w:t>
      </w:r>
      <w:r w:rsidRPr="006F0D74">
        <w:rPr>
          <w:rFonts w:ascii="Calibri" w:hAnsi="Calibri"/>
          <w:rtl/>
        </w:rPr>
        <w:t xml:space="preserve"> </w:t>
      </w:r>
      <w:r w:rsidRPr="006F0D74">
        <w:rPr>
          <w:rFonts w:ascii="Calibri" w:hAnsi="Calibri" w:hint="eastAsia"/>
          <w:rtl/>
        </w:rPr>
        <w:t>המוגן</w:t>
      </w:r>
      <w:r w:rsidRPr="006F0D74">
        <w:rPr>
          <w:rFonts w:ascii="Calibri" w:hAnsi="Calibri"/>
          <w:rtl/>
        </w:rPr>
        <w:t xml:space="preserve"> </w:t>
      </w:r>
      <w:r w:rsidRPr="006F0D74">
        <w:rPr>
          <w:rFonts w:ascii="Calibri" w:hAnsi="Calibri" w:hint="eastAsia"/>
          <w:rtl/>
        </w:rPr>
        <w:t>הנפגע</w:t>
      </w:r>
      <w:r w:rsidRPr="006F0D74">
        <w:rPr>
          <w:rFonts w:ascii="Calibri" w:hAnsi="Calibri"/>
          <w:rtl/>
        </w:rPr>
        <w:t xml:space="preserve"> </w:t>
      </w:r>
      <w:r w:rsidRPr="006F0D74">
        <w:rPr>
          <w:rFonts w:ascii="Calibri" w:hAnsi="Calibri" w:hint="eastAsia"/>
          <w:rtl/>
        </w:rPr>
        <w:t>כתוצאה</w:t>
      </w:r>
      <w:r w:rsidRPr="006F0D74">
        <w:rPr>
          <w:rFonts w:ascii="Calibri" w:hAnsi="Calibri"/>
          <w:rtl/>
        </w:rPr>
        <w:t xml:space="preserve"> </w:t>
      </w:r>
      <w:r w:rsidRPr="006F0D74">
        <w:rPr>
          <w:rFonts w:ascii="Calibri" w:hAnsi="Calibri" w:hint="eastAsia"/>
          <w:rtl/>
        </w:rPr>
        <w:t>מביצוע</w:t>
      </w:r>
      <w:r w:rsidRPr="006F0D74">
        <w:rPr>
          <w:rFonts w:ascii="Calibri" w:hAnsi="Calibri"/>
          <w:rtl/>
        </w:rPr>
        <w:t xml:space="preserve"> </w:t>
      </w:r>
      <w:r w:rsidRPr="006F0D74">
        <w:rPr>
          <w:rFonts w:ascii="Calibri" w:hAnsi="Calibri" w:hint="eastAsia"/>
          <w:rtl/>
        </w:rPr>
        <w:t>העביר</w:t>
      </w:r>
      <w:r w:rsidRPr="006F0D74">
        <w:rPr>
          <w:rFonts w:ascii="Calibri" w:hAnsi="Calibri" w:hint="cs"/>
          <w:rtl/>
        </w:rPr>
        <w:t>ות שעניינן</w:t>
      </w:r>
      <w:r w:rsidRPr="006F0D74">
        <w:rPr>
          <w:rFonts w:ascii="Calibri" w:hAnsi="Calibri"/>
          <w:rtl/>
        </w:rPr>
        <w:t xml:space="preserve"> </w:t>
      </w:r>
      <w:r w:rsidRPr="006F0D74">
        <w:rPr>
          <w:rFonts w:ascii="Calibri" w:hAnsi="Calibri" w:hint="cs"/>
          <w:rtl/>
        </w:rPr>
        <w:t>ייצור</w:t>
      </w:r>
      <w:r w:rsidRPr="006F0D74">
        <w:rPr>
          <w:rFonts w:ascii="Calibri" w:hAnsi="Calibri"/>
          <w:rtl/>
        </w:rPr>
        <w:t xml:space="preserve"> </w:t>
      </w:r>
      <w:r w:rsidRPr="006F0D74">
        <w:rPr>
          <w:rFonts w:ascii="Calibri" w:hAnsi="Calibri" w:hint="eastAsia"/>
          <w:rtl/>
        </w:rPr>
        <w:t>נשק</w:t>
      </w:r>
      <w:r w:rsidRPr="006F0D74">
        <w:rPr>
          <w:rFonts w:ascii="Calibri" w:hAnsi="Calibri"/>
          <w:rtl/>
        </w:rPr>
        <w:t xml:space="preserve"> </w:t>
      </w:r>
      <w:r w:rsidRPr="006F0D74">
        <w:rPr>
          <w:rFonts w:ascii="Calibri" w:hAnsi="Calibri" w:hint="cs"/>
          <w:rtl/>
        </w:rPr>
        <w:t xml:space="preserve">והחזקתו שלא כדין </w:t>
      </w:r>
      <w:r w:rsidRPr="006F0D74">
        <w:rPr>
          <w:rFonts w:ascii="Calibri" w:hAnsi="Calibri" w:hint="eastAsia"/>
          <w:rtl/>
        </w:rPr>
        <w:t>הוא</w:t>
      </w:r>
      <w:r w:rsidRPr="006F0D74">
        <w:rPr>
          <w:rFonts w:ascii="Calibri" w:hAnsi="Calibri"/>
          <w:rtl/>
        </w:rPr>
        <w:t xml:space="preserve"> </w:t>
      </w:r>
      <w:r w:rsidRPr="006F0D74">
        <w:rPr>
          <w:rFonts w:ascii="Calibri" w:hAnsi="Calibri" w:hint="eastAsia"/>
          <w:rtl/>
        </w:rPr>
        <w:t>שלום</w:t>
      </w:r>
      <w:r w:rsidRPr="006F0D74">
        <w:rPr>
          <w:rFonts w:ascii="Calibri" w:hAnsi="Calibri"/>
          <w:rtl/>
        </w:rPr>
        <w:t xml:space="preserve"> </w:t>
      </w:r>
      <w:r w:rsidRPr="006F0D74">
        <w:rPr>
          <w:rFonts w:ascii="Calibri" w:hAnsi="Calibri" w:hint="eastAsia"/>
          <w:rtl/>
        </w:rPr>
        <w:t>הציבור</w:t>
      </w:r>
      <w:r w:rsidRPr="006F0D74">
        <w:rPr>
          <w:rFonts w:ascii="Calibri" w:hAnsi="Calibri"/>
          <w:rtl/>
        </w:rPr>
        <w:t xml:space="preserve"> </w:t>
      </w:r>
      <w:r w:rsidRPr="006F0D74">
        <w:rPr>
          <w:rFonts w:ascii="Calibri" w:hAnsi="Calibri" w:hint="eastAsia"/>
          <w:rtl/>
        </w:rPr>
        <w:t>ובטחונו</w:t>
      </w:r>
      <w:r w:rsidRPr="006F0D74">
        <w:rPr>
          <w:rFonts w:ascii="Calibri" w:hAnsi="Calibri" w:hint="cs"/>
        </w:rPr>
        <w:t xml:space="preserve"> </w:t>
      </w:r>
      <w:r w:rsidRPr="006F0D74">
        <w:rPr>
          <w:rFonts w:ascii="Calibri" w:hAnsi="Calibri" w:hint="cs"/>
          <w:rtl/>
        </w:rPr>
        <w:t>לצד ההגנה על שלמות הגוף</w:t>
      </w:r>
      <w:r w:rsidRPr="006F0D74">
        <w:rPr>
          <w:rFonts w:ascii="Calibri" w:hAnsi="Calibri"/>
          <w:rtl/>
        </w:rPr>
        <w:t>. "</w:t>
      </w:r>
      <w:r w:rsidRPr="006F0D74">
        <w:rPr>
          <w:rFonts w:ascii="Calibri" w:hAnsi="Calibri" w:cs="Miriam" w:hint="eastAsia"/>
          <w:rtl/>
        </w:rPr>
        <w:t>עבירות</w:t>
      </w:r>
      <w:r w:rsidRPr="006F0D74">
        <w:rPr>
          <w:rFonts w:ascii="Calibri" w:hAnsi="Calibri" w:cs="Miriam"/>
          <w:rtl/>
        </w:rPr>
        <w:t xml:space="preserve"> </w:t>
      </w:r>
      <w:r w:rsidRPr="006F0D74">
        <w:rPr>
          <w:rFonts w:ascii="Calibri" w:hAnsi="Calibri" w:cs="Miriam" w:hint="eastAsia"/>
          <w:rtl/>
        </w:rPr>
        <w:t>בנשק</w:t>
      </w:r>
      <w:r w:rsidRPr="006F0D74">
        <w:rPr>
          <w:rFonts w:ascii="Calibri" w:hAnsi="Calibri" w:cs="Miriam"/>
          <w:rtl/>
        </w:rPr>
        <w:t xml:space="preserve"> </w:t>
      </w:r>
      <w:r w:rsidRPr="006F0D74">
        <w:rPr>
          <w:rFonts w:ascii="Calibri" w:hAnsi="Calibri" w:cs="Miriam" w:hint="eastAsia"/>
          <w:rtl/>
        </w:rPr>
        <w:t>לסוגיהן</w:t>
      </w:r>
      <w:r w:rsidRPr="006F0D74">
        <w:rPr>
          <w:rFonts w:ascii="Calibri" w:hAnsi="Calibri" w:cs="Miriam"/>
          <w:rtl/>
        </w:rPr>
        <w:t xml:space="preserve"> </w:t>
      </w:r>
      <w:r w:rsidRPr="006F0D74">
        <w:rPr>
          <w:rFonts w:ascii="Calibri" w:hAnsi="Calibri" w:cs="Miriam" w:hint="eastAsia"/>
          <w:rtl/>
        </w:rPr>
        <w:t>מגלמות</w:t>
      </w:r>
      <w:r w:rsidRPr="006F0D74">
        <w:rPr>
          <w:rFonts w:ascii="Calibri" w:hAnsi="Calibri" w:cs="Miriam"/>
          <w:rtl/>
        </w:rPr>
        <w:t xml:space="preserve"> </w:t>
      </w:r>
      <w:r w:rsidRPr="006F0D74">
        <w:rPr>
          <w:rFonts w:ascii="Calibri" w:hAnsi="Calibri" w:cs="Miriam" w:hint="eastAsia"/>
          <w:rtl/>
        </w:rPr>
        <w:t>בתוכן</w:t>
      </w:r>
      <w:r w:rsidRPr="006F0D74">
        <w:rPr>
          <w:rFonts w:ascii="Calibri" w:hAnsi="Calibri" w:cs="Miriam"/>
          <w:rtl/>
        </w:rPr>
        <w:t xml:space="preserve"> </w:t>
      </w:r>
      <w:r w:rsidRPr="006F0D74">
        <w:rPr>
          <w:rFonts w:ascii="Calibri" w:hAnsi="Calibri" w:cs="Miriam" w:hint="eastAsia"/>
          <w:rtl/>
        </w:rPr>
        <w:t>סיכון</w:t>
      </w:r>
      <w:r w:rsidRPr="006F0D74">
        <w:rPr>
          <w:rFonts w:ascii="Calibri" w:hAnsi="Calibri" w:cs="Miriam"/>
          <w:rtl/>
        </w:rPr>
        <w:t xml:space="preserve"> </w:t>
      </w:r>
      <w:r w:rsidRPr="006F0D74">
        <w:rPr>
          <w:rFonts w:ascii="Calibri" w:hAnsi="Calibri" w:cs="Miriam" w:hint="eastAsia"/>
          <w:rtl/>
        </w:rPr>
        <w:t>ממשי</w:t>
      </w:r>
      <w:r w:rsidRPr="006F0D74">
        <w:rPr>
          <w:rFonts w:ascii="Calibri" w:hAnsi="Calibri" w:cs="Miriam"/>
          <w:rtl/>
        </w:rPr>
        <w:t xml:space="preserve"> </w:t>
      </w:r>
      <w:r w:rsidRPr="006F0D74">
        <w:rPr>
          <w:rFonts w:ascii="Calibri" w:hAnsi="Calibri" w:cs="Miriam" w:hint="eastAsia"/>
          <w:rtl/>
        </w:rPr>
        <w:t>לשלום</w:t>
      </w:r>
      <w:r w:rsidRPr="006F0D74">
        <w:rPr>
          <w:rFonts w:ascii="Calibri" w:hAnsi="Calibri" w:cs="Miriam"/>
          <w:rtl/>
        </w:rPr>
        <w:t xml:space="preserve"> </w:t>
      </w:r>
      <w:r w:rsidRPr="006F0D74">
        <w:rPr>
          <w:rFonts w:ascii="Calibri" w:hAnsi="Calibri" w:cs="Miriam" w:hint="eastAsia"/>
          <w:rtl/>
        </w:rPr>
        <w:t>הציבור</w:t>
      </w:r>
      <w:r w:rsidRPr="006F0D74">
        <w:rPr>
          <w:rFonts w:ascii="Calibri" w:hAnsi="Calibri" w:cs="Miriam"/>
          <w:rtl/>
        </w:rPr>
        <w:t xml:space="preserve"> </w:t>
      </w:r>
      <w:r w:rsidRPr="006F0D74">
        <w:rPr>
          <w:rFonts w:ascii="Calibri" w:hAnsi="Calibri" w:cs="Miriam" w:hint="eastAsia"/>
          <w:rtl/>
        </w:rPr>
        <w:t>ולביטחונו</w:t>
      </w:r>
      <w:r w:rsidRPr="006F0D74">
        <w:rPr>
          <w:rFonts w:ascii="Calibri" w:hAnsi="Calibri" w:cs="Miriam"/>
          <w:rtl/>
        </w:rPr>
        <w:t xml:space="preserve">, </w:t>
      </w:r>
      <w:r w:rsidRPr="006F0D74">
        <w:rPr>
          <w:rFonts w:ascii="Calibri" w:hAnsi="Calibri" w:cs="Miriam" w:hint="eastAsia"/>
          <w:rtl/>
        </w:rPr>
        <w:t>שכן</w:t>
      </w:r>
      <w:r w:rsidRPr="006F0D74">
        <w:rPr>
          <w:rFonts w:ascii="Calibri" w:hAnsi="Calibri" w:cs="Miriam"/>
          <w:rtl/>
        </w:rPr>
        <w:t xml:space="preserve"> </w:t>
      </w:r>
      <w:r w:rsidRPr="006F0D74">
        <w:rPr>
          <w:rFonts w:ascii="Calibri" w:hAnsi="Calibri" w:cs="Miriam" w:hint="eastAsia"/>
          <w:rtl/>
        </w:rPr>
        <w:t>לא</w:t>
      </w:r>
      <w:r w:rsidRPr="006F0D74">
        <w:rPr>
          <w:rFonts w:ascii="Calibri" w:hAnsi="Calibri" w:cs="Miriam"/>
          <w:rtl/>
        </w:rPr>
        <w:t xml:space="preserve"> </w:t>
      </w:r>
      <w:r w:rsidRPr="006F0D74">
        <w:rPr>
          <w:rFonts w:ascii="Calibri" w:hAnsi="Calibri" w:cs="Miriam" w:hint="eastAsia"/>
          <w:rtl/>
        </w:rPr>
        <w:t>ניתן</w:t>
      </w:r>
      <w:r w:rsidRPr="006F0D74">
        <w:rPr>
          <w:rFonts w:ascii="Calibri" w:hAnsi="Calibri" w:cs="Miriam"/>
          <w:rtl/>
        </w:rPr>
        <w:t xml:space="preserve"> </w:t>
      </w:r>
      <w:r w:rsidRPr="006F0D74">
        <w:rPr>
          <w:rFonts w:ascii="Calibri" w:hAnsi="Calibri" w:cs="Miriam" w:hint="eastAsia"/>
          <w:rtl/>
        </w:rPr>
        <w:t>לדעת</w:t>
      </w:r>
      <w:r w:rsidRPr="006F0D74">
        <w:rPr>
          <w:rFonts w:ascii="Calibri" w:hAnsi="Calibri" w:cs="Miriam"/>
          <w:rtl/>
        </w:rPr>
        <w:t xml:space="preserve"> </w:t>
      </w:r>
      <w:r w:rsidRPr="006F0D74">
        <w:rPr>
          <w:rFonts w:ascii="Calibri" w:hAnsi="Calibri" w:cs="Miriam" w:hint="eastAsia"/>
          <w:rtl/>
        </w:rPr>
        <w:t>להיכן</w:t>
      </w:r>
      <w:r w:rsidRPr="006F0D74">
        <w:rPr>
          <w:rFonts w:ascii="Calibri" w:hAnsi="Calibri" w:cs="Miriam"/>
          <w:rtl/>
        </w:rPr>
        <w:t xml:space="preserve"> </w:t>
      </w:r>
      <w:r w:rsidRPr="006F0D74">
        <w:rPr>
          <w:rFonts w:ascii="Calibri" w:hAnsi="Calibri" w:cs="Miriam" w:hint="eastAsia"/>
          <w:rtl/>
        </w:rPr>
        <w:t>יתגלגלו</w:t>
      </w:r>
      <w:r w:rsidRPr="006F0D74">
        <w:rPr>
          <w:rFonts w:ascii="Calibri" w:hAnsi="Calibri" w:cs="Miriam"/>
          <w:rtl/>
        </w:rPr>
        <w:t xml:space="preserve"> </w:t>
      </w:r>
      <w:r w:rsidRPr="006F0D74">
        <w:rPr>
          <w:rFonts w:ascii="Calibri" w:hAnsi="Calibri" w:cs="Miriam" w:hint="eastAsia"/>
          <w:rtl/>
        </w:rPr>
        <w:t>כלי</w:t>
      </w:r>
      <w:r w:rsidRPr="006F0D74">
        <w:rPr>
          <w:rFonts w:ascii="Calibri" w:hAnsi="Calibri" w:cs="Miriam"/>
          <w:rtl/>
        </w:rPr>
        <w:t xml:space="preserve"> </w:t>
      </w:r>
      <w:r w:rsidRPr="006F0D74">
        <w:rPr>
          <w:rFonts w:ascii="Calibri" w:hAnsi="Calibri" w:cs="Miriam" w:hint="eastAsia"/>
          <w:rtl/>
        </w:rPr>
        <w:t>הנשק</w:t>
      </w:r>
      <w:r w:rsidRPr="006F0D74">
        <w:rPr>
          <w:rFonts w:ascii="Calibri" w:hAnsi="Calibri" w:cs="Miriam"/>
          <w:rtl/>
        </w:rPr>
        <w:t xml:space="preserve"> </w:t>
      </w:r>
      <w:r w:rsidRPr="006F0D74">
        <w:rPr>
          <w:rFonts w:ascii="Calibri" w:hAnsi="Calibri" w:cs="Miriam" w:hint="eastAsia"/>
          <w:rtl/>
        </w:rPr>
        <w:t>המוחזקים</w:t>
      </w:r>
      <w:r w:rsidRPr="006F0D74">
        <w:rPr>
          <w:rFonts w:ascii="Calibri" w:hAnsi="Calibri" w:cs="Miriam"/>
          <w:rtl/>
        </w:rPr>
        <w:t xml:space="preserve"> </w:t>
      </w:r>
      <w:r w:rsidRPr="006F0D74">
        <w:rPr>
          <w:rFonts w:ascii="Calibri" w:hAnsi="Calibri" w:cs="Miriam" w:hint="eastAsia"/>
          <w:rtl/>
        </w:rPr>
        <w:t>שלא</w:t>
      </w:r>
      <w:r w:rsidRPr="006F0D74">
        <w:rPr>
          <w:rFonts w:ascii="Calibri" w:hAnsi="Calibri" w:cs="Miriam"/>
          <w:rtl/>
        </w:rPr>
        <w:t xml:space="preserve"> </w:t>
      </w:r>
      <w:r w:rsidRPr="006F0D74">
        <w:rPr>
          <w:rFonts w:ascii="Calibri" w:hAnsi="Calibri" w:cs="Miriam" w:hint="eastAsia"/>
          <w:rtl/>
        </w:rPr>
        <w:t>כדין</w:t>
      </w:r>
      <w:r w:rsidRPr="006F0D74">
        <w:rPr>
          <w:rFonts w:ascii="Calibri" w:hAnsi="Calibri" w:cs="Miriam"/>
          <w:rtl/>
        </w:rPr>
        <w:t xml:space="preserve">, </w:t>
      </w:r>
      <w:r w:rsidRPr="006F0D74">
        <w:rPr>
          <w:rFonts w:ascii="Calibri" w:hAnsi="Calibri" w:cs="Miriam" w:hint="eastAsia"/>
          <w:rtl/>
        </w:rPr>
        <w:t>ואיזה</w:t>
      </w:r>
      <w:r w:rsidRPr="006F0D74">
        <w:rPr>
          <w:rFonts w:ascii="Calibri" w:hAnsi="Calibri" w:cs="Miriam"/>
          <w:rtl/>
        </w:rPr>
        <w:t xml:space="preserve"> </w:t>
      </w:r>
      <w:r w:rsidRPr="006F0D74">
        <w:rPr>
          <w:rFonts w:ascii="Calibri" w:hAnsi="Calibri" w:cs="Miriam" w:hint="eastAsia"/>
          <w:rtl/>
        </w:rPr>
        <w:t>שימוש</w:t>
      </w:r>
      <w:r w:rsidRPr="006F0D74">
        <w:rPr>
          <w:rFonts w:ascii="Calibri" w:hAnsi="Calibri" w:cs="Miriam"/>
          <w:rtl/>
        </w:rPr>
        <w:t xml:space="preserve"> </w:t>
      </w:r>
      <w:r w:rsidRPr="006F0D74">
        <w:rPr>
          <w:rFonts w:ascii="Calibri" w:hAnsi="Calibri" w:cs="Miriam" w:hint="eastAsia"/>
          <w:rtl/>
        </w:rPr>
        <w:t>יעשה</w:t>
      </w:r>
      <w:r w:rsidRPr="006F0D74">
        <w:rPr>
          <w:rFonts w:ascii="Calibri" w:hAnsi="Calibri" w:cs="Miriam"/>
          <w:rtl/>
        </w:rPr>
        <w:t xml:space="preserve"> </w:t>
      </w:r>
      <w:r w:rsidRPr="006F0D74">
        <w:rPr>
          <w:rFonts w:ascii="Calibri" w:hAnsi="Calibri" w:cs="Miriam" w:hint="eastAsia"/>
          <w:rtl/>
        </w:rPr>
        <w:t>בהם</w:t>
      </w:r>
      <w:r w:rsidRPr="006F0D74">
        <w:rPr>
          <w:rFonts w:ascii="Calibri" w:hAnsi="Calibri" w:cs="Miriam"/>
          <w:rtl/>
        </w:rPr>
        <w:t xml:space="preserve"> </w:t>
      </w:r>
      <w:r w:rsidRPr="006F0D74">
        <w:rPr>
          <w:rFonts w:ascii="Calibri" w:hAnsi="Calibri" w:cs="Miriam" w:hint="eastAsia"/>
          <w:rtl/>
        </w:rPr>
        <w:t>בעתיד</w:t>
      </w:r>
      <w:r w:rsidRPr="006F0D74">
        <w:rPr>
          <w:rFonts w:ascii="Calibri" w:hAnsi="Calibri"/>
          <w:rtl/>
        </w:rPr>
        <w:t>" (</w:t>
      </w:r>
      <w:hyperlink r:id="rId33" w:history="1">
        <w:r w:rsidR="00AE1E60" w:rsidRPr="00AE1E60">
          <w:rPr>
            <w:rFonts w:ascii="Calibri" w:hAnsi="Calibri" w:hint="eastAsia"/>
            <w:color w:val="0000FF"/>
            <w:u w:val="single"/>
            <w:rtl/>
          </w:rPr>
          <w:t>ע</w:t>
        </w:r>
        <w:r w:rsidR="00AE1E60" w:rsidRPr="00AE1E60">
          <w:rPr>
            <w:rFonts w:ascii="Calibri" w:hAnsi="Calibri"/>
            <w:color w:val="0000FF"/>
            <w:u w:val="single"/>
            <w:rtl/>
          </w:rPr>
          <w:t>"</w:t>
        </w:r>
        <w:r w:rsidR="00AE1E60" w:rsidRPr="00AE1E60">
          <w:rPr>
            <w:rFonts w:ascii="Calibri" w:hAnsi="Calibri" w:hint="eastAsia"/>
            <w:color w:val="0000FF"/>
            <w:u w:val="single"/>
            <w:rtl/>
          </w:rPr>
          <w:t>פ</w:t>
        </w:r>
        <w:r w:rsidR="00AE1E60" w:rsidRPr="00AE1E60">
          <w:rPr>
            <w:rFonts w:ascii="Calibri" w:hAnsi="Calibri"/>
            <w:color w:val="0000FF"/>
            <w:u w:val="single"/>
            <w:rtl/>
          </w:rPr>
          <w:t xml:space="preserve"> 7502/12</w:t>
        </w:r>
      </w:hyperlink>
      <w:r w:rsidRPr="006F0D74">
        <w:rPr>
          <w:rFonts w:ascii="Calibri" w:hAnsi="Calibri"/>
          <w:rtl/>
        </w:rPr>
        <w:t xml:space="preserve"> </w:t>
      </w:r>
      <w:r w:rsidRPr="006F0D74">
        <w:rPr>
          <w:rFonts w:ascii="Calibri" w:hAnsi="Calibri" w:hint="eastAsia"/>
          <w:rtl/>
        </w:rPr>
        <w:t>‏</w:t>
      </w:r>
      <w:r w:rsidRPr="006F0D74">
        <w:rPr>
          <w:rFonts w:ascii="Calibri" w:hAnsi="Calibri" w:cs="Miriam" w:hint="eastAsia"/>
          <w:rtl/>
        </w:rPr>
        <w:t>כוויס</w:t>
      </w:r>
      <w:r w:rsidRPr="006F0D74">
        <w:rPr>
          <w:rFonts w:ascii="Calibri" w:hAnsi="Calibri" w:cs="Miriam"/>
          <w:rtl/>
        </w:rPr>
        <w:t xml:space="preserve"> </w:t>
      </w:r>
      <w:r w:rsidRPr="006F0D74">
        <w:rPr>
          <w:rFonts w:ascii="Calibri" w:hAnsi="Calibri" w:cs="Miriam" w:hint="eastAsia"/>
          <w:rtl/>
        </w:rPr>
        <w:t>נ</w:t>
      </w:r>
      <w:r w:rsidRPr="006F0D74">
        <w:rPr>
          <w:rFonts w:ascii="Calibri" w:hAnsi="Calibri" w:cs="Miriam"/>
          <w:rtl/>
        </w:rPr>
        <w:t xml:space="preserve">' </w:t>
      </w:r>
      <w:r w:rsidRPr="006F0D74">
        <w:rPr>
          <w:rFonts w:ascii="Calibri" w:hAnsi="Calibri" w:cs="Miriam" w:hint="eastAsia"/>
          <w:rtl/>
        </w:rPr>
        <w:t>מדינת</w:t>
      </w:r>
      <w:r w:rsidRPr="006F0D74">
        <w:rPr>
          <w:rFonts w:ascii="Calibri" w:hAnsi="Calibri" w:cs="Miriam"/>
          <w:rtl/>
        </w:rPr>
        <w:t xml:space="preserve"> </w:t>
      </w:r>
      <w:r w:rsidRPr="006F0D74">
        <w:rPr>
          <w:rFonts w:ascii="Calibri" w:hAnsi="Calibri" w:cs="Miriam" w:hint="eastAsia"/>
          <w:rtl/>
        </w:rPr>
        <w:t>ישראל</w:t>
      </w:r>
      <w:r w:rsidRPr="006F0D74">
        <w:rPr>
          <w:rFonts w:ascii="Calibri" w:hAnsi="Calibri"/>
          <w:rtl/>
        </w:rPr>
        <w:t xml:space="preserve"> </w:t>
      </w:r>
      <w:r w:rsidR="0015434D" w:rsidRPr="0015434D">
        <w:rPr>
          <w:sz w:val="22"/>
          <w:rtl/>
        </w:rPr>
        <w:t>[</w:t>
      </w:r>
      <w:r w:rsidR="0015434D" w:rsidRPr="0015434D">
        <w:rPr>
          <w:rFonts w:hint="eastAsia"/>
          <w:sz w:val="22"/>
          <w:rtl/>
        </w:rPr>
        <w:t>פורסם</w:t>
      </w:r>
      <w:r w:rsidR="0015434D" w:rsidRPr="0015434D">
        <w:rPr>
          <w:sz w:val="22"/>
          <w:rtl/>
        </w:rPr>
        <w:t xml:space="preserve"> </w:t>
      </w:r>
      <w:r w:rsidR="0015434D" w:rsidRPr="0015434D">
        <w:rPr>
          <w:rFonts w:hint="eastAsia"/>
          <w:sz w:val="22"/>
          <w:rtl/>
        </w:rPr>
        <w:t>בנבו</w:t>
      </w:r>
      <w:r w:rsidR="0015434D" w:rsidRPr="0015434D">
        <w:rPr>
          <w:sz w:val="22"/>
          <w:rtl/>
        </w:rPr>
        <w:t xml:space="preserve">] </w:t>
      </w:r>
      <w:r w:rsidRPr="006F0D74">
        <w:rPr>
          <w:rFonts w:ascii="Calibri" w:hAnsi="Calibri"/>
          <w:rtl/>
        </w:rPr>
        <w:t xml:space="preserve">(25.6.2013)). </w:t>
      </w:r>
      <w:r w:rsidRPr="006F0D74">
        <w:rPr>
          <w:rFonts w:ascii="Calibri" w:hAnsi="Calibri" w:hint="eastAsia"/>
          <w:rtl/>
        </w:rPr>
        <w:t>בית</w:t>
      </w:r>
      <w:r w:rsidRPr="006F0D74">
        <w:rPr>
          <w:rFonts w:ascii="Calibri" w:hAnsi="Calibri"/>
          <w:rtl/>
        </w:rPr>
        <w:t xml:space="preserve"> </w:t>
      </w:r>
      <w:r w:rsidRPr="006F0D74">
        <w:rPr>
          <w:rFonts w:ascii="Calibri" w:hAnsi="Calibri" w:hint="eastAsia"/>
          <w:rtl/>
        </w:rPr>
        <w:t>המשפט</w:t>
      </w:r>
      <w:r w:rsidRPr="006F0D74">
        <w:rPr>
          <w:rFonts w:ascii="Calibri" w:hAnsi="Calibri"/>
          <w:rtl/>
        </w:rPr>
        <w:t xml:space="preserve"> </w:t>
      </w:r>
      <w:r w:rsidRPr="006F0D74">
        <w:rPr>
          <w:rFonts w:ascii="Calibri" w:hAnsi="Calibri" w:hint="eastAsia"/>
          <w:rtl/>
        </w:rPr>
        <w:t>העליון</w:t>
      </w:r>
      <w:r w:rsidRPr="006F0D74">
        <w:rPr>
          <w:rFonts w:ascii="Calibri" w:hAnsi="Calibri"/>
          <w:rtl/>
        </w:rPr>
        <w:t xml:space="preserve"> </w:t>
      </w:r>
      <w:r w:rsidRPr="006F0D74">
        <w:rPr>
          <w:rFonts w:ascii="Calibri" w:hAnsi="Calibri" w:hint="eastAsia"/>
          <w:rtl/>
        </w:rPr>
        <w:t>עמד</w:t>
      </w:r>
      <w:r w:rsidRPr="006F0D74">
        <w:rPr>
          <w:rFonts w:ascii="Calibri" w:hAnsi="Calibri"/>
          <w:rtl/>
        </w:rPr>
        <w:t xml:space="preserve">, </w:t>
      </w:r>
      <w:r w:rsidRPr="006F0D74">
        <w:rPr>
          <w:rFonts w:ascii="Calibri" w:hAnsi="Calibri" w:hint="eastAsia"/>
          <w:rtl/>
        </w:rPr>
        <w:t>לא</w:t>
      </w:r>
      <w:r w:rsidRPr="006F0D74">
        <w:rPr>
          <w:rFonts w:ascii="Calibri" w:hAnsi="Calibri"/>
          <w:rtl/>
        </w:rPr>
        <w:t xml:space="preserve"> </w:t>
      </w:r>
      <w:r w:rsidRPr="006F0D74">
        <w:rPr>
          <w:rFonts w:ascii="Calibri" w:hAnsi="Calibri" w:hint="eastAsia"/>
          <w:rtl/>
        </w:rPr>
        <w:t>אחת</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חומרתן</w:t>
      </w:r>
      <w:r w:rsidRPr="006F0D74">
        <w:rPr>
          <w:rFonts w:ascii="Calibri" w:hAnsi="Calibri"/>
          <w:rtl/>
        </w:rPr>
        <w:t xml:space="preserve"> </w:t>
      </w:r>
      <w:r w:rsidRPr="006F0D74">
        <w:rPr>
          <w:rFonts w:ascii="Calibri" w:hAnsi="Calibri" w:hint="eastAsia"/>
          <w:rtl/>
        </w:rPr>
        <w:t>הרבה</w:t>
      </w:r>
      <w:r w:rsidRPr="006F0D74">
        <w:rPr>
          <w:rFonts w:ascii="Calibri" w:hAnsi="Calibri"/>
          <w:rtl/>
        </w:rPr>
        <w:t xml:space="preserve"> </w:t>
      </w:r>
      <w:r w:rsidRPr="006F0D74">
        <w:rPr>
          <w:rFonts w:ascii="Calibri" w:hAnsi="Calibri" w:hint="eastAsia"/>
          <w:rtl/>
        </w:rPr>
        <w:t>של</w:t>
      </w:r>
      <w:r w:rsidRPr="006F0D74">
        <w:rPr>
          <w:rFonts w:ascii="Calibri" w:hAnsi="Calibri"/>
          <w:rtl/>
        </w:rPr>
        <w:t xml:space="preserve"> </w:t>
      </w:r>
      <w:r w:rsidRPr="006F0D74">
        <w:rPr>
          <w:rFonts w:ascii="Calibri" w:hAnsi="Calibri" w:hint="eastAsia"/>
          <w:rtl/>
        </w:rPr>
        <w:t>עבירות</w:t>
      </w:r>
      <w:r w:rsidRPr="006F0D74">
        <w:rPr>
          <w:rFonts w:ascii="Calibri" w:hAnsi="Calibri"/>
          <w:rtl/>
        </w:rPr>
        <w:t xml:space="preserve"> </w:t>
      </w:r>
      <w:r w:rsidRPr="006F0D74">
        <w:rPr>
          <w:rFonts w:ascii="Calibri" w:hAnsi="Calibri" w:hint="eastAsia"/>
          <w:rtl/>
        </w:rPr>
        <w:t>הנשק</w:t>
      </w:r>
      <w:r w:rsidRPr="006F0D74">
        <w:rPr>
          <w:rFonts w:ascii="Calibri" w:hAnsi="Calibri"/>
          <w:rtl/>
        </w:rPr>
        <w:t xml:space="preserve"> </w:t>
      </w:r>
      <w:r w:rsidRPr="006F0D74">
        <w:rPr>
          <w:rFonts w:ascii="Calibri" w:hAnsi="Calibri" w:hint="eastAsia"/>
          <w:rtl/>
        </w:rPr>
        <w:t>למיניהן</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פוטנציאל</w:t>
      </w:r>
      <w:r w:rsidRPr="006F0D74">
        <w:rPr>
          <w:rFonts w:ascii="Calibri" w:hAnsi="Calibri"/>
          <w:rtl/>
        </w:rPr>
        <w:t xml:space="preserve"> </w:t>
      </w:r>
      <w:r w:rsidRPr="006F0D74">
        <w:rPr>
          <w:rFonts w:ascii="Calibri" w:hAnsi="Calibri" w:hint="eastAsia"/>
          <w:rtl/>
        </w:rPr>
        <w:t>הסיכון</w:t>
      </w:r>
      <w:r w:rsidRPr="006F0D74">
        <w:rPr>
          <w:rFonts w:ascii="Calibri" w:hAnsi="Calibri"/>
          <w:rtl/>
        </w:rPr>
        <w:t xml:space="preserve"> </w:t>
      </w:r>
      <w:r w:rsidRPr="006F0D74">
        <w:rPr>
          <w:rFonts w:ascii="Calibri" w:hAnsi="Calibri" w:hint="eastAsia"/>
          <w:rtl/>
        </w:rPr>
        <w:t>הרב</w:t>
      </w:r>
      <w:r w:rsidRPr="006F0D74">
        <w:rPr>
          <w:rFonts w:ascii="Calibri" w:hAnsi="Calibri"/>
          <w:rtl/>
        </w:rPr>
        <w:t xml:space="preserve"> </w:t>
      </w:r>
      <w:r w:rsidRPr="006F0D74">
        <w:rPr>
          <w:rFonts w:ascii="Calibri" w:hAnsi="Calibri" w:hint="eastAsia"/>
          <w:rtl/>
        </w:rPr>
        <w:t>הטמון</w:t>
      </w:r>
      <w:r w:rsidRPr="006F0D74">
        <w:rPr>
          <w:rFonts w:ascii="Calibri" w:hAnsi="Calibri"/>
          <w:rtl/>
        </w:rPr>
        <w:t xml:space="preserve"> </w:t>
      </w:r>
      <w:r w:rsidRPr="006F0D74">
        <w:rPr>
          <w:rFonts w:ascii="Calibri" w:hAnsi="Calibri" w:hint="eastAsia"/>
          <w:rtl/>
        </w:rPr>
        <w:t>במכלול</w:t>
      </w:r>
      <w:r w:rsidRPr="006F0D74">
        <w:rPr>
          <w:rFonts w:ascii="Calibri" w:hAnsi="Calibri"/>
          <w:rtl/>
        </w:rPr>
        <w:t xml:space="preserve"> </w:t>
      </w:r>
      <w:r w:rsidRPr="006F0D74">
        <w:rPr>
          <w:rFonts w:ascii="Calibri" w:hAnsi="Calibri" w:hint="eastAsia"/>
          <w:rtl/>
        </w:rPr>
        <w:t>עבירות</w:t>
      </w:r>
      <w:r w:rsidRPr="006F0D74">
        <w:rPr>
          <w:rFonts w:ascii="Calibri" w:hAnsi="Calibri"/>
          <w:rtl/>
        </w:rPr>
        <w:t xml:space="preserve"> </w:t>
      </w:r>
      <w:r w:rsidRPr="006F0D74">
        <w:rPr>
          <w:rFonts w:ascii="Calibri" w:hAnsi="Calibri" w:hint="eastAsia"/>
          <w:rtl/>
        </w:rPr>
        <w:t>אלו</w:t>
      </w:r>
      <w:r w:rsidRPr="006F0D74">
        <w:rPr>
          <w:rFonts w:ascii="Calibri" w:hAnsi="Calibri"/>
          <w:rtl/>
        </w:rPr>
        <w:t xml:space="preserve">, </w:t>
      </w:r>
      <w:r w:rsidRPr="006F0D74">
        <w:rPr>
          <w:rFonts w:ascii="Calibri" w:hAnsi="Calibri" w:hint="eastAsia"/>
          <w:rtl/>
        </w:rPr>
        <w:t>ועל</w:t>
      </w:r>
      <w:r w:rsidRPr="006F0D74">
        <w:rPr>
          <w:rFonts w:ascii="Calibri" w:hAnsi="Calibri"/>
          <w:rtl/>
        </w:rPr>
        <w:t xml:space="preserve"> </w:t>
      </w:r>
      <w:r w:rsidRPr="006F0D74">
        <w:rPr>
          <w:rFonts w:ascii="Calibri" w:hAnsi="Calibri" w:hint="eastAsia"/>
          <w:rtl/>
        </w:rPr>
        <w:t>התוצאות</w:t>
      </w:r>
      <w:r w:rsidRPr="006F0D74">
        <w:rPr>
          <w:rFonts w:ascii="Calibri" w:hAnsi="Calibri"/>
          <w:rtl/>
        </w:rPr>
        <w:t xml:space="preserve"> </w:t>
      </w:r>
      <w:r w:rsidRPr="006F0D74">
        <w:rPr>
          <w:rFonts w:ascii="Calibri" w:hAnsi="Calibri" w:hint="eastAsia"/>
          <w:rtl/>
        </w:rPr>
        <w:t>הקשות</w:t>
      </w:r>
      <w:r w:rsidRPr="006F0D74">
        <w:rPr>
          <w:rFonts w:ascii="Calibri" w:hAnsi="Calibri"/>
          <w:rtl/>
        </w:rPr>
        <w:t xml:space="preserve"> </w:t>
      </w:r>
      <w:r w:rsidRPr="006F0D74">
        <w:rPr>
          <w:rFonts w:ascii="Calibri" w:hAnsi="Calibri" w:hint="eastAsia"/>
          <w:rtl/>
        </w:rPr>
        <w:t>והרות</w:t>
      </w:r>
      <w:r w:rsidRPr="006F0D74">
        <w:rPr>
          <w:rFonts w:ascii="Calibri" w:hAnsi="Calibri"/>
          <w:rtl/>
        </w:rPr>
        <w:t>-</w:t>
      </w:r>
      <w:r w:rsidRPr="006F0D74">
        <w:rPr>
          <w:rFonts w:ascii="Calibri" w:hAnsi="Calibri" w:hint="eastAsia"/>
          <w:rtl/>
        </w:rPr>
        <w:t>הגורל</w:t>
      </w:r>
      <w:r w:rsidRPr="006F0D74">
        <w:rPr>
          <w:rFonts w:ascii="Calibri" w:hAnsi="Calibri"/>
          <w:rtl/>
        </w:rPr>
        <w:t xml:space="preserve"> </w:t>
      </w:r>
      <w:r w:rsidRPr="006F0D74">
        <w:rPr>
          <w:rFonts w:ascii="Calibri" w:hAnsi="Calibri" w:hint="eastAsia"/>
          <w:rtl/>
        </w:rPr>
        <w:t>שעלולות</w:t>
      </w:r>
      <w:r w:rsidRPr="006F0D74">
        <w:rPr>
          <w:rFonts w:ascii="Calibri" w:hAnsi="Calibri"/>
          <w:rtl/>
        </w:rPr>
        <w:t xml:space="preserve"> </w:t>
      </w:r>
      <w:r w:rsidRPr="006F0D74">
        <w:rPr>
          <w:rFonts w:ascii="Calibri" w:hAnsi="Calibri" w:hint="eastAsia"/>
          <w:rtl/>
        </w:rPr>
        <w:t>להיגרם</w:t>
      </w:r>
      <w:r w:rsidRPr="006F0D74">
        <w:rPr>
          <w:rFonts w:ascii="Calibri" w:hAnsi="Calibri"/>
          <w:rtl/>
        </w:rPr>
        <w:t xml:space="preserve"> </w:t>
      </w:r>
      <w:r w:rsidRPr="006F0D74">
        <w:rPr>
          <w:rFonts w:ascii="Calibri" w:hAnsi="Calibri" w:hint="eastAsia"/>
          <w:rtl/>
        </w:rPr>
        <w:t>מביצוע</w:t>
      </w:r>
      <w:r w:rsidRPr="006F0D74">
        <w:rPr>
          <w:rFonts w:ascii="Calibri" w:hAnsi="Calibri"/>
          <w:rtl/>
        </w:rPr>
        <w:t xml:space="preserve"> </w:t>
      </w:r>
      <w:r w:rsidRPr="006F0D74">
        <w:rPr>
          <w:rFonts w:ascii="Calibri" w:hAnsi="Calibri" w:hint="eastAsia"/>
          <w:rtl/>
        </w:rPr>
        <w:t>העבירות</w:t>
      </w:r>
      <w:r w:rsidRPr="006F0D74">
        <w:rPr>
          <w:rFonts w:ascii="Calibri" w:hAnsi="Calibri"/>
          <w:rtl/>
        </w:rPr>
        <w:t xml:space="preserve">, </w:t>
      </w:r>
      <w:r w:rsidRPr="006F0D74">
        <w:rPr>
          <w:rFonts w:ascii="Calibri" w:hAnsi="Calibri" w:hint="eastAsia"/>
          <w:rtl/>
        </w:rPr>
        <w:t>אשר</w:t>
      </w:r>
      <w:r w:rsidRPr="006F0D74">
        <w:rPr>
          <w:rFonts w:ascii="Calibri" w:hAnsi="Calibri"/>
          <w:rtl/>
        </w:rPr>
        <w:t xml:space="preserve"> </w:t>
      </w:r>
      <w:r w:rsidRPr="006F0D74">
        <w:rPr>
          <w:rFonts w:ascii="Calibri" w:hAnsi="Calibri" w:hint="eastAsia"/>
          <w:rtl/>
        </w:rPr>
        <w:t>הפכו</w:t>
      </w:r>
      <w:r w:rsidRPr="006F0D74">
        <w:rPr>
          <w:rFonts w:ascii="Calibri" w:hAnsi="Calibri"/>
          <w:rtl/>
        </w:rPr>
        <w:t xml:space="preserve">, </w:t>
      </w:r>
      <w:r w:rsidRPr="006F0D74">
        <w:rPr>
          <w:rFonts w:ascii="Calibri" w:hAnsi="Calibri" w:hint="eastAsia"/>
          <w:rtl/>
        </w:rPr>
        <w:t>לדאבון</w:t>
      </w:r>
      <w:r w:rsidRPr="006F0D74">
        <w:rPr>
          <w:rFonts w:ascii="Calibri" w:hAnsi="Calibri"/>
          <w:rtl/>
        </w:rPr>
        <w:t xml:space="preserve"> </w:t>
      </w:r>
      <w:r w:rsidRPr="006F0D74">
        <w:rPr>
          <w:rFonts w:ascii="Calibri" w:hAnsi="Calibri" w:hint="eastAsia"/>
          <w:rtl/>
        </w:rPr>
        <w:t>הלב</w:t>
      </w:r>
      <w:r w:rsidRPr="006F0D74">
        <w:rPr>
          <w:rFonts w:ascii="Calibri" w:hAnsi="Calibri"/>
          <w:rtl/>
        </w:rPr>
        <w:t xml:space="preserve">, </w:t>
      </w:r>
      <w:r w:rsidRPr="006F0D74">
        <w:rPr>
          <w:rFonts w:ascii="Calibri" w:hAnsi="Calibri" w:hint="eastAsia"/>
          <w:rtl/>
        </w:rPr>
        <w:t>למכת</w:t>
      </w:r>
      <w:r w:rsidRPr="006F0D74">
        <w:rPr>
          <w:rFonts w:ascii="Calibri" w:hAnsi="Calibri"/>
          <w:rtl/>
        </w:rPr>
        <w:t xml:space="preserve"> </w:t>
      </w:r>
      <w:r w:rsidRPr="006F0D74">
        <w:rPr>
          <w:rFonts w:ascii="Calibri" w:hAnsi="Calibri" w:hint="eastAsia"/>
          <w:rtl/>
        </w:rPr>
        <w:t>מדינה</w:t>
      </w:r>
      <w:r w:rsidRPr="006F0D74">
        <w:rPr>
          <w:rFonts w:ascii="Calibri" w:hAnsi="Calibri" w:hint="cs"/>
          <w:rtl/>
        </w:rPr>
        <w:t xml:space="preserve">.  כאן אוסיף כי אף העבירה של החזקת סכין שלא כדין מגלמת בחובה פוטנציאל של מסוכנות לביטחון הציבור ולשלמות גוף האדם, כל שכן כשעסקינן בהחזקת שתי סכינים ע"י הנאשם.  </w:t>
      </w:r>
    </w:p>
    <w:p w14:paraId="7F4AFF9C" w14:textId="77777777" w:rsidR="006F0D74" w:rsidRPr="006F0D74" w:rsidRDefault="006F0D74" w:rsidP="006F0D74">
      <w:pPr>
        <w:spacing w:after="160"/>
        <w:jc w:val="both"/>
        <w:rPr>
          <w:rFonts w:ascii="Calibri" w:hAnsi="Calibri"/>
          <w:rtl/>
        </w:rPr>
      </w:pPr>
    </w:p>
    <w:p w14:paraId="7B3D0D3D" w14:textId="77777777" w:rsidR="006F0D74" w:rsidRPr="003A70BC" w:rsidRDefault="006F0D74" w:rsidP="006F0D74">
      <w:pPr>
        <w:spacing w:line="360" w:lineRule="auto"/>
        <w:ind w:hanging="720"/>
        <w:jc w:val="both"/>
      </w:pPr>
      <w:r>
        <w:rPr>
          <w:rFonts w:hint="cs"/>
          <w:rtl/>
        </w:rPr>
        <w:t xml:space="preserve">             25.</w:t>
      </w:r>
      <w:r>
        <w:rPr>
          <w:rFonts w:hint="cs"/>
          <w:rtl/>
        </w:rPr>
        <w:tab/>
      </w:r>
      <w:r w:rsidRPr="003A70BC">
        <w:rPr>
          <w:rtl/>
        </w:rPr>
        <w:t>ב</w:t>
      </w:r>
      <w:hyperlink r:id="rId34" w:history="1">
        <w:r w:rsidR="00AE1E60" w:rsidRPr="00AE1E60">
          <w:rPr>
            <w:color w:val="0000FF"/>
            <w:u w:val="single"/>
            <w:rtl/>
          </w:rPr>
          <w:t>ע"פ 1323/13</w:t>
        </w:r>
      </w:hyperlink>
      <w:r w:rsidRPr="003A70BC">
        <w:rPr>
          <w:rtl/>
        </w:rPr>
        <w:t xml:space="preserve"> </w:t>
      </w:r>
      <w:r w:rsidRPr="003A70BC">
        <w:rPr>
          <w:rFonts w:cs="Miriam"/>
          <w:rtl/>
        </w:rPr>
        <w:t>רך חסן נ' מדינת ישראל</w:t>
      </w:r>
      <w:r w:rsidRPr="003A70BC">
        <w:rPr>
          <w:rtl/>
        </w:rPr>
        <w:t xml:space="preserve"> </w:t>
      </w:r>
      <w:r w:rsidR="0015434D" w:rsidRPr="0015434D">
        <w:rPr>
          <w:sz w:val="22"/>
          <w:rtl/>
        </w:rPr>
        <w:t xml:space="preserve">[פורסם בנבו] </w:t>
      </w:r>
      <w:r w:rsidRPr="003A70BC">
        <w:rPr>
          <w:rtl/>
        </w:rPr>
        <w:t>(5.6.13)</w:t>
      </w:r>
      <w:r>
        <w:rPr>
          <w:rFonts w:hint="cs"/>
          <w:rtl/>
        </w:rPr>
        <w:t xml:space="preserve"> (להלן: </w:t>
      </w:r>
      <w:r w:rsidRPr="005D19E1">
        <w:rPr>
          <w:rFonts w:cs="Miriam" w:hint="cs"/>
          <w:rtl/>
        </w:rPr>
        <w:t>עניין חסן</w:t>
      </w:r>
      <w:r>
        <w:rPr>
          <w:rFonts w:hint="cs"/>
          <w:rtl/>
        </w:rPr>
        <w:t xml:space="preserve">) </w:t>
      </w:r>
      <w:r w:rsidRPr="003A70BC">
        <w:rPr>
          <w:rtl/>
        </w:rPr>
        <w:t>ציינה כב' השופטת ארבל את המגמה הנדרשת של החמרה בענישה בעבירות נשק, לצד הצורך להקפיד על ענישה אינדיבידואלית, בהתאם לכל מקרה ונסיבותיו, וזאת כהאי לישנא:</w:t>
      </w:r>
    </w:p>
    <w:p w14:paraId="7031C9E1" w14:textId="77777777" w:rsidR="006F0D74" w:rsidRPr="003A70BC" w:rsidRDefault="006F0D74" w:rsidP="006F0D74">
      <w:pPr>
        <w:spacing w:line="360" w:lineRule="auto"/>
        <w:ind w:left="720" w:hanging="720"/>
        <w:jc w:val="both"/>
        <w:rPr>
          <w:rtl/>
        </w:rPr>
      </w:pPr>
    </w:p>
    <w:p w14:paraId="411AAC28" w14:textId="77777777" w:rsidR="006F0D74" w:rsidRDefault="006F0D74" w:rsidP="006F0D74">
      <w:pPr>
        <w:spacing w:line="360" w:lineRule="auto"/>
        <w:ind w:left="1440" w:right="1134"/>
        <w:jc w:val="both"/>
        <w:rPr>
          <w:rFonts w:cs="Miriam"/>
          <w:rtl/>
        </w:rPr>
      </w:pPr>
      <w:r w:rsidRPr="003A70BC">
        <w:rPr>
          <w:rtl/>
        </w:rPr>
        <w:t>"</w:t>
      </w:r>
      <w:r w:rsidRPr="003A70BC">
        <w:rPr>
          <w:rFonts w:cs="Miriam"/>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r w:rsidRPr="003A70BC">
        <w:rPr>
          <w:rFonts w:cs="Miriam"/>
          <w:b/>
          <w:bCs/>
          <w:rtl/>
        </w:rPr>
        <w:t>למותר לציין כי אין בכך כדי לחתור תחת האופי האינדיבידואלי שבמלאכת הענישה, הנעשית בכל מקרה לגופו, לפי נסיבותיו ומידת אשמו של הנאשם</w:t>
      </w:r>
      <w:r>
        <w:rPr>
          <w:rFonts w:cs="Miriam" w:hint="cs"/>
          <w:b/>
          <w:bCs/>
          <w:rtl/>
        </w:rPr>
        <w:t xml:space="preserve"> </w:t>
      </w:r>
      <w:r w:rsidRPr="003A70BC">
        <w:rPr>
          <w:rFonts w:cs="Miriam" w:hint="cs"/>
          <w:rtl/>
        </w:rPr>
        <w:t>[הדגשה שלי-ר.ב.]</w:t>
      </w:r>
      <w:r w:rsidRPr="003A70BC">
        <w:rPr>
          <w:rFonts w:cs="Miriam"/>
          <w:rtl/>
        </w:rPr>
        <w:t>".</w:t>
      </w:r>
    </w:p>
    <w:p w14:paraId="374B5844" w14:textId="77777777" w:rsidR="006F0D74" w:rsidRPr="006F0D74" w:rsidRDefault="006F0D74" w:rsidP="006F0D74">
      <w:pPr>
        <w:spacing w:after="160" w:line="360" w:lineRule="auto"/>
        <w:rPr>
          <w:rFonts w:ascii="Calibri" w:hAnsi="Calibri"/>
          <w:rtl/>
        </w:rPr>
      </w:pPr>
    </w:p>
    <w:p w14:paraId="60860B75" w14:textId="77777777" w:rsidR="006F0D74" w:rsidRPr="006F0D74" w:rsidRDefault="006F0D74" w:rsidP="006F0D74">
      <w:pPr>
        <w:spacing w:after="160" w:line="360" w:lineRule="auto"/>
        <w:jc w:val="both"/>
        <w:rPr>
          <w:rFonts w:ascii="Calibri" w:hAnsi="Calibri"/>
          <w:rtl/>
        </w:rPr>
      </w:pPr>
      <w:r w:rsidRPr="006F0D74">
        <w:rPr>
          <w:rFonts w:ascii="Calibri" w:hAnsi="Calibri" w:hint="cs"/>
          <w:rtl/>
        </w:rPr>
        <w:t>26.</w:t>
      </w:r>
      <w:r w:rsidRPr="006F0D74">
        <w:rPr>
          <w:rFonts w:ascii="Calibri" w:hAnsi="Calibri" w:hint="cs"/>
          <w:rtl/>
        </w:rPr>
        <w:tab/>
        <w:t>באשר לנסיבות ביצוע העבירות, יצוין, לחובת הנאשם, כי הוא הסתיר את המטען שייצר מתחת לשטיחון תא המטען ברכבו, וכן כי הוא נתפס מחזיק את המטען במקום המסתור, בעת נסיעה ברכב, בשעת לילה מאוחרת. כן אציין, כי החזקת שתי הסכינים באותה עת ברכבו של הנאשם מוסיפה נופך של חומרה להתנהלותו. עם זאת, יודגש כי עסקינן בנשק שפוטנציאל הפגיעה שלו נמוך, כפי שעולה ממקרא סעיפים 1 ו-2 לעובדות כתב האישום המתוקן, כמו גם מעיון בחוות דעת המומחה שהוגשה בתיק זה ע"י ההגנה, בהסכמת המאשימה (</w:t>
      </w:r>
      <w:r w:rsidRPr="006F0D74">
        <w:rPr>
          <w:rFonts w:ascii="Calibri" w:hAnsi="Calibri" w:cs="Miriam" w:hint="cs"/>
          <w:rtl/>
        </w:rPr>
        <w:t>נ/1</w:t>
      </w:r>
      <w:r w:rsidRPr="006F0D74">
        <w:rPr>
          <w:rFonts w:ascii="Calibri" w:hAnsi="Calibri" w:hint="cs"/>
          <w:rtl/>
        </w:rPr>
        <w:t xml:space="preserve">). ודוק, עסקינן  בייצור של מטען חבלה מאולתר, בדרך של פירוק זיקוקין, שפיכת תוכנם למיכל ששימש במקורו לדאודורנט, מילוי המיכל בנייר, חיבור פתיל המיכל ועטיפתו בסרט בידוד. מחוות הדעת </w:t>
      </w:r>
      <w:r w:rsidRPr="006F0D74">
        <w:rPr>
          <w:rFonts w:ascii="Calibri" w:hAnsi="Calibri" w:cs="Miriam" w:hint="cs"/>
          <w:rtl/>
        </w:rPr>
        <w:t>נ/1</w:t>
      </w:r>
      <w:r w:rsidRPr="006F0D74">
        <w:rPr>
          <w:rFonts w:ascii="Calibri" w:hAnsi="Calibri" w:hint="cs"/>
          <w:rtl/>
        </w:rPr>
        <w:t xml:space="preserve"> עולה כי לא נמצא חומר נפץ בשרידי המטען, וכן כי בכוחו של מטען החבלה לגרום לפגיעה גופנית בעת פעולתו, וזאת אך בכפוף לקרבה למוקד הפעולה. אי לכך, פוטנציאל הנזק הגלום במטען שבפנינו נמוך ביחס לכלי נשק אחרים, כדוגמת בקבוקי תבערה, כפי שנטען לעניין זה ע"י הסנגור ובצדק. בנקודה זו יפים דבריו הבאים של בית המשפט העליון, כפי שנאמרו בעניין חסן: </w:t>
      </w:r>
    </w:p>
    <w:p w14:paraId="117270C8" w14:textId="77777777" w:rsidR="006F0D74" w:rsidRPr="006F0D74" w:rsidRDefault="006F0D74" w:rsidP="006F0D74">
      <w:pPr>
        <w:spacing w:after="160" w:line="360" w:lineRule="auto"/>
        <w:ind w:left="1440" w:right="851"/>
        <w:jc w:val="both"/>
        <w:rPr>
          <w:rFonts w:ascii="Calibri" w:hAnsi="Calibri" w:cs="Miriam"/>
          <w:sz w:val="22"/>
          <w:szCs w:val="22"/>
          <w:rtl/>
        </w:rPr>
      </w:pPr>
      <w:r w:rsidRPr="006F0D74">
        <w:rPr>
          <w:rFonts w:ascii="Calibri" w:hAnsi="Calibri" w:cs="Miriam"/>
          <w:sz w:val="22"/>
          <w:szCs w:val="22"/>
          <w:rtl/>
        </w:rPr>
        <w:t>"</w:t>
      </w:r>
      <w:r w:rsidRPr="006F0D74">
        <w:rPr>
          <w:rFonts w:ascii="Calibri" w:hAnsi="Calibri" w:cs="Miriam" w:hint="eastAsia"/>
          <w:sz w:val="22"/>
          <w:szCs w:val="22"/>
          <w:rtl/>
        </w:rPr>
        <w:t>למעשה</w:t>
      </w:r>
      <w:r w:rsidRPr="006F0D74">
        <w:rPr>
          <w:rFonts w:ascii="Calibri" w:hAnsi="Calibri" w:cs="Miriam"/>
          <w:sz w:val="22"/>
          <w:szCs w:val="22"/>
          <w:rtl/>
        </w:rPr>
        <w:t xml:space="preserve">, </w:t>
      </w:r>
      <w:r w:rsidRPr="006F0D74">
        <w:rPr>
          <w:rFonts w:ascii="Calibri" w:hAnsi="Calibri" w:cs="Miriam" w:hint="eastAsia"/>
          <w:sz w:val="22"/>
          <w:szCs w:val="22"/>
          <w:rtl/>
        </w:rPr>
        <w:t>אין</w:t>
      </w:r>
      <w:r w:rsidRPr="006F0D74">
        <w:rPr>
          <w:rFonts w:ascii="Calibri" w:hAnsi="Calibri" w:cs="Miriam"/>
          <w:sz w:val="22"/>
          <w:szCs w:val="22"/>
          <w:rtl/>
        </w:rPr>
        <w:t xml:space="preserve"> </w:t>
      </w:r>
      <w:r w:rsidRPr="006F0D74">
        <w:rPr>
          <w:rFonts w:ascii="Calibri" w:hAnsi="Calibri" w:cs="Miriam" w:hint="eastAsia"/>
          <w:sz w:val="22"/>
          <w:szCs w:val="22"/>
          <w:rtl/>
        </w:rPr>
        <w:t>כל</w:t>
      </w:r>
      <w:r w:rsidRPr="006F0D74">
        <w:rPr>
          <w:rFonts w:ascii="Calibri" w:hAnsi="Calibri" w:cs="Miriam"/>
          <w:sz w:val="22"/>
          <w:szCs w:val="22"/>
          <w:rtl/>
        </w:rPr>
        <w:t xml:space="preserve"> </w:t>
      </w:r>
      <w:r w:rsidRPr="006F0D74">
        <w:rPr>
          <w:rFonts w:ascii="Calibri" w:hAnsi="Calibri" w:cs="Miriam" w:hint="eastAsia"/>
          <w:sz w:val="22"/>
          <w:szCs w:val="22"/>
          <w:rtl/>
        </w:rPr>
        <w:t>חידוש</w:t>
      </w:r>
      <w:r w:rsidRPr="006F0D74">
        <w:rPr>
          <w:rFonts w:ascii="Calibri" w:hAnsi="Calibri" w:cs="Miriam"/>
          <w:sz w:val="22"/>
          <w:szCs w:val="22"/>
          <w:rtl/>
        </w:rPr>
        <w:t xml:space="preserve"> </w:t>
      </w:r>
      <w:r w:rsidRPr="006F0D74">
        <w:rPr>
          <w:rFonts w:ascii="Calibri" w:hAnsi="Calibri" w:cs="Miriam" w:hint="eastAsia"/>
          <w:sz w:val="22"/>
          <w:szCs w:val="22"/>
          <w:rtl/>
        </w:rPr>
        <w:t>בקביעה</w:t>
      </w:r>
      <w:r w:rsidRPr="006F0D74">
        <w:rPr>
          <w:rFonts w:ascii="Calibri" w:hAnsi="Calibri" w:cs="Miriam"/>
          <w:sz w:val="22"/>
          <w:szCs w:val="22"/>
          <w:rtl/>
        </w:rPr>
        <w:t xml:space="preserve"> </w:t>
      </w:r>
      <w:r w:rsidRPr="006F0D74">
        <w:rPr>
          <w:rFonts w:ascii="Calibri" w:hAnsi="Calibri" w:cs="Miriam" w:hint="eastAsia"/>
          <w:sz w:val="22"/>
          <w:szCs w:val="22"/>
          <w:rtl/>
        </w:rPr>
        <w:t>כי</w:t>
      </w:r>
      <w:r w:rsidRPr="006F0D74">
        <w:rPr>
          <w:rFonts w:ascii="Calibri" w:hAnsi="Calibri" w:cs="Miriam"/>
          <w:sz w:val="22"/>
          <w:szCs w:val="22"/>
          <w:rtl/>
        </w:rPr>
        <w:t xml:space="preserve"> </w:t>
      </w:r>
      <w:r w:rsidRPr="006F0D74">
        <w:rPr>
          <w:rFonts w:ascii="Calibri" w:hAnsi="Calibri" w:cs="Miriam" w:hint="eastAsia"/>
          <w:sz w:val="22"/>
          <w:szCs w:val="22"/>
          <w:rtl/>
        </w:rPr>
        <w:t>קיים</w:t>
      </w:r>
      <w:r w:rsidRPr="006F0D74">
        <w:rPr>
          <w:rFonts w:ascii="Calibri" w:hAnsi="Calibri" w:cs="Miriam"/>
          <w:sz w:val="22"/>
          <w:szCs w:val="22"/>
          <w:rtl/>
        </w:rPr>
        <w:t xml:space="preserve"> </w:t>
      </w:r>
      <w:r w:rsidRPr="006F0D74">
        <w:rPr>
          <w:rFonts w:ascii="Calibri" w:hAnsi="Calibri" w:cs="Miriam" w:hint="eastAsia"/>
          <w:sz w:val="22"/>
          <w:szCs w:val="22"/>
          <w:rtl/>
        </w:rPr>
        <w:t>מדרג</w:t>
      </w:r>
      <w:r w:rsidRPr="006F0D74">
        <w:rPr>
          <w:rFonts w:ascii="Calibri" w:hAnsi="Calibri" w:cs="Miriam"/>
          <w:sz w:val="22"/>
          <w:szCs w:val="22"/>
          <w:rtl/>
        </w:rPr>
        <w:t xml:space="preserve"> </w:t>
      </w:r>
      <w:r w:rsidRPr="006F0D74">
        <w:rPr>
          <w:rFonts w:ascii="Calibri" w:hAnsi="Calibri" w:cs="Miriam" w:hint="eastAsia"/>
          <w:sz w:val="22"/>
          <w:szCs w:val="22"/>
          <w:rtl/>
        </w:rPr>
        <w:t>ענישה</w:t>
      </w:r>
      <w:r w:rsidRPr="006F0D74">
        <w:rPr>
          <w:rFonts w:ascii="Calibri" w:hAnsi="Calibri" w:cs="Miriam"/>
          <w:sz w:val="22"/>
          <w:szCs w:val="22"/>
          <w:rtl/>
        </w:rPr>
        <w:t xml:space="preserve"> </w:t>
      </w:r>
      <w:r w:rsidRPr="006F0D74">
        <w:rPr>
          <w:rFonts w:ascii="Calibri" w:hAnsi="Calibri" w:cs="Miriam" w:hint="eastAsia"/>
          <w:sz w:val="22"/>
          <w:szCs w:val="22"/>
          <w:rtl/>
        </w:rPr>
        <w:t>בעבירות</w:t>
      </w:r>
      <w:r w:rsidRPr="006F0D74">
        <w:rPr>
          <w:rFonts w:ascii="Calibri" w:hAnsi="Calibri" w:cs="Miriam"/>
          <w:sz w:val="22"/>
          <w:szCs w:val="22"/>
          <w:rtl/>
        </w:rPr>
        <w:t xml:space="preserve"> </w:t>
      </w:r>
      <w:r w:rsidRPr="006F0D74">
        <w:rPr>
          <w:rFonts w:ascii="Calibri" w:hAnsi="Calibri" w:cs="Miriam" w:hint="eastAsia"/>
          <w:sz w:val="22"/>
          <w:szCs w:val="22"/>
          <w:rtl/>
        </w:rPr>
        <w:t>המבוצעות</w:t>
      </w:r>
      <w:r w:rsidRPr="006F0D74">
        <w:rPr>
          <w:rFonts w:ascii="Calibri" w:hAnsi="Calibri" w:cs="Miriam"/>
          <w:sz w:val="22"/>
          <w:szCs w:val="22"/>
          <w:rtl/>
        </w:rPr>
        <w:t xml:space="preserve"> </w:t>
      </w:r>
      <w:r w:rsidRPr="006F0D74">
        <w:rPr>
          <w:rFonts w:ascii="Calibri" w:hAnsi="Calibri" w:cs="Miriam" w:hint="eastAsia"/>
          <w:sz w:val="22"/>
          <w:szCs w:val="22"/>
          <w:rtl/>
        </w:rPr>
        <w:t>בנשק</w:t>
      </w:r>
      <w:r w:rsidRPr="006F0D74">
        <w:rPr>
          <w:rFonts w:ascii="Calibri" w:hAnsi="Calibri" w:cs="Miriam"/>
          <w:sz w:val="22"/>
          <w:szCs w:val="22"/>
          <w:rtl/>
        </w:rPr>
        <w:t xml:space="preserve">, </w:t>
      </w:r>
      <w:r w:rsidRPr="006F0D74">
        <w:rPr>
          <w:rFonts w:ascii="Calibri" w:hAnsi="Calibri" w:cs="Miriam" w:hint="eastAsia"/>
          <w:sz w:val="22"/>
          <w:szCs w:val="22"/>
          <w:rtl/>
        </w:rPr>
        <w:t>הנקבע</w:t>
      </w:r>
      <w:r w:rsidRPr="006F0D74">
        <w:rPr>
          <w:rFonts w:ascii="Calibri" w:hAnsi="Calibri" w:cs="Miriam"/>
          <w:sz w:val="22"/>
          <w:szCs w:val="22"/>
          <w:rtl/>
        </w:rPr>
        <w:t xml:space="preserve">, </w:t>
      </w:r>
      <w:r w:rsidRPr="006F0D74">
        <w:rPr>
          <w:rFonts w:ascii="Calibri" w:hAnsi="Calibri" w:cs="Miriam" w:hint="eastAsia"/>
          <w:sz w:val="22"/>
          <w:szCs w:val="22"/>
          <w:rtl/>
        </w:rPr>
        <w:t>בין</w:t>
      </w:r>
      <w:r w:rsidRPr="006F0D74">
        <w:rPr>
          <w:rFonts w:ascii="Calibri" w:hAnsi="Calibri" w:cs="Miriam"/>
          <w:sz w:val="22"/>
          <w:szCs w:val="22"/>
          <w:rtl/>
        </w:rPr>
        <w:t xml:space="preserve"> </w:t>
      </w:r>
      <w:r w:rsidRPr="006F0D74">
        <w:rPr>
          <w:rFonts w:ascii="Calibri" w:hAnsi="Calibri" w:cs="Miriam" w:hint="eastAsia"/>
          <w:sz w:val="22"/>
          <w:szCs w:val="22"/>
          <w:rtl/>
        </w:rPr>
        <w:t>השאר</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פי</w:t>
      </w:r>
      <w:r w:rsidRPr="006F0D74">
        <w:rPr>
          <w:rFonts w:ascii="Calibri" w:hAnsi="Calibri" w:cs="Miriam"/>
          <w:sz w:val="22"/>
          <w:szCs w:val="22"/>
          <w:rtl/>
        </w:rPr>
        <w:t xml:space="preserve"> </w:t>
      </w:r>
      <w:r w:rsidRPr="006F0D74">
        <w:rPr>
          <w:rFonts w:ascii="Calibri" w:hAnsi="Calibri" w:cs="Miriam" w:hint="eastAsia"/>
          <w:sz w:val="22"/>
          <w:szCs w:val="22"/>
          <w:rtl/>
        </w:rPr>
        <w:t>סוג</w:t>
      </w:r>
      <w:r w:rsidRPr="006F0D74">
        <w:rPr>
          <w:rFonts w:ascii="Calibri" w:hAnsi="Calibri" w:cs="Miriam"/>
          <w:sz w:val="22"/>
          <w:szCs w:val="22"/>
          <w:rtl/>
        </w:rPr>
        <w:t xml:space="preserve">, </w:t>
      </w:r>
      <w:r w:rsidRPr="006F0D74">
        <w:rPr>
          <w:rFonts w:ascii="Calibri" w:hAnsi="Calibri" w:cs="Miriam" w:hint="eastAsia"/>
          <w:sz w:val="22"/>
          <w:szCs w:val="22"/>
          <w:rtl/>
        </w:rPr>
        <w:t>איכות</w:t>
      </w:r>
      <w:r w:rsidRPr="006F0D74">
        <w:rPr>
          <w:rFonts w:ascii="Calibri" w:hAnsi="Calibri" w:cs="Miriam"/>
          <w:sz w:val="22"/>
          <w:szCs w:val="22"/>
          <w:rtl/>
        </w:rPr>
        <w:t xml:space="preserve"> </w:t>
      </w:r>
      <w:r w:rsidRPr="006F0D74">
        <w:rPr>
          <w:rFonts w:ascii="Calibri" w:hAnsi="Calibri" w:cs="Miriam" w:hint="eastAsia"/>
          <w:sz w:val="22"/>
          <w:szCs w:val="22"/>
          <w:rtl/>
        </w:rPr>
        <w:t>וכמות</w:t>
      </w:r>
      <w:r w:rsidRPr="006F0D74">
        <w:rPr>
          <w:rFonts w:ascii="Calibri" w:hAnsi="Calibri" w:cs="Miriam"/>
          <w:sz w:val="22"/>
          <w:szCs w:val="22"/>
          <w:rtl/>
        </w:rPr>
        <w:t xml:space="preserve"> </w:t>
      </w:r>
      <w:r w:rsidRPr="006F0D74">
        <w:rPr>
          <w:rFonts w:ascii="Calibri" w:hAnsi="Calibri" w:cs="Miriam" w:hint="eastAsia"/>
          <w:sz w:val="22"/>
          <w:szCs w:val="22"/>
          <w:rtl/>
        </w:rPr>
        <w:t>הנשק</w:t>
      </w:r>
      <w:r w:rsidRPr="006F0D74">
        <w:rPr>
          <w:rFonts w:ascii="Calibri" w:hAnsi="Calibri" w:cs="Miriam"/>
          <w:sz w:val="22"/>
          <w:szCs w:val="22"/>
          <w:rtl/>
        </w:rPr>
        <w:t xml:space="preserve"> </w:t>
      </w:r>
      <w:r w:rsidRPr="006F0D74">
        <w:rPr>
          <w:rFonts w:ascii="Calibri" w:hAnsi="Calibri" w:cs="Miriam" w:hint="eastAsia"/>
          <w:sz w:val="22"/>
          <w:szCs w:val="22"/>
          <w:rtl/>
        </w:rPr>
        <w:t>שנעשה</w:t>
      </w:r>
      <w:r w:rsidRPr="006F0D74">
        <w:rPr>
          <w:rFonts w:ascii="Calibri" w:hAnsi="Calibri" w:cs="Miriam"/>
          <w:sz w:val="22"/>
          <w:szCs w:val="22"/>
          <w:rtl/>
        </w:rPr>
        <w:t xml:space="preserve"> </w:t>
      </w:r>
      <w:r w:rsidRPr="006F0D74">
        <w:rPr>
          <w:rFonts w:ascii="Calibri" w:hAnsi="Calibri" w:cs="Miriam" w:hint="eastAsia"/>
          <w:sz w:val="22"/>
          <w:szCs w:val="22"/>
          <w:rtl/>
        </w:rPr>
        <w:t>בו</w:t>
      </w:r>
      <w:r w:rsidRPr="006F0D74">
        <w:rPr>
          <w:rFonts w:ascii="Calibri" w:hAnsi="Calibri" w:cs="Miriam"/>
          <w:sz w:val="22"/>
          <w:szCs w:val="22"/>
          <w:rtl/>
        </w:rPr>
        <w:t xml:space="preserve"> </w:t>
      </w:r>
      <w:r w:rsidRPr="006F0D74">
        <w:rPr>
          <w:rFonts w:ascii="Calibri" w:hAnsi="Calibri" w:cs="Miriam" w:hint="eastAsia"/>
          <w:sz w:val="22"/>
          <w:szCs w:val="22"/>
          <w:rtl/>
        </w:rPr>
        <w:t>שימוש</w:t>
      </w:r>
      <w:r w:rsidRPr="006F0D74">
        <w:rPr>
          <w:rFonts w:ascii="Calibri" w:hAnsi="Calibri" w:cs="Miriam"/>
          <w:sz w:val="22"/>
          <w:szCs w:val="22"/>
          <w:rtl/>
        </w:rPr>
        <w:t>: '</w:t>
      </w:r>
      <w:r w:rsidRPr="006F0D74">
        <w:rPr>
          <w:rFonts w:ascii="Calibri" w:hAnsi="Calibri" w:cs="Miriam" w:hint="eastAsia"/>
          <w:sz w:val="22"/>
          <w:szCs w:val="22"/>
          <w:rtl/>
        </w:rPr>
        <w:t>כבר</w:t>
      </w:r>
      <w:r w:rsidRPr="006F0D74">
        <w:rPr>
          <w:rFonts w:ascii="Calibri" w:hAnsi="Calibri" w:cs="Miriam"/>
          <w:sz w:val="22"/>
          <w:szCs w:val="22"/>
          <w:rtl/>
        </w:rPr>
        <w:t xml:space="preserve"> </w:t>
      </w:r>
      <w:r w:rsidRPr="006F0D74">
        <w:rPr>
          <w:rFonts w:ascii="Calibri" w:hAnsi="Calibri" w:cs="Miriam" w:hint="eastAsia"/>
          <w:sz w:val="22"/>
          <w:szCs w:val="22"/>
          <w:rtl/>
        </w:rPr>
        <w:t>נאמר</w:t>
      </w:r>
      <w:r w:rsidRPr="006F0D74">
        <w:rPr>
          <w:rFonts w:ascii="Calibri" w:hAnsi="Calibri" w:cs="Miriam"/>
          <w:sz w:val="22"/>
          <w:szCs w:val="22"/>
          <w:rtl/>
        </w:rPr>
        <w:t xml:space="preserve"> </w:t>
      </w:r>
      <w:r w:rsidRPr="006F0D74">
        <w:rPr>
          <w:rFonts w:ascii="Calibri" w:hAnsi="Calibri" w:cs="Miriam" w:hint="eastAsia"/>
          <w:sz w:val="22"/>
          <w:szCs w:val="22"/>
          <w:rtl/>
        </w:rPr>
        <w:t>לא</w:t>
      </w:r>
      <w:r w:rsidRPr="006F0D74">
        <w:rPr>
          <w:rFonts w:ascii="Calibri" w:hAnsi="Calibri" w:cs="Miriam"/>
          <w:sz w:val="22"/>
          <w:szCs w:val="22"/>
          <w:rtl/>
        </w:rPr>
        <w:t xml:space="preserve"> </w:t>
      </w:r>
      <w:r w:rsidRPr="006F0D74">
        <w:rPr>
          <w:rFonts w:ascii="Calibri" w:hAnsi="Calibri" w:cs="Miriam" w:hint="eastAsia"/>
          <w:sz w:val="22"/>
          <w:szCs w:val="22"/>
          <w:rtl/>
        </w:rPr>
        <w:t>אחת</w:t>
      </w:r>
      <w:r w:rsidRPr="006F0D74">
        <w:rPr>
          <w:rFonts w:ascii="Calibri" w:hAnsi="Calibri" w:cs="Miriam"/>
          <w:sz w:val="22"/>
          <w:szCs w:val="22"/>
          <w:rtl/>
        </w:rPr>
        <w:t xml:space="preserve"> </w:t>
      </w:r>
      <w:r w:rsidRPr="006F0D74">
        <w:rPr>
          <w:rFonts w:ascii="Calibri" w:hAnsi="Calibri" w:cs="Miriam" w:hint="eastAsia"/>
          <w:sz w:val="22"/>
          <w:szCs w:val="22"/>
          <w:rtl/>
        </w:rPr>
        <w:t>בפסיקתנו</w:t>
      </w:r>
      <w:r w:rsidRPr="006F0D74">
        <w:rPr>
          <w:rFonts w:ascii="Calibri" w:hAnsi="Calibri" w:cs="Miriam"/>
          <w:sz w:val="22"/>
          <w:szCs w:val="22"/>
          <w:rtl/>
        </w:rPr>
        <w:t xml:space="preserve"> </w:t>
      </w:r>
      <w:r w:rsidRPr="006F0D74">
        <w:rPr>
          <w:rFonts w:ascii="Calibri" w:hAnsi="Calibri" w:cs="Miriam" w:hint="eastAsia"/>
          <w:sz w:val="22"/>
          <w:szCs w:val="22"/>
          <w:rtl/>
        </w:rPr>
        <w:t>כי</w:t>
      </w:r>
      <w:r w:rsidRPr="006F0D74">
        <w:rPr>
          <w:rFonts w:ascii="Calibri" w:hAnsi="Calibri" w:cs="Miriam"/>
          <w:sz w:val="22"/>
          <w:szCs w:val="22"/>
          <w:rtl/>
        </w:rPr>
        <w:t xml:space="preserve"> </w:t>
      </w:r>
      <w:r w:rsidRPr="006F0D74">
        <w:rPr>
          <w:rFonts w:ascii="Calibri" w:hAnsi="Calibri" w:cs="Miriam" w:hint="eastAsia"/>
          <w:sz w:val="22"/>
          <w:szCs w:val="22"/>
          <w:rtl/>
        </w:rPr>
        <w:t>מידת</w:t>
      </w:r>
      <w:r w:rsidRPr="006F0D74">
        <w:rPr>
          <w:rFonts w:ascii="Calibri" w:hAnsi="Calibri" w:cs="Miriam"/>
          <w:sz w:val="22"/>
          <w:szCs w:val="22"/>
          <w:rtl/>
        </w:rPr>
        <w:t xml:space="preserve"> </w:t>
      </w:r>
      <w:r w:rsidRPr="006F0D74">
        <w:rPr>
          <w:rFonts w:ascii="Calibri" w:hAnsi="Calibri" w:cs="Miriam" w:hint="eastAsia"/>
          <w:sz w:val="22"/>
          <w:szCs w:val="22"/>
          <w:rtl/>
        </w:rPr>
        <w:t>העונש</w:t>
      </w:r>
      <w:r w:rsidRPr="006F0D74">
        <w:rPr>
          <w:rFonts w:ascii="Calibri" w:hAnsi="Calibri" w:cs="Miriam"/>
          <w:sz w:val="22"/>
          <w:szCs w:val="22"/>
          <w:rtl/>
        </w:rPr>
        <w:t xml:space="preserve"> </w:t>
      </w:r>
      <w:r w:rsidRPr="006F0D74">
        <w:rPr>
          <w:rFonts w:ascii="Calibri" w:hAnsi="Calibri" w:cs="Miriam" w:hint="eastAsia"/>
          <w:sz w:val="22"/>
          <w:szCs w:val="22"/>
          <w:rtl/>
        </w:rPr>
        <w:t>המוטל</w:t>
      </w:r>
      <w:r w:rsidRPr="006F0D74">
        <w:rPr>
          <w:rFonts w:ascii="Calibri" w:hAnsi="Calibri" w:cs="Miriam"/>
          <w:sz w:val="22"/>
          <w:szCs w:val="22"/>
          <w:rtl/>
        </w:rPr>
        <w:t xml:space="preserve"> </w:t>
      </w:r>
      <w:r w:rsidRPr="006F0D74">
        <w:rPr>
          <w:rFonts w:ascii="Calibri" w:hAnsi="Calibri" w:cs="Miriam" w:hint="eastAsia"/>
          <w:sz w:val="22"/>
          <w:szCs w:val="22"/>
          <w:rtl/>
        </w:rPr>
        <w:t>בגין</w:t>
      </w:r>
      <w:r w:rsidRPr="006F0D74">
        <w:rPr>
          <w:rFonts w:ascii="Calibri" w:hAnsi="Calibri" w:cs="Miriam"/>
          <w:sz w:val="22"/>
          <w:szCs w:val="22"/>
          <w:rtl/>
        </w:rPr>
        <w:t xml:space="preserve"> </w:t>
      </w:r>
      <w:r w:rsidRPr="006F0D74">
        <w:rPr>
          <w:rFonts w:ascii="Calibri" w:hAnsi="Calibri" w:cs="Miriam" w:hint="eastAsia"/>
          <w:sz w:val="22"/>
          <w:szCs w:val="22"/>
          <w:rtl/>
        </w:rPr>
        <w:t>עבירות</w:t>
      </w:r>
      <w:r w:rsidRPr="006F0D74">
        <w:rPr>
          <w:rFonts w:ascii="Calibri" w:hAnsi="Calibri" w:cs="Miriam"/>
          <w:sz w:val="22"/>
          <w:szCs w:val="22"/>
          <w:rtl/>
        </w:rPr>
        <w:t xml:space="preserve"> </w:t>
      </w:r>
      <w:r w:rsidRPr="006F0D74">
        <w:rPr>
          <w:rFonts w:ascii="Calibri" w:hAnsi="Calibri" w:cs="Miriam" w:hint="eastAsia"/>
          <w:sz w:val="22"/>
          <w:szCs w:val="22"/>
          <w:rtl/>
        </w:rPr>
        <w:t>המבוצעות</w:t>
      </w:r>
      <w:r w:rsidRPr="006F0D74">
        <w:rPr>
          <w:rFonts w:ascii="Calibri" w:hAnsi="Calibri" w:cs="Miriam"/>
          <w:sz w:val="22"/>
          <w:szCs w:val="22"/>
          <w:rtl/>
        </w:rPr>
        <w:t xml:space="preserve"> </w:t>
      </w:r>
      <w:r w:rsidRPr="006F0D74">
        <w:rPr>
          <w:rFonts w:ascii="Calibri" w:hAnsi="Calibri" w:cs="Miriam" w:hint="eastAsia"/>
          <w:sz w:val="22"/>
          <w:szCs w:val="22"/>
          <w:rtl/>
        </w:rPr>
        <w:t>בנשק</w:t>
      </w:r>
      <w:r w:rsidRPr="006F0D74">
        <w:rPr>
          <w:rFonts w:ascii="Calibri" w:hAnsi="Calibri" w:cs="Miriam"/>
          <w:sz w:val="22"/>
          <w:szCs w:val="22"/>
          <w:rtl/>
        </w:rPr>
        <w:t xml:space="preserve">, </w:t>
      </w:r>
      <w:r w:rsidRPr="006F0D74">
        <w:rPr>
          <w:rFonts w:ascii="Calibri" w:hAnsi="Calibri" w:cs="Miriam" w:hint="eastAsia"/>
          <w:sz w:val="22"/>
          <w:szCs w:val="22"/>
          <w:rtl/>
        </w:rPr>
        <w:t>מושפעת</w:t>
      </w:r>
      <w:r w:rsidRPr="006F0D74">
        <w:rPr>
          <w:rFonts w:ascii="Calibri" w:hAnsi="Calibri" w:cs="Miriam"/>
          <w:sz w:val="22"/>
          <w:szCs w:val="22"/>
          <w:rtl/>
        </w:rPr>
        <w:t xml:space="preserve"> </w:t>
      </w:r>
      <w:r w:rsidRPr="006F0D74">
        <w:rPr>
          <w:rFonts w:ascii="Calibri" w:hAnsi="Calibri" w:cs="Miriam" w:hint="eastAsia"/>
          <w:sz w:val="22"/>
          <w:szCs w:val="22"/>
          <w:rtl/>
        </w:rPr>
        <w:t>מפוטנציאל</w:t>
      </w:r>
      <w:r w:rsidRPr="006F0D74">
        <w:rPr>
          <w:rFonts w:ascii="Calibri" w:hAnsi="Calibri" w:cs="Miriam"/>
          <w:sz w:val="22"/>
          <w:szCs w:val="22"/>
          <w:rtl/>
        </w:rPr>
        <w:t xml:space="preserve"> </w:t>
      </w:r>
      <w:r w:rsidRPr="006F0D74">
        <w:rPr>
          <w:rFonts w:ascii="Calibri" w:hAnsi="Calibri" w:cs="Miriam" w:hint="eastAsia"/>
          <w:sz w:val="22"/>
          <w:szCs w:val="22"/>
          <w:rtl/>
        </w:rPr>
        <w:t>הסיכון</w:t>
      </w:r>
      <w:r w:rsidRPr="006F0D74">
        <w:rPr>
          <w:rFonts w:ascii="Calibri" w:hAnsi="Calibri" w:cs="Miriam"/>
          <w:sz w:val="22"/>
          <w:szCs w:val="22"/>
          <w:rtl/>
        </w:rPr>
        <w:t xml:space="preserve"> </w:t>
      </w:r>
      <w:r w:rsidRPr="006F0D74">
        <w:rPr>
          <w:rFonts w:ascii="Calibri" w:hAnsi="Calibri" w:cs="Miriam" w:hint="eastAsia"/>
          <w:sz w:val="22"/>
          <w:szCs w:val="22"/>
          <w:rtl/>
        </w:rPr>
        <w:t>הרב</w:t>
      </w:r>
      <w:r w:rsidRPr="006F0D74">
        <w:rPr>
          <w:rFonts w:ascii="Calibri" w:hAnsi="Calibri" w:cs="Miriam"/>
          <w:sz w:val="22"/>
          <w:szCs w:val="22"/>
          <w:rtl/>
        </w:rPr>
        <w:t xml:space="preserve"> </w:t>
      </w:r>
      <w:r w:rsidRPr="006F0D74">
        <w:rPr>
          <w:rFonts w:ascii="Calibri" w:hAnsi="Calibri" w:cs="Miriam" w:hint="eastAsia"/>
          <w:sz w:val="22"/>
          <w:szCs w:val="22"/>
          <w:rtl/>
        </w:rPr>
        <w:t>הטמון</w:t>
      </w:r>
      <w:r w:rsidRPr="006F0D74">
        <w:rPr>
          <w:rFonts w:ascii="Calibri" w:hAnsi="Calibri" w:cs="Miriam"/>
          <w:sz w:val="22"/>
          <w:szCs w:val="22"/>
          <w:rtl/>
        </w:rPr>
        <w:t xml:space="preserve"> </w:t>
      </w:r>
      <w:r w:rsidRPr="006F0D74">
        <w:rPr>
          <w:rFonts w:ascii="Calibri" w:hAnsi="Calibri" w:cs="Miriam" w:hint="eastAsia"/>
          <w:sz w:val="22"/>
          <w:szCs w:val="22"/>
          <w:rtl/>
        </w:rPr>
        <w:t>בנשק</w:t>
      </w:r>
      <w:r w:rsidRPr="006F0D74">
        <w:rPr>
          <w:rFonts w:ascii="Calibri" w:hAnsi="Calibri" w:cs="Miriam"/>
          <w:sz w:val="22"/>
          <w:szCs w:val="22"/>
          <w:rtl/>
        </w:rPr>
        <w:t xml:space="preserve"> </w:t>
      </w:r>
      <w:r w:rsidRPr="006F0D74">
        <w:rPr>
          <w:rFonts w:ascii="Calibri" w:hAnsi="Calibri" w:cs="Miriam" w:hint="eastAsia"/>
          <w:sz w:val="22"/>
          <w:szCs w:val="22"/>
          <w:rtl/>
        </w:rPr>
        <w:t>המוחזק</w:t>
      </w:r>
      <w:r w:rsidRPr="006F0D74">
        <w:rPr>
          <w:rFonts w:ascii="Calibri" w:hAnsi="Calibri" w:cs="Miriam"/>
          <w:sz w:val="22"/>
          <w:szCs w:val="22"/>
          <w:rtl/>
        </w:rPr>
        <w:t xml:space="preserve"> </w:t>
      </w:r>
      <w:r w:rsidRPr="006F0D74">
        <w:rPr>
          <w:rFonts w:ascii="Calibri" w:hAnsi="Calibri" w:cs="Miriam" w:hint="eastAsia"/>
          <w:sz w:val="22"/>
          <w:szCs w:val="22"/>
          <w:rtl/>
        </w:rPr>
        <w:t>שלא</w:t>
      </w:r>
      <w:r w:rsidRPr="006F0D74">
        <w:rPr>
          <w:rFonts w:ascii="Calibri" w:hAnsi="Calibri" w:cs="Miriam"/>
          <w:sz w:val="22"/>
          <w:szCs w:val="22"/>
          <w:rtl/>
        </w:rPr>
        <w:t xml:space="preserve"> </w:t>
      </w:r>
      <w:r w:rsidRPr="006F0D74">
        <w:rPr>
          <w:rFonts w:ascii="Calibri" w:hAnsi="Calibri" w:cs="Miriam" w:hint="eastAsia"/>
          <w:sz w:val="22"/>
          <w:szCs w:val="22"/>
          <w:rtl/>
        </w:rPr>
        <w:t>כדין</w:t>
      </w:r>
      <w:r w:rsidRPr="006F0D74">
        <w:rPr>
          <w:rFonts w:ascii="Calibri" w:hAnsi="Calibri" w:cs="Miriam"/>
          <w:sz w:val="22"/>
          <w:szCs w:val="22"/>
          <w:rtl/>
        </w:rPr>
        <w:t xml:space="preserve"> </w:t>
      </w:r>
      <w:r w:rsidRPr="006F0D74">
        <w:rPr>
          <w:rFonts w:ascii="Calibri" w:hAnsi="Calibri" w:cs="Miriam" w:hint="eastAsia"/>
          <w:sz w:val="22"/>
          <w:szCs w:val="22"/>
          <w:rtl/>
        </w:rPr>
        <w:t>ומהעברתו</w:t>
      </w:r>
      <w:r w:rsidRPr="006F0D74">
        <w:rPr>
          <w:rFonts w:ascii="Calibri" w:hAnsi="Calibri" w:cs="Miriam"/>
          <w:sz w:val="22"/>
          <w:szCs w:val="22"/>
          <w:rtl/>
        </w:rPr>
        <w:t xml:space="preserve"> </w:t>
      </w:r>
      <w:r w:rsidRPr="006F0D74">
        <w:rPr>
          <w:rFonts w:ascii="Calibri" w:hAnsi="Calibri" w:cs="Miriam" w:hint="eastAsia"/>
          <w:sz w:val="22"/>
          <w:szCs w:val="22"/>
          <w:rtl/>
        </w:rPr>
        <w:t>מיד</w:t>
      </w:r>
      <w:r w:rsidRPr="006F0D74">
        <w:rPr>
          <w:rFonts w:ascii="Calibri" w:hAnsi="Calibri" w:cs="Miriam"/>
          <w:sz w:val="22"/>
          <w:szCs w:val="22"/>
          <w:rtl/>
        </w:rPr>
        <w:t xml:space="preserve"> </w:t>
      </w:r>
      <w:r w:rsidRPr="006F0D74">
        <w:rPr>
          <w:rFonts w:ascii="Calibri" w:hAnsi="Calibri" w:cs="Miriam" w:hint="eastAsia"/>
          <w:sz w:val="22"/>
          <w:szCs w:val="22"/>
          <w:rtl/>
        </w:rPr>
        <w:t>ליד</w:t>
      </w:r>
      <w:r w:rsidRPr="006F0D74">
        <w:rPr>
          <w:rFonts w:ascii="Calibri" w:hAnsi="Calibri" w:cs="Miriam"/>
          <w:sz w:val="22"/>
          <w:szCs w:val="22"/>
          <w:rtl/>
        </w:rPr>
        <w:t xml:space="preserve"> </w:t>
      </w:r>
      <w:r w:rsidRPr="006F0D74">
        <w:rPr>
          <w:rFonts w:ascii="Calibri" w:hAnsi="Calibri" w:cs="Miriam" w:hint="eastAsia"/>
          <w:sz w:val="22"/>
          <w:szCs w:val="22"/>
          <w:rtl/>
        </w:rPr>
        <w:t>ללא</w:t>
      </w:r>
      <w:r w:rsidRPr="006F0D74">
        <w:rPr>
          <w:rFonts w:ascii="Calibri" w:hAnsi="Calibri" w:cs="Miriam"/>
          <w:sz w:val="22"/>
          <w:szCs w:val="22"/>
          <w:rtl/>
        </w:rPr>
        <w:t xml:space="preserve"> </w:t>
      </w:r>
      <w:r w:rsidRPr="006F0D74">
        <w:rPr>
          <w:rFonts w:ascii="Calibri" w:hAnsi="Calibri" w:cs="Miriam" w:hint="eastAsia"/>
          <w:sz w:val="22"/>
          <w:szCs w:val="22"/>
          <w:rtl/>
        </w:rPr>
        <w:t>פיקוח</w:t>
      </w:r>
      <w:r w:rsidRPr="006F0D74">
        <w:rPr>
          <w:rFonts w:ascii="Calibri" w:hAnsi="Calibri" w:cs="Miriam"/>
          <w:sz w:val="22"/>
          <w:szCs w:val="22"/>
          <w:rtl/>
        </w:rPr>
        <w:t xml:space="preserve">. </w:t>
      </w:r>
      <w:r w:rsidRPr="006F0D74">
        <w:rPr>
          <w:rFonts w:ascii="Calibri" w:hAnsi="Calibri" w:cs="Miriam" w:hint="eastAsia"/>
          <w:sz w:val="22"/>
          <w:szCs w:val="22"/>
          <w:rtl/>
        </w:rPr>
        <w:t>בבוא</w:t>
      </w:r>
      <w:r w:rsidRPr="006F0D74">
        <w:rPr>
          <w:rFonts w:ascii="Calibri" w:hAnsi="Calibri" w:cs="Miriam"/>
          <w:sz w:val="22"/>
          <w:szCs w:val="22"/>
          <w:rtl/>
        </w:rPr>
        <w:t xml:space="preserve"> </w:t>
      </w:r>
      <w:r w:rsidRPr="006F0D74">
        <w:rPr>
          <w:rFonts w:ascii="Calibri" w:hAnsi="Calibri" w:cs="Miriam" w:hint="eastAsia"/>
          <w:sz w:val="22"/>
          <w:szCs w:val="22"/>
          <w:rtl/>
        </w:rPr>
        <w:t>בית</w:t>
      </w:r>
      <w:r w:rsidRPr="006F0D74">
        <w:rPr>
          <w:rFonts w:ascii="Calibri" w:hAnsi="Calibri" w:cs="Miriam"/>
          <w:sz w:val="22"/>
          <w:szCs w:val="22"/>
          <w:rtl/>
        </w:rPr>
        <w:t xml:space="preserve"> </w:t>
      </w:r>
      <w:r w:rsidRPr="006F0D74">
        <w:rPr>
          <w:rFonts w:ascii="Calibri" w:hAnsi="Calibri" w:cs="Miriam" w:hint="eastAsia"/>
          <w:sz w:val="22"/>
          <w:szCs w:val="22"/>
          <w:rtl/>
        </w:rPr>
        <w:t>המשפט</w:t>
      </w:r>
      <w:r w:rsidRPr="006F0D74">
        <w:rPr>
          <w:rFonts w:ascii="Calibri" w:hAnsi="Calibri" w:cs="Miriam"/>
          <w:sz w:val="22"/>
          <w:szCs w:val="22"/>
          <w:rtl/>
        </w:rPr>
        <w:t xml:space="preserve"> </w:t>
      </w:r>
      <w:r w:rsidRPr="006F0D74">
        <w:rPr>
          <w:rFonts w:ascii="Calibri" w:hAnsi="Calibri" w:cs="Miriam" w:hint="eastAsia"/>
          <w:sz w:val="22"/>
          <w:szCs w:val="22"/>
          <w:rtl/>
        </w:rPr>
        <w:t>לגזור</w:t>
      </w:r>
      <w:r w:rsidRPr="006F0D74">
        <w:rPr>
          <w:rFonts w:ascii="Calibri" w:hAnsi="Calibri" w:cs="Miriam"/>
          <w:sz w:val="22"/>
          <w:szCs w:val="22"/>
          <w:rtl/>
        </w:rPr>
        <w:t xml:space="preserve"> </w:t>
      </w:r>
      <w:r w:rsidRPr="006F0D74">
        <w:rPr>
          <w:rFonts w:ascii="Calibri" w:hAnsi="Calibri" w:cs="Miriam" w:hint="eastAsia"/>
          <w:sz w:val="22"/>
          <w:szCs w:val="22"/>
          <w:rtl/>
        </w:rPr>
        <w:t>את</w:t>
      </w:r>
      <w:r w:rsidRPr="006F0D74">
        <w:rPr>
          <w:rFonts w:ascii="Calibri" w:hAnsi="Calibri" w:cs="Miriam"/>
          <w:sz w:val="22"/>
          <w:szCs w:val="22"/>
          <w:rtl/>
        </w:rPr>
        <w:t xml:space="preserve"> </w:t>
      </w:r>
      <w:r w:rsidRPr="006F0D74">
        <w:rPr>
          <w:rFonts w:ascii="Calibri" w:hAnsi="Calibri" w:cs="Miriam" w:hint="eastAsia"/>
          <w:sz w:val="22"/>
          <w:szCs w:val="22"/>
          <w:rtl/>
        </w:rPr>
        <w:t>הדין</w:t>
      </w:r>
      <w:r w:rsidRPr="006F0D74">
        <w:rPr>
          <w:rFonts w:ascii="Calibri" w:hAnsi="Calibri" w:cs="Miriam"/>
          <w:sz w:val="22"/>
          <w:szCs w:val="22"/>
          <w:rtl/>
        </w:rPr>
        <w:t xml:space="preserve"> </w:t>
      </w:r>
      <w:r w:rsidRPr="006F0D74">
        <w:rPr>
          <w:rFonts w:ascii="Calibri" w:hAnsi="Calibri" w:cs="Miriam" w:hint="eastAsia"/>
          <w:sz w:val="22"/>
          <w:szCs w:val="22"/>
          <w:rtl/>
        </w:rPr>
        <w:t>בעבירה</w:t>
      </w:r>
      <w:r w:rsidRPr="006F0D74">
        <w:rPr>
          <w:rFonts w:ascii="Calibri" w:hAnsi="Calibri" w:cs="Miriam"/>
          <w:sz w:val="22"/>
          <w:szCs w:val="22"/>
          <w:rtl/>
        </w:rPr>
        <w:t xml:space="preserve"> </w:t>
      </w:r>
      <w:r w:rsidRPr="006F0D74">
        <w:rPr>
          <w:rFonts w:ascii="Calibri" w:hAnsi="Calibri" w:cs="Miriam" w:hint="eastAsia"/>
          <w:sz w:val="22"/>
          <w:szCs w:val="22"/>
          <w:rtl/>
        </w:rPr>
        <w:t>של</w:t>
      </w:r>
      <w:r w:rsidRPr="006F0D74">
        <w:rPr>
          <w:rFonts w:ascii="Calibri" w:hAnsi="Calibri" w:cs="Miriam"/>
          <w:sz w:val="22"/>
          <w:szCs w:val="22"/>
          <w:rtl/>
        </w:rPr>
        <w:t xml:space="preserve"> </w:t>
      </w:r>
      <w:r w:rsidRPr="006F0D74">
        <w:rPr>
          <w:rFonts w:ascii="Calibri" w:hAnsi="Calibri" w:cs="Miriam" w:hint="eastAsia"/>
          <w:sz w:val="22"/>
          <w:szCs w:val="22"/>
          <w:rtl/>
        </w:rPr>
        <w:t>החזקה</w:t>
      </w:r>
      <w:r w:rsidRPr="006F0D74">
        <w:rPr>
          <w:rFonts w:ascii="Calibri" w:hAnsi="Calibri" w:cs="Miriam"/>
          <w:sz w:val="22"/>
          <w:szCs w:val="22"/>
          <w:rtl/>
        </w:rPr>
        <w:t xml:space="preserve">  </w:t>
      </w:r>
      <w:r w:rsidRPr="006F0D74">
        <w:rPr>
          <w:rFonts w:ascii="Calibri" w:hAnsi="Calibri" w:cs="Miriam" w:hint="eastAsia"/>
          <w:sz w:val="22"/>
          <w:szCs w:val="22"/>
          <w:rtl/>
        </w:rPr>
        <w:t>ונשיאה</w:t>
      </w:r>
      <w:r w:rsidRPr="006F0D74">
        <w:rPr>
          <w:rFonts w:ascii="Calibri" w:hAnsi="Calibri" w:cs="Miriam"/>
          <w:sz w:val="22"/>
          <w:szCs w:val="22"/>
          <w:rtl/>
        </w:rPr>
        <w:t xml:space="preserve"> </w:t>
      </w:r>
      <w:r w:rsidRPr="006F0D74">
        <w:rPr>
          <w:rFonts w:ascii="Calibri" w:hAnsi="Calibri" w:cs="Miriam" w:hint="eastAsia"/>
          <w:sz w:val="22"/>
          <w:szCs w:val="22"/>
          <w:rtl/>
        </w:rPr>
        <w:t>של</w:t>
      </w:r>
      <w:r w:rsidRPr="006F0D74">
        <w:rPr>
          <w:rFonts w:ascii="Calibri" w:hAnsi="Calibri" w:cs="Miriam"/>
          <w:sz w:val="22"/>
          <w:szCs w:val="22"/>
          <w:rtl/>
        </w:rPr>
        <w:t xml:space="preserve"> </w:t>
      </w:r>
      <w:r w:rsidRPr="006F0D74">
        <w:rPr>
          <w:rFonts w:ascii="Calibri" w:hAnsi="Calibri" w:cs="Miriam" w:hint="eastAsia"/>
          <w:sz w:val="22"/>
          <w:szCs w:val="22"/>
          <w:rtl/>
        </w:rPr>
        <w:t>נשק</w:t>
      </w:r>
      <w:r w:rsidRPr="006F0D74">
        <w:rPr>
          <w:rFonts w:ascii="Calibri" w:hAnsi="Calibri" w:cs="Miriam"/>
          <w:sz w:val="22"/>
          <w:szCs w:val="22"/>
          <w:rtl/>
        </w:rPr>
        <w:t xml:space="preserve">, </w:t>
      </w:r>
      <w:r w:rsidRPr="006F0D74">
        <w:rPr>
          <w:rFonts w:ascii="Calibri" w:hAnsi="Calibri" w:cs="Miriam" w:hint="eastAsia"/>
          <w:sz w:val="22"/>
          <w:szCs w:val="22"/>
          <w:rtl/>
        </w:rPr>
        <w:t>עליו</w:t>
      </w:r>
      <w:r w:rsidRPr="006F0D74">
        <w:rPr>
          <w:rFonts w:ascii="Calibri" w:hAnsi="Calibri" w:cs="Miriam"/>
          <w:sz w:val="22"/>
          <w:szCs w:val="22"/>
          <w:rtl/>
        </w:rPr>
        <w:t xml:space="preserve"> </w:t>
      </w:r>
      <w:r w:rsidRPr="006F0D74">
        <w:rPr>
          <w:rFonts w:ascii="Calibri" w:hAnsi="Calibri" w:cs="Miriam" w:hint="eastAsia"/>
          <w:sz w:val="22"/>
          <w:szCs w:val="22"/>
          <w:rtl/>
        </w:rPr>
        <w:t>להתחשב</w:t>
      </w:r>
      <w:r w:rsidRPr="006F0D74">
        <w:rPr>
          <w:rFonts w:ascii="Calibri" w:hAnsi="Calibri" w:cs="Miriam"/>
          <w:sz w:val="22"/>
          <w:szCs w:val="22"/>
          <w:rtl/>
        </w:rPr>
        <w:t xml:space="preserve"> </w:t>
      </w:r>
      <w:r w:rsidRPr="006F0D74">
        <w:rPr>
          <w:rFonts w:ascii="Calibri" w:hAnsi="Calibri" w:cs="Miriam" w:hint="eastAsia"/>
          <w:sz w:val="22"/>
          <w:szCs w:val="22"/>
          <w:rtl/>
        </w:rPr>
        <w:t>בנסיבות</w:t>
      </w:r>
      <w:r w:rsidRPr="006F0D74">
        <w:rPr>
          <w:rFonts w:ascii="Calibri" w:hAnsi="Calibri" w:cs="Miriam"/>
          <w:sz w:val="22"/>
          <w:szCs w:val="22"/>
          <w:rtl/>
        </w:rPr>
        <w:t xml:space="preserve"> </w:t>
      </w:r>
      <w:r w:rsidRPr="006F0D74">
        <w:rPr>
          <w:rFonts w:ascii="Calibri" w:hAnsi="Calibri" w:cs="Miriam" w:hint="eastAsia"/>
          <w:sz w:val="22"/>
          <w:szCs w:val="22"/>
          <w:rtl/>
        </w:rPr>
        <w:t>שבהן</w:t>
      </w:r>
      <w:r w:rsidRPr="006F0D74">
        <w:rPr>
          <w:rFonts w:ascii="Calibri" w:hAnsi="Calibri" w:cs="Miriam"/>
          <w:sz w:val="22"/>
          <w:szCs w:val="22"/>
          <w:rtl/>
        </w:rPr>
        <w:t xml:space="preserve"> </w:t>
      </w:r>
      <w:r w:rsidRPr="006F0D74">
        <w:rPr>
          <w:rFonts w:ascii="Calibri" w:hAnsi="Calibri" w:cs="Miriam" w:hint="eastAsia"/>
          <w:sz w:val="22"/>
          <w:szCs w:val="22"/>
          <w:rtl/>
        </w:rPr>
        <w:t>באה</w:t>
      </w:r>
      <w:r w:rsidRPr="006F0D74">
        <w:rPr>
          <w:rFonts w:ascii="Calibri" w:hAnsi="Calibri" w:cs="Miriam"/>
          <w:sz w:val="22"/>
          <w:szCs w:val="22"/>
          <w:rtl/>
        </w:rPr>
        <w:t xml:space="preserve"> </w:t>
      </w:r>
      <w:r w:rsidRPr="006F0D74">
        <w:rPr>
          <w:rFonts w:ascii="Calibri" w:hAnsi="Calibri" w:cs="Miriam" w:hint="eastAsia"/>
          <w:sz w:val="22"/>
          <w:szCs w:val="22"/>
          <w:rtl/>
        </w:rPr>
        <w:t>לידי</w:t>
      </w:r>
      <w:r w:rsidRPr="006F0D74">
        <w:rPr>
          <w:rFonts w:ascii="Calibri" w:hAnsi="Calibri" w:cs="Miriam"/>
          <w:sz w:val="22"/>
          <w:szCs w:val="22"/>
          <w:rtl/>
        </w:rPr>
        <w:t xml:space="preserve"> </w:t>
      </w:r>
      <w:r w:rsidRPr="006F0D74">
        <w:rPr>
          <w:rFonts w:ascii="Calibri" w:hAnsi="Calibri" w:cs="Miriam" w:hint="eastAsia"/>
          <w:sz w:val="22"/>
          <w:szCs w:val="22"/>
          <w:rtl/>
        </w:rPr>
        <w:t>ביטוי</w:t>
      </w:r>
      <w:r w:rsidRPr="006F0D74">
        <w:rPr>
          <w:rFonts w:ascii="Calibri" w:hAnsi="Calibri" w:cs="Miriam"/>
          <w:sz w:val="22"/>
          <w:szCs w:val="22"/>
          <w:rtl/>
        </w:rPr>
        <w:t xml:space="preserve"> </w:t>
      </w:r>
      <w:r w:rsidRPr="006F0D74">
        <w:rPr>
          <w:rFonts w:ascii="Calibri" w:hAnsi="Calibri" w:cs="Miriam" w:hint="eastAsia"/>
          <w:sz w:val="22"/>
          <w:szCs w:val="22"/>
          <w:rtl/>
        </w:rPr>
        <w:t>החומרה</w:t>
      </w:r>
      <w:r w:rsidRPr="006F0D74">
        <w:rPr>
          <w:rFonts w:ascii="Calibri" w:hAnsi="Calibri" w:cs="Miriam"/>
          <w:sz w:val="22"/>
          <w:szCs w:val="22"/>
          <w:rtl/>
        </w:rPr>
        <w:t xml:space="preserve"> </w:t>
      </w:r>
      <w:r w:rsidRPr="006F0D74">
        <w:rPr>
          <w:rFonts w:ascii="Calibri" w:hAnsi="Calibri" w:cs="Miriam" w:hint="eastAsia"/>
          <w:sz w:val="22"/>
          <w:szCs w:val="22"/>
          <w:rtl/>
        </w:rPr>
        <w:t>המיוחדת</w:t>
      </w:r>
      <w:r w:rsidRPr="006F0D74">
        <w:rPr>
          <w:rFonts w:ascii="Calibri" w:hAnsi="Calibri" w:cs="Miriam"/>
          <w:sz w:val="22"/>
          <w:szCs w:val="22"/>
          <w:rtl/>
        </w:rPr>
        <w:t xml:space="preserve"> </w:t>
      </w:r>
      <w:r w:rsidRPr="006F0D74">
        <w:rPr>
          <w:rFonts w:ascii="Calibri" w:hAnsi="Calibri" w:cs="Miriam" w:hint="eastAsia"/>
          <w:sz w:val="22"/>
          <w:szCs w:val="22"/>
          <w:rtl/>
        </w:rPr>
        <w:t>שבעבירה</w:t>
      </w:r>
      <w:r w:rsidRPr="006F0D74">
        <w:rPr>
          <w:rFonts w:ascii="Calibri" w:hAnsi="Calibri" w:cs="Miriam"/>
          <w:sz w:val="22"/>
          <w:szCs w:val="22"/>
          <w:rtl/>
        </w:rPr>
        <w:t xml:space="preserve">, </w:t>
      </w:r>
      <w:r w:rsidRPr="006F0D74">
        <w:rPr>
          <w:rFonts w:ascii="Calibri" w:hAnsi="Calibri" w:cs="Miriam" w:hint="eastAsia"/>
          <w:sz w:val="22"/>
          <w:szCs w:val="22"/>
          <w:rtl/>
        </w:rPr>
        <w:t>בין</w:t>
      </w:r>
      <w:r w:rsidRPr="006F0D74">
        <w:rPr>
          <w:rFonts w:ascii="Calibri" w:hAnsi="Calibri" w:cs="Miriam"/>
          <w:sz w:val="22"/>
          <w:szCs w:val="22"/>
          <w:rtl/>
        </w:rPr>
        <w:t xml:space="preserve"> </w:t>
      </w:r>
      <w:r w:rsidRPr="006F0D74">
        <w:rPr>
          <w:rFonts w:ascii="Calibri" w:hAnsi="Calibri" w:cs="Miriam" w:hint="eastAsia"/>
          <w:sz w:val="22"/>
          <w:szCs w:val="22"/>
          <w:rtl/>
        </w:rPr>
        <w:t>היתר</w:t>
      </w:r>
      <w:r w:rsidRPr="006F0D74">
        <w:rPr>
          <w:rFonts w:ascii="Calibri" w:hAnsi="Calibri" w:cs="Miriam"/>
          <w:sz w:val="22"/>
          <w:szCs w:val="22"/>
          <w:rtl/>
        </w:rPr>
        <w:t xml:space="preserve">, </w:t>
      </w:r>
      <w:r w:rsidRPr="006F0D74">
        <w:rPr>
          <w:rFonts w:ascii="Calibri" w:hAnsi="Calibri" w:cs="Miriam" w:hint="eastAsia"/>
          <w:sz w:val="22"/>
          <w:szCs w:val="22"/>
          <w:rtl/>
        </w:rPr>
        <w:t>ייתן</w:t>
      </w:r>
      <w:r w:rsidRPr="006F0D74">
        <w:rPr>
          <w:rFonts w:ascii="Calibri" w:hAnsi="Calibri" w:cs="Miriam"/>
          <w:sz w:val="22"/>
          <w:szCs w:val="22"/>
          <w:rtl/>
        </w:rPr>
        <w:t xml:space="preserve"> </w:t>
      </w:r>
      <w:r w:rsidRPr="006F0D74">
        <w:rPr>
          <w:rFonts w:ascii="Calibri" w:hAnsi="Calibri" w:cs="Miriam" w:hint="eastAsia"/>
          <w:sz w:val="22"/>
          <w:szCs w:val="22"/>
          <w:rtl/>
        </w:rPr>
        <w:t>בית</w:t>
      </w:r>
      <w:r w:rsidRPr="006F0D74">
        <w:rPr>
          <w:rFonts w:ascii="Calibri" w:hAnsi="Calibri" w:cs="Miriam"/>
          <w:sz w:val="22"/>
          <w:szCs w:val="22"/>
          <w:rtl/>
        </w:rPr>
        <w:t xml:space="preserve"> </w:t>
      </w:r>
      <w:r w:rsidRPr="006F0D74">
        <w:rPr>
          <w:rFonts w:ascii="Calibri" w:hAnsi="Calibri" w:cs="Miriam" w:hint="eastAsia"/>
          <w:sz w:val="22"/>
          <w:szCs w:val="22"/>
          <w:rtl/>
        </w:rPr>
        <w:t>המשפט</w:t>
      </w:r>
      <w:r w:rsidRPr="006F0D74">
        <w:rPr>
          <w:rFonts w:ascii="Calibri" w:hAnsi="Calibri" w:cs="Miriam"/>
          <w:sz w:val="22"/>
          <w:szCs w:val="22"/>
          <w:rtl/>
        </w:rPr>
        <w:t xml:space="preserve"> </w:t>
      </w:r>
      <w:r w:rsidRPr="006F0D74">
        <w:rPr>
          <w:rFonts w:ascii="Calibri" w:hAnsi="Calibri" w:cs="Miriam" w:hint="eastAsia"/>
          <w:sz w:val="22"/>
          <w:szCs w:val="22"/>
          <w:rtl/>
        </w:rPr>
        <w:t>דעתו</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סוג</w:t>
      </w:r>
      <w:r w:rsidRPr="006F0D74">
        <w:rPr>
          <w:rFonts w:ascii="Calibri" w:hAnsi="Calibri" w:cs="Miriam"/>
          <w:sz w:val="22"/>
          <w:szCs w:val="22"/>
          <w:rtl/>
        </w:rPr>
        <w:t xml:space="preserve"> </w:t>
      </w:r>
      <w:r w:rsidRPr="006F0D74">
        <w:rPr>
          <w:rFonts w:ascii="Calibri" w:hAnsi="Calibri" w:cs="Miriam" w:hint="eastAsia"/>
          <w:sz w:val="22"/>
          <w:szCs w:val="22"/>
          <w:rtl/>
        </w:rPr>
        <w:t>הנשק</w:t>
      </w:r>
      <w:r w:rsidRPr="006F0D74">
        <w:rPr>
          <w:rFonts w:ascii="Calibri" w:hAnsi="Calibri" w:cs="Miriam"/>
          <w:sz w:val="22"/>
          <w:szCs w:val="22"/>
          <w:rtl/>
        </w:rPr>
        <w:t xml:space="preserve"> </w:t>
      </w:r>
      <w:r w:rsidRPr="006F0D74">
        <w:rPr>
          <w:rFonts w:ascii="Calibri" w:hAnsi="Calibri" w:cs="Miriam" w:hint="eastAsia"/>
          <w:sz w:val="22"/>
          <w:szCs w:val="22"/>
          <w:rtl/>
        </w:rPr>
        <w:t>המוחזק</w:t>
      </w:r>
      <w:r w:rsidRPr="006F0D74">
        <w:rPr>
          <w:rFonts w:ascii="Calibri" w:hAnsi="Calibri" w:cs="Miriam"/>
          <w:sz w:val="22"/>
          <w:szCs w:val="22"/>
          <w:rtl/>
        </w:rPr>
        <w:t xml:space="preserve"> </w:t>
      </w:r>
      <w:r w:rsidRPr="006F0D74">
        <w:rPr>
          <w:rFonts w:ascii="Calibri" w:hAnsi="Calibri" w:cs="Miriam" w:hint="eastAsia"/>
          <w:sz w:val="22"/>
          <w:szCs w:val="22"/>
          <w:rtl/>
        </w:rPr>
        <w:t>שלא</w:t>
      </w:r>
      <w:r w:rsidRPr="006F0D74">
        <w:rPr>
          <w:rFonts w:ascii="Calibri" w:hAnsi="Calibri" w:cs="Miriam"/>
          <w:sz w:val="22"/>
          <w:szCs w:val="22"/>
          <w:rtl/>
        </w:rPr>
        <w:t xml:space="preserve"> </w:t>
      </w:r>
      <w:r w:rsidRPr="006F0D74">
        <w:rPr>
          <w:rFonts w:ascii="Calibri" w:hAnsi="Calibri" w:cs="Miriam" w:hint="eastAsia"/>
          <w:sz w:val="22"/>
          <w:szCs w:val="22"/>
          <w:rtl/>
        </w:rPr>
        <w:t>כדין</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כמותו</w:t>
      </w:r>
      <w:r w:rsidRPr="006F0D74">
        <w:rPr>
          <w:rFonts w:ascii="Calibri" w:hAnsi="Calibri" w:cs="Miriam"/>
          <w:sz w:val="22"/>
          <w:szCs w:val="22"/>
          <w:rtl/>
        </w:rPr>
        <w:t xml:space="preserve">, </w:t>
      </w:r>
      <w:r w:rsidRPr="006F0D74">
        <w:rPr>
          <w:rFonts w:ascii="Calibri" w:hAnsi="Calibri" w:cs="Miriam" w:hint="eastAsia"/>
          <w:sz w:val="22"/>
          <w:szCs w:val="22"/>
          <w:rtl/>
        </w:rPr>
        <w:t>על</w:t>
      </w:r>
      <w:r w:rsidRPr="006F0D74">
        <w:rPr>
          <w:rFonts w:ascii="Calibri" w:hAnsi="Calibri" w:cs="Miriam"/>
          <w:sz w:val="22"/>
          <w:szCs w:val="22"/>
          <w:rtl/>
        </w:rPr>
        <w:t xml:space="preserve"> </w:t>
      </w:r>
      <w:r w:rsidRPr="006F0D74">
        <w:rPr>
          <w:rFonts w:ascii="Calibri" w:hAnsi="Calibri" w:cs="Miriam" w:hint="eastAsia"/>
          <w:sz w:val="22"/>
          <w:szCs w:val="22"/>
          <w:rtl/>
        </w:rPr>
        <w:t>התכלית</w:t>
      </w:r>
      <w:r w:rsidRPr="006F0D74">
        <w:rPr>
          <w:rFonts w:ascii="Calibri" w:hAnsi="Calibri" w:cs="Miriam"/>
          <w:sz w:val="22"/>
          <w:szCs w:val="22"/>
          <w:rtl/>
        </w:rPr>
        <w:t xml:space="preserve"> </w:t>
      </w:r>
      <w:r w:rsidRPr="006F0D74">
        <w:rPr>
          <w:rFonts w:ascii="Calibri" w:hAnsi="Calibri" w:cs="Miriam" w:hint="eastAsia"/>
          <w:sz w:val="22"/>
          <w:szCs w:val="22"/>
          <w:rtl/>
        </w:rPr>
        <w:t>שלשמה</w:t>
      </w:r>
      <w:r w:rsidRPr="006F0D74">
        <w:rPr>
          <w:rFonts w:ascii="Calibri" w:hAnsi="Calibri" w:cs="Miriam"/>
          <w:sz w:val="22"/>
          <w:szCs w:val="22"/>
          <w:rtl/>
        </w:rPr>
        <w:t xml:space="preserve"> </w:t>
      </w:r>
      <w:r w:rsidRPr="006F0D74">
        <w:rPr>
          <w:rFonts w:ascii="Calibri" w:hAnsi="Calibri" w:cs="Miriam" w:hint="eastAsia"/>
          <w:sz w:val="22"/>
          <w:szCs w:val="22"/>
          <w:rtl/>
        </w:rPr>
        <w:t>הוא</w:t>
      </w:r>
      <w:r w:rsidRPr="006F0D74">
        <w:rPr>
          <w:rFonts w:ascii="Calibri" w:hAnsi="Calibri" w:cs="Miriam"/>
          <w:sz w:val="22"/>
          <w:szCs w:val="22"/>
          <w:rtl/>
        </w:rPr>
        <w:t xml:space="preserve"> </w:t>
      </w:r>
      <w:r w:rsidRPr="006F0D74">
        <w:rPr>
          <w:rFonts w:ascii="Calibri" w:hAnsi="Calibri" w:cs="Miriam" w:hint="eastAsia"/>
          <w:sz w:val="22"/>
          <w:szCs w:val="22"/>
          <w:rtl/>
        </w:rPr>
        <w:t>הוחזק</w:t>
      </w:r>
      <w:r w:rsidRPr="006F0D74">
        <w:rPr>
          <w:rFonts w:ascii="Calibri" w:hAnsi="Calibri" w:cs="Miriam"/>
          <w:sz w:val="22"/>
          <w:szCs w:val="22"/>
          <w:rtl/>
        </w:rPr>
        <w:t xml:space="preserve"> </w:t>
      </w:r>
      <w:r w:rsidRPr="006F0D74">
        <w:rPr>
          <w:rFonts w:ascii="Calibri" w:hAnsi="Calibri" w:cs="Miriam" w:hint="eastAsia"/>
          <w:sz w:val="22"/>
          <w:szCs w:val="22"/>
          <w:rtl/>
        </w:rPr>
        <w:t>ועל</w:t>
      </w:r>
      <w:r w:rsidRPr="006F0D74">
        <w:rPr>
          <w:rFonts w:ascii="Calibri" w:hAnsi="Calibri" w:cs="Miriam"/>
          <w:sz w:val="22"/>
          <w:szCs w:val="22"/>
          <w:rtl/>
        </w:rPr>
        <w:t xml:space="preserve"> </w:t>
      </w:r>
      <w:r w:rsidRPr="006F0D74">
        <w:rPr>
          <w:rFonts w:ascii="Calibri" w:hAnsi="Calibri" w:cs="Miriam" w:hint="eastAsia"/>
          <w:sz w:val="22"/>
          <w:szCs w:val="22"/>
          <w:rtl/>
        </w:rPr>
        <w:t>הסכנה</w:t>
      </w:r>
      <w:r w:rsidRPr="006F0D74">
        <w:rPr>
          <w:rFonts w:ascii="Calibri" w:hAnsi="Calibri" w:cs="Miriam"/>
          <w:sz w:val="22"/>
          <w:szCs w:val="22"/>
          <w:rtl/>
        </w:rPr>
        <w:t xml:space="preserve"> </w:t>
      </w:r>
      <w:r w:rsidRPr="006F0D74">
        <w:rPr>
          <w:rFonts w:ascii="Calibri" w:hAnsi="Calibri" w:cs="Miriam" w:hint="eastAsia"/>
          <w:sz w:val="22"/>
          <w:szCs w:val="22"/>
          <w:rtl/>
        </w:rPr>
        <w:t>המוחשית</w:t>
      </w:r>
      <w:r w:rsidRPr="006F0D74">
        <w:rPr>
          <w:rFonts w:ascii="Calibri" w:hAnsi="Calibri" w:cs="Miriam"/>
          <w:sz w:val="22"/>
          <w:szCs w:val="22"/>
          <w:rtl/>
        </w:rPr>
        <w:t xml:space="preserve"> </w:t>
      </w:r>
      <w:r w:rsidRPr="006F0D74">
        <w:rPr>
          <w:rFonts w:ascii="Calibri" w:hAnsi="Calibri" w:cs="Miriam" w:hint="eastAsia"/>
          <w:sz w:val="22"/>
          <w:szCs w:val="22"/>
          <w:rtl/>
        </w:rPr>
        <w:t>שייעשה</w:t>
      </w:r>
      <w:r w:rsidRPr="006F0D74">
        <w:rPr>
          <w:rFonts w:ascii="Calibri" w:hAnsi="Calibri" w:cs="Miriam"/>
          <w:sz w:val="22"/>
          <w:szCs w:val="22"/>
          <w:rtl/>
        </w:rPr>
        <w:t xml:space="preserve"> </w:t>
      </w:r>
      <w:r w:rsidRPr="006F0D74">
        <w:rPr>
          <w:rFonts w:ascii="Calibri" w:hAnsi="Calibri" w:cs="Miriam" w:hint="eastAsia"/>
          <w:sz w:val="22"/>
          <w:szCs w:val="22"/>
          <w:rtl/>
        </w:rPr>
        <w:t>בו</w:t>
      </w:r>
      <w:r w:rsidRPr="006F0D74">
        <w:rPr>
          <w:rFonts w:ascii="Calibri" w:hAnsi="Calibri" w:cs="Miriam"/>
          <w:sz w:val="22"/>
          <w:szCs w:val="22"/>
          <w:rtl/>
        </w:rPr>
        <w:t xml:space="preserve"> </w:t>
      </w:r>
      <w:r w:rsidRPr="006F0D74">
        <w:rPr>
          <w:rFonts w:ascii="Calibri" w:hAnsi="Calibri" w:cs="Miriam" w:hint="eastAsia"/>
          <w:sz w:val="22"/>
          <w:szCs w:val="22"/>
          <w:rtl/>
        </w:rPr>
        <w:t>שימוש</w:t>
      </w:r>
      <w:r w:rsidRPr="006F0D74">
        <w:rPr>
          <w:rFonts w:ascii="Calibri" w:hAnsi="Calibri" w:cs="Miriam"/>
          <w:sz w:val="22"/>
          <w:szCs w:val="22"/>
          <w:rtl/>
        </w:rPr>
        <w:t>...".</w:t>
      </w:r>
    </w:p>
    <w:p w14:paraId="6E5D63FF" w14:textId="77777777" w:rsidR="006F0D74" w:rsidRPr="006F0D74" w:rsidRDefault="006F0D74" w:rsidP="006F0D74">
      <w:pPr>
        <w:spacing w:after="160"/>
        <w:rPr>
          <w:rFonts w:ascii="Calibri" w:hAnsi="Calibri"/>
          <w:rtl/>
        </w:rPr>
      </w:pPr>
    </w:p>
    <w:p w14:paraId="0FD22873" w14:textId="77777777" w:rsidR="006F0D74" w:rsidRPr="006F0D74" w:rsidRDefault="006F0D74" w:rsidP="006F0D74">
      <w:pPr>
        <w:spacing w:after="160" w:line="360" w:lineRule="auto"/>
        <w:jc w:val="both"/>
        <w:rPr>
          <w:rFonts w:ascii="Calibri" w:hAnsi="Calibri"/>
          <w:rtl/>
        </w:rPr>
      </w:pPr>
      <w:r w:rsidRPr="006F0D74">
        <w:rPr>
          <w:rFonts w:ascii="Calibri" w:hAnsi="Calibri" w:hint="cs"/>
          <w:rtl/>
        </w:rPr>
        <w:t xml:space="preserve">27. </w:t>
      </w:r>
      <w:r w:rsidRPr="006F0D74">
        <w:rPr>
          <w:rFonts w:ascii="Calibri" w:hAnsi="Calibri" w:hint="cs"/>
          <w:rtl/>
        </w:rPr>
        <w:tab/>
        <w:t>לעניין מדיניות הענישה הנהוגה, אקדים ואציין, כי הדין עם הסנגור בדבריו הנ"ל, לפיהם לא ניתן בנקל למצוא בפסיקה מקרה הדן בייצור מטען חבלה מאולתר, באמצעות זיקוקין, ובהחזקתו. עם זאת,  ניתן להקיש  לענייננו מפסיקה המתייחסת לנשק שפוטנציאל המסוכנות שלו נמוך, כדוגמת רימוני הלם.  אביא להלן פסיקה המתייחסת לעבירות שבוצעו בנשק מסוג רימוני הלם:</w:t>
      </w:r>
    </w:p>
    <w:p w14:paraId="0C666C2B" w14:textId="77777777" w:rsidR="006F0D74" w:rsidRPr="006F0D74" w:rsidRDefault="006F0D74" w:rsidP="006F0D74">
      <w:pPr>
        <w:pStyle w:val="ListParagraph"/>
        <w:numPr>
          <w:ilvl w:val="0"/>
          <w:numId w:val="1"/>
        </w:numPr>
        <w:spacing w:after="160" w:line="360" w:lineRule="auto"/>
        <w:rPr>
          <w:rFonts w:ascii="Calibri" w:hAnsi="Calibri"/>
        </w:rPr>
      </w:pPr>
      <w:r w:rsidRPr="006F0D74">
        <w:rPr>
          <w:rFonts w:ascii="Calibri" w:hAnsi="Calibri" w:hint="cs"/>
          <w:rtl/>
        </w:rPr>
        <w:t>ב</w:t>
      </w:r>
      <w:hyperlink r:id="rId35" w:history="1">
        <w:r w:rsidR="00AE1E60" w:rsidRPr="00AE1E60">
          <w:rPr>
            <w:rFonts w:ascii="Calibri" w:hAnsi="Calibri" w:hint="eastAsia"/>
            <w:color w:val="0000FF"/>
            <w:u w:val="single"/>
            <w:rtl/>
          </w:rPr>
          <w:t>ת</w:t>
        </w:r>
        <w:r w:rsidR="00AE1E60" w:rsidRPr="00AE1E60">
          <w:rPr>
            <w:rFonts w:ascii="Calibri" w:hAnsi="Calibri"/>
            <w:color w:val="0000FF"/>
            <w:u w:val="single"/>
            <w:rtl/>
          </w:rPr>
          <w:t>"</w:t>
        </w:r>
        <w:r w:rsidR="00AE1E60" w:rsidRPr="00AE1E60">
          <w:rPr>
            <w:rFonts w:ascii="Calibri" w:hAnsi="Calibri" w:hint="eastAsia"/>
            <w:color w:val="0000FF"/>
            <w:u w:val="single"/>
            <w:rtl/>
          </w:rPr>
          <w:t>פ</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מחוזי</w:t>
        </w:r>
        <w:r w:rsidR="00AE1E60" w:rsidRPr="00AE1E60">
          <w:rPr>
            <w:rFonts w:ascii="Calibri" w:hAnsi="Calibri"/>
            <w:color w:val="0000FF"/>
            <w:u w:val="single"/>
            <w:rtl/>
          </w:rPr>
          <w:t xml:space="preserve"> </w:t>
        </w:r>
        <w:r w:rsidR="00AE1E60" w:rsidRPr="00AE1E60">
          <w:rPr>
            <w:rFonts w:ascii="Calibri" w:hAnsi="Calibri" w:hint="eastAsia"/>
            <w:color w:val="0000FF"/>
            <w:u w:val="single"/>
            <w:rtl/>
          </w:rPr>
          <w:t>נצרת</w:t>
        </w:r>
        <w:r w:rsidR="00AE1E60" w:rsidRPr="00AE1E60">
          <w:rPr>
            <w:rFonts w:ascii="Calibri" w:hAnsi="Calibri"/>
            <w:color w:val="0000FF"/>
            <w:u w:val="single"/>
            <w:rtl/>
          </w:rPr>
          <w:t>) 34813-07-10</w:t>
        </w:r>
      </w:hyperlink>
      <w:r w:rsidRPr="006F0D74">
        <w:rPr>
          <w:rFonts w:ascii="Calibri" w:hAnsi="Calibri"/>
          <w:rtl/>
        </w:rPr>
        <w:t xml:space="preserve"> </w:t>
      </w:r>
      <w:r w:rsidRPr="006F0D74">
        <w:rPr>
          <w:rFonts w:ascii="Calibri" w:hAnsi="Calibri" w:cs="Miriam" w:hint="eastAsia"/>
          <w:rtl/>
        </w:rPr>
        <w:t>מ</w:t>
      </w:r>
      <w:r w:rsidRPr="006F0D74">
        <w:rPr>
          <w:rFonts w:ascii="Calibri" w:hAnsi="Calibri" w:cs="Miriam"/>
          <w:rtl/>
        </w:rPr>
        <w:t>"</w:t>
      </w:r>
      <w:r w:rsidRPr="006F0D74">
        <w:rPr>
          <w:rFonts w:ascii="Calibri" w:hAnsi="Calibri" w:cs="Miriam" w:hint="eastAsia"/>
          <w:rtl/>
        </w:rPr>
        <w:t>י</w:t>
      </w:r>
      <w:r w:rsidRPr="006F0D74">
        <w:rPr>
          <w:rFonts w:ascii="Calibri" w:hAnsi="Calibri" w:cs="Miriam"/>
          <w:rtl/>
        </w:rPr>
        <w:t xml:space="preserve"> </w:t>
      </w:r>
      <w:r w:rsidRPr="006F0D74">
        <w:rPr>
          <w:rFonts w:ascii="Calibri" w:hAnsi="Calibri" w:cs="Miriam" w:hint="eastAsia"/>
          <w:rtl/>
        </w:rPr>
        <w:t>נ</w:t>
      </w:r>
      <w:r w:rsidRPr="006F0D74">
        <w:rPr>
          <w:rFonts w:ascii="Calibri" w:hAnsi="Calibri" w:cs="Miriam"/>
          <w:rtl/>
        </w:rPr>
        <w:t xml:space="preserve">' </w:t>
      </w:r>
      <w:r w:rsidRPr="006F0D74">
        <w:rPr>
          <w:rFonts w:ascii="Calibri" w:hAnsi="Calibri" w:cs="Miriam" w:hint="eastAsia"/>
          <w:rtl/>
        </w:rPr>
        <w:t>חילף</w:t>
      </w:r>
      <w:r w:rsidRPr="006F0D74">
        <w:rPr>
          <w:rFonts w:ascii="Calibri" w:hAnsi="Calibri"/>
          <w:rtl/>
        </w:rPr>
        <w:t xml:space="preserve"> </w:t>
      </w:r>
      <w:r w:rsidR="0015434D" w:rsidRPr="0015434D">
        <w:rPr>
          <w:sz w:val="22"/>
          <w:rtl/>
        </w:rPr>
        <w:t>[</w:t>
      </w:r>
      <w:r w:rsidR="0015434D" w:rsidRPr="0015434D">
        <w:rPr>
          <w:rFonts w:hint="eastAsia"/>
          <w:sz w:val="22"/>
          <w:rtl/>
        </w:rPr>
        <w:t>פורסם</w:t>
      </w:r>
      <w:r w:rsidR="0015434D" w:rsidRPr="0015434D">
        <w:rPr>
          <w:sz w:val="22"/>
          <w:rtl/>
        </w:rPr>
        <w:t xml:space="preserve"> </w:t>
      </w:r>
      <w:r w:rsidR="0015434D" w:rsidRPr="0015434D">
        <w:rPr>
          <w:rFonts w:hint="eastAsia"/>
          <w:sz w:val="22"/>
          <w:rtl/>
        </w:rPr>
        <w:t>בנבו</w:t>
      </w:r>
      <w:r w:rsidR="0015434D" w:rsidRPr="0015434D">
        <w:rPr>
          <w:sz w:val="22"/>
          <w:rtl/>
        </w:rPr>
        <w:t xml:space="preserve">] </w:t>
      </w:r>
      <w:r w:rsidRPr="006F0D74">
        <w:rPr>
          <w:rFonts w:ascii="Calibri" w:hAnsi="Calibri"/>
          <w:rtl/>
        </w:rPr>
        <w:t>(</w:t>
      </w:r>
      <w:r w:rsidRPr="006F0D74">
        <w:rPr>
          <w:rFonts w:ascii="Calibri" w:hAnsi="Calibri" w:hint="cs"/>
          <w:rtl/>
        </w:rPr>
        <w:t>27/10/2010</w:t>
      </w:r>
      <w:r w:rsidRPr="006F0D74">
        <w:rPr>
          <w:rFonts w:ascii="Calibri" w:hAnsi="Calibri"/>
          <w:rtl/>
        </w:rPr>
        <w:t>),</w:t>
      </w:r>
      <w:r w:rsidRPr="006F0D74">
        <w:rPr>
          <w:rFonts w:ascii="Calibri" w:hAnsi="Calibri" w:hint="cs"/>
          <w:rtl/>
        </w:rPr>
        <w:t xml:space="preserve"> </w:t>
      </w:r>
      <w:r w:rsidRPr="006F0D74">
        <w:rPr>
          <w:rFonts w:ascii="Calibri" w:hAnsi="Calibri" w:hint="eastAsia"/>
          <w:rtl/>
        </w:rPr>
        <w:t>הושת</w:t>
      </w:r>
      <w:r w:rsidRPr="006F0D74">
        <w:rPr>
          <w:rFonts w:ascii="Calibri" w:hAnsi="Calibri"/>
          <w:rtl/>
        </w:rPr>
        <w:t xml:space="preserve"> </w:t>
      </w:r>
      <w:r w:rsidRPr="006F0D74">
        <w:rPr>
          <w:rFonts w:ascii="Calibri" w:hAnsi="Calibri" w:hint="eastAsia"/>
          <w:rtl/>
        </w:rPr>
        <w:t>עונש</w:t>
      </w:r>
      <w:r w:rsidRPr="006F0D74">
        <w:rPr>
          <w:rFonts w:ascii="Calibri" w:hAnsi="Calibri"/>
          <w:rtl/>
        </w:rPr>
        <w:t xml:space="preserve"> </w:t>
      </w:r>
      <w:r w:rsidRPr="006F0D74">
        <w:rPr>
          <w:rFonts w:ascii="Calibri" w:hAnsi="Calibri" w:hint="eastAsia"/>
          <w:rtl/>
        </w:rPr>
        <w:t>שעיקרו</w:t>
      </w:r>
      <w:r w:rsidRPr="006F0D74">
        <w:rPr>
          <w:rFonts w:ascii="Calibri" w:hAnsi="Calibri"/>
          <w:rtl/>
        </w:rPr>
        <w:t xml:space="preserve"> 4 </w:t>
      </w:r>
      <w:r w:rsidRPr="006F0D74">
        <w:rPr>
          <w:rFonts w:ascii="Calibri" w:hAnsi="Calibri" w:hint="eastAsia"/>
          <w:rtl/>
        </w:rPr>
        <w:t>חודשי</w:t>
      </w:r>
      <w:r w:rsidRPr="006F0D74">
        <w:rPr>
          <w:rFonts w:ascii="Calibri" w:hAnsi="Calibri"/>
          <w:rtl/>
        </w:rPr>
        <w:t xml:space="preserve"> </w:t>
      </w:r>
      <w:r w:rsidRPr="006F0D74">
        <w:rPr>
          <w:rFonts w:ascii="Calibri" w:hAnsi="Calibri" w:hint="eastAsia"/>
          <w:rtl/>
        </w:rPr>
        <w:t>מאסר</w:t>
      </w:r>
      <w:r w:rsidRPr="006F0D74">
        <w:rPr>
          <w:rFonts w:ascii="Calibri" w:hAnsi="Calibri"/>
          <w:rtl/>
        </w:rPr>
        <w:t xml:space="preserve"> </w:t>
      </w:r>
      <w:r w:rsidRPr="006F0D74">
        <w:rPr>
          <w:rFonts w:ascii="Calibri" w:hAnsi="Calibri" w:hint="eastAsia"/>
          <w:rtl/>
        </w:rPr>
        <w:t>בפועל</w:t>
      </w:r>
      <w:r w:rsidRPr="006F0D74">
        <w:rPr>
          <w:rFonts w:ascii="Calibri" w:hAnsi="Calibri"/>
          <w:rtl/>
        </w:rPr>
        <w:t xml:space="preserve"> </w:t>
      </w:r>
      <w:r w:rsidRPr="006F0D74">
        <w:rPr>
          <w:rFonts w:ascii="Calibri" w:hAnsi="Calibri" w:hint="eastAsia"/>
          <w:rtl/>
        </w:rPr>
        <w:t>בעבודות</w:t>
      </w:r>
      <w:r w:rsidRPr="006F0D74">
        <w:rPr>
          <w:rFonts w:ascii="Calibri" w:hAnsi="Calibri"/>
          <w:rtl/>
        </w:rPr>
        <w:t xml:space="preserve"> </w:t>
      </w:r>
      <w:r w:rsidRPr="006F0D74">
        <w:rPr>
          <w:rFonts w:ascii="Calibri" w:hAnsi="Calibri" w:hint="eastAsia"/>
          <w:rtl/>
        </w:rPr>
        <w:t>שירות</w:t>
      </w:r>
      <w:r w:rsidRPr="006F0D74">
        <w:rPr>
          <w:rFonts w:ascii="Calibri" w:hAnsi="Calibri"/>
          <w:rtl/>
        </w:rPr>
        <w:t xml:space="preserve"> </w:t>
      </w:r>
      <w:r w:rsidRPr="006F0D74">
        <w:rPr>
          <w:rFonts w:ascii="Calibri" w:hAnsi="Calibri" w:hint="eastAsia"/>
          <w:rtl/>
        </w:rPr>
        <w:t>על</w:t>
      </w:r>
      <w:r w:rsidRPr="006F0D74">
        <w:rPr>
          <w:rFonts w:ascii="Calibri" w:hAnsi="Calibri"/>
          <w:rtl/>
        </w:rPr>
        <w:t xml:space="preserve"> </w:t>
      </w:r>
      <w:r w:rsidRPr="006F0D74">
        <w:rPr>
          <w:rFonts w:ascii="Calibri" w:hAnsi="Calibri" w:hint="eastAsia"/>
          <w:rtl/>
        </w:rPr>
        <w:t>נאשם</w:t>
      </w:r>
      <w:r w:rsidRPr="006F0D74">
        <w:rPr>
          <w:rFonts w:ascii="Calibri" w:hAnsi="Calibri"/>
          <w:rtl/>
        </w:rPr>
        <w:t xml:space="preserve"> </w:t>
      </w:r>
      <w:r w:rsidRPr="006F0D74">
        <w:rPr>
          <w:rFonts w:ascii="Calibri" w:hAnsi="Calibri" w:hint="eastAsia"/>
          <w:rtl/>
        </w:rPr>
        <w:t>צעיר</w:t>
      </w:r>
      <w:r w:rsidRPr="006F0D74">
        <w:rPr>
          <w:rFonts w:ascii="Calibri" w:hAnsi="Calibri"/>
          <w:rtl/>
        </w:rPr>
        <w:t xml:space="preserve">, </w:t>
      </w:r>
      <w:r w:rsidRPr="006F0D74">
        <w:rPr>
          <w:rFonts w:ascii="Calibri" w:hAnsi="Calibri" w:hint="eastAsia"/>
          <w:rtl/>
        </w:rPr>
        <w:t>בעל</w:t>
      </w:r>
      <w:r w:rsidRPr="006F0D74">
        <w:rPr>
          <w:rFonts w:ascii="Calibri" w:hAnsi="Calibri"/>
          <w:rtl/>
        </w:rPr>
        <w:t xml:space="preserve"> </w:t>
      </w:r>
      <w:r w:rsidRPr="006F0D74">
        <w:rPr>
          <w:rFonts w:ascii="Calibri" w:hAnsi="Calibri" w:hint="eastAsia"/>
          <w:rtl/>
        </w:rPr>
        <w:t>עבר</w:t>
      </w:r>
      <w:r w:rsidRPr="006F0D74">
        <w:rPr>
          <w:rFonts w:ascii="Calibri" w:hAnsi="Calibri"/>
          <w:rtl/>
        </w:rPr>
        <w:t xml:space="preserve"> </w:t>
      </w:r>
      <w:r w:rsidRPr="006F0D74">
        <w:rPr>
          <w:rFonts w:ascii="Calibri" w:hAnsi="Calibri" w:hint="eastAsia"/>
          <w:rtl/>
        </w:rPr>
        <w:t>נקי</w:t>
      </w:r>
      <w:r w:rsidRPr="006F0D74">
        <w:rPr>
          <w:rFonts w:ascii="Calibri" w:hAnsi="Calibri"/>
          <w:rtl/>
        </w:rPr>
        <w:t xml:space="preserve">, </w:t>
      </w:r>
      <w:r w:rsidRPr="006F0D74">
        <w:rPr>
          <w:rFonts w:ascii="Calibri" w:hAnsi="Calibri" w:hint="eastAsia"/>
          <w:rtl/>
        </w:rPr>
        <w:t>אשר</w:t>
      </w:r>
      <w:r w:rsidRPr="006F0D74">
        <w:rPr>
          <w:rFonts w:ascii="Calibri" w:hAnsi="Calibri"/>
          <w:rtl/>
        </w:rPr>
        <w:t xml:space="preserve"> </w:t>
      </w:r>
      <w:r w:rsidRPr="006F0D74">
        <w:rPr>
          <w:rFonts w:ascii="Calibri" w:hAnsi="Calibri" w:hint="eastAsia"/>
          <w:rtl/>
        </w:rPr>
        <w:t>הודה</w:t>
      </w:r>
      <w:r w:rsidRPr="006F0D74">
        <w:rPr>
          <w:rFonts w:ascii="Calibri" w:hAnsi="Calibri"/>
          <w:rtl/>
        </w:rPr>
        <w:t xml:space="preserve"> </w:t>
      </w:r>
      <w:r w:rsidRPr="006F0D74">
        <w:rPr>
          <w:rFonts w:ascii="Calibri" w:hAnsi="Calibri" w:hint="eastAsia"/>
          <w:rtl/>
        </w:rPr>
        <w:t>והורשע</w:t>
      </w:r>
      <w:r w:rsidRPr="006F0D74">
        <w:rPr>
          <w:rFonts w:ascii="Calibri" w:hAnsi="Calibri"/>
          <w:rtl/>
        </w:rPr>
        <w:t xml:space="preserve"> </w:t>
      </w:r>
      <w:r w:rsidRPr="006F0D74">
        <w:rPr>
          <w:rFonts w:ascii="Calibri" w:hAnsi="Calibri" w:hint="eastAsia"/>
          <w:rtl/>
        </w:rPr>
        <w:t>בביצוע</w:t>
      </w:r>
      <w:r w:rsidRPr="006F0D74">
        <w:rPr>
          <w:rFonts w:ascii="Calibri" w:hAnsi="Calibri"/>
          <w:rtl/>
        </w:rPr>
        <w:t xml:space="preserve"> </w:t>
      </w:r>
      <w:r w:rsidRPr="006F0D74">
        <w:rPr>
          <w:rFonts w:ascii="Calibri" w:hAnsi="Calibri" w:hint="eastAsia"/>
          <w:rtl/>
        </w:rPr>
        <w:t>עבירות</w:t>
      </w:r>
      <w:r w:rsidRPr="006F0D74">
        <w:rPr>
          <w:rFonts w:ascii="Calibri" w:hAnsi="Calibri"/>
          <w:rtl/>
        </w:rPr>
        <w:t xml:space="preserve"> </w:t>
      </w:r>
      <w:r w:rsidRPr="006F0D74">
        <w:rPr>
          <w:rFonts w:ascii="Calibri" w:hAnsi="Calibri" w:hint="eastAsia"/>
          <w:rtl/>
        </w:rPr>
        <w:t>שעניינן</w:t>
      </w:r>
      <w:r w:rsidRPr="006F0D74">
        <w:rPr>
          <w:rFonts w:ascii="Calibri" w:hAnsi="Calibri"/>
          <w:rtl/>
        </w:rPr>
        <w:t xml:space="preserve"> </w:t>
      </w:r>
      <w:r w:rsidRPr="006F0D74">
        <w:rPr>
          <w:rFonts w:ascii="Calibri" w:hAnsi="Calibri" w:hint="eastAsia"/>
          <w:rtl/>
        </w:rPr>
        <w:t>נשיאת</w:t>
      </w:r>
      <w:r w:rsidRPr="006F0D74">
        <w:rPr>
          <w:rFonts w:ascii="Calibri" w:hAnsi="Calibri"/>
          <w:rtl/>
        </w:rPr>
        <w:t xml:space="preserve"> </w:t>
      </w:r>
      <w:r w:rsidRPr="006F0D74">
        <w:rPr>
          <w:rFonts w:ascii="Calibri" w:hAnsi="Calibri" w:hint="eastAsia"/>
          <w:rtl/>
        </w:rPr>
        <w:t>והובלת</w:t>
      </w:r>
      <w:r w:rsidRPr="006F0D74">
        <w:rPr>
          <w:rFonts w:ascii="Calibri" w:hAnsi="Calibri"/>
          <w:rtl/>
        </w:rPr>
        <w:t xml:space="preserve"> </w:t>
      </w:r>
      <w:r w:rsidRPr="006F0D74">
        <w:rPr>
          <w:rFonts w:ascii="Calibri" w:hAnsi="Calibri" w:hint="eastAsia"/>
          <w:rtl/>
        </w:rPr>
        <w:t>נשק</w:t>
      </w:r>
      <w:r w:rsidRPr="006F0D74">
        <w:rPr>
          <w:rFonts w:ascii="Calibri" w:hAnsi="Calibri"/>
          <w:rtl/>
        </w:rPr>
        <w:t xml:space="preserve"> </w:t>
      </w:r>
      <w:r w:rsidRPr="006F0D74">
        <w:rPr>
          <w:rFonts w:ascii="Calibri" w:hAnsi="Calibri" w:hint="eastAsia"/>
          <w:rtl/>
        </w:rPr>
        <w:t>בצוותא</w:t>
      </w:r>
      <w:r w:rsidRPr="006F0D74">
        <w:rPr>
          <w:rFonts w:ascii="Calibri" w:hAnsi="Calibri"/>
          <w:rtl/>
        </w:rPr>
        <w:t xml:space="preserve"> </w:t>
      </w:r>
      <w:r w:rsidRPr="006F0D74">
        <w:rPr>
          <w:rFonts w:ascii="Calibri" w:hAnsi="Calibri" w:hint="eastAsia"/>
          <w:rtl/>
        </w:rPr>
        <w:t>וקבלת</w:t>
      </w:r>
      <w:r w:rsidRPr="006F0D74">
        <w:rPr>
          <w:rFonts w:ascii="Calibri" w:hAnsi="Calibri"/>
          <w:rtl/>
        </w:rPr>
        <w:t xml:space="preserve"> </w:t>
      </w:r>
      <w:r w:rsidRPr="006F0D74">
        <w:rPr>
          <w:rFonts w:ascii="Calibri" w:hAnsi="Calibri" w:hint="eastAsia"/>
          <w:rtl/>
        </w:rPr>
        <w:t>נכסים</w:t>
      </w:r>
      <w:r w:rsidRPr="006F0D74">
        <w:rPr>
          <w:rFonts w:ascii="Calibri" w:hAnsi="Calibri"/>
          <w:rtl/>
        </w:rPr>
        <w:t xml:space="preserve"> </w:t>
      </w:r>
      <w:r w:rsidRPr="006F0D74">
        <w:rPr>
          <w:rFonts w:ascii="Calibri" w:hAnsi="Calibri" w:hint="eastAsia"/>
          <w:rtl/>
        </w:rPr>
        <w:t>שהושגו</w:t>
      </w:r>
      <w:r w:rsidRPr="006F0D74">
        <w:rPr>
          <w:rFonts w:ascii="Calibri" w:hAnsi="Calibri"/>
          <w:rtl/>
        </w:rPr>
        <w:t xml:space="preserve"> </w:t>
      </w:r>
      <w:r w:rsidRPr="006F0D74">
        <w:rPr>
          <w:rFonts w:ascii="Calibri" w:hAnsi="Calibri" w:hint="eastAsia"/>
          <w:rtl/>
        </w:rPr>
        <w:t>בפשע</w:t>
      </w:r>
      <w:r w:rsidRPr="006F0D74">
        <w:rPr>
          <w:rFonts w:ascii="Calibri" w:hAnsi="Calibri"/>
          <w:rtl/>
        </w:rPr>
        <w:t xml:space="preserve">. </w:t>
      </w:r>
      <w:r w:rsidRPr="006F0D74">
        <w:rPr>
          <w:rFonts w:ascii="Calibri" w:hAnsi="Calibri" w:hint="eastAsia"/>
          <w:rtl/>
        </w:rPr>
        <w:t>במקרה</w:t>
      </w:r>
      <w:r w:rsidRPr="006F0D74">
        <w:rPr>
          <w:rFonts w:ascii="Calibri" w:hAnsi="Calibri"/>
          <w:rtl/>
        </w:rPr>
        <w:t xml:space="preserve"> </w:t>
      </w:r>
      <w:r w:rsidRPr="006F0D74">
        <w:rPr>
          <w:rFonts w:ascii="Calibri" w:hAnsi="Calibri" w:hint="eastAsia"/>
          <w:rtl/>
        </w:rPr>
        <w:t>הנ</w:t>
      </w:r>
      <w:r w:rsidRPr="006F0D74">
        <w:rPr>
          <w:rFonts w:ascii="Calibri" w:hAnsi="Calibri"/>
          <w:rtl/>
        </w:rPr>
        <w:t>"</w:t>
      </w:r>
      <w:r w:rsidRPr="006F0D74">
        <w:rPr>
          <w:rFonts w:ascii="Calibri" w:hAnsi="Calibri" w:hint="eastAsia"/>
          <w:rtl/>
        </w:rPr>
        <w:t>ל</w:t>
      </w:r>
      <w:r w:rsidRPr="006F0D74">
        <w:rPr>
          <w:rFonts w:ascii="Calibri" w:hAnsi="Calibri"/>
          <w:rtl/>
        </w:rPr>
        <w:t xml:space="preserve"> </w:t>
      </w:r>
      <w:r w:rsidRPr="006F0D74">
        <w:rPr>
          <w:rFonts w:ascii="Calibri" w:hAnsi="Calibri" w:hint="eastAsia"/>
          <w:rtl/>
        </w:rPr>
        <w:t>דובר</w:t>
      </w:r>
      <w:r w:rsidRPr="006F0D74">
        <w:rPr>
          <w:rFonts w:ascii="Calibri" w:hAnsi="Calibri"/>
          <w:rtl/>
        </w:rPr>
        <w:t xml:space="preserve"> </w:t>
      </w:r>
      <w:r w:rsidRPr="006F0D74">
        <w:rPr>
          <w:rFonts w:ascii="Calibri" w:hAnsi="Calibri" w:hint="eastAsia"/>
          <w:rtl/>
        </w:rPr>
        <w:t>ב</w:t>
      </w:r>
      <w:r w:rsidRPr="006F0D74">
        <w:rPr>
          <w:rFonts w:ascii="Calibri" w:hAnsi="Calibri"/>
          <w:rtl/>
        </w:rPr>
        <w:t xml:space="preserve">-5 </w:t>
      </w:r>
      <w:r w:rsidRPr="006F0D74">
        <w:rPr>
          <w:rFonts w:ascii="Calibri" w:hAnsi="Calibri" w:hint="eastAsia"/>
          <w:rtl/>
        </w:rPr>
        <w:t>רימוני</w:t>
      </w:r>
      <w:r w:rsidRPr="006F0D74">
        <w:rPr>
          <w:rFonts w:ascii="Calibri" w:hAnsi="Calibri"/>
          <w:rtl/>
        </w:rPr>
        <w:t xml:space="preserve"> </w:t>
      </w:r>
      <w:r w:rsidRPr="006F0D74">
        <w:rPr>
          <w:rFonts w:ascii="Calibri" w:hAnsi="Calibri" w:hint="eastAsia"/>
          <w:rtl/>
        </w:rPr>
        <w:t>הלם</w:t>
      </w:r>
      <w:r w:rsidRPr="006F0D74">
        <w:rPr>
          <w:rFonts w:ascii="Calibri" w:hAnsi="Calibri"/>
          <w:rtl/>
        </w:rPr>
        <w:t xml:space="preserve"> </w:t>
      </w:r>
      <w:r w:rsidRPr="006F0D74">
        <w:rPr>
          <w:rFonts w:ascii="Calibri" w:hAnsi="Calibri" w:hint="eastAsia"/>
          <w:rtl/>
        </w:rPr>
        <w:t>וברימון</w:t>
      </w:r>
      <w:r w:rsidRPr="006F0D74">
        <w:rPr>
          <w:rFonts w:ascii="Calibri" w:hAnsi="Calibri"/>
          <w:rtl/>
        </w:rPr>
        <w:t xml:space="preserve"> </w:t>
      </w:r>
      <w:r w:rsidRPr="006F0D74">
        <w:rPr>
          <w:rFonts w:ascii="Calibri" w:hAnsi="Calibri" w:hint="eastAsia"/>
          <w:rtl/>
        </w:rPr>
        <w:t>גז</w:t>
      </w:r>
      <w:r w:rsidRPr="006F0D74">
        <w:rPr>
          <w:rFonts w:ascii="Calibri" w:hAnsi="Calibri"/>
          <w:rtl/>
        </w:rPr>
        <w:t xml:space="preserve">, </w:t>
      </w:r>
      <w:r w:rsidRPr="006F0D74">
        <w:rPr>
          <w:rFonts w:ascii="Calibri" w:hAnsi="Calibri" w:hint="eastAsia"/>
          <w:rtl/>
        </w:rPr>
        <w:t>זאת</w:t>
      </w:r>
      <w:r w:rsidRPr="006F0D74">
        <w:rPr>
          <w:rFonts w:ascii="Calibri" w:hAnsi="Calibri"/>
          <w:rtl/>
        </w:rPr>
        <w:t xml:space="preserve"> </w:t>
      </w:r>
      <w:r w:rsidRPr="006F0D74">
        <w:rPr>
          <w:rFonts w:ascii="Calibri" w:hAnsi="Calibri" w:hint="eastAsia"/>
          <w:rtl/>
        </w:rPr>
        <w:t>בצד</w:t>
      </w:r>
      <w:r w:rsidRPr="006F0D74">
        <w:rPr>
          <w:rFonts w:ascii="Calibri" w:hAnsi="Calibri"/>
          <w:rtl/>
        </w:rPr>
        <w:t xml:space="preserve"> </w:t>
      </w:r>
      <w:r w:rsidRPr="006F0D74">
        <w:rPr>
          <w:rFonts w:ascii="Calibri" w:hAnsi="Calibri" w:hint="eastAsia"/>
          <w:rtl/>
        </w:rPr>
        <w:t>תחמושת</w:t>
      </w:r>
      <w:r w:rsidRPr="006F0D74">
        <w:rPr>
          <w:rFonts w:ascii="Calibri" w:hAnsi="Calibri"/>
          <w:rtl/>
        </w:rPr>
        <w:t xml:space="preserve">. </w:t>
      </w:r>
    </w:p>
    <w:p w14:paraId="50505D6D" w14:textId="77777777" w:rsidR="006F0D74" w:rsidRPr="006F0D74" w:rsidRDefault="006F0D74" w:rsidP="006F0D74">
      <w:pPr>
        <w:pStyle w:val="ListParagraph"/>
        <w:spacing w:after="160" w:line="360" w:lineRule="auto"/>
        <w:ind w:left="1145"/>
        <w:rPr>
          <w:rFonts w:ascii="Calibri" w:hAnsi="Calibri"/>
          <w:rtl/>
        </w:rPr>
      </w:pPr>
    </w:p>
    <w:p w14:paraId="361CF417" w14:textId="77777777" w:rsidR="006F0D74" w:rsidRPr="005835B8" w:rsidRDefault="006F0D74" w:rsidP="006F0D74">
      <w:pPr>
        <w:pStyle w:val="ListParagraph"/>
        <w:numPr>
          <w:ilvl w:val="0"/>
          <w:numId w:val="1"/>
        </w:numPr>
        <w:spacing w:line="360" w:lineRule="auto"/>
        <w:jc w:val="both"/>
        <w:rPr>
          <w:rtl/>
        </w:rPr>
      </w:pPr>
      <w:r>
        <w:rPr>
          <w:rFonts w:hint="cs"/>
          <w:rtl/>
        </w:rPr>
        <w:t>ב</w:t>
      </w:r>
      <w:hyperlink r:id="rId36" w:history="1">
        <w:r w:rsidR="00AE1E60" w:rsidRPr="00AE1E60">
          <w:rPr>
            <w:color w:val="0000FF"/>
            <w:u w:val="single"/>
            <w:rtl/>
          </w:rPr>
          <w:t>ת"פ (מחוזי חיפה)  8338-12-13</w:t>
        </w:r>
      </w:hyperlink>
      <w:r w:rsidRPr="005835B8">
        <w:rPr>
          <w:rtl/>
        </w:rPr>
        <w:t xml:space="preserve"> </w:t>
      </w:r>
      <w:r w:rsidRPr="00B9622F">
        <w:rPr>
          <w:rFonts w:cs="Miriam"/>
          <w:rtl/>
        </w:rPr>
        <w:t>מדינת ישראל נ' זידאן</w:t>
      </w:r>
      <w:r w:rsidRPr="005835B8">
        <w:rPr>
          <w:rtl/>
        </w:rPr>
        <w:t xml:space="preserve"> </w:t>
      </w:r>
      <w:r w:rsidR="0015434D" w:rsidRPr="0015434D">
        <w:rPr>
          <w:sz w:val="22"/>
          <w:rtl/>
        </w:rPr>
        <w:t xml:space="preserve">[פורסם בנבו] </w:t>
      </w:r>
      <w:r w:rsidRPr="005835B8">
        <w:rPr>
          <w:rtl/>
        </w:rPr>
        <w:t xml:space="preserve">(6.11.14) נשא והוביל </w:t>
      </w:r>
      <w:r>
        <w:rPr>
          <w:rFonts w:hint="cs"/>
          <w:rtl/>
        </w:rPr>
        <w:t>ה</w:t>
      </w:r>
      <w:r w:rsidRPr="005835B8">
        <w:rPr>
          <w:rtl/>
        </w:rPr>
        <w:t xml:space="preserve">נאשם רימון יד הלם ברכבו. שירות המבחן המליץ בתיק הנ"ל להטיל על הנאשם עונש מאסר קצר לריצוי בדרך של עבודות שירות, לצד רכיבי ענישה של מאסר מותנה וקנס. יודגש, כי שירות המבחן </w:t>
      </w:r>
      <w:r>
        <w:rPr>
          <w:rFonts w:hint="cs"/>
          <w:rtl/>
        </w:rPr>
        <w:t xml:space="preserve">לא בא </w:t>
      </w:r>
      <w:r w:rsidRPr="005835B8">
        <w:rPr>
          <w:rtl/>
        </w:rPr>
        <w:t>בהמלצה טיפולית בעניינו של הנאשם</w:t>
      </w:r>
      <w:r>
        <w:rPr>
          <w:rFonts w:hint="cs"/>
          <w:rtl/>
        </w:rPr>
        <w:t xml:space="preserve"> הנ"ל, וזאת כדוגמת המקרה שבפנינו</w:t>
      </w:r>
      <w:r w:rsidRPr="005835B8">
        <w:rPr>
          <w:rtl/>
        </w:rPr>
        <w:t xml:space="preserve">. בסופו של דבר, הושתו </w:t>
      </w:r>
      <w:r>
        <w:rPr>
          <w:rFonts w:hint="cs"/>
          <w:rtl/>
        </w:rPr>
        <w:t>בתיק הנ"ל</w:t>
      </w:r>
      <w:r w:rsidRPr="005835B8">
        <w:rPr>
          <w:rtl/>
        </w:rPr>
        <w:t xml:space="preserve"> על הנאשם, שהיה בחור בן 19 בעל עבר נקי, </w:t>
      </w:r>
      <w:r w:rsidRPr="008A564D">
        <w:rPr>
          <w:rtl/>
        </w:rPr>
        <w:t>עונש של מאסר בפועל לתקופה של 6 חודשים בדרך של עבודות שירות, וזאת לצד רכיב ענישה של מאסר מותנה</w:t>
      </w:r>
      <w:r>
        <w:rPr>
          <w:rFonts w:hint="cs"/>
          <w:rtl/>
        </w:rPr>
        <w:t>,</w:t>
      </w:r>
      <w:r w:rsidRPr="005835B8">
        <w:rPr>
          <w:rtl/>
        </w:rPr>
        <w:t xml:space="preserve"> תוך שנקבע מתחם עונש הולם שנע בין 6 חודשי מאסר בפועל ל-3 שנות מאסר בפועל. </w:t>
      </w:r>
    </w:p>
    <w:p w14:paraId="0FCCF9DD" w14:textId="77777777" w:rsidR="006F0D74" w:rsidRPr="006F0D74" w:rsidRDefault="006F0D74" w:rsidP="006F0D74">
      <w:pPr>
        <w:spacing w:after="160" w:line="259" w:lineRule="auto"/>
        <w:rPr>
          <w:rFonts w:ascii="Calibri" w:hAnsi="Calibri"/>
          <w:rtl/>
        </w:rPr>
      </w:pPr>
    </w:p>
    <w:p w14:paraId="459A4F27" w14:textId="77777777" w:rsidR="006F0D74" w:rsidRDefault="006F0D74" w:rsidP="006F0D74">
      <w:pPr>
        <w:spacing w:line="360" w:lineRule="auto"/>
        <w:jc w:val="both"/>
        <w:rPr>
          <w:rtl/>
        </w:rPr>
      </w:pPr>
      <w:r w:rsidRPr="00CA4A93">
        <w:rPr>
          <w:rFonts w:hint="cs"/>
          <w:rtl/>
        </w:rPr>
        <w:t>28.</w:t>
      </w:r>
      <w:r w:rsidRPr="00CA4A93">
        <w:rPr>
          <w:rFonts w:hint="cs"/>
          <w:rtl/>
        </w:rPr>
        <w:tab/>
      </w:r>
      <w:r>
        <w:rPr>
          <w:rFonts w:hint="cs"/>
          <w:rtl/>
        </w:rPr>
        <w:t xml:space="preserve">לאחר ששקלתי את  הערך החברתי הנפגע כתוצאה מביצוע העבירות שבפנינו, את נסיבות ביצוע העבירות ובחנתי פסיקה שדנה בעבירות נשק שעניינן נשק בעל פוטנציאל מסוכנות לא גבוהה יחסית, כדוגמת הנשק שבפנינו, הגעתי למסקנה כי מתחם העונש ההולם בתיק זה נע בין עונש של  6 חודשי מאסר בפועל, לרבות בדרך של עבודות שירות, לבין עונש של 18 חודשי מאסר בפועל, וזאת לצד רכיבי ענישה של מאסר על תנאי מרתיע וקנס כספי.  </w:t>
      </w:r>
    </w:p>
    <w:p w14:paraId="4BDB6A07" w14:textId="77777777" w:rsidR="006F0D74" w:rsidRDefault="006F0D74" w:rsidP="006F0D74">
      <w:pPr>
        <w:spacing w:line="360" w:lineRule="auto"/>
        <w:jc w:val="both"/>
        <w:rPr>
          <w:rtl/>
        </w:rPr>
      </w:pPr>
    </w:p>
    <w:p w14:paraId="3B7F66BC" w14:textId="77777777" w:rsidR="006F0D74" w:rsidRDefault="006F0D74" w:rsidP="006F0D74">
      <w:pPr>
        <w:spacing w:line="360" w:lineRule="auto"/>
        <w:jc w:val="both"/>
        <w:rPr>
          <w:rtl/>
        </w:rPr>
      </w:pPr>
      <w:r>
        <w:rPr>
          <w:rFonts w:hint="cs"/>
          <w:rtl/>
        </w:rPr>
        <w:t xml:space="preserve">29. </w:t>
      </w:r>
      <w:r>
        <w:rPr>
          <w:rFonts w:hint="cs"/>
          <w:rtl/>
        </w:rPr>
        <w:tab/>
        <w:t xml:space="preserve"> במסגרת בחינת הנסיבות שאינן קשורות בביצוע העבירות, אציין, לטובת הנאשם, את הודאתו בעובדות כתב האישום המתוקן, אשר חסכה הן מזמנו היקר  של בית המשפט והן את העדת עדי התביעה. כמו כן, מגלמת הודאת הנאשם  לקיחת אחריות לביצוע  העבירות מושא  כתב האישום המתוקן. עם זאת, יצוין לחובת הנאשם, כי אף מהתסקיר המשלים עולה, כי הוא המשיך להציג עמדה  קורבנית בפני שירות המבחן ונמנע מלבטא נזקקות טיפולית ולפיכך לא בא שירות המבחן בהמלצה  לחלופה  עונשית </w:t>
      </w:r>
      <w:r>
        <w:rPr>
          <w:rtl/>
        </w:rPr>
        <w:t>–</w:t>
      </w:r>
      <w:r>
        <w:rPr>
          <w:rFonts w:hint="cs"/>
          <w:rtl/>
        </w:rPr>
        <w:t xml:space="preserve"> שיקומית במסגרת שירות המבחן ובקהילה, דבר העשוי להפחית את הסיכון להישנות מעורבות חוזרת של הנאשם בפלילים בעתיד. </w:t>
      </w:r>
    </w:p>
    <w:p w14:paraId="21950C1F" w14:textId="77777777" w:rsidR="006F0D74" w:rsidRDefault="006F0D74" w:rsidP="006F0D74">
      <w:pPr>
        <w:spacing w:line="360" w:lineRule="auto"/>
        <w:jc w:val="both"/>
        <w:rPr>
          <w:rtl/>
        </w:rPr>
      </w:pPr>
    </w:p>
    <w:p w14:paraId="6DFEC239" w14:textId="77777777" w:rsidR="006F0D74" w:rsidRDefault="006F0D74" w:rsidP="006F0D74">
      <w:pPr>
        <w:spacing w:line="360" w:lineRule="auto"/>
        <w:jc w:val="both"/>
        <w:rPr>
          <w:rtl/>
        </w:rPr>
      </w:pPr>
      <w:r>
        <w:rPr>
          <w:rFonts w:hint="cs"/>
          <w:rtl/>
        </w:rPr>
        <w:t xml:space="preserve">30. </w:t>
      </w:r>
      <w:r>
        <w:rPr>
          <w:rFonts w:hint="cs"/>
          <w:rtl/>
        </w:rPr>
        <w:tab/>
        <w:t xml:space="preserve">לטובת הנאשם, אציין את עברו הנקי ללא רבב, כמו גם את תפקודו הנורמטיבי של הנאשם, אשר שירת בצבא קבע. עוד אוסיף, לקולא, את  נסיבותיו האישיות של הנאשם המצטיירות ממקרא התסקיר, וכן את העובדה שהנאשם היה נתון במעצר של ממש בגין תיק זה במשך תקופה של כשבוע ימים ואת היותו משוחרר בתנאים מגבילים במשך תקופה ממושכת. כאן אציין כי מטיעוני הסנגור עולה, כאמור,  כי לא נפתחו נגד הנאשם תיקים נוספים מאז האירוע שבפנינו, דבר המלמד כי עסקינן במעידה חד-פעמית של הנאשם. </w:t>
      </w:r>
    </w:p>
    <w:p w14:paraId="616DF10D" w14:textId="77777777" w:rsidR="006F0D74" w:rsidRDefault="006F0D74" w:rsidP="006F0D74">
      <w:pPr>
        <w:spacing w:line="360" w:lineRule="auto"/>
        <w:jc w:val="both"/>
        <w:rPr>
          <w:rtl/>
        </w:rPr>
      </w:pPr>
    </w:p>
    <w:p w14:paraId="51C572BD" w14:textId="77777777" w:rsidR="006F0D74" w:rsidRDefault="006F0D74" w:rsidP="006F0D74">
      <w:pPr>
        <w:spacing w:line="360" w:lineRule="auto"/>
        <w:jc w:val="both"/>
        <w:rPr>
          <w:rtl/>
        </w:rPr>
      </w:pPr>
      <w:r>
        <w:rPr>
          <w:rFonts w:hint="cs"/>
          <w:rtl/>
        </w:rPr>
        <w:t xml:space="preserve">31. </w:t>
      </w:r>
      <w:r>
        <w:rPr>
          <w:rFonts w:hint="cs"/>
          <w:rtl/>
        </w:rPr>
        <w:tab/>
        <w:t xml:space="preserve">לאחר ששקללתי את מכלול הנסיבות הנ"ל שאינן קשורות בביצוע העבירות, הגעתי לכלל מסקנה כי מן הראוי להשית בתיק זה על הנאשם עונש של מאסר בפועל לתקופה של  6 חודשים, בדרך של עבודות שירות, וזאת לצד רכיבי ענישה של מאסר מותנה וקנס כספי. </w:t>
      </w:r>
    </w:p>
    <w:p w14:paraId="1ECF8F88" w14:textId="77777777" w:rsidR="006F0D74" w:rsidRDefault="006F0D74" w:rsidP="006F0D74">
      <w:pPr>
        <w:spacing w:line="360" w:lineRule="auto"/>
        <w:jc w:val="both"/>
        <w:rPr>
          <w:rtl/>
        </w:rPr>
      </w:pPr>
    </w:p>
    <w:p w14:paraId="1BC22A34" w14:textId="77777777" w:rsidR="006F0D74" w:rsidRDefault="006F0D74" w:rsidP="006F0D74">
      <w:pPr>
        <w:spacing w:line="360" w:lineRule="auto"/>
        <w:jc w:val="both"/>
        <w:rPr>
          <w:rtl/>
        </w:rPr>
      </w:pPr>
      <w:r>
        <w:rPr>
          <w:rFonts w:hint="cs"/>
          <w:rtl/>
        </w:rPr>
        <w:t xml:space="preserve">32. </w:t>
      </w:r>
      <w:r>
        <w:rPr>
          <w:rFonts w:hint="cs"/>
          <w:rtl/>
        </w:rPr>
        <w:tab/>
        <w:t xml:space="preserve">בסיכומו של דבר, אני דנה את הנאשם, כדלקמן: </w:t>
      </w:r>
    </w:p>
    <w:p w14:paraId="02D9BF8C" w14:textId="77777777" w:rsidR="006F0D74" w:rsidRDefault="006F0D74" w:rsidP="006F0D74">
      <w:pPr>
        <w:spacing w:line="360" w:lineRule="auto"/>
        <w:jc w:val="both"/>
        <w:rPr>
          <w:rtl/>
        </w:rPr>
      </w:pPr>
    </w:p>
    <w:p w14:paraId="7696093D" w14:textId="77777777" w:rsidR="006F0D74" w:rsidRDefault="006F0D74" w:rsidP="006F0D74">
      <w:pPr>
        <w:pStyle w:val="ListParagraph"/>
        <w:numPr>
          <w:ilvl w:val="0"/>
          <w:numId w:val="1"/>
        </w:numPr>
        <w:spacing w:line="360" w:lineRule="auto"/>
        <w:jc w:val="both"/>
      </w:pPr>
      <w:r>
        <w:rPr>
          <w:rFonts w:hint="cs"/>
          <w:rtl/>
        </w:rPr>
        <w:t>למאסר בפועל לתקופה של 6 חודשים, אשר ירוצה על ידי הנאשם בדרך של עבודות שירות, כאמור בחוות דעת הממונה על עבודות שירות, היינו בעיריית כרמיאל, החל מיום 29/11/18 בשעה 08:00, שאז יתייצב הנאשם לתחילת ריצוי עבודות השרות ביחידת עבודות שרות ברחוב הציונות 14 בטבריה.</w:t>
      </w:r>
    </w:p>
    <w:p w14:paraId="74ED6FE1" w14:textId="77777777" w:rsidR="006F0D74" w:rsidRDefault="006F0D74" w:rsidP="006F0D74">
      <w:pPr>
        <w:spacing w:line="360" w:lineRule="auto"/>
        <w:ind w:left="785"/>
        <w:jc w:val="both"/>
        <w:rPr>
          <w:rtl/>
        </w:rPr>
      </w:pPr>
    </w:p>
    <w:p w14:paraId="53EA1248" w14:textId="77777777" w:rsidR="006F0D74" w:rsidRDefault="006F0D74" w:rsidP="006F0D74">
      <w:pPr>
        <w:pStyle w:val="ListParagraph"/>
        <w:numPr>
          <w:ilvl w:val="0"/>
          <w:numId w:val="1"/>
        </w:numPr>
        <w:spacing w:line="360" w:lineRule="auto"/>
        <w:jc w:val="both"/>
        <w:rPr>
          <w:rtl/>
        </w:rPr>
      </w:pPr>
      <w:r>
        <w:rPr>
          <w:rFonts w:hint="cs"/>
          <w:rtl/>
        </w:rPr>
        <w:t xml:space="preserve">למאסר על תנאי לתקופה של 12 חודשים למשך 3 שנים והתנאי הוא כי לא יעבור הנאשם עבירה מסוג פשע לפי </w:t>
      </w:r>
      <w:hyperlink r:id="rId37" w:history="1">
        <w:r w:rsidR="00C92A43" w:rsidRPr="00C92A43">
          <w:rPr>
            <w:color w:val="0000FF"/>
            <w:u w:val="single"/>
            <w:rtl/>
          </w:rPr>
          <w:t>סעיף 144</w:t>
        </w:r>
      </w:hyperlink>
      <w:r>
        <w:rPr>
          <w:rFonts w:hint="cs"/>
          <w:rtl/>
        </w:rPr>
        <w:t xml:space="preserve"> ל</w:t>
      </w:r>
      <w:hyperlink r:id="rId38" w:history="1">
        <w:r w:rsidR="00AE1E60" w:rsidRPr="00AE1E60">
          <w:rPr>
            <w:color w:val="0000FF"/>
            <w:u w:val="single"/>
            <w:rtl/>
          </w:rPr>
          <w:t>חוק העונשין</w:t>
        </w:r>
      </w:hyperlink>
      <w:r>
        <w:rPr>
          <w:rFonts w:hint="cs"/>
          <w:rtl/>
        </w:rPr>
        <w:t>, התשל"ז-1977.</w:t>
      </w:r>
    </w:p>
    <w:p w14:paraId="55CC449F" w14:textId="77777777" w:rsidR="006F0D74" w:rsidRDefault="006F0D74" w:rsidP="006F0D74">
      <w:pPr>
        <w:spacing w:line="360" w:lineRule="auto"/>
        <w:ind w:left="785"/>
        <w:jc w:val="both"/>
        <w:rPr>
          <w:rtl/>
        </w:rPr>
      </w:pPr>
    </w:p>
    <w:p w14:paraId="18717A41" w14:textId="77777777" w:rsidR="006F0D74" w:rsidRDefault="006F0D74" w:rsidP="006F0D74">
      <w:pPr>
        <w:pStyle w:val="ListParagraph"/>
        <w:numPr>
          <w:ilvl w:val="0"/>
          <w:numId w:val="1"/>
        </w:numPr>
        <w:spacing w:line="360" w:lineRule="auto"/>
        <w:jc w:val="both"/>
        <w:rPr>
          <w:rtl/>
        </w:rPr>
      </w:pPr>
      <w:r>
        <w:rPr>
          <w:rFonts w:hint="cs"/>
          <w:rtl/>
        </w:rPr>
        <w:t xml:space="preserve">למאסר על תנאי לתקופה של 6 חודשים למשך 3 שנים והתנאי הוא כי לא יעבור הנאשם עבירה מסוג עוון לפי </w:t>
      </w:r>
      <w:hyperlink r:id="rId39" w:history="1">
        <w:r w:rsidR="00C92A43" w:rsidRPr="00C92A43">
          <w:rPr>
            <w:color w:val="0000FF"/>
            <w:u w:val="single"/>
            <w:rtl/>
          </w:rPr>
          <w:t>סעיף 144</w:t>
        </w:r>
      </w:hyperlink>
      <w:r>
        <w:rPr>
          <w:rFonts w:hint="cs"/>
          <w:rtl/>
        </w:rPr>
        <w:t xml:space="preserve"> ל</w:t>
      </w:r>
      <w:hyperlink r:id="rId40" w:history="1">
        <w:r w:rsidR="00AE1E60" w:rsidRPr="00AE1E60">
          <w:rPr>
            <w:color w:val="0000FF"/>
            <w:u w:val="single"/>
            <w:rtl/>
          </w:rPr>
          <w:t>חוק העונשין</w:t>
        </w:r>
      </w:hyperlink>
      <w:r>
        <w:rPr>
          <w:rFonts w:hint="cs"/>
          <w:rtl/>
        </w:rPr>
        <w:t xml:space="preserve">, התשל"ז-1977 או עבירה לפי </w:t>
      </w:r>
      <w:hyperlink r:id="rId41" w:history="1">
        <w:r w:rsidR="00C92A43" w:rsidRPr="00C92A43">
          <w:rPr>
            <w:color w:val="0000FF"/>
            <w:u w:val="single"/>
            <w:rtl/>
          </w:rPr>
          <w:t>סעיף 186</w:t>
        </w:r>
      </w:hyperlink>
      <w:r>
        <w:rPr>
          <w:rFonts w:hint="cs"/>
          <w:rtl/>
        </w:rPr>
        <w:t xml:space="preserve"> לחוק הנ"ל.</w:t>
      </w:r>
    </w:p>
    <w:p w14:paraId="546BD811" w14:textId="77777777" w:rsidR="006F0D74" w:rsidRDefault="006F0D74" w:rsidP="006F0D74">
      <w:pPr>
        <w:spacing w:line="360" w:lineRule="auto"/>
        <w:ind w:left="785"/>
        <w:jc w:val="both"/>
        <w:rPr>
          <w:rtl/>
        </w:rPr>
      </w:pPr>
    </w:p>
    <w:p w14:paraId="484CF6D1" w14:textId="77777777" w:rsidR="006F0D74" w:rsidRDefault="006F0D74" w:rsidP="006F0D74">
      <w:pPr>
        <w:pStyle w:val="ListParagraph"/>
        <w:numPr>
          <w:ilvl w:val="0"/>
          <w:numId w:val="1"/>
        </w:numPr>
        <w:spacing w:line="360" w:lineRule="auto"/>
        <w:jc w:val="both"/>
      </w:pPr>
      <w:r>
        <w:rPr>
          <w:rFonts w:hint="cs"/>
          <w:rtl/>
        </w:rPr>
        <w:t>לקנס כספי בסך 10,000 ₪ או 50 ימי מאסר תמורתו.</w:t>
      </w:r>
    </w:p>
    <w:p w14:paraId="4BA58651" w14:textId="77777777" w:rsidR="006F0D74" w:rsidRDefault="006F0D74" w:rsidP="006F0D74">
      <w:pPr>
        <w:pStyle w:val="ListParagraph"/>
        <w:rPr>
          <w:rtl/>
        </w:rPr>
      </w:pPr>
    </w:p>
    <w:p w14:paraId="281EBBD3" w14:textId="77777777" w:rsidR="006F0D74" w:rsidRDefault="006F0D74" w:rsidP="006F0D74">
      <w:pPr>
        <w:pStyle w:val="ListParagraph"/>
        <w:spacing w:line="360" w:lineRule="auto"/>
        <w:ind w:left="1145"/>
        <w:jc w:val="both"/>
        <w:rPr>
          <w:rtl/>
        </w:rPr>
      </w:pPr>
      <w:r>
        <w:rPr>
          <w:rFonts w:hint="cs"/>
          <w:rtl/>
        </w:rPr>
        <w:t>הנאשם יישא בתשלום הקנס ב-20 תשלומים חודשיים, שווים ורצופים, בסך 500 ₪ כל אחד, החל מיום 10/12/18 ואילך.</w:t>
      </w:r>
    </w:p>
    <w:p w14:paraId="3E1864CB" w14:textId="77777777" w:rsidR="006F0D74" w:rsidRDefault="006F0D74" w:rsidP="006F0D74">
      <w:pPr>
        <w:pStyle w:val="ListParagraph"/>
        <w:spacing w:line="360" w:lineRule="auto"/>
        <w:ind w:left="1145"/>
        <w:jc w:val="both"/>
        <w:rPr>
          <w:rtl/>
        </w:rPr>
      </w:pPr>
    </w:p>
    <w:p w14:paraId="48DFA31A" w14:textId="77777777" w:rsidR="006F0D74" w:rsidRDefault="006F0D74" w:rsidP="006F0D74">
      <w:pPr>
        <w:pStyle w:val="ListParagraph"/>
        <w:spacing w:line="360" w:lineRule="auto"/>
        <w:ind w:left="1145"/>
        <w:jc w:val="both"/>
        <w:rPr>
          <w:rtl/>
        </w:rPr>
      </w:pPr>
      <w:r>
        <w:rPr>
          <w:rFonts w:hint="cs"/>
          <w:rtl/>
        </w:rPr>
        <w:t>במידה ולא יעמוד הנאשם בחלק מהתשלומים הנ"ל, תעמוד יתרת חובו לפירעון מידי.</w:t>
      </w:r>
    </w:p>
    <w:p w14:paraId="4680F0BD" w14:textId="77777777" w:rsidR="006F0D74" w:rsidRDefault="006F0D74" w:rsidP="006F0D74">
      <w:pPr>
        <w:spacing w:line="360" w:lineRule="auto"/>
        <w:jc w:val="both"/>
        <w:rPr>
          <w:rtl/>
        </w:rPr>
      </w:pPr>
    </w:p>
    <w:p w14:paraId="5BA069C3" w14:textId="77777777" w:rsidR="006F0D74" w:rsidRPr="00C234DA" w:rsidRDefault="006F0D74" w:rsidP="006F0D74">
      <w:pPr>
        <w:spacing w:line="360" w:lineRule="auto"/>
        <w:jc w:val="both"/>
        <w:rPr>
          <w:u w:val="single"/>
          <w:rtl/>
        </w:rPr>
      </w:pPr>
      <w:r w:rsidRPr="00C234DA">
        <w:rPr>
          <w:rFonts w:hint="cs"/>
          <w:u w:val="single"/>
          <w:rtl/>
        </w:rPr>
        <w:t>המזכירות תמציא את גזר הדין לממונה על עבודות שרות ולשרות המבחן.</w:t>
      </w:r>
    </w:p>
    <w:p w14:paraId="34063548" w14:textId="77777777" w:rsidR="006F0D74" w:rsidRPr="00C234DA" w:rsidRDefault="006F0D74" w:rsidP="006F0D74">
      <w:pPr>
        <w:spacing w:line="360" w:lineRule="auto"/>
        <w:jc w:val="both"/>
        <w:rPr>
          <w:u w:val="single"/>
          <w:rtl/>
        </w:rPr>
      </w:pPr>
      <w:r w:rsidRPr="00C234DA">
        <w:rPr>
          <w:rFonts w:hint="cs"/>
          <w:u w:val="single"/>
          <w:rtl/>
        </w:rPr>
        <w:t>זכות ערעור לבית המשפט העליון תוך 45 יום.</w:t>
      </w:r>
    </w:p>
    <w:p w14:paraId="6D36E405" w14:textId="77777777" w:rsidR="006F0D74" w:rsidRPr="00B05847" w:rsidRDefault="006F0D74" w:rsidP="006F0D74">
      <w:pPr>
        <w:rPr>
          <w:rtl/>
        </w:rPr>
      </w:pPr>
    </w:p>
    <w:p w14:paraId="6DD67DFD" w14:textId="77777777" w:rsidR="006F0D74" w:rsidRPr="00B05847" w:rsidRDefault="006F0D74" w:rsidP="006F0D74">
      <w:pPr>
        <w:rPr>
          <w:rtl/>
        </w:rPr>
      </w:pPr>
    </w:p>
    <w:p w14:paraId="58AC3B95" w14:textId="77777777" w:rsidR="006F0D74" w:rsidRDefault="00AE1E60" w:rsidP="006F0D74">
      <w:pPr>
        <w:spacing w:line="360" w:lineRule="auto"/>
        <w:jc w:val="both"/>
        <w:rPr>
          <w:rFonts w:ascii="Arial" w:hAnsi="Arial"/>
        </w:rPr>
      </w:pPr>
      <w:r w:rsidRPr="00AE1E60">
        <w:rPr>
          <w:rFonts w:ascii="Arial" w:hAnsi="Arial"/>
          <w:color w:val="FFFFFF"/>
          <w:sz w:val="2"/>
          <w:szCs w:val="2"/>
          <w:rtl/>
        </w:rPr>
        <w:t>5129371</w:t>
      </w:r>
      <w:r>
        <w:rPr>
          <w:rFonts w:ascii="Arial" w:hAnsi="Arial"/>
          <w:rtl/>
        </w:rPr>
        <w:t xml:space="preserve">ניתן היום,  כ"ו חשוון תשע"ט, 04 נובמבר 2018, במעמד ב"כ המאשימה עו"ד גויכמן, ב"כ הנאשם </w:t>
      </w:r>
      <w:r w:rsidR="006F0D74">
        <w:rPr>
          <w:rFonts w:ascii="Arial" w:hAnsi="Arial" w:hint="cs"/>
          <w:rtl/>
        </w:rPr>
        <w:t>עו"ד באסל פלאח  והנאשם בעצמו.</w:t>
      </w:r>
    </w:p>
    <w:p w14:paraId="6276B9E3" w14:textId="77777777" w:rsidR="006F0D74" w:rsidRPr="00AE1E60" w:rsidRDefault="00AE1E60" w:rsidP="006F0D74">
      <w:pPr>
        <w:rPr>
          <w:rFonts w:cs="FrankRuehl"/>
          <w:color w:val="FFFFFF"/>
          <w:sz w:val="2"/>
          <w:szCs w:val="2"/>
          <w:rtl/>
        </w:rPr>
      </w:pPr>
      <w:r w:rsidRPr="00AE1E60">
        <w:rPr>
          <w:rFonts w:cs="FrankRuehl"/>
          <w:color w:val="FFFFFF"/>
          <w:sz w:val="2"/>
          <w:szCs w:val="2"/>
          <w:rtl/>
        </w:rPr>
        <w:t>54678313</w:t>
      </w:r>
    </w:p>
    <w:p w14:paraId="7FC635D8" w14:textId="77777777" w:rsidR="006F0D74" w:rsidRDefault="006F0D74" w:rsidP="006F0D7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20C8D63" w14:textId="77777777" w:rsidR="00AE1E60" w:rsidRDefault="00AE1E60" w:rsidP="00AE1E60">
      <w:pPr>
        <w:rPr>
          <w:rtl/>
        </w:rPr>
      </w:pPr>
    </w:p>
    <w:p w14:paraId="6698FAC9" w14:textId="77777777" w:rsidR="00AE1E60" w:rsidRDefault="00AE1E60" w:rsidP="00AE1E6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5D9D98C" w14:textId="77777777" w:rsidR="00C92A43" w:rsidRPr="00C92A43" w:rsidRDefault="00C92A43" w:rsidP="00C92A43">
      <w:pPr>
        <w:keepNext/>
        <w:rPr>
          <w:rFonts w:ascii="David" w:hAnsi="David"/>
          <w:color w:val="000000"/>
          <w:sz w:val="22"/>
          <w:szCs w:val="22"/>
          <w:rtl/>
        </w:rPr>
      </w:pPr>
    </w:p>
    <w:p w14:paraId="617B923E" w14:textId="77777777" w:rsidR="00C92A43" w:rsidRPr="00C92A43" w:rsidRDefault="00C92A43" w:rsidP="00C92A43">
      <w:pPr>
        <w:keepNext/>
        <w:rPr>
          <w:rFonts w:ascii="David" w:hAnsi="David"/>
          <w:color w:val="000000"/>
          <w:sz w:val="22"/>
          <w:szCs w:val="22"/>
          <w:rtl/>
        </w:rPr>
      </w:pPr>
      <w:r w:rsidRPr="00C92A43">
        <w:rPr>
          <w:rFonts w:ascii="David" w:hAnsi="David"/>
          <w:color w:val="000000"/>
          <w:sz w:val="22"/>
          <w:szCs w:val="22"/>
          <w:rtl/>
        </w:rPr>
        <w:t>רונית בש 54678313-/</w:t>
      </w:r>
    </w:p>
    <w:p w14:paraId="5CA6522D" w14:textId="77777777" w:rsidR="00AE1E60" w:rsidRPr="00AE1E60" w:rsidRDefault="00C92A43" w:rsidP="00C92A43">
      <w:pPr>
        <w:rPr>
          <w:color w:val="0000FF"/>
          <w:u w:val="single"/>
        </w:rPr>
      </w:pPr>
      <w:r w:rsidRPr="00C92A43">
        <w:rPr>
          <w:color w:val="000000"/>
          <w:u w:val="single"/>
          <w:rtl/>
        </w:rPr>
        <w:t>נוסח מסמך זה כפוף לשינויי ניסוח ועריכה</w:t>
      </w:r>
    </w:p>
    <w:sectPr w:rsidR="00AE1E60" w:rsidRPr="00AE1E60" w:rsidSect="00C92A43">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5395C" w14:textId="77777777" w:rsidR="009C0A77" w:rsidRDefault="009C0A77" w:rsidP="008D6255">
      <w:r>
        <w:separator/>
      </w:r>
    </w:p>
  </w:endnote>
  <w:endnote w:type="continuationSeparator" w:id="0">
    <w:p w14:paraId="10DCBB2F" w14:textId="77777777" w:rsidR="009C0A77" w:rsidRDefault="009C0A77" w:rsidP="008D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AF1A" w14:textId="77777777" w:rsidR="00547F0B" w:rsidRDefault="00547F0B" w:rsidP="00C92A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B02A94" w14:textId="77777777" w:rsidR="00547F0B" w:rsidRPr="00C92A43" w:rsidRDefault="00547F0B" w:rsidP="00C92A43">
    <w:pPr>
      <w:pStyle w:val="a5"/>
      <w:pBdr>
        <w:top w:val="single" w:sz="4" w:space="1" w:color="auto"/>
        <w:between w:val="single" w:sz="4" w:space="0" w:color="auto"/>
      </w:pBdr>
      <w:spacing w:after="60"/>
      <w:jc w:val="center"/>
      <w:rPr>
        <w:rFonts w:ascii="FrankRuehl" w:hAnsi="FrankRuehl" w:cs="FrankRuehl"/>
        <w:color w:val="000000"/>
      </w:rPr>
    </w:pPr>
    <w:r w:rsidRPr="00C92A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323" w14:textId="77777777" w:rsidR="00547F0B" w:rsidRDefault="00547F0B" w:rsidP="00C92A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10A8">
      <w:rPr>
        <w:rFonts w:ascii="FrankRuehl" w:hAnsi="FrankRuehl" w:cs="FrankRuehl"/>
        <w:noProof/>
        <w:rtl/>
      </w:rPr>
      <w:t>1</w:t>
    </w:r>
    <w:r>
      <w:rPr>
        <w:rFonts w:ascii="FrankRuehl" w:hAnsi="FrankRuehl" w:cs="FrankRuehl"/>
        <w:rtl/>
      </w:rPr>
      <w:fldChar w:fldCharType="end"/>
    </w:r>
  </w:p>
  <w:p w14:paraId="1314D390" w14:textId="77777777" w:rsidR="00547F0B" w:rsidRPr="00C92A43" w:rsidRDefault="00547F0B" w:rsidP="00C92A43">
    <w:pPr>
      <w:pStyle w:val="a5"/>
      <w:pBdr>
        <w:top w:val="single" w:sz="4" w:space="1" w:color="auto"/>
        <w:between w:val="single" w:sz="4" w:space="0" w:color="auto"/>
      </w:pBdr>
      <w:spacing w:after="60"/>
      <w:jc w:val="center"/>
      <w:rPr>
        <w:rFonts w:ascii="FrankRuehl" w:hAnsi="FrankRuehl" w:cs="FrankRuehl"/>
        <w:color w:val="000000"/>
      </w:rPr>
    </w:pPr>
    <w:r w:rsidRPr="00C92A43">
      <w:rPr>
        <w:rFonts w:ascii="FrankRuehl" w:hAnsi="FrankRuehl" w:cs="FrankRuehl"/>
        <w:color w:val="000000"/>
      </w:rPr>
      <w:pict w14:anchorId="426A6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654A2" w14:textId="77777777" w:rsidR="009C0A77" w:rsidRDefault="009C0A77" w:rsidP="008D6255">
      <w:r>
        <w:separator/>
      </w:r>
    </w:p>
  </w:footnote>
  <w:footnote w:type="continuationSeparator" w:id="0">
    <w:p w14:paraId="331C95E0" w14:textId="77777777" w:rsidR="009C0A77" w:rsidRDefault="009C0A77" w:rsidP="008D6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C3395" w14:textId="77777777" w:rsidR="00547F0B" w:rsidRPr="00C92A43" w:rsidRDefault="00547F0B" w:rsidP="00C92A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49995-09-17</w:t>
    </w:r>
    <w:r>
      <w:rPr>
        <w:rFonts w:ascii="David" w:hAnsi="David"/>
        <w:color w:val="000000"/>
        <w:sz w:val="22"/>
        <w:szCs w:val="22"/>
        <w:rtl/>
      </w:rPr>
      <w:tab/>
      <w:t xml:space="preserve"> מדינת ישראל נ' סאמי עלי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76D37" w14:textId="77777777" w:rsidR="00547F0B" w:rsidRPr="00C92A43" w:rsidRDefault="00547F0B" w:rsidP="00C92A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49995-09-17</w:t>
    </w:r>
    <w:r>
      <w:rPr>
        <w:rFonts w:ascii="David" w:hAnsi="David"/>
        <w:color w:val="000000"/>
        <w:sz w:val="22"/>
        <w:szCs w:val="22"/>
        <w:rtl/>
      </w:rPr>
      <w:tab/>
      <w:t xml:space="preserve"> מדינת ישראל נ' סאמי עלי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D6C13"/>
    <w:multiLevelType w:val="hybridMultilevel"/>
    <w:tmpl w:val="3FDC617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130253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0D74"/>
    <w:rsid w:val="0003468B"/>
    <w:rsid w:val="000D10A8"/>
    <w:rsid w:val="0015434D"/>
    <w:rsid w:val="002B6C33"/>
    <w:rsid w:val="004407F1"/>
    <w:rsid w:val="0044208B"/>
    <w:rsid w:val="00547F0B"/>
    <w:rsid w:val="00601EB4"/>
    <w:rsid w:val="006F0D74"/>
    <w:rsid w:val="007130B0"/>
    <w:rsid w:val="008954CC"/>
    <w:rsid w:val="008D6255"/>
    <w:rsid w:val="009C0A77"/>
    <w:rsid w:val="00AE1E60"/>
    <w:rsid w:val="00C92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4AB0A3A"/>
  <w15:chartTrackingRefBased/>
  <w15:docId w15:val="{60525DF9-6EAA-4A70-A229-3155AF86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0D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0D74"/>
    <w:pPr>
      <w:tabs>
        <w:tab w:val="center" w:pos="4153"/>
        <w:tab w:val="right" w:pos="8306"/>
      </w:tabs>
    </w:pPr>
  </w:style>
  <w:style w:type="character" w:customStyle="1" w:styleId="a4">
    <w:name w:val="כותרת עליונה תו"/>
    <w:link w:val="a3"/>
    <w:rsid w:val="006F0D74"/>
    <w:rPr>
      <w:rFonts w:ascii="Times New Roman" w:eastAsia="Times New Roman" w:hAnsi="Times New Roman" w:cs="David"/>
      <w:sz w:val="24"/>
      <w:szCs w:val="24"/>
    </w:rPr>
  </w:style>
  <w:style w:type="paragraph" w:styleId="a5">
    <w:name w:val="footer"/>
    <w:basedOn w:val="a"/>
    <w:link w:val="a6"/>
    <w:rsid w:val="006F0D74"/>
    <w:pPr>
      <w:tabs>
        <w:tab w:val="center" w:pos="4153"/>
        <w:tab w:val="right" w:pos="8306"/>
      </w:tabs>
    </w:pPr>
  </w:style>
  <w:style w:type="character" w:customStyle="1" w:styleId="a6">
    <w:name w:val="כותרת תחתונה תו"/>
    <w:link w:val="a5"/>
    <w:rsid w:val="006F0D74"/>
    <w:rPr>
      <w:rFonts w:ascii="Times New Roman" w:eastAsia="Times New Roman" w:hAnsi="Times New Roman" w:cs="David"/>
      <w:sz w:val="24"/>
      <w:szCs w:val="24"/>
    </w:rPr>
  </w:style>
  <w:style w:type="table" w:styleId="a7">
    <w:name w:val="Table Grid"/>
    <w:basedOn w:val="a1"/>
    <w:rsid w:val="006F0D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0D74"/>
  </w:style>
  <w:style w:type="character" w:customStyle="1" w:styleId="TimesNewRomanTimesNewRoman">
    <w:name w:val="סגנון (לטיני) Times New Roman (עברית ושפות אחרות) Times New Roman..."/>
    <w:rsid w:val="006F0D74"/>
    <w:rPr>
      <w:rFonts w:ascii="Times New Roman" w:hAnsi="Times New Roman" w:cs="David" w:hint="default"/>
      <w:b/>
      <w:bCs/>
      <w:sz w:val="26"/>
      <w:szCs w:val="26"/>
    </w:rPr>
  </w:style>
  <w:style w:type="paragraph" w:customStyle="1" w:styleId="ListParagraph">
    <w:name w:val="List Paragraph"/>
    <w:basedOn w:val="a"/>
    <w:qFormat/>
    <w:rsid w:val="006F0D74"/>
    <w:pPr>
      <w:ind w:left="720"/>
      <w:contextualSpacing/>
    </w:pPr>
  </w:style>
  <w:style w:type="paragraph" w:styleId="a9">
    <w:name w:val="Balloon Text"/>
    <w:basedOn w:val="a"/>
    <w:link w:val="aa"/>
    <w:rsid w:val="006F0D74"/>
    <w:rPr>
      <w:rFonts w:ascii="Tahoma" w:hAnsi="Tahoma" w:cs="Tahoma"/>
      <w:sz w:val="16"/>
      <w:szCs w:val="16"/>
    </w:rPr>
  </w:style>
  <w:style w:type="character" w:customStyle="1" w:styleId="aa">
    <w:name w:val="טקסט בלונים תו"/>
    <w:link w:val="a9"/>
    <w:rsid w:val="006F0D74"/>
    <w:rPr>
      <w:rFonts w:ascii="Tahoma" w:eastAsia="Times New Roman" w:hAnsi="Tahoma" w:cs="Tahoma"/>
      <w:sz w:val="16"/>
      <w:szCs w:val="16"/>
    </w:rPr>
  </w:style>
  <w:style w:type="character" w:styleId="Hyperlink">
    <w:name w:val="Hyperlink"/>
    <w:rsid w:val="00AE1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47303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law/70301/4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86"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10499511"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law/70301/40i"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c.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4656586"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186.a" TargetMode="External"/><Relationship Id="rId33" Type="http://schemas.openxmlformats.org/officeDocument/2006/relationships/hyperlink" Target="http://www.nevo.co.il/case/5601503"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144.c.3" TargetMode="External"/><Relationship Id="rId41" Type="http://schemas.openxmlformats.org/officeDocument/2006/relationships/hyperlink" Target="http://www.nevo.co.il/law/70301/1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3473</Words>
  <Characters>17366</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20798</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7143524</vt:i4>
      </vt:variant>
      <vt:variant>
        <vt:i4>102</vt:i4>
      </vt:variant>
      <vt:variant>
        <vt:i4>0</vt:i4>
      </vt:variant>
      <vt:variant>
        <vt:i4>5</vt:i4>
      </vt:variant>
      <vt:variant>
        <vt:lpwstr>http://www.nevo.co.il/law/70301/186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3997816</vt:i4>
      </vt:variant>
      <vt:variant>
        <vt:i4>87</vt:i4>
      </vt:variant>
      <vt:variant>
        <vt:i4>0</vt:i4>
      </vt:variant>
      <vt:variant>
        <vt:i4>5</vt:i4>
      </vt:variant>
      <vt:variant>
        <vt:lpwstr>http://www.nevo.co.il/case/10499511</vt:lpwstr>
      </vt:variant>
      <vt:variant>
        <vt:lpwstr/>
      </vt:variant>
      <vt:variant>
        <vt:i4>3276924</vt:i4>
      </vt:variant>
      <vt:variant>
        <vt:i4>84</vt:i4>
      </vt:variant>
      <vt:variant>
        <vt:i4>0</vt:i4>
      </vt:variant>
      <vt:variant>
        <vt:i4>5</vt:i4>
      </vt:variant>
      <vt:variant>
        <vt:lpwstr>http://www.nevo.co.il/case/4656586</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4390994</vt:i4>
      </vt:variant>
      <vt:variant>
        <vt:i4>54</vt:i4>
      </vt:variant>
      <vt:variant>
        <vt:i4>0</vt:i4>
      </vt:variant>
      <vt:variant>
        <vt:i4>5</vt:i4>
      </vt:variant>
      <vt:variant>
        <vt:lpwstr>http://www.nevo.co.il/law/70301/186.a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7143524</vt:i4>
      </vt:variant>
      <vt:variant>
        <vt:i4>24</vt:i4>
      </vt:variant>
      <vt:variant>
        <vt:i4>0</vt:i4>
      </vt:variant>
      <vt:variant>
        <vt:i4>5</vt:i4>
      </vt:variant>
      <vt:variant>
        <vt:lpwstr>http://www.nevo.co.il/law/70301/186</vt:lpwstr>
      </vt:variant>
      <vt:variant>
        <vt:lpwstr/>
      </vt:variant>
      <vt:variant>
        <vt:i4>6357043</vt:i4>
      </vt:variant>
      <vt:variant>
        <vt:i4>21</vt:i4>
      </vt:variant>
      <vt:variant>
        <vt:i4>0</vt:i4>
      </vt:variant>
      <vt:variant>
        <vt:i4>5</vt:i4>
      </vt:variant>
      <vt:variant>
        <vt:lpwstr>http://www.nevo.co.il/law/70301/144.c.3</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49995</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סאמי עלי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20181104</vt:lpwstr>
  </property>
  <property fmtid="{D5CDD505-2E9C-101B-9397-08002B2CF9AE}" pid="13" name="TYPE_N_DATE">
    <vt:lpwstr>39020181104</vt:lpwstr>
  </property>
  <property fmtid="{D5CDD505-2E9C-101B-9397-08002B2CF9AE}" pid="14" name="WORDNUMPAGES">
    <vt:lpwstr>10</vt:lpwstr>
  </property>
  <property fmtid="{D5CDD505-2E9C-101B-9397-08002B2CF9AE}" pid="15" name="TYPE_ABS_DATE">
    <vt:lpwstr>390120181104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6243627;5601503;6473037;4656586;10499511</vt:lpwstr>
  </property>
  <property fmtid="{D5CDD505-2E9C-101B-9397-08002B2CF9AE}" pid="36" name="LAWLISTTMP1">
    <vt:lpwstr>70301/144.b2;144.c.3;144.a;186.a;040b;040c;040i;144:2;186</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20181115</vt:lpwstr>
  </property>
  <property fmtid="{D5CDD505-2E9C-101B-9397-08002B2CF9AE}" pid="71" name="METAKZER">
    <vt:lpwstr>עומרי</vt:lpwstr>
  </property>
</Properties>
</file>