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75A99" w:rsidRPr="00D95733" w14:paraId="31B6E4DB" w14:textId="77777777" w:rsidTr="00A4353D">
        <w:trPr>
          <w:trHeight w:hRule="exact" w:val="418"/>
          <w:jc w:val="center"/>
        </w:trPr>
        <w:tc>
          <w:tcPr>
            <w:tcW w:w="8721" w:type="dxa"/>
            <w:gridSpan w:val="2"/>
          </w:tcPr>
          <w:p w14:paraId="5111C4C7" w14:textId="77777777" w:rsidR="00575A99" w:rsidRPr="00D95733" w:rsidRDefault="00575A99" w:rsidP="00CA6576">
            <w:pPr>
              <w:pStyle w:val="a3"/>
              <w:jc w:val="center"/>
              <w:rPr>
                <w:rFonts w:ascii="Tahoma" w:hAnsi="Tahoma" w:cs="Tahoma"/>
                <w:color w:val="000080"/>
                <w:rtl/>
              </w:rPr>
            </w:pPr>
            <w:bookmarkStart w:id="0" w:name="LastJudge"/>
            <w:r w:rsidRPr="00D95733">
              <w:rPr>
                <w:rFonts w:ascii="Tahoma" w:hAnsi="Tahoma" w:cs="Tahoma"/>
                <w:b/>
                <w:bCs/>
                <w:color w:val="000080"/>
                <w:rtl/>
              </w:rPr>
              <w:t>בית המשפט המחוזי בחיפה</w:t>
            </w:r>
          </w:p>
        </w:tc>
      </w:tr>
      <w:tr w:rsidR="00575A99" w:rsidRPr="00D95733" w14:paraId="31A3F8B4" w14:textId="77777777" w:rsidTr="00A4353D">
        <w:trPr>
          <w:trHeight w:val="337"/>
          <w:jc w:val="center"/>
        </w:trPr>
        <w:tc>
          <w:tcPr>
            <w:tcW w:w="5060" w:type="dxa"/>
          </w:tcPr>
          <w:p w14:paraId="507661E0" w14:textId="77777777" w:rsidR="00575A99" w:rsidRPr="00D95733" w:rsidRDefault="00575A99" w:rsidP="00CA6576">
            <w:pPr>
              <w:rPr>
                <w:rFonts w:cs="FrankRuehl"/>
                <w:sz w:val="28"/>
                <w:szCs w:val="28"/>
                <w:rtl/>
              </w:rPr>
            </w:pPr>
            <w:r w:rsidRPr="00D95733">
              <w:rPr>
                <w:rFonts w:cs="FrankRuehl"/>
                <w:sz w:val="28"/>
                <w:szCs w:val="28"/>
                <w:rtl/>
              </w:rPr>
              <w:t>ת"פ</w:t>
            </w:r>
            <w:r w:rsidRPr="00D95733">
              <w:rPr>
                <w:rFonts w:cs="FrankRuehl" w:hint="cs"/>
                <w:sz w:val="28"/>
                <w:szCs w:val="28"/>
                <w:rtl/>
              </w:rPr>
              <w:t xml:space="preserve"> </w:t>
            </w:r>
            <w:r w:rsidRPr="00D95733">
              <w:rPr>
                <w:rFonts w:cs="FrankRuehl"/>
                <w:sz w:val="28"/>
                <w:szCs w:val="28"/>
                <w:rtl/>
              </w:rPr>
              <w:t>55908-09-17</w:t>
            </w:r>
            <w:r w:rsidRPr="00D95733">
              <w:rPr>
                <w:rFonts w:cs="FrankRuehl" w:hint="cs"/>
                <w:sz w:val="28"/>
                <w:szCs w:val="28"/>
                <w:rtl/>
              </w:rPr>
              <w:t xml:space="preserve"> </w:t>
            </w:r>
            <w:r w:rsidRPr="00D95733">
              <w:rPr>
                <w:rFonts w:cs="FrankRuehl"/>
                <w:sz w:val="28"/>
                <w:szCs w:val="28"/>
                <w:rtl/>
              </w:rPr>
              <w:t>מדינת ישראל נ' מחאמיד(עציר)</w:t>
            </w:r>
          </w:p>
          <w:p w14:paraId="6895B0AE" w14:textId="77777777" w:rsidR="00575A99" w:rsidRPr="00D95733" w:rsidRDefault="00575A99" w:rsidP="00CA6576">
            <w:pPr>
              <w:pStyle w:val="a3"/>
              <w:rPr>
                <w:rFonts w:cs="FrankRuehl"/>
                <w:sz w:val="28"/>
                <w:szCs w:val="28"/>
                <w:rtl/>
              </w:rPr>
            </w:pPr>
          </w:p>
        </w:tc>
        <w:tc>
          <w:tcPr>
            <w:tcW w:w="3661" w:type="dxa"/>
          </w:tcPr>
          <w:p w14:paraId="51A7E90A" w14:textId="77777777" w:rsidR="00575A99" w:rsidRPr="00D95733" w:rsidRDefault="00575A99" w:rsidP="00CA6576">
            <w:pPr>
              <w:pStyle w:val="a3"/>
              <w:jc w:val="right"/>
              <w:rPr>
                <w:rFonts w:cs="FrankRuehl"/>
                <w:sz w:val="28"/>
                <w:szCs w:val="28"/>
                <w:rtl/>
              </w:rPr>
            </w:pPr>
          </w:p>
        </w:tc>
      </w:tr>
    </w:tbl>
    <w:p w14:paraId="7A88E395" w14:textId="77777777" w:rsidR="00575A99" w:rsidRPr="00D95733" w:rsidRDefault="00575A99" w:rsidP="00575A99">
      <w:pPr>
        <w:pStyle w:val="a3"/>
        <w:rPr>
          <w:rtl/>
        </w:rPr>
      </w:pPr>
      <w:r w:rsidRPr="00D95733">
        <w:rPr>
          <w:rFonts w:hint="cs"/>
          <w:rtl/>
        </w:rPr>
        <w:t xml:space="preserve"> </w:t>
      </w:r>
    </w:p>
    <w:p w14:paraId="708FD54B" w14:textId="77777777" w:rsidR="00575A99" w:rsidRPr="00D95733" w:rsidRDefault="00575A99" w:rsidP="00575A9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CA6576" w:rsidRPr="00D95733" w14:paraId="07D8F726" w14:textId="77777777" w:rsidTr="00575A99">
        <w:trPr>
          <w:gridAfter w:val="1"/>
          <w:wAfter w:w="56" w:type="dxa"/>
        </w:trPr>
        <w:tc>
          <w:tcPr>
            <w:tcW w:w="8718" w:type="dxa"/>
            <w:gridSpan w:val="2"/>
            <w:shd w:val="clear" w:color="auto" w:fill="auto"/>
          </w:tcPr>
          <w:p w14:paraId="58F69C59" w14:textId="77777777" w:rsidR="00575A99" w:rsidRPr="00D95733" w:rsidRDefault="00575A99" w:rsidP="00CA6576">
            <w:pPr>
              <w:rPr>
                <w:b/>
                <w:bCs/>
                <w:sz w:val="26"/>
                <w:szCs w:val="26"/>
                <w:rtl/>
              </w:rPr>
            </w:pPr>
            <w:r w:rsidRPr="00D95733">
              <w:rPr>
                <w:rFonts w:hint="cs"/>
                <w:b/>
                <w:bCs/>
                <w:sz w:val="26"/>
                <w:szCs w:val="26"/>
                <w:rtl/>
              </w:rPr>
              <w:t>לפני כבוד השופט דניאל פיש</w:t>
            </w:r>
            <w:r w:rsidRPr="00D95733">
              <w:rPr>
                <w:rStyle w:val="TimesNewRomanTimesNewRoman"/>
                <w:rFonts w:hint="cs"/>
                <w:rtl/>
              </w:rPr>
              <w:t xml:space="preserve"> </w:t>
            </w:r>
          </w:p>
        </w:tc>
      </w:tr>
      <w:tr w:rsidR="00CA6576" w:rsidRPr="00D95733" w14:paraId="1AB6FD56" w14:textId="77777777" w:rsidTr="00575A99">
        <w:trPr>
          <w:cantSplit/>
          <w:trHeight w:val="724"/>
        </w:trPr>
        <w:tc>
          <w:tcPr>
            <w:tcW w:w="2880" w:type="dxa"/>
            <w:shd w:val="clear" w:color="auto" w:fill="auto"/>
          </w:tcPr>
          <w:p w14:paraId="298E271A" w14:textId="77777777" w:rsidR="00575A99" w:rsidRPr="00D95733" w:rsidRDefault="00575A99" w:rsidP="00575A99">
            <w:pPr>
              <w:ind w:left="26"/>
              <w:rPr>
                <w:b/>
                <w:bCs/>
                <w:sz w:val="26"/>
                <w:szCs w:val="26"/>
                <w:rtl/>
              </w:rPr>
            </w:pPr>
            <w:bookmarkStart w:id="1" w:name="FirstAppellant"/>
            <w:bookmarkStart w:id="2" w:name="FirstLawyer"/>
          </w:p>
          <w:p w14:paraId="4D7ED00F" w14:textId="77777777" w:rsidR="00575A99" w:rsidRPr="00D95733" w:rsidRDefault="00575A99" w:rsidP="00575A99">
            <w:pPr>
              <w:ind w:left="26"/>
              <w:rPr>
                <w:b/>
                <w:bCs/>
                <w:sz w:val="26"/>
                <w:szCs w:val="26"/>
                <w:rtl/>
              </w:rPr>
            </w:pPr>
            <w:r w:rsidRPr="00D95733">
              <w:rPr>
                <w:rFonts w:hint="cs"/>
                <w:b/>
                <w:bCs/>
                <w:sz w:val="26"/>
                <w:szCs w:val="26"/>
                <w:rtl/>
              </w:rPr>
              <w:t>המאשימה</w:t>
            </w:r>
          </w:p>
        </w:tc>
        <w:tc>
          <w:tcPr>
            <w:tcW w:w="5922" w:type="dxa"/>
            <w:gridSpan w:val="2"/>
            <w:shd w:val="clear" w:color="auto" w:fill="auto"/>
          </w:tcPr>
          <w:p w14:paraId="1500B175" w14:textId="77777777" w:rsidR="00575A99" w:rsidRPr="00D95733" w:rsidRDefault="00575A99" w:rsidP="00CA6576">
            <w:pPr>
              <w:rPr>
                <w:rtl/>
              </w:rPr>
            </w:pPr>
          </w:p>
          <w:p w14:paraId="56A49F75" w14:textId="77777777" w:rsidR="00575A99" w:rsidRPr="00D95733" w:rsidRDefault="00575A99" w:rsidP="00CA6576">
            <w:pPr>
              <w:rPr>
                <w:b/>
                <w:bCs/>
                <w:sz w:val="26"/>
                <w:szCs w:val="26"/>
                <w:rtl/>
              </w:rPr>
            </w:pPr>
            <w:r w:rsidRPr="00D95733">
              <w:rPr>
                <w:rtl/>
              </w:rPr>
              <w:t xml:space="preserve"> </w:t>
            </w:r>
            <w:r w:rsidRPr="00D95733">
              <w:rPr>
                <w:rFonts w:hint="cs"/>
                <w:b/>
                <w:bCs/>
                <w:sz w:val="26"/>
                <w:szCs w:val="26"/>
                <w:rtl/>
              </w:rPr>
              <w:t>מדינת ישראל</w:t>
            </w:r>
          </w:p>
          <w:p w14:paraId="04863010" w14:textId="77777777" w:rsidR="00575A99" w:rsidRPr="00D95733" w:rsidRDefault="00575A99" w:rsidP="00CA6576">
            <w:pPr>
              <w:rPr>
                <w:b/>
                <w:bCs/>
                <w:sz w:val="26"/>
                <w:szCs w:val="26"/>
                <w:rtl/>
              </w:rPr>
            </w:pPr>
            <w:r w:rsidRPr="00D95733">
              <w:rPr>
                <w:rFonts w:hint="cs"/>
                <w:b/>
                <w:bCs/>
                <w:sz w:val="26"/>
                <w:szCs w:val="26"/>
                <w:rtl/>
              </w:rPr>
              <w:t>ע"י ב"כ עו"ד ענאן ג'נאם</w:t>
            </w:r>
          </w:p>
          <w:p w14:paraId="2AEE8026" w14:textId="77777777" w:rsidR="00575A99" w:rsidRPr="00D95733" w:rsidRDefault="00575A99" w:rsidP="00CA6576">
            <w:pPr>
              <w:rPr>
                <w:b/>
                <w:bCs/>
                <w:sz w:val="26"/>
                <w:szCs w:val="26"/>
                <w:rtl/>
              </w:rPr>
            </w:pPr>
          </w:p>
        </w:tc>
      </w:tr>
      <w:bookmarkEnd w:id="1"/>
      <w:bookmarkEnd w:id="2"/>
      <w:tr w:rsidR="00CA6576" w:rsidRPr="00D95733" w14:paraId="629943AB" w14:textId="77777777" w:rsidTr="00575A99">
        <w:tc>
          <w:tcPr>
            <w:tcW w:w="8802" w:type="dxa"/>
            <w:gridSpan w:val="3"/>
            <w:shd w:val="clear" w:color="auto" w:fill="auto"/>
            <w:vAlign w:val="center"/>
          </w:tcPr>
          <w:p w14:paraId="79218350" w14:textId="77777777" w:rsidR="00575A99" w:rsidRPr="00D95733" w:rsidRDefault="00575A99" w:rsidP="00575A99">
            <w:pPr>
              <w:jc w:val="center"/>
              <w:rPr>
                <w:rFonts w:ascii="Arial" w:hAnsi="Arial"/>
                <w:b/>
                <w:bCs/>
                <w:sz w:val="26"/>
                <w:szCs w:val="26"/>
                <w:rtl/>
              </w:rPr>
            </w:pPr>
          </w:p>
          <w:p w14:paraId="15B78150" w14:textId="77777777" w:rsidR="00575A99" w:rsidRPr="00D95733" w:rsidRDefault="00575A99" w:rsidP="00575A99">
            <w:pPr>
              <w:jc w:val="center"/>
              <w:rPr>
                <w:rFonts w:ascii="Arial" w:hAnsi="Arial"/>
                <w:b/>
                <w:bCs/>
                <w:sz w:val="26"/>
                <w:szCs w:val="26"/>
                <w:rtl/>
              </w:rPr>
            </w:pPr>
            <w:r w:rsidRPr="00D95733">
              <w:rPr>
                <w:rFonts w:ascii="Arial" w:hAnsi="Arial" w:hint="cs"/>
                <w:b/>
                <w:bCs/>
                <w:sz w:val="26"/>
                <w:szCs w:val="26"/>
                <w:rtl/>
              </w:rPr>
              <w:t>נגד</w:t>
            </w:r>
          </w:p>
          <w:p w14:paraId="3BE8873F" w14:textId="77777777" w:rsidR="00575A99" w:rsidRPr="00D95733" w:rsidRDefault="00575A99" w:rsidP="00CA6576">
            <w:pPr>
              <w:rPr>
                <w:rFonts w:ascii="Arial" w:hAnsi="Arial"/>
                <w:b/>
                <w:bCs/>
                <w:sz w:val="26"/>
                <w:szCs w:val="26"/>
                <w:rtl/>
              </w:rPr>
            </w:pPr>
          </w:p>
        </w:tc>
      </w:tr>
      <w:tr w:rsidR="00CA6576" w:rsidRPr="00D95733" w14:paraId="17D661A0" w14:textId="77777777" w:rsidTr="00575A99">
        <w:tc>
          <w:tcPr>
            <w:tcW w:w="2880" w:type="dxa"/>
            <w:shd w:val="clear" w:color="auto" w:fill="auto"/>
          </w:tcPr>
          <w:p w14:paraId="2CC5D169" w14:textId="77777777" w:rsidR="00575A99" w:rsidRPr="00D95733" w:rsidRDefault="00575A99" w:rsidP="00575A99">
            <w:pPr>
              <w:ind w:left="26"/>
              <w:rPr>
                <w:b/>
                <w:bCs/>
                <w:sz w:val="26"/>
                <w:szCs w:val="26"/>
              </w:rPr>
            </w:pPr>
            <w:r w:rsidRPr="00D95733">
              <w:rPr>
                <w:rFonts w:hint="cs"/>
                <w:b/>
                <w:bCs/>
                <w:sz w:val="26"/>
                <w:szCs w:val="26"/>
                <w:rtl/>
              </w:rPr>
              <w:t>הנאשם</w:t>
            </w:r>
          </w:p>
        </w:tc>
        <w:tc>
          <w:tcPr>
            <w:tcW w:w="5922" w:type="dxa"/>
            <w:gridSpan w:val="2"/>
            <w:shd w:val="clear" w:color="auto" w:fill="auto"/>
          </w:tcPr>
          <w:p w14:paraId="3BFF7E43" w14:textId="77777777" w:rsidR="00575A99" w:rsidRPr="00D95733" w:rsidRDefault="00575A99" w:rsidP="00CA6576">
            <w:pPr>
              <w:rPr>
                <w:b/>
                <w:bCs/>
                <w:sz w:val="26"/>
                <w:szCs w:val="26"/>
                <w:rtl/>
              </w:rPr>
            </w:pPr>
            <w:r w:rsidRPr="00D95733">
              <w:rPr>
                <w:rtl/>
              </w:rPr>
              <w:t xml:space="preserve"> </w:t>
            </w:r>
            <w:r w:rsidRPr="00D95733">
              <w:rPr>
                <w:rFonts w:hint="cs"/>
                <w:b/>
                <w:bCs/>
                <w:sz w:val="26"/>
                <w:szCs w:val="26"/>
                <w:rtl/>
              </w:rPr>
              <w:t>אחמד מחמוד מחאמיד (עציר)</w:t>
            </w:r>
            <w:r w:rsidRPr="00D95733">
              <w:rPr>
                <w:rtl/>
              </w:rPr>
              <w:t xml:space="preserve"> </w:t>
            </w:r>
            <w:r w:rsidRPr="00D95733">
              <w:rPr>
                <w:rFonts w:hint="cs"/>
                <w:b/>
                <w:bCs/>
                <w:sz w:val="26"/>
                <w:szCs w:val="26"/>
                <w:rtl/>
              </w:rPr>
              <w:t xml:space="preserve">ת.ז.  </w:t>
            </w:r>
            <w:r w:rsidR="00D95733">
              <w:rPr>
                <w:b/>
                <w:bCs/>
                <w:sz w:val="26"/>
                <w:szCs w:val="26"/>
              </w:rPr>
              <w:t>xxxxxxxxxx</w:t>
            </w:r>
          </w:p>
          <w:p w14:paraId="539BB75E" w14:textId="77777777" w:rsidR="00575A99" w:rsidRPr="00D95733" w:rsidRDefault="00575A99" w:rsidP="00CA6576">
            <w:pPr>
              <w:rPr>
                <w:b/>
                <w:bCs/>
                <w:sz w:val="26"/>
                <w:szCs w:val="26"/>
                <w:rtl/>
              </w:rPr>
            </w:pPr>
            <w:r w:rsidRPr="00D95733">
              <w:rPr>
                <w:rFonts w:hint="cs"/>
                <w:b/>
                <w:bCs/>
                <w:sz w:val="26"/>
                <w:szCs w:val="26"/>
                <w:rtl/>
              </w:rPr>
              <w:t>ע"י ב"כ עו"ד עומר מסארווה</w:t>
            </w:r>
          </w:p>
        </w:tc>
      </w:tr>
    </w:tbl>
    <w:p w14:paraId="166BEDC0" w14:textId="77777777" w:rsidR="00A4353D" w:rsidRPr="00A4353D" w:rsidRDefault="00A4353D" w:rsidP="00A4353D">
      <w:pPr>
        <w:spacing w:after="120" w:line="240" w:lineRule="exact"/>
        <w:ind w:left="283" w:hanging="283"/>
        <w:jc w:val="both"/>
        <w:rPr>
          <w:rFonts w:ascii="FrankRuehl" w:hAnsi="FrankRuehl" w:cs="FrankRuehl"/>
          <w:rtl/>
        </w:rPr>
      </w:pPr>
      <w:bookmarkStart w:id="3" w:name="LawTable"/>
      <w:bookmarkEnd w:id="3"/>
    </w:p>
    <w:p w14:paraId="458CA22F" w14:textId="77777777" w:rsidR="00A4353D" w:rsidRPr="00A4353D" w:rsidRDefault="00A4353D" w:rsidP="00A4353D">
      <w:pPr>
        <w:spacing w:after="120" w:line="240" w:lineRule="exact"/>
        <w:ind w:left="283" w:hanging="283"/>
        <w:jc w:val="both"/>
        <w:rPr>
          <w:rFonts w:ascii="FrankRuehl" w:hAnsi="FrankRuehl" w:cs="FrankRuehl"/>
          <w:rtl/>
        </w:rPr>
      </w:pPr>
      <w:r w:rsidRPr="00A4353D">
        <w:rPr>
          <w:rFonts w:ascii="FrankRuehl" w:hAnsi="FrankRuehl" w:cs="FrankRuehl"/>
          <w:rtl/>
        </w:rPr>
        <w:t xml:space="preserve">חקיקה שאוזכרה: </w:t>
      </w:r>
    </w:p>
    <w:p w14:paraId="3F36D132" w14:textId="77777777" w:rsidR="00A4353D" w:rsidRPr="00A4353D" w:rsidRDefault="00A4353D" w:rsidP="00A4353D">
      <w:pPr>
        <w:spacing w:after="120" w:line="240" w:lineRule="exact"/>
        <w:ind w:left="283" w:hanging="283"/>
        <w:jc w:val="both"/>
        <w:rPr>
          <w:rFonts w:ascii="FrankRuehl" w:hAnsi="FrankRuehl" w:cs="FrankRuehl"/>
          <w:rtl/>
        </w:rPr>
      </w:pPr>
      <w:hyperlink r:id="rId6" w:history="1">
        <w:r w:rsidRPr="00A4353D">
          <w:rPr>
            <w:rFonts w:ascii="FrankRuehl" w:hAnsi="FrankRuehl" w:cs="FrankRuehl"/>
            <w:color w:val="0000FF"/>
            <w:u w:val="single"/>
            <w:rtl/>
          </w:rPr>
          <w:t>חוק העונשין, תשל"ז-1977</w:t>
        </w:r>
      </w:hyperlink>
      <w:r w:rsidRPr="00A4353D">
        <w:rPr>
          <w:rFonts w:ascii="FrankRuehl" w:hAnsi="FrankRuehl" w:cs="FrankRuehl"/>
          <w:rtl/>
        </w:rPr>
        <w:t xml:space="preserve">: סע'  </w:t>
      </w:r>
      <w:hyperlink r:id="rId7" w:history="1">
        <w:r w:rsidRPr="00A4353D">
          <w:rPr>
            <w:rFonts w:ascii="FrankRuehl" w:hAnsi="FrankRuehl" w:cs="FrankRuehl"/>
            <w:color w:val="0000FF"/>
            <w:u w:val="single"/>
            <w:rtl/>
          </w:rPr>
          <w:t>77</w:t>
        </w:r>
      </w:hyperlink>
      <w:r w:rsidRPr="00A4353D">
        <w:rPr>
          <w:rFonts w:ascii="FrankRuehl" w:hAnsi="FrankRuehl" w:cs="FrankRuehl"/>
          <w:rtl/>
        </w:rPr>
        <w:t xml:space="preserve">, </w:t>
      </w:r>
      <w:hyperlink r:id="rId8" w:history="1">
        <w:r w:rsidRPr="00A4353D">
          <w:rPr>
            <w:rFonts w:ascii="FrankRuehl" w:hAnsi="FrankRuehl" w:cs="FrankRuehl"/>
            <w:color w:val="0000FF"/>
            <w:u w:val="single"/>
            <w:rtl/>
          </w:rPr>
          <w:t>144(א)(</w:t>
        </w:r>
      </w:hyperlink>
      <w:r w:rsidRPr="00A4353D">
        <w:rPr>
          <w:rFonts w:ascii="FrankRuehl" w:hAnsi="FrankRuehl" w:cs="FrankRuehl"/>
          <w:rtl/>
        </w:rPr>
        <w:t xml:space="preserve">, </w:t>
      </w:r>
      <w:hyperlink r:id="rId9" w:history="1">
        <w:r w:rsidRPr="00A4353D">
          <w:rPr>
            <w:rFonts w:ascii="FrankRuehl" w:hAnsi="FrankRuehl" w:cs="FrankRuehl"/>
            <w:color w:val="0000FF"/>
            <w:u w:val="single"/>
            <w:rtl/>
          </w:rPr>
          <w:t>329(א)(1)</w:t>
        </w:r>
      </w:hyperlink>
    </w:p>
    <w:p w14:paraId="35044920" w14:textId="77777777" w:rsidR="00A4353D" w:rsidRPr="00A4353D" w:rsidRDefault="00A4353D" w:rsidP="00A4353D">
      <w:pPr>
        <w:spacing w:after="120" w:line="240" w:lineRule="exact"/>
        <w:ind w:left="283" w:hanging="283"/>
        <w:jc w:val="both"/>
        <w:rPr>
          <w:rFonts w:ascii="FrankRuehl" w:hAnsi="FrankRuehl" w:cs="FrankRuehl"/>
          <w:rtl/>
        </w:rPr>
      </w:pPr>
      <w:hyperlink r:id="rId10" w:history="1">
        <w:r w:rsidRPr="00A4353D">
          <w:rPr>
            <w:rFonts w:ascii="FrankRuehl" w:hAnsi="FrankRuehl" w:cs="FrankRuehl"/>
            <w:color w:val="0000FF"/>
            <w:u w:val="single"/>
            <w:rtl/>
          </w:rPr>
          <w:t>חוק זכויות נפגעי עבירה, תשס"א-2001</w:t>
        </w:r>
      </w:hyperlink>
    </w:p>
    <w:p w14:paraId="007621ED" w14:textId="77777777" w:rsidR="00A4353D" w:rsidRPr="00A4353D" w:rsidRDefault="00A4353D" w:rsidP="00A4353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6576" w14:paraId="45C25C46" w14:textId="77777777" w:rsidTr="00575A99">
        <w:trPr>
          <w:trHeight w:val="355"/>
          <w:jc w:val="center"/>
        </w:trPr>
        <w:tc>
          <w:tcPr>
            <w:tcW w:w="8820" w:type="dxa"/>
            <w:tcBorders>
              <w:top w:val="nil"/>
              <w:left w:val="nil"/>
              <w:bottom w:val="nil"/>
              <w:right w:val="nil"/>
            </w:tcBorders>
            <w:shd w:val="clear" w:color="auto" w:fill="auto"/>
          </w:tcPr>
          <w:p w14:paraId="4F0037A5" w14:textId="77777777" w:rsidR="00D95733" w:rsidRPr="00D95733" w:rsidRDefault="00D95733" w:rsidP="00D95733">
            <w:pPr>
              <w:jc w:val="center"/>
              <w:rPr>
                <w:rFonts w:ascii="Arial" w:hAnsi="Arial" w:cs="FrankRuehl"/>
                <w:b/>
                <w:bCs/>
                <w:sz w:val="32"/>
                <w:szCs w:val="32"/>
                <w:u w:val="single"/>
                <w:rtl/>
              </w:rPr>
            </w:pPr>
            <w:bookmarkStart w:id="4" w:name="LawTable_End"/>
            <w:bookmarkStart w:id="5" w:name="PsakDin" w:colFirst="0" w:colLast="0"/>
            <w:bookmarkEnd w:id="0"/>
            <w:bookmarkEnd w:id="4"/>
            <w:r w:rsidRPr="00D95733">
              <w:rPr>
                <w:rFonts w:ascii="Arial" w:hAnsi="Arial" w:cs="FrankRuehl"/>
                <w:b/>
                <w:bCs/>
                <w:sz w:val="32"/>
                <w:szCs w:val="32"/>
                <w:u w:val="single"/>
                <w:rtl/>
              </w:rPr>
              <w:t>גזר דין</w:t>
            </w:r>
          </w:p>
          <w:p w14:paraId="566397C6" w14:textId="77777777" w:rsidR="00575A99" w:rsidRPr="00D95733" w:rsidRDefault="00575A99" w:rsidP="00D95733">
            <w:pPr>
              <w:jc w:val="center"/>
              <w:rPr>
                <w:rFonts w:ascii="Arial" w:hAnsi="Arial" w:cs="FrankRuehl"/>
                <w:bCs/>
                <w:sz w:val="32"/>
                <w:szCs w:val="32"/>
                <w:u w:val="single"/>
                <w:rtl/>
              </w:rPr>
            </w:pPr>
          </w:p>
        </w:tc>
      </w:tr>
      <w:bookmarkEnd w:id="5"/>
    </w:tbl>
    <w:p w14:paraId="4C5ABEFF" w14:textId="77777777" w:rsidR="00575A99" w:rsidRPr="00B05847" w:rsidRDefault="00575A99" w:rsidP="00575A99">
      <w:pPr>
        <w:rPr>
          <w:rFonts w:ascii="Arial" w:hAnsi="Arial"/>
          <w:rtl/>
        </w:rPr>
      </w:pPr>
    </w:p>
    <w:p w14:paraId="505E271C" w14:textId="77777777" w:rsidR="00575A99" w:rsidRDefault="00575A99" w:rsidP="00575A99">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הודה במסגרת הסדר שלא כלל הסדר אודות העונש בביצוע עבירות של חבלה בכוונה מחמירה לפי </w:t>
      </w:r>
      <w:hyperlink r:id="rId11" w:history="1">
        <w:r w:rsidR="00A4353D" w:rsidRPr="00A4353D">
          <w:rPr>
            <w:rFonts w:ascii="Arial" w:hAnsi="Arial"/>
            <w:color w:val="0000FF"/>
            <w:u w:val="single"/>
            <w:rtl/>
          </w:rPr>
          <w:t>סעיף 329(א)(1)</w:t>
        </w:r>
      </w:hyperlink>
      <w:r>
        <w:rPr>
          <w:rFonts w:ascii="Arial" w:hAnsi="Arial" w:hint="cs"/>
          <w:rtl/>
        </w:rPr>
        <w:t xml:space="preserve"> ל</w:t>
      </w:r>
      <w:hyperlink r:id="rId12" w:history="1">
        <w:r w:rsidR="00D95733" w:rsidRPr="00D95733">
          <w:rPr>
            <w:rStyle w:val="Hyperlink"/>
            <w:rFonts w:ascii="Arial" w:hAnsi="Arial" w:hint="eastAsia"/>
            <w:color w:val="0000FF"/>
            <w:rtl/>
          </w:rPr>
          <w:t>חוק</w:t>
        </w:r>
        <w:r w:rsidR="00D95733" w:rsidRPr="00D95733">
          <w:rPr>
            <w:rStyle w:val="Hyperlink"/>
            <w:rFonts w:ascii="Arial" w:hAnsi="Arial"/>
            <w:color w:val="0000FF"/>
            <w:rtl/>
          </w:rPr>
          <w:t xml:space="preserve"> העונשין</w:t>
        </w:r>
      </w:hyperlink>
      <w:r>
        <w:rPr>
          <w:rFonts w:ascii="Arial" w:hAnsi="Arial" w:hint="cs"/>
          <w:rtl/>
        </w:rPr>
        <w:t xml:space="preserve"> התשל"ז- 1977 והחזקת נשק לפי סעיף </w:t>
      </w:r>
      <w:hyperlink r:id="rId13" w:history="1">
        <w:r w:rsidR="00A4353D" w:rsidRPr="00A4353D">
          <w:rPr>
            <w:rFonts w:ascii="Arial" w:hAnsi="Arial"/>
            <w:color w:val="0000FF"/>
            <w:u w:val="single"/>
            <w:rtl/>
          </w:rPr>
          <w:t>144(א)(</w:t>
        </w:r>
      </w:hyperlink>
      <w:r>
        <w:rPr>
          <w:rFonts w:ascii="Arial" w:hAnsi="Arial" w:hint="cs"/>
          <w:rtl/>
        </w:rPr>
        <w:t xml:space="preserve">רישא וסיפא לחוק). כאמור בכתב האישום המתוקן בין הנאשם לבין המתלונן הייתה הכרות מוקדמת ושניהם מתגוררים באום אל פחם. </w:t>
      </w:r>
      <w:bookmarkStart w:id="7" w:name="ABSTRACT_END"/>
      <w:bookmarkEnd w:id="7"/>
      <w:r>
        <w:rPr>
          <w:rFonts w:ascii="Arial" w:hAnsi="Arial" w:hint="cs"/>
          <w:rtl/>
        </w:rPr>
        <w:t>ביום 23.8.17 נפגשו ליד מכולת בעיר והתגלה ויכוח ביניהם על רקע שמועות שהגיעו לנאשם לפיהן המתלונן רוצה לפגוע בו. בעקבות הויכוח החליט הנאשם מאוחר יותר לפגוע במתלונן. בהמשך אותו ערב החליטו שניים אחרים שקשורים לנאשם ולמתלונן ליישב את הסכסוך ביניהם ופגשו את הנאשם בבית דודם ושם החליטו בידיעת הנאשם להביא את המתלונן למפגש עם הנאשם על מנת לערוך סולחה בין השניים. לשם כך נסעו ואספו את המתלונן ועברו לביתו של הדוד. בהגיעם המתין להם הנאשם כשהוא מחזיק ברובה צייד טעון שהצטייד בו בעוד מועד בכוונה לירות במתלונן. שני המלווים שהבחינו בנאשם מחזיק בנשק ירדו מהרכב וניגשו לעברו, אז הבחין הנאשם במתלונן שירד מהרכב, ניגש לעברו וירה כדור אחד לעברו ממרחק של מטרים בודדים ולאחר מכן ברח מהמקום שהוא נושא ומוביל את הנשק. המתלונן נפגע מהירי בברך ימין ונגרמו לו פצעי כניסה ויציאה גדולים שגרמו לחוסר בעצם וברקמות, פגיעה נרחבת בשרירים ופגיעה בכלי דם מרכזיים. הוא הובהל לבית חולים העמק ובהמשך הועבר לבית חולים שיבא ונאלץ לעבור מספר ניתוחים לתיקון הנזקים ברגל ימין. פורט שהוא צפוי לעבור עוד מספר ניתוחים וכן זקוק להליך שיקומי ארוך.</w:t>
      </w:r>
    </w:p>
    <w:p w14:paraId="470F3B48" w14:textId="77777777" w:rsidR="00575A99" w:rsidRDefault="00575A99" w:rsidP="00575A99">
      <w:pPr>
        <w:spacing w:line="360" w:lineRule="auto"/>
        <w:ind w:left="720" w:hanging="720"/>
        <w:jc w:val="both"/>
        <w:rPr>
          <w:rFonts w:ascii="Arial" w:hAnsi="Arial"/>
          <w:rtl/>
        </w:rPr>
      </w:pPr>
    </w:p>
    <w:p w14:paraId="2E621864"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עברו הפלילי של הנאשם</w:t>
      </w:r>
    </w:p>
    <w:p w14:paraId="044E8900" w14:textId="77777777" w:rsidR="00575A99" w:rsidRDefault="00575A99" w:rsidP="00575A99">
      <w:pPr>
        <w:spacing w:line="360" w:lineRule="auto"/>
        <w:ind w:left="720" w:hanging="720"/>
        <w:jc w:val="both"/>
        <w:rPr>
          <w:rFonts w:ascii="Arial" w:hAnsi="Arial"/>
          <w:rtl/>
        </w:rPr>
      </w:pPr>
    </w:p>
    <w:p w14:paraId="53EA8237"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לנאשם עבר פלילי כאשר הוא הורשע בהחזקת סכין שלא למטרה כשרה בשנת 2015 וחבלה במזיד ברכב בשנת 2012.</w:t>
      </w:r>
    </w:p>
    <w:p w14:paraId="6692612E" w14:textId="77777777" w:rsidR="00575A99" w:rsidRPr="004E7CFA"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 xml:space="preserve">יובהר שלא מדובר בעבר מכביד. </w:t>
      </w:r>
    </w:p>
    <w:p w14:paraId="18A6FC74" w14:textId="77777777" w:rsidR="00575A99" w:rsidRDefault="00575A99" w:rsidP="00575A99">
      <w:pPr>
        <w:spacing w:line="360" w:lineRule="auto"/>
        <w:ind w:left="720" w:hanging="720"/>
        <w:jc w:val="both"/>
        <w:rPr>
          <w:rFonts w:ascii="Arial" w:hAnsi="Arial"/>
          <w:rtl/>
        </w:rPr>
      </w:pPr>
    </w:p>
    <w:p w14:paraId="592FA057"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תסקירים</w:t>
      </w:r>
    </w:p>
    <w:p w14:paraId="13271E46" w14:textId="77777777" w:rsidR="00575A99" w:rsidRDefault="00575A99" w:rsidP="00575A99">
      <w:pPr>
        <w:spacing w:line="360" w:lineRule="auto"/>
        <w:ind w:left="720" w:hanging="720"/>
        <w:jc w:val="both"/>
        <w:rPr>
          <w:rFonts w:ascii="Arial" w:hAnsi="Arial"/>
          <w:b/>
          <w:bCs/>
          <w:u w:val="single"/>
          <w:rtl/>
        </w:rPr>
      </w:pPr>
    </w:p>
    <w:p w14:paraId="5EC10FC9" w14:textId="77777777" w:rsidR="00575A99" w:rsidRDefault="00575A99" w:rsidP="00575A99">
      <w:pPr>
        <w:spacing w:line="360" w:lineRule="auto"/>
        <w:ind w:left="720" w:hanging="720"/>
        <w:jc w:val="both"/>
        <w:rPr>
          <w:rFonts w:ascii="Arial" w:hAnsi="Arial"/>
          <w:rtl/>
        </w:rPr>
      </w:pPr>
      <w:r>
        <w:rPr>
          <w:rFonts w:ascii="Arial" w:hAnsi="Arial" w:hint="cs"/>
          <w:rtl/>
        </w:rPr>
        <w:t>2.</w:t>
      </w:r>
      <w:r>
        <w:rPr>
          <w:rFonts w:ascii="Arial" w:hAnsi="Arial" w:hint="cs"/>
          <w:rtl/>
        </w:rPr>
        <w:tab/>
        <w:t xml:space="preserve">תסקיר שירות המבחן הוגש ביום 2.5.18, תוארו קורותיו של הנאשם, שהוא בן 26, נשוי ואב לשני ילדים קטנים. הוא חסר מקצוע, ובמשך השנים היה לרוב מובטל ועובד באופן לא קבוע בעבודות בנייה או ניקיון. משפחת מוצאו קשת יום. כשהיה בן 19 אחיו נעצר בגין חשד לרצח ובתקופה זו החלה החרפה בדפוסי התמכרותו של הנאשם לאלכוהול. בתהליכי המעצר הוא נשלח למוסד סגור לגמילה אך לא התמיד שם וחזר למעצר מיום 8.3.18. הוא לא לוקח חלק בהליכי טיפול או חינוך באגף ופנייתו לעובדת סוציאלית בנידון טרם נענתה. הוא תיאר את ביצוע העבירה כנובע מתחושת איום שקיבל מהמתלונן. הוערך כי קיים סיכון ברמה בינונית גבוהה לנקיטת מעשים אלימים בעתיד וזאת על רקע, בין היתר, אי הסדר באורח חייו של הנאשם. בסופו של עניין, בהעדר אופציה טיפולית לא הומלץ על טיפול אלא על ענישה מוחשית מרתיעה. </w:t>
      </w:r>
    </w:p>
    <w:p w14:paraId="2F87803E" w14:textId="77777777" w:rsidR="00575A99" w:rsidRDefault="00575A99" w:rsidP="00575A99">
      <w:pPr>
        <w:spacing w:line="360" w:lineRule="auto"/>
        <w:ind w:left="720" w:hanging="720"/>
        <w:jc w:val="both"/>
        <w:rPr>
          <w:rFonts w:ascii="Arial" w:hAnsi="Arial"/>
          <w:rtl/>
        </w:rPr>
      </w:pPr>
    </w:p>
    <w:p w14:paraId="7C4F856A" w14:textId="77777777" w:rsidR="00575A99" w:rsidRDefault="00575A99" w:rsidP="00575A99">
      <w:pPr>
        <w:spacing w:line="360" w:lineRule="auto"/>
        <w:ind w:left="720" w:hanging="720"/>
        <w:jc w:val="both"/>
        <w:rPr>
          <w:rFonts w:ascii="Arial" w:hAnsi="Arial"/>
          <w:rtl/>
        </w:rPr>
      </w:pPr>
      <w:r>
        <w:rPr>
          <w:rFonts w:ascii="Arial" w:hAnsi="Arial" w:hint="cs"/>
          <w:rtl/>
        </w:rPr>
        <w:t>3.</w:t>
      </w:r>
      <w:r>
        <w:rPr>
          <w:rFonts w:ascii="Arial" w:hAnsi="Arial"/>
          <w:rtl/>
        </w:rPr>
        <w:tab/>
      </w:r>
      <w:r>
        <w:rPr>
          <w:rFonts w:ascii="Arial" w:hAnsi="Arial" w:hint="cs"/>
          <w:rtl/>
        </w:rPr>
        <w:t>תסקיר קורבן הוגש ביום 6.5.18 ותואר בו שהמתלונן הוא כבן 20, הוא מתגורר עם משפחתו בעיר, סיים 12 שנות לימוד בבית ספר מקצועי בתחום החשמל וקודם לפגיעה עבד כשנתיים בעבודות בניין, בעיקר לצורך מימון בניית ביתו. הפגיעה קטעה את אורח חייו ופגעה בכל המערך המשפחתי. תוארה פגיעה פסיכולוגית ונזקים פיזיים קשים ומשמעותיים כתוצאה מהירי בו. דוחות מעקב שנבחנו הראו שתחילה נשקלה קטיעת הרגל וזה הביא למעבר לבית חולים אחר שם עבר ניתוחים להצלתה. הוא סובל מכאבים ממושכים וכעת נקבעו לו חמישים אחוז נכות רפואית זמנית עד ליום 31.8.18 ומאה אחוז אי כושר לאותו תאריך על ידי הביטוח הלאומי. לסיכום תואר שמדובר בנזקים חמורים שנגרמו לכל מישורי חייו של המתלונן בעקבות הפגיעה, והומלץ על פיצויי כספי משמעותי.</w:t>
      </w:r>
    </w:p>
    <w:p w14:paraId="11BE2ADF" w14:textId="77777777" w:rsidR="00575A99" w:rsidRDefault="00575A99" w:rsidP="00575A99">
      <w:pPr>
        <w:spacing w:line="360" w:lineRule="auto"/>
        <w:ind w:left="720" w:hanging="720"/>
        <w:jc w:val="both"/>
        <w:rPr>
          <w:rFonts w:ascii="Arial" w:hAnsi="Arial"/>
          <w:rtl/>
        </w:rPr>
      </w:pPr>
    </w:p>
    <w:p w14:paraId="477F6E20"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טיעוני המדינה לעניין העונש</w:t>
      </w:r>
    </w:p>
    <w:p w14:paraId="7EB0958B" w14:textId="77777777" w:rsidR="00575A99" w:rsidRPr="00A565D9" w:rsidRDefault="00575A99" w:rsidP="00575A99">
      <w:pPr>
        <w:spacing w:line="360" w:lineRule="auto"/>
        <w:ind w:left="720" w:hanging="720"/>
        <w:jc w:val="both"/>
        <w:rPr>
          <w:rFonts w:ascii="Arial" w:hAnsi="Arial"/>
          <w:b/>
          <w:bCs/>
          <w:u w:val="single"/>
          <w:rtl/>
        </w:rPr>
      </w:pPr>
    </w:p>
    <w:p w14:paraId="5765E01E" w14:textId="77777777" w:rsidR="00575A99" w:rsidRDefault="00575A99" w:rsidP="00575A99">
      <w:pPr>
        <w:spacing w:line="360" w:lineRule="auto"/>
        <w:ind w:left="720" w:hanging="720"/>
        <w:jc w:val="both"/>
        <w:rPr>
          <w:rFonts w:ascii="Arial" w:hAnsi="Arial"/>
          <w:rtl/>
        </w:rPr>
      </w:pPr>
      <w:r>
        <w:rPr>
          <w:rFonts w:ascii="Arial" w:hAnsi="Arial" w:hint="cs"/>
          <w:rtl/>
        </w:rPr>
        <w:t>4.</w:t>
      </w:r>
      <w:r>
        <w:rPr>
          <w:rFonts w:ascii="Arial" w:hAnsi="Arial" w:hint="cs"/>
          <w:rtl/>
        </w:rPr>
        <w:tab/>
        <w:t>המדינה טענה שמדובר במקרה נוסף וחמור של שימוש בנשק חם שמחייב ענישה מחמירה ואוזכרה פסיקה ביחס לצורך להחמיר בענישה בקשר לעבירות נשק ומעשי אלימות (</w:t>
      </w:r>
      <w:hyperlink r:id="rId14"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 xml:space="preserve">"פ </w:t>
        </w:r>
        <w:r w:rsidR="00D95733" w:rsidRPr="00D95733">
          <w:rPr>
            <w:rStyle w:val="Hyperlink"/>
            <w:rFonts w:ascii="Arial" w:hAnsi="Arial"/>
            <w:color w:val="0000FF"/>
            <w:rtl/>
          </w:rPr>
          <w:lastRenderedPageBreak/>
          <w:t>6373/11</w:t>
        </w:r>
      </w:hyperlink>
      <w:r>
        <w:rPr>
          <w:rFonts w:ascii="Arial" w:hAnsi="Arial" w:hint="cs"/>
          <w:rtl/>
        </w:rPr>
        <w:t xml:space="preserve"> </w:t>
      </w:r>
      <w:r w:rsidRPr="00293A94">
        <w:rPr>
          <w:rFonts w:ascii="Arial" w:hAnsi="Arial" w:hint="cs"/>
          <w:b/>
          <w:bCs/>
          <w:rtl/>
        </w:rPr>
        <w:t>אלי זריהו נ' מדינת ישראל</w:t>
      </w:r>
      <w:r>
        <w:rPr>
          <w:rFonts w:ascii="Arial" w:hAnsi="Arial" w:hint="cs"/>
          <w:b/>
          <w:bCs/>
          <w:rtl/>
        </w:rPr>
        <w:t xml:space="preserve"> </w:t>
      </w:r>
      <w:r>
        <w:rPr>
          <w:rFonts w:ascii="Arial" w:hAnsi="Arial" w:hint="cs"/>
          <w:rtl/>
        </w:rPr>
        <w:t>(30.5.2013) ו</w:t>
      </w:r>
      <w:hyperlink r:id="rId15"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4697/11</w:t>
        </w:r>
      </w:hyperlink>
      <w:r>
        <w:rPr>
          <w:rFonts w:ascii="Arial" w:hAnsi="Arial" w:hint="cs"/>
          <w:rtl/>
        </w:rPr>
        <w:t xml:space="preserve"> </w:t>
      </w:r>
      <w:r>
        <w:rPr>
          <w:rFonts w:ascii="Arial" w:hAnsi="Arial" w:hint="cs"/>
          <w:b/>
          <w:bCs/>
          <w:rtl/>
        </w:rPr>
        <w:t>מדינת ישראל נ' אלצאנע</w:t>
      </w:r>
      <w:r>
        <w:rPr>
          <w:rFonts w:ascii="Arial" w:hAnsi="Arial" w:hint="cs"/>
          <w:rtl/>
        </w:rPr>
        <w:t xml:space="preserve">; </w:t>
      </w:r>
      <w:hyperlink r:id="rId16"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5860/14</w:t>
        </w:r>
      </w:hyperlink>
      <w:r>
        <w:rPr>
          <w:rFonts w:ascii="Arial" w:hAnsi="Arial" w:hint="cs"/>
          <w:rtl/>
        </w:rPr>
        <w:t xml:space="preserve"> </w:t>
      </w:r>
      <w:r>
        <w:rPr>
          <w:rFonts w:ascii="Arial" w:hAnsi="Arial" w:hint="cs"/>
          <w:b/>
          <w:bCs/>
          <w:rtl/>
        </w:rPr>
        <w:t>אסף לביא נ' מדינת ישראל</w:t>
      </w:r>
      <w:r>
        <w:rPr>
          <w:rFonts w:ascii="Arial" w:hAnsi="Arial" w:hint="cs"/>
          <w:rtl/>
        </w:rPr>
        <w:t xml:space="preserve"> (6.3.2016)).</w:t>
      </w:r>
    </w:p>
    <w:p w14:paraId="7A53CB04" w14:textId="77777777" w:rsidR="00575A99" w:rsidRDefault="00575A99" w:rsidP="00575A99">
      <w:pPr>
        <w:spacing w:line="360" w:lineRule="auto"/>
        <w:ind w:left="720" w:hanging="720"/>
        <w:jc w:val="both"/>
        <w:rPr>
          <w:rFonts w:ascii="Arial" w:hAnsi="Arial"/>
          <w:rtl/>
        </w:rPr>
      </w:pPr>
    </w:p>
    <w:p w14:paraId="7BA05CC6"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באשר לשיקולים בגזירת העונש נטען שנפגעו הערכים החברתיים של שלום וביטחון הציבור והגנה על חיי אדם. נטען שבוצע תכנון מוקדם בין היתר על ידי ההצטיידות ברובה צייד טעון וכך שהמתלונן הובא לנאשם בתחבולה. נטען שחלקו היחסי של הנאשם היה בלעדי ושנגרם נזק קשה למתלונן.</w:t>
      </w:r>
    </w:p>
    <w:p w14:paraId="52140FBD" w14:textId="77777777" w:rsidR="00575A99" w:rsidRDefault="00575A99" w:rsidP="00575A99">
      <w:pPr>
        <w:spacing w:line="360" w:lineRule="auto"/>
        <w:ind w:left="720" w:hanging="720"/>
        <w:jc w:val="both"/>
        <w:rPr>
          <w:rFonts w:ascii="Arial" w:hAnsi="Arial"/>
          <w:rtl/>
        </w:rPr>
      </w:pPr>
    </w:p>
    <w:p w14:paraId="66ACB095" w14:textId="77777777" w:rsidR="00575A99" w:rsidRDefault="00575A99" w:rsidP="00575A99">
      <w:pPr>
        <w:spacing w:line="360" w:lineRule="auto"/>
        <w:ind w:left="720"/>
        <w:jc w:val="both"/>
        <w:rPr>
          <w:rFonts w:ascii="Arial" w:hAnsi="Arial"/>
          <w:rtl/>
        </w:rPr>
      </w:pPr>
      <w:r>
        <w:rPr>
          <w:rFonts w:ascii="Arial" w:hAnsi="Arial" w:hint="cs"/>
          <w:rtl/>
        </w:rPr>
        <w:t xml:space="preserve">נטען שהסיבות שהביאו את הנאשם לביצוע העבירה היו פסולות ושהנאשם יכול היה להימנע מביצוע המעשה ללא כל קושי והיה צריך להבין את הפסול והסיכון שהיו כרוכים בו. צוין עברו הפלילי של הנאשם ובין היתר מעורבותו בעבירות אלימות בעבר ושהזדמנויות שניתנו לו לא הרתיעו אותו מלהמשיך במעשים פליליים. </w:t>
      </w:r>
    </w:p>
    <w:p w14:paraId="09FF25B0" w14:textId="77777777" w:rsidR="00575A99" w:rsidRDefault="00575A99" w:rsidP="00575A99">
      <w:pPr>
        <w:spacing w:line="360" w:lineRule="auto"/>
        <w:ind w:left="720"/>
        <w:jc w:val="both"/>
        <w:rPr>
          <w:rFonts w:ascii="Arial" w:hAnsi="Arial"/>
          <w:rtl/>
        </w:rPr>
      </w:pPr>
    </w:p>
    <w:p w14:paraId="1C559773" w14:textId="77777777" w:rsidR="00575A99" w:rsidRDefault="00575A99" w:rsidP="00575A99">
      <w:pPr>
        <w:spacing w:line="360" w:lineRule="auto"/>
        <w:ind w:left="720"/>
        <w:jc w:val="both"/>
        <w:rPr>
          <w:rFonts w:ascii="Arial" w:hAnsi="Arial"/>
          <w:rtl/>
        </w:rPr>
      </w:pPr>
      <w:r>
        <w:rPr>
          <w:rFonts w:ascii="Arial" w:hAnsi="Arial" w:hint="cs"/>
          <w:rtl/>
        </w:rPr>
        <w:t xml:space="preserve">נטען שהתסקיר היה שלילי ונטען שתסקיר קורבן העבירה מצביע על נזקים מקיפים למתלונן. </w:t>
      </w:r>
    </w:p>
    <w:p w14:paraId="1A9FC755" w14:textId="77777777" w:rsidR="00575A99" w:rsidRDefault="00575A99" w:rsidP="00575A99">
      <w:pPr>
        <w:spacing w:line="360" w:lineRule="auto"/>
        <w:ind w:left="720"/>
        <w:jc w:val="both"/>
        <w:rPr>
          <w:rFonts w:ascii="Arial" w:hAnsi="Arial"/>
          <w:rtl/>
        </w:rPr>
      </w:pPr>
    </w:p>
    <w:p w14:paraId="7EAED653" w14:textId="77777777" w:rsidR="00575A99" w:rsidRDefault="00575A99" w:rsidP="00575A99">
      <w:pPr>
        <w:spacing w:line="360" w:lineRule="auto"/>
        <w:ind w:left="720"/>
        <w:jc w:val="both"/>
        <w:rPr>
          <w:rFonts w:ascii="Arial" w:hAnsi="Arial"/>
          <w:rtl/>
        </w:rPr>
      </w:pPr>
      <w:r>
        <w:rPr>
          <w:rFonts w:ascii="Arial" w:hAnsi="Arial" w:hint="cs"/>
          <w:rtl/>
        </w:rPr>
        <w:t>מבחינת פסיקה צוינו פסקי הדין שלהלן:</w:t>
      </w:r>
    </w:p>
    <w:p w14:paraId="1461352D" w14:textId="77777777" w:rsidR="00575A99" w:rsidRDefault="00575A99" w:rsidP="00575A99">
      <w:pPr>
        <w:spacing w:line="360" w:lineRule="auto"/>
        <w:ind w:left="720"/>
        <w:jc w:val="both"/>
        <w:rPr>
          <w:rFonts w:ascii="Arial" w:hAnsi="Arial"/>
          <w:rtl/>
        </w:rPr>
      </w:pPr>
    </w:p>
    <w:p w14:paraId="7041BF1C" w14:textId="77777777" w:rsidR="00575A99" w:rsidRDefault="00D95733" w:rsidP="00575A99">
      <w:pPr>
        <w:spacing w:line="360" w:lineRule="auto"/>
        <w:ind w:left="720"/>
        <w:jc w:val="both"/>
        <w:rPr>
          <w:rFonts w:ascii="Arial" w:hAnsi="Arial"/>
          <w:rtl/>
        </w:rPr>
      </w:pPr>
      <w:hyperlink r:id="rId17" w:history="1">
        <w:r w:rsidRPr="00D95733">
          <w:rPr>
            <w:rStyle w:val="Hyperlink"/>
            <w:rFonts w:ascii="Arial" w:hAnsi="Arial" w:hint="eastAsia"/>
            <w:color w:val="0000FF"/>
            <w:rtl/>
          </w:rPr>
          <w:t>ע</w:t>
        </w:r>
        <w:r w:rsidRPr="00D95733">
          <w:rPr>
            <w:rStyle w:val="Hyperlink"/>
            <w:rFonts w:ascii="Arial" w:hAnsi="Arial"/>
            <w:color w:val="0000FF"/>
            <w:rtl/>
          </w:rPr>
          <w:t>"פ 4314/04</w:t>
        </w:r>
      </w:hyperlink>
      <w:r w:rsidR="00575A99">
        <w:rPr>
          <w:rFonts w:ascii="Arial" w:hAnsi="Arial" w:hint="cs"/>
          <w:rtl/>
        </w:rPr>
        <w:t xml:space="preserve"> </w:t>
      </w:r>
      <w:r w:rsidR="00575A99">
        <w:rPr>
          <w:rFonts w:ascii="Arial" w:hAnsi="Arial" w:hint="cs"/>
          <w:b/>
          <w:bCs/>
          <w:rtl/>
        </w:rPr>
        <w:t xml:space="preserve">ליסר יפין נ' מדינת ישראל </w:t>
      </w:r>
      <w:r w:rsidR="00575A99">
        <w:rPr>
          <w:rFonts w:ascii="Arial" w:hAnsi="Arial" w:hint="cs"/>
          <w:rtl/>
        </w:rPr>
        <w:t xml:space="preserve">(5.9.2007) נאשם חבל בשכנתו וגרם לה לפצעים ושברים בגולגולת, הוא נידון ל- 13 שנות מאסר בפועל. התוצאה אושרה בערעור וזאת למרות שהנאשם היה בן 67 בעת ביצוע העבירה. </w:t>
      </w:r>
    </w:p>
    <w:p w14:paraId="254D851E" w14:textId="77777777" w:rsidR="00575A99" w:rsidRDefault="00575A99" w:rsidP="00575A99">
      <w:pPr>
        <w:spacing w:line="360" w:lineRule="auto"/>
        <w:ind w:left="720"/>
        <w:jc w:val="both"/>
        <w:rPr>
          <w:rFonts w:ascii="Arial" w:hAnsi="Arial"/>
          <w:rtl/>
        </w:rPr>
      </w:pPr>
    </w:p>
    <w:p w14:paraId="29F891C3" w14:textId="77777777" w:rsidR="00575A99" w:rsidRDefault="00575A99" w:rsidP="00575A99">
      <w:pPr>
        <w:spacing w:line="360" w:lineRule="auto"/>
        <w:ind w:left="720"/>
        <w:jc w:val="both"/>
        <w:rPr>
          <w:rFonts w:ascii="Arial" w:hAnsi="Arial"/>
          <w:rtl/>
        </w:rPr>
      </w:pPr>
      <w:r>
        <w:rPr>
          <w:rFonts w:ascii="Arial" w:hAnsi="Arial" w:hint="cs"/>
          <w:rtl/>
        </w:rPr>
        <w:t>ב</w:t>
      </w:r>
      <w:hyperlink r:id="rId18"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4375/02</w:t>
        </w:r>
      </w:hyperlink>
      <w:r>
        <w:rPr>
          <w:rFonts w:ascii="Arial" w:hAnsi="Arial" w:hint="cs"/>
          <w:rtl/>
        </w:rPr>
        <w:t xml:space="preserve"> </w:t>
      </w:r>
      <w:r>
        <w:rPr>
          <w:rFonts w:ascii="Arial" w:hAnsi="Arial" w:hint="cs"/>
          <w:b/>
          <w:bCs/>
          <w:rtl/>
        </w:rPr>
        <w:t>לזר דיין נ' מדינת ישראל</w:t>
      </w:r>
      <w:r>
        <w:rPr>
          <w:rFonts w:ascii="Arial" w:hAnsi="Arial" w:hint="cs"/>
          <w:rtl/>
        </w:rPr>
        <w:t xml:space="preserve"> (9.1.2003) נאשם בעל משפחה ללא עבר פלילי עם בריאות לקויה, ירה בממונה שלו בעבודה ונידון ל-13 שנות מאסר בערכאה הדיונית. בית המשפט העליון לא התערב בתוצאה.</w:t>
      </w:r>
    </w:p>
    <w:p w14:paraId="3FFCB2B7" w14:textId="77777777" w:rsidR="00575A99" w:rsidRDefault="00575A99" w:rsidP="00575A99">
      <w:pPr>
        <w:spacing w:line="360" w:lineRule="auto"/>
        <w:ind w:left="720"/>
        <w:jc w:val="both"/>
        <w:rPr>
          <w:rFonts w:ascii="Arial" w:hAnsi="Arial"/>
          <w:rtl/>
        </w:rPr>
      </w:pPr>
    </w:p>
    <w:p w14:paraId="5C60FE41" w14:textId="77777777" w:rsidR="00575A99" w:rsidRDefault="00575A99" w:rsidP="00575A99">
      <w:pPr>
        <w:spacing w:line="360" w:lineRule="auto"/>
        <w:ind w:left="720"/>
        <w:jc w:val="both"/>
        <w:rPr>
          <w:rFonts w:ascii="Arial" w:hAnsi="Arial"/>
          <w:rtl/>
        </w:rPr>
      </w:pPr>
      <w:r>
        <w:rPr>
          <w:rFonts w:ascii="Arial" w:hAnsi="Arial" w:hint="cs"/>
          <w:rtl/>
        </w:rPr>
        <w:t>ב</w:t>
      </w:r>
      <w:hyperlink r:id="rId19"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6101/16</w:t>
        </w:r>
      </w:hyperlink>
      <w:r>
        <w:rPr>
          <w:rFonts w:ascii="Arial" w:hAnsi="Arial" w:hint="cs"/>
          <w:rtl/>
        </w:rPr>
        <w:t xml:space="preserve"> </w:t>
      </w:r>
      <w:r>
        <w:rPr>
          <w:rFonts w:ascii="Arial" w:hAnsi="Arial" w:hint="cs"/>
          <w:b/>
          <w:bCs/>
          <w:rtl/>
        </w:rPr>
        <w:t>אחמד עווד נ' מדינת ישראל</w:t>
      </w:r>
      <w:r>
        <w:rPr>
          <w:rFonts w:ascii="Arial" w:hAnsi="Arial" w:hint="cs"/>
          <w:rtl/>
        </w:rPr>
        <w:t xml:space="preserve"> (28.6.2017) בערכאה הדיונית הורשע המערער בירי לעבר שתי רגליו של מתלונן על רקע סכסוך ביניהם כאשר המערער חשד בקשר בין רעייתו לבין המתלונן. בערכאה הדיונית הוטלו 9 שנות מאסר בפועל ובערעור הופחת העונש לשמונה שנות מאסר. </w:t>
      </w:r>
    </w:p>
    <w:p w14:paraId="1006F369" w14:textId="77777777" w:rsidR="00575A99" w:rsidRDefault="00575A99" w:rsidP="00575A99">
      <w:pPr>
        <w:spacing w:line="360" w:lineRule="auto"/>
        <w:ind w:left="720"/>
        <w:jc w:val="both"/>
        <w:rPr>
          <w:rFonts w:ascii="Arial" w:hAnsi="Arial"/>
          <w:rtl/>
        </w:rPr>
      </w:pPr>
    </w:p>
    <w:p w14:paraId="75B4B6EB" w14:textId="77777777" w:rsidR="00575A99" w:rsidRDefault="00575A99" w:rsidP="00575A99">
      <w:pPr>
        <w:spacing w:line="360" w:lineRule="auto"/>
        <w:ind w:left="720"/>
        <w:jc w:val="both"/>
        <w:rPr>
          <w:rFonts w:ascii="Arial" w:hAnsi="Arial"/>
          <w:rtl/>
        </w:rPr>
      </w:pPr>
      <w:r>
        <w:rPr>
          <w:rFonts w:ascii="Arial" w:hAnsi="Arial" w:hint="cs"/>
          <w:rtl/>
        </w:rPr>
        <w:t>ב</w:t>
      </w:r>
      <w:hyperlink r:id="rId20"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8721/14</w:t>
        </w:r>
      </w:hyperlink>
      <w:r>
        <w:rPr>
          <w:rFonts w:ascii="Arial" w:hAnsi="Arial" w:hint="cs"/>
          <w:rtl/>
        </w:rPr>
        <w:t xml:space="preserve"> </w:t>
      </w:r>
      <w:r>
        <w:rPr>
          <w:rFonts w:ascii="Arial" w:hAnsi="Arial" w:hint="cs"/>
          <w:b/>
          <w:bCs/>
          <w:rtl/>
        </w:rPr>
        <w:t>מוחמד אבו לבן נ' מדינת ישראל</w:t>
      </w:r>
      <w:r>
        <w:rPr>
          <w:rFonts w:ascii="Arial" w:hAnsi="Arial" w:hint="cs"/>
          <w:rtl/>
        </w:rPr>
        <w:t xml:space="preserve"> (28.9.2016) בערכאה הדיונית הודה המערער בכך שהוא שלף אקדח וירה לעבר משפחת ארוסתו לשעבר מספר יריות שגרמו לנזק למתלונן ברגלו ושכנה שהייתה במקום נפגעה בגבה. הוטלו 9.5 שנות מאסר והערעור נדחה.</w:t>
      </w:r>
    </w:p>
    <w:p w14:paraId="30DA42EB" w14:textId="77777777" w:rsidR="00575A99" w:rsidRDefault="00575A99" w:rsidP="00575A99">
      <w:pPr>
        <w:spacing w:line="360" w:lineRule="auto"/>
        <w:ind w:left="720"/>
        <w:jc w:val="both"/>
        <w:rPr>
          <w:rFonts w:ascii="Arial" w:hAnsi="Arial"/>
          <w:rtl/>
        </w:rPr>
      </w:pPr>
    </w:p>
    <w:p w14:paraId="4045FA6D" w14:textId="77777777" w:rsidR="00575A99" w:rsidRDefault="00575A99" w:rsidP="00575A99">
      <w:pPr>
        <w:spacing w:line="360" w:lineRule="auto"/>
        <w:ind w:left="720"/>
        <w:jc w:val="both"/>
        <w:rPr>
          <w:rFonts w:ascii="Arial" w:hAnsi="Arial"/>
          <w:rtl/>
        </w:rPr>
      </w:pPr>
      <w:r>
        <w:rPr>
          <w:rFonts w:ascii="Arial" w:hAnsi="Arial" w:hint="cs"/>
          <w:rtl/>
        </w:rPr>
        <w:t>ב</w:t>
      </w:r>
      <w:hyperlink r:id="rId21"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5860/14</w:t>
        </w:r>
      </w:hyperlink>
      <w:r>
        <w:rPr>
          <w:rFonts w:ascii="Arial" w:hAnsi="Arial" w:hint="cs"/>
          <w:rtl/>
        </w:rPr>
        <w:t xml:space="preserve"> </w:t>
      </w:r>
      <w:r>
        <w:rPr>
          <w:rFonts w:ascii="Arial" w:hAnsi="Arial" w:hint="cs"/>
          <w:b/>
          <w:bCs/>
          <w:rtl/>
        </w:rPr>
        <w:t>אסף לביא נ' מדינת ישראל</w:t>
      </w:r>
      <w:r>
        <w:rPr>
          <w:rFonts w:ascii="Arial" w:hAnsi="Arial" w:hint="cs"/>
          <w:rtl/>
        </w:rPr>
        <w:t xml:space="preserve"> (6.3.2016) הורשעו המערערים על פי הודאתם בעבירות של חבלה בכוונה מחמירה ועבירות נשק. הושתו עליהם עונשים שבין 7-12 שנות מאסר בפועל כאשר העונש החמור ביותר הוטל על היורה בפועל. באותו מקרה ירו 25 כדורים מנשק חצי אוטומטי לעבר רכבו של המתלונן לאחר ביצוע הכנות מקיפות  לארוב לרכב. באותו מקרה נפגעו שלושה מיושבי הרכב. בית המשפט העליון לא התערב בעונשים ובפיצויים שנפסקו על ידי הערכאה הדיונית.</w:t>
      </w:r>
    </w:p>
    <w:p w14:paraId="57A50542" w14:textId="77777777" w:rsidR="00575A99" w:rsidRDefault="00575A99" w:rsidP="00575A99">
      <w:pPr>
        <w:spacing w:line="360" w:lineRule="auto"/>
        <w:ind w:left="720"/>
        <w:jc w:val="both"/>
        <w:rPr>
          <w:rFonts w:ascii="Arial" w:hAnsi="Arial"/>
          <w:rtl/>
        </w:rPr>
      </w:pPr>
    </w:p>
    <w:p w14:paraId="70C790C3" w14:textId="77777777" w:rsidR="00575A99" w:rsidRPr="008F0EF4" w:rsidRDefault="00575A99" w:rsidP="00575A99">
      <w:pPr>
        <w:spacing w:line="360" w:lineRule="auto"/>
        <w:ind w:left="720"/>
        <w:jc w:val="both"/>
        <w:rPr>
          <w:rFonts w:ascii="Arial" w:hAnsi="Arial"/>
          <w:rtl/>
        </w:rPr>
      </w:pPr>
      <w:r>
        <w:rPr>
          <w:rFonts w:ascii="Arial" w:hAnsi="Arial" w:hint="cs"/>
          <w:rtl/>
        </w:rPr>
        <w:t>ב</w:t>
      </w:r>
      <w:hyperlink r:id="rId22"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4221/13</w:t>
        </w:r>
      </w:hyperlink>
      <w:r>
        <w:rPr>
          <w:rFonts w:ascii="Arial" w:hAnsi="Arial" w:hint="cs"/>
          <w:rtl/>
        </w:rPr>
        <w:t xml:space="preserve"> </w:t>
      </w:r>
      <w:r>
        <w:rPr>
          <w:rFonts w:ascii="Arial" w:hAnsi="Arial" w:hint="cs"/>
          <w:b/>
          <w:bCs/>
          <w:rtl/>
        </w:rPr>
        <w:t xml:space="preserve">אייל וענונו נ' מדינת ישראל </w:t>
      </w:r>
      <w:r>
        <w:rPr>
          <w:rFonts w:ascii="Arial" w:hAnsi="Arial" w:hint="cs"/>
          <w:rtl/>
        </w:rPr>
        <w:t xml:space="preserve">(26.3.2015) הנאשם הורשע בערכאה הדיונית על פי הודאתו בעבירה של חבלה בכוונה מחמירה כאשר הוא תקף את גרושתו ודקר אותה פעמים רבות באמצעות מברג ובאמצעות אבן בראשה, לאחר שהזמין אותה לדירתו. הוטל עליו עונש מאסר בפועל של 10 שנים, ערעורו נדחה. </w:t>
      </w:r>
    </w:p>
    <w:p w14:paraId="3309763C" w14:textId="77777777" w:rsidR="00575A99" w:rsidRDefault="00575A99" w:rsidP="00575A99">
      <w:pPr>
        <w:spacing w:line="360" w:lineRule="auto"/>
        <w:ind w:left="720"/>
        <w:jc w:val="both"/>
        <w:rPr>
          <w:rFonts w:ascii="Arial" w:hAnsi="Arial"/>
          <w:rtl/>
        </w:rPr>
      </w:pPr>
    </w:p>
    <w:p w14:paraId="0D09BD22" w14:textId="77777777" w:rsidR="00575A99" w:rsidRDefault="00D95733" w:rsidP="00575A99">
      <w:pPr>
        <w:spacing w:line="360" w:lineRule="auto"/>
        <w:ind w:left="720"/>
        <w:jc w:val="both"/>
        <w:rPr>
          <w:rFonts w:ascii="Arial" w:hAnsi="Arial"/>
          <w:rtl/>
        </w:rPr>
      </w:pPr>
      <w:hyperlink r:id="rId23" w:history="1">
        <w:r w:rsidRPr="00D95733">
          <w:rPr>
            <w:rStyle w:val="Hyperlink"/>
            <w:rFonts w:ascii="Arial" w:hAnsi="Arial" w:hint="eastAsia"/>
            <w:color w:val="0000FF"/>
            <w:rtl/>
          </w:rPr>
          <w:t>ע</w:t>
        </w:r>
        <w:r w:rsidRPr="00D95733">
          <w:rPr>
            <w:rStyle w:val="Hyperlink"/>
            <w:rFonts w:ascii="Arial" w:hAnsi="Arial"/>
            <w:color w:val="0000FF"/>
            <w:rtl/>
          </w:rPr>
          <w:t>"פ 6459/17</w:t>
        </w:r>
      </w:hyperlink>
      <w:r w:rsidR="00575A99">
        <w:rPr>
          <w:rFonts w:ascii="Arial" w:hAnsi="Arial" w:hint="cs"/>
          <w:rtl/>
        </w:rPr>
        <w:t xml:space="preserve"> </w:t>
      </w:r>
      <w:r w:rsidR="00575A99">
        <w:rPr>
          <w:rFonts w:ascii="Arial" w:hAnsi="Arial" w:hint="cs"/>
          <w:b/>
          <w:bCs/>
          <w:rtl/>
        </w:rPr>
        <w:t>מדינת ישראל נ' אור קדושי</w:t>
      </w:r>
      <w:r w:rsidR="00575A99">
        <w:rPr>
          <w:rFonts w:ascii="Arial" w:hAnsi="Arial" w:hint="cs"/>
          <w:rtl/>
        </w:rPr>
        <w:t xml:space="preserve"> שם הורשעו המשיבים יחד עם אדם נוסף על פי הודאתם במסגרת הסדר טיעון כאשר יוחסו להם עבירות של קשירת קשר וחבלה בכוונה מחמירה ונשיאת נשק ועוד שיבוש מהלכי משפט. המשיבים הצטיידו בקסדה, קטנוע ובאקדח מסוג גלוק וחלפו בסמוך לעברו של מתלונן ואחד מהם ירה קליע בחזהו. על היורה הוטלו 6 שנות מאסר בפועל ועל המסיע 5 שנות מאסר בפועל. בערעור עונשם הוחמר לשמונה שנות מאסר בפועל, כל אחד. </w:t>
      </w:r>
    </w:p>
    <w:p w14:paraId="49A972F4" w14:textId="77777777" w:rsidR="00575A99" w:rsidRDefault="00575A99" w:rsidP="00575A99">
      <w:pPr>
        <w:spacing w:line="360" w:lineRule="auto"/>
        <w:jc w:val="both"/>
        <w:rPr>
          <w:rFonts w:ascii="Arial" w:hAnsi="Arial"/>
          <w:rtl/>
        </w:rPr>
      </w:pPr>
    </w:p>
    <w:p w14:paraId="04ABDDED" w14:textId="77777777" w:rsidR="00575A99" w:rsidRDefault="00575A99" w:rsidP="00575A99">
      <w:pPr>
        <w:spacing w:line="360" w:lineRule="auto"/>
        <w:ind w:left="720"/>
        <w:jc w:val="both"/>
        <w:rPr>
          <w:rFonts w:ascii="Arial" w:hAnsi="Arial"/>
          <w:rtl/>
        </w:rPr>
      </w:pPr>
      <w:r>
        <w:rPr>
          <w:rFonts w:ascii="Arial" w:hAnsi="Arial" w:hint="cs"/>
          <w:rtl/>
        </w:rPr>
        <w:t>ב</w:t>
      </w:r>
      <w:hyperlink r:id="rId24"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1186/15</w:t>
        </w:r>
      </w:hyperlink>
      <w:r>
        <w:rPr>
          <w:rFonts w:ascii="Arial" w:hAnsi="Arial" w:hint="cs"/>
          <w:rtl/>
        </w:rPr>
        <w:t xml:space="preserve"> </w:t>
      </w:r>
      <w:r>
        <w:rPr>
          <w:rFonts w:ascii="Arial" w:hAnsi="Arial" w:hint="cs"/>
          <w:b/>
          <w:bCs/>
          <w:rtl/>
        </w:rPr>
        <w:t>מוחמד יונס נ' מדינת ישראל</w:t>
      </w:r>
      <w:r>
        <w:rPr>
          <w:rFonts w:ascii="Arial" w:hAnsi="Arial" w:hint="cs"/>
          <w:rtl/>
        </w:rPr>
        <w:t xml:space="preserve"> ירה המערער 4 יריות לעבר המתלונן על מנת לפגוע בפלג גופו התחתון על רקע כעסו על כך שהוא אמור להעיד נגדו בהליך פלילי. המערער עשה את המעשים בהיותו במעצר בית מלא ובערכאה הדיונית הוא הורשע לאחר ניהול הליך מלא ונידון ל-11 שנות מאסר. בערעור הופחת עונשו ל-9 שנים ו-4 חודשים. </w:t>
      </w:r>
    </w:p>
    <w:p w14:paraId="506D740F" w14:textId="77777777" w:rsidR="00575A99" w:rsidRDefault="00575A99" w:rsidP="00575A99">
      <w:pPr>
        <w:spacing w:line="360" w:lineRule="auto"/>
        <w:jc w:val="both"/>
        <w:rPr>
          <w:rFonts w:ascii="Arial" w:hAnsi="Arial"/>
          <w:rtl/>
        </w:rPr>
      </w:pPr>
    </w:p>
    <w:p w14:paraId="120A4EAD" w14:textId="77777777" w:rsidR="00575A99" w:rsidRDefault="00575A99" w:rsidP="00575A99">
      <w:pPr>
        <w:spacing w:line="360" w:lineRule="auto"/>
        <w:ind w:left="720" w:hanging="720"/>
        <w:jc w:val="both"/>
        <w:rPr>
          <w:rFonts w:ascii="Arial" w:hAnsi="Arial"/>
          <w:rtl/>
        </w:rPr>
      </w:pPr>
      <w:r>
        <w:rPr>
          <w:rFonts w:ascii="Arial" w:hAnsi="Arial" w:hint="cs"/>
          <w:rtl/>
        </w:rPr>
        <w:t>5.</w:t>
      </w:r>
      <w:r>
        <w:rPr>
          <w:rFonts w:ascii="Arial" w:hAnsi="Arial" w:hint="cs"/>
          <w:rtl/>
        </w:rPr>
        <w:tab/>
        <w:t>המדינה טענה שבמקרה דנן מתחם הענישה ההולם נמצא בין 8-12 שנות מאסר בפועל. באשר לרכיב הפיצוי הודגשה הגישה שמשתקפת ב</w:t>
      </w:r>
      <w:hyperlink r:id="rId25" w:history="1">
        <w:r w:rsidR="00D95733" w:rsidRPr="00D95733">
          <w:rPr>
            <w:rStyle w:val="Hyperlink"/>
            <w:rFonts w:ascii="Arial" w:hAnsi="Arial" w:hint="eastAsia"/>
            <w:color w:val="0000FF"/>
            <w:rtl/>
          </w:rPr>
          <w:t>חוק</w:t>
        </w:r>
        <w:r w:rsidR="00D95733" w:rsidRPr="00D95733">
          <w:rPr>
            <w:rStyle w:val="Hyperlink"/>
            <w:rFonts w:ascii="Arial" w:hAnsi="Arial"/>
            <w:color w:val="0000FF"/>
            <w:rtl/>
          </w:rPr>
          <w:t xml:space="preserve"> זכויות נפגעי עבירה</w:t>
        </w:r>
      </w:hyperlink>
      <w:r>
        <w:rPr>
          <w:rFonts w:ascii="Arial" w:hAnsi="Arial" w:hint="cs"/>
          <w:rtl/>
        </w:rPr>
        <w:t xml:space="preserve"> לעידוד השימוש </w:t>
      </w:r>
      <w:hyperlink r:id="rId26" w:history="1">
        <w:r w:rsidR="00A4353D" w:rsidRPr="00A4353D">
          <w:rPr>
            <w:rFonts w:ascii="Arial" w:hAnsi="Arial"/>
            <w:color w:val="0000FF"/>
            <w:u w:val="single"/>
            <w:rtl/>
          </w:rPr>
          <w:t>בסעיף 77</w:t>
        </w:r>
      </w:hyperlink>
      <w:r>
        <w:rPr>
          <w:rFonts w:ascii="Arial" w:hAnsi="Arial" w:hint="cs"/>
          <w:rtl/>
        </w:rPr>
        <w:t xml:space="preserve"> ל</w:t>
      </w:r>
      <w:hyperlink r:id="rId27" w:history="1">
        <w:r w:rsidR="00D95733" w:rsidRPr="00D95733">
          <w:rPr>
            <w:rStyle w:val="Hyperlink"/>
            <w:rFonts w:ascii="Arial" w:hAnsi="Arial" w:hint="eastAsia"/>
            <w:color w:val="0000FF"/>
            <w:rtl/>
          </w:rPr>
          <w:t>חוק</w:t>
        </w:r>
        <w:r w:rsidR="00D95733" w:rsidRPr="00D95733">
          <w:rPr>
            <w:rStyle w:val="Hyperlink"/>
            <w:rFonts w:ascii="Arial" w:hAnsi="Arial"/>
            <w:color w:val="0000FF"/>
            <w:rtl/>
          </w:rPr>
          <w:t xml:space="preserve"> העונשין</w:t>
        </w:r>
      </w:hyperlink>
      <w:r>
        <w:rPr>
          <w:rFonts w:ascii="Arial" w:hAnsi="Arial" w:hint="cs"/>
          <w:rtl/>
        </w:rPr>
        <w:t xml:space="preserve">. נטען שיש להטיל עונש ברף האמצעי של המתחם, פיצוי הולם לנפגעי עבירה וקנס. </w:t>
      </w:r>
    </w:p>
    <w:p w14:paraId="3078F38D" w14:textId="77777777" w:rsidR="00575A99" w:rsidRDefault="00575A99" w:rsidP="00575A99">
      <w:pPr>
        <w:spacing w:line="360" w:lineRule="auto"/>
        <w:ind w:left="720" w:hanging="720"/>
        <w:jc w:val="both"/>
        <w:rPr>
          <w:rFonts w:ascii="Arial" w:hAnsi="Arial"/>
          <w:rtl/>
        </w:rPr>
      </w:pPr>
    </w:p>
    <w:p w14:paraId="2B24449C"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טיעוני הנאשם לעונש</w:t>
      </w:r>
    </w:p>
    <w:p w14:paraId="2968ED17" w14:textId="77777777" w:rsidR="00575A99" w:rsidRDefault="00575A99" w:rsidP="00575A99">
      <w:pPr>
        <w:spacing w:line="360" w:lineRule="auto"/>
        <w:ind w:left="720" w:hanging="720"/>
        <w:jc w:val="both"/>
        <w:rPr>
          <w:rFonts w:ascii="Arial" w:hAnsi="Arial"/>
          <w:b/>
          <w:bCs/>
          <w:u w:val="single"/>
          <w:rtl/>
        </w:rPr>
      </w:pPr>
    </w:p>
    <w:p w14:paraId="395C4BB8" w14:textId="77777777" w:rsidR="00575A99" w:rsidRDefault="00575A99" w:rsidP="00575A99">
      <w:pPr>
        <w:spacing w:line="360" w:lineRule="auto"/>
        <w:ind w:left="720" w:hanging="720"/>
        <w:jc w:val="both"/>
        <w:rPr>
          <w:rFonts w:ascii="Arial" w:hAnsi="Arial"/>
          <w:rtl/>
        </w:rPr>
      </w:pPr>
      <w:r>
        <w:rPr>
          <w:rFonts w:ascii="Arial" w:hAnsi="Arial" w:hint="cs"/>
          <w:rtl/>
        </w:rPr>
        <w:t>6.</w:t>
      </w:r>
      <w:r>
        <w:rPr>
          <w:rFonts w:ascii="Arial" w:hAnsi="Arial" w:hint="cs"/>
          <w:rtl/>
        </w:rPr>
        <w:tab/>
        <w:t>הסנגור טען שההחמרה בענישה אינה מביאה להרתעה וכי יש לקחת עניין זה בחשבון בעת גזירת הדין. הודגש שהנאשם ירה כדור אחד בלבד ושהוא לא היה רעול פנים, דהיינו, שיש בכך כדי ללמד על חוסר תכנון מוקפד וצוין שהיה בגילופין כפי שעולה מחומר הראיות. תוארו ניסיונותיו להיגמל מאלכוהול במסגרת הליכי המעצר ונטען שאמנם הוא מעד מעידה חד פעמית שהביאה לסילוקו מהליך הגמילה, אך נטען שמדובר בהליכים שאינם פשוטים ושהנאשם מעוניין להשתקם.</w:t>
      </w:r>
    </w:p>
    <w:p w14:paraId="24D1ACCF" w14:textId="77777777" w:rsidR="00575A99" w:rsidRDefault="00575A99" w:rsidP="00575A99">
      <w:pPr>
        <w:spacing w:line="360" w:lineRule="auto"/>
        <w:ind w:left="720" w:hanging="720"/>
        <w:jc w:val="both"/>
        <w:rPr>
          <w:rFonts w:ascii="Arial" w:hAnsi="Arial"/>
          <w:rtl/>
        </w:rPr>
      </w:pPr>
    </w:p>
    <w:p w14:paraId="1ADF484F" w14:textId="77777777" w:rsidR="00575A99" w:rsidRDefault="00575A99" w:rsidP="00575A99">
      <w:pPr>
        <w:spacing w:line="360" w:lineRule="auto"/>
        <w:ind w:left="720" w:hanging="720"/>
        <w:jc w:val="both"/>
        <w:rPr>
          <w:rFonts w:ascii="Arial" w:hAnsi="Arial"/>
          <w:rtl/>
        </w:rPr>
      </w:pPr>
      <w:r>
        <w:rPr>
          <w:rFonts w:ascii="Arial" w:hAnsi="Arial" w:hint="cs"/>
          <w:rtl/>
        </w:rPr>
        <w:t>7.</w:t>
      </w:r>
      <w:r>
        <w:rPr>
          <w:rFonts w:ascii="Arial" w:hAnsi="Arial" w:hint="cs"/>
          <w:rtl/>
        </w:rPr>
        <w:tab/>
        <w:t xml:space="preserve">צוין שהנאשם שהה במעצר מיום 12.9.17 ועד ליום 10.1.18 ובהמשך מיום 8.3.18 ונמצא בסטטוס של עצור מאז. נטען שעברו של הנאשם דל ושאין לו הרשעות קודמות בעבירות דומות. נטען שהנאשם עשה כל מאמץ לנקוט בהליך שיקום אך הדבר לא הסתייע בידו. נטען שנסיבותיו האישיות הן קשות ושהוא גדל בעוני וללא השגחה או טיפול. נטען שתקופת המעצר היוותה גורם מרתיע ושהוא משווע להליך שיקומי טיפולי. נטען עוד שהנאשם מתחרט על מעשיו. </w:t>
      </w:r>
    </w:p>
    <w:p w14:paraId="02E5C0A4" w14:textId="77777777" w:rsidR="00575A99" w:rsidRDefault="00575A99" w:rsidP="00575A99">
      <w:pPr>
        <w:spacing w:line="360" w:lineRule="auto"/>
        <w:ind w:left="720" w:hanging="720"/>
        <w:jc w:val="both"/>
        <w:rPr>
          <w:rFonts w:ascii="Arial" w:hAnsi="Arial"/>
          <w:rtl/>
        </w:rPr>
      </w:pPr>
    </w:p>
    <w:p w14:paraId="431C010F" w14:textId="77777777" w:rsidR="00575A99" w:rsidRDefault="00575A99" w:rsidP="00575A99">
      <w:pPr>
        <w:spacing w:line="360" w:lineRule="auto"/>
        <w:ind w:left="720" w:hanging="720"/>
        <w:jc w:val="both"/>
        <w:rPr>
          <w:rFonts w:ascii="Arial" w:hAnsi="Arial"/>
          <w:rtl/>
        </w:rPr>
      </w:pPr>
    </w:p>
    <w:p w14:paraId="2461801C" w14:textId="77777777" w:rsidR="00575A99" w:rsidRDefault="00575A99" w:rsidP="00575A99">
      <w:pPr>
        <w:spacing w:line="360" w:lineRule="auto"/>
        <w:ind w:left="720" w:hanging="720"/>
        <w:jc w:val="both"/>
        <w:rPr>
          <w:rFonts w:ascii="Arial" w:hAnsi="Arial"/>
          <w:rtl/>
        </w:rPr>
      </w:pPr>
      <w:r>
        <w:rPr>
          <w:rFonts w:ascii="Arial" w:hAnsi="Arial" w:hint="cs"/>
          <w:rtl/>
        </w:rPr>
        <w:t>8.</w:t>
      </w:r>
      <w:r>
        <w:rPr>
          <w:rFonts w:ascii="Arial" w:hAnsi="Arial" w:hint="cs"/>
          <w:rtl/>
        </w:rPr>
        <w:tab/>
        <w:t>אוזכרה הפסיקה להלן:</w:t>
      </w:r>
    </w:p>
    <w:p w14:paraId="4B7C6C9E" w14:textId="77777777" w:rsidR="00575A99" w:rsidRDefault="00575A99" w:rsidP="00575A99">
      <w:pPr>
        <w:spacing w:line="360" w:lineRule="auto"/>
        <w:ind w:left="720" w:hanging="720"/>
        <w:jc w:val="both"/>
        <w:rPr>
          <w:rFonts w:ascii="Arial" w:hAnsi="Arial"/>
          <w:rtl/>
        </w:rPr>
      </w:pPr>
    </w:p>
    <w:p w14:paraId="7F5FB6F2"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w:t>
      </w:r>
      <w:hyperlink r:id="rId28" w:history="1">
        <w:r w:rsidR="00D95733" w:rsidRPr="00D95733">
          <w:rPr>
            <w:rStyle w:val="Hyperlink"/>
            <w:rFonts w:ascii="Arial" w:hAnsi="Arial" w:hint="eastAsia"/>
            <w:color w:val="0000FF"/>
            <w:rtl/>
          </w:rPr>
          <w:t>ת</w:t>
        </w:r>
        <w:r w:rsidR="00D95733" w:rsidRPr="00D95733">
          <w:rPr>
            <w:rStyle w:val="Hyperlink"/>
            <w:rFonts w:ascii="Arial" w:hAnsi="Arial"/>
            <w:color w:val="0000FF"/>
            <w:rtl/>
          </w:rPr>
          <w:t>"פ 5013/12</w:t>
        </w:r>
      </w:hyperlink>
      <w:r>
        <w:rPr>
          <w:rFonts w:ascii="Arial" w:hAnsi="Arial" w:hint="cs"/>
          <w:rtl/>
        </w:rPr>
        <w:t xml:space="preserve"> </w:t>
      </w:r>
      <w:r>
        <w:rPr>
          <w:rFonts w:ascii="Arial" w:hAnsi="Arial" w:hint="cs"/>
          <w:b/>
          <w:bCs/>
          <w:rtl/>
        </w:rPr>
        <w:t>מדינת ישראל נ' אלכסנדר היטייב</w:t>
      </w:r>
      <w:r>
        <w:rPr>
          <w:rFonts w:ascii="Arial" w:hAnsi="Arial" w:hint="cs"/>
          <w:rtl/>
        </w:rPr>
        <w:t xml:space="preserve"> (18.12.2013) הורשע הנאשם בעבירות של קשירת קשר, החזקת נשק ונשיאת נשק וחבלה בכוונה מחמירה, כאשר הוא וחבריו יידו שני בקבוקי תבערה לעבר קבוצה אחרת. הקבוצה האחרת לא נפגעה כתוצאה מהמעשים. הנאשם היה צעיר בן 19 בעת ביצוע העבירה והודה במסגרת הסדר חלקי. הנאשם היה ללא עבר פלילי. הוטלו עליו 6 חודשי מאסר שרוצו בעבודות שירות, בין היתר בעקבות עיקרון אחדות הענישה כאשר שותפיו נידונו לעונשים מתונים.</w:t>
      </w:r>
    </w:p>
    <w:p w14:paraId="15FA620B" w14:textId="77777777" w:rsidR="00575A99" w:rsidRDefault="00575A99" w:rsidP="00575A99">
      <w:pPr>
        <w:spacing w:line="360" w:lineRule="auto"/>
        <w:ind w:left="720" w:hanging="720"/>
        <w:jc w:val="both"/>
        <w:rPr>
          <w:rFonts w:ascii="Arial" w:hAnsi="Arial"/>
          <w:rtl/>
        </w:rPr>
      </w:pPr>
    </w:p>
    <w:p w14:paraId="41900ADA"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w:t>
      </w:r>
      <w:hyperlink r:id="rId29" w:history="1">
        <w:r w:rsidR="00D95733" w:rsidRPr="00D95733">
          <w:rPr>
            <w:rStyle w:val="Hyperlink"/>
            <w:rFonts w:ascii="Arial" w:hAnsi="Arial" w:hint="eastAsia"/>
            <w:color w:val="0000FF"/>
            <w:rtl/>
          </w:rPr>
          <w:t>ת</w:t>
        </w:r>
        <w:r w:rsidR="00D95733" w:rsidRPr="00D95733">
          <w:rPr>
            <w:rStyle w:val="Hyperlink"/>
            <w:rFonts w:ascii="Arial" w:hAnsi="Arial"/>
            <w:color w:val="0000FF"/>
            <w:rtl/>
          </w:rPr>
          <w:t>"פ 274/02</w:t>
        </w:r>
      </w:hyperlink>
      <w:r>
        <w:rPr>
          <w:rFonts w:ascii="Arial" w:hAnsi="Arial" w:hint="cs"/>
          <w:rtl/>
        </w:rPr>
        <w:t xml:space="preserve"> </w:t>
      </w:r>
      <w:r>
        <w:rPr>
          <w:rFonts w:ascii="Arial" w:hAnsi="Arial" w:hint="cs"/>
          <w:b/>
          <w:bCs/>
          <w:rtl/>
        </w:rPr>
        <w:t>מדינת ישראל נ' אחמד אבו חוסן</w:t>
      </w:r>
      <w:r>
        <w:rPr>
          <w:rFonts w:ascii="Arial" w:hAnsi="Arial" w:hint="cs"/>
          <w:rtl/>
        </w:rPr>
        <w:t xml:space="preserve"> (30.1.2005) הורשע נאשם לאחר שמיעת ראיות בעבירות של החזקה ונשיאת נשק וחבלה חמורה בנסיבות מחמירות כאשר הוא הגיע לבית חותנו כשהוא נושא אקדח ועל רקע וויכוח שהתפתח ביניהם ירה מספר יריות באוויר. הוא ירה גם לעבר בני משפחה אחרים שרדפו אחריו ופצע אחד מהם. בסופו של עניין הוטלו עליו 6 חודשי מאסר בפועל לריצוי בעבודות שירות, כאשר ניתן משקל מכריע להעדר עבר פלילי בתחום האלימות, שהוא שב לחיות עם אשתו תוך ניתוק ממשפחת המוצא שלה. </w:t>
      </w:r>
    </w:p>
    <w:p w14:paraId="4DFD1247" w14:textId="77777777" w:rsidR="00575A99" w:rsidRDefault="00575A99" w:rsidP="00575A99">
      <w:pPr>
        <w:spacing w:line="360" w:lineRule="auto"/>
        <w:ind w:left="720" w:hanging="720"/>
        <w:jc w:val="both"/>
        <w:rPr>
          <w:rFonts w:ascii="Arial" w:hAnsi="Arial"/>
          <w:rtl/>
        </w:rPr>
      </w:pPr>
    </w:p>
    <w:p w14:paraId="00B319C5"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w:t>
      </w:r>
      <w:hyperlink r:id="rId30"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3120/04</w:t>
        </w:r>
      </w:hyperlink>
      <w:r>
        <w:rPr>
          <w:rFonts w:ascii="Arial" w:hAnsi="Arial" w:hint="cs"/>
          <w:rtl/>
        </w:rPr>
        <w:t xml:space="preserve"> </w:t>
      </w:r>
      <w:r>
        <w:rPr>
          <w:rFonts w:ascii="Arial" w:hAnsi="Arial" w:hint="cs"/>
          <w:b/>
          <w:bCs/>
          <w:rtl/>
        </w:rPr>
        <w:t xml:space="preserve">מדינת ישראל ניר חזיזה </w:t>
      </w:r>
      <w:r>
        <w:rPr>
          <w:rFonts w:ascii="Arial" w:hAnsi="Arial" w:hint="cs"/>
          <w:rtl/>
        </w:rPr>
        <w:t>(13.9.2004) הורשע נאשם בחבלה בכוונה מחמירה לאחר שהוא הגיע למפגש עם המתלונן, מצויד באקדח וירה לעברו מספר יריות שאחת מהן פגעה בברכו השמאלית. נגזרו עליו 6 חודשי מאסר בעבודות שירות. בית המשפט העליון ציין שרמת הענישה נופלת מהרמה המקובלת בגין עבירות מסוג זה, אך קיבל את נימוקי בית משפט קמא שלקחו בחשבון בין היתר אשם מסוים מצד המתלונן והמעצר הארוך בו שהה הנאשם עד שהשתחרר למעצר בית ושאין לחובתו עבר פלילי מכביד.</w:t>
      </w:r>
    </w:p>
    <w:p w14:paraId="71F04439" w14:textId="77777777" w:rsidR="00575A99" w:rsidRDefault="00575A99" w:rsidP="00575A99">
      <w:pPr>
        <w:spacing w:line="360" w:lineRule="auto"/>
        <w:ind w:left="720" w:hanging="720"/>
        <w:jc w:val="both"/>
        <w:rPr>
          <w:rFonts w:ascii="Arial" w:hAnsi="Arial"/>
          <w:rtl/>
        </w:rPr>
      </w:pPr>
    </w:p>
    <w:p w14:paraId="29763E9D" w14:textId="77777777" w:rsidR="00575A99" w:rsidRDefault="00575A99" w:rsidP="00575A99">
      <w:pPr>
        <w:spacing w:line="360" w:lineRule="auto"/>
        <w:ind w:left="720" w:hanging="720"/>
        <w:jc w:val="both"/>
        <w:rPr>
          <w:rFonts w:ascii="Arial" w:hAnsi="Arial"/>
          <w:rtl/>
        </w:rPr>
      </w:pPr>
      <w:r>
        <w:rPr>
          <w:rFonts w:ascii="Arial" w:hAnsi="Arial" w:hint="cs"/>
          <w:rtl/>
        </w:rPr>
        <w:tab/>
        <w:t xml:space="preserve">בע"פ 517/14 </w:t>
      </w:r>
      <w:r>
        <w:rPr>
          <w:rFonts w:ascii="Arial" w:hAnsi="Arial" w:hint="cs"/>
          <w:b/>
          <w:bCs/>
          <w:rtl/>
        </w:rPr>
        <w:t xml:space="preserve">מדינת ישראל נ' מוסגדבאן </w:t>
      </w:r>
      <w:r>
        <w:rPr>
          <w:rFonts w:ascii="Arial" w:hAnsi="Arial" w:hint="cs"/>
          <w:rtl/>
        </w:rPr>
        <w:t xml:space="preserve">(2.12.2014) </w:t>
      </w:r>
      <w:r w:rsidRPr="00315818">
        <w:rPr>
          <w:rFonts w:ascii="Arial" w:hAnsi="Arial" w:hint="cs"/>
          <w:rtl/>
        </w:rPr>
        <w:t>באותו מקרה</w:t>
      </w:r>
      <w:r>
        <w:rPr>
          <w:rFonts w:ascii="Arial" w:hAnsi="Arial" w:hint="cs"/>
          <w:rtl/>
        </w:rPr>
        <w:t xml:space="preserve"> הוטלו 20 חודשי מאסר בפועל על ידי הערכאה הדיונית בגין עבירות של חבלה חמורה בנסיבות מחמירות ונשיאה והובלת נשק. באותו מקרה ירה הנאשם במתלונן על רקע חשד שפגע בשמו הטוב. היריות בוצעו לעבר הקרקע מטווח קצר מאוד, אולם אחד מהקליעים פגע ברגלו של המתלונן. בערעור הוחמר העונש ל-30 חודשי מאסר בפועל.</w:t>
      </w:r>
    </w:p>
    <w:p w14:paraId="384CCE73" w14:textId="77777777" w:rsidR="00575A99" w:rsidRDefault="00575A99" w:rsidP="00575A99">
      <w:pPr>
        <w:spacing w:line="360" w:lineRule="auto"/>
        <w:ind w:left="720" w:hanging="720"/>
        <w:jc w:val="both"/>
        <w:rPr>
          <w:rFonts w:ascii="Arial" w:hAnsi="Arial"/>
          <w:rtl/>
        </w:rPr>
      </w:pPr>
    </w:p>
    <w:p w14:paraId="7598DB34" w14:textId="77777777" w:rsidR="00575A99" w:rsidRPr="009E72C2"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w:t>
      </w:r>
      <w:hyperlink r:id="rId31" w:history="1">
        <w:r w:rsidR="00D95733" w:rsidRPr="00D95733">
          <w:rPr>
            <w:rStyle w:val="Hyperlink"/>
            <w:rFonts w:ascii="Arial" w:hAnsi="Arial" w:hint="eastAsia"/>
            <w:color w:val="0000FF"/>
            <w:rtl/>
          </w:rPr>
          <w:t>ת</w:t>
        </w:r>
        <w:r w:rsidR="00D95733" w:rsidRPr="00D95733">
          <w:rPr>
            <w:rStyle w:val="Hyperlink"/>
            <w:rFonts w:ascii="Arial" w:hAnsi="Arial"/>
            <w:color w:val="0000FF"/>
            <w:rtl/>
          </w:rPr>
          <w:t>"פ 39605-04-11</w:t>
        </w:r>
      </w:hyperlink>
      <w:r>
        <w:rPr>
          <w:rFonts w:ascii="Arial" w:hAnsi="Arial" w:hint="cs"/>
          <w:rtl/>
        </w:rPr>
        <w:t xml:space="preserve"> </w:t>
      </w:r>
      <w:r>
        <w:rPr>
          <w:rFonts w:ascii="Arial" w:hAnsi="Arial" w:hint="cs"/>
          <w:b/>
          <w:bCs/>
          <w:rtl/>
        </w:rPr>
        <w:t>מדינת ישראל נ' סעד</w:t>
      </w:r>
      <w:r>
        <w:rPr>
          <w:rFonts w:ascii="Arial" w:hAnsi="Arial" w:hint="cs"/>
          <w:rtl/>
        </w:rPr>
        <w:t xml:space="preserve"> (16.10.2012) בגין עבירות של חבלה בכוונה מחמירה והחזקת ונשיאת נשק שלא כדין הוטלו על הנאשם 42 חודשי מאסר בפועל, כאשר באותו מקרה נפגע המתלונן משלושה קליעים ברגליו על רקע נקמה בגין אירוע קודם שנגרם לקרוב משפחה של הנאשם. באותו מקרה הנאשם ניהל את ההליך עד תומו. </w:t>
      </w:r>
    </w:p>
    <w:p w14:paraId="041E5A66" w14:textId="77777777" w:rsidR="00575A99" w:rsidRDefault="00575A99" w:rsidP="00575A99">
      <w:pPr>
        <w:spacing w:line="360" w:lineRule="auto"/>
        <w:ind w:left="720"/>
        <w:jc w:val="both"/>
        <w:rPr>
          <w:rFonts w:ascii="Arial" w:hAnsi="Arial"/>
          <w:rtl/>
        </w:rPr>
      </w:pPr>
    </w:p>
    <w:p w14:paraId="1B7E9BF3" w14:textId="77777777" w:rsidR="00575A99" w:rsidRDefault="00575A99" w:rsidP="00575A99">
      <w:pPr>
        <w:spacing w:line="360" w:lineRule="auto"/>
        <w:ind w:left="720"/>
        <w:jc w:val="both"/>
        <w:rPr>
          <w:rFonts w:ascii="Arial" w:hAnsi="Arial"/>
          <w:rtl/>
        </w:rPr>
      </w:pPr>
      <w:r>
        <w:rPr>
          <w:rFonts w:ascii="Arial" w:hAnsi="Arial" w:hint="cs"/>
          <w:rtl/>
        </w:rPr>
        <w:t xml:space="preserve">אוזכרו פסקי דין שהינם זריקת רימוני הלם ורסס שלא מצאתי אותם רלבנטיים להליך </w:t>
      </w:r>
    </w:p>
    <w:p w14:paraId="63318926" w14:textId="77777777" w:rsidR="00575A99" w:rsidRDefault="00575A99" w:rsidP="00575A99">
      <w:pPr>
        <w:spacing w:line="360" w:lineRule="auto"/>
        <w:ind w:left="720"/>
        <w:jc w:val="both"/>
        <w:rPr>
          <w:rFonts w:ascii="Arial" w:hAnsi="Arial"/>
          <w:rtl/>
        </w:rPr>
      </w:pPr>
      <w:r>
        <w:rPr>
          <w:rFonts w:ascii="Arial" w:hAnsi="Arial" w:hint="cs"/>
          <w:rtl/>
        </w:rPr>
        <w:t>דנן.</w:t>
      </w:r>
    </w:p>
    <w:p w14:paraId="7E6768C4" w14:textId="77777777" w:rsidR="00575A99" w:rsidRDefault="00575A99" w:rsidP="00575A99">
      <w:pPr>
        <w:spacing w:line="360" w:lineRule="auto"/>
        <w:ind w:left="720"/>
        <w:jc w:val="both"/>
        <w:rPr>
          <w:rFonts w:ascii="Arial" w:hAnsi="Arial"/>
          <w:rtl/>
        </w:rPr>
      </w:pPr>
    </w:p>
    <w:p w14:paraId="602B31F8" w14:textId="77777777" w:rsidR="00575A99" w:rsidRDefault="00575A99" w:rsidP="00575A99">
      <w:pPr>
        <w:spacing w:line="360" w:lineRule="auto"/>
        <w:ind w:left="720" w:hanging="720"/>
        <w:jc w:val="both"/>
        <w:rPr>
          <w:rFonts w:ascii="Arial" w:hAnsi="Arial"/>
          <w:rtl/>
        </w:rPr>
      </w:pPr>
      <w:r>
        <w:rPr>
          <w:rFonts w:ascii="Arial" w:hAnsi="Arial" w:hint="cs"/>
          <w:rtl/>
        </w:rPr>
        <w:t>9.</w:t>
      </w:r>
      <w:r>
        <w:rPr>
          <w:rFonts w:ascii="Arial" w:hAnsi="Arial" w:hint="cs"/>
          <w:rtl/>
        </w:rPr>
        <w:tab/>
        <w:t>הנאשם עתר לכך שיאומץ מתחם ענישה בין 6-40 חודשי מאסר בפועל ונטען שיש להשית 20 חודשי מאסר בפועל.</w:t>
      </w:r>
    </w:p>
    <w:p w14:paraId="7428E037" w14:textId="77777777" w:rsidR="00575A99" w:rsidRDefault="00575A99" w:rsidP="00575A99">
      <w:pPr>
        <w:spacing w:line="360" w:lineRule="auto"/>
        <w:ind w:left="720" w:hanging="720"/>
        <w:jc w:val="both"/>
        <w:rPr>
          <w:rFonts w:ascii="Arial" w:hAnsi="Arial"/>
          <w:rtl/>
        </w:rPr>
      </w:pPr>
    </w:p>
    <w:p w14:paraId="5F2E981D" w14:textId="77777777" w:rsidR="00575A99" w:rsidRDefault="00575A99" w:rsidP="00575A99">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הנאשם עצמו הביע חרטה על מעשיו וטען שהיה שיכור וחש מאוים. הוא הדגיש שלכשישתחרר יבקש מהמתלונן ומשפחתו סליחה. </w:t>
      </w:r>
    </w:p>
    <w:p w14:paraId="198E6D60" w14:textId="77777777" w:rsidR="00575A99" w:rsidRDefault="00575A99" w:rsidP="00575A99">
      <w:pPr>
        <w:spacing w:line="360" w:lineRule="auto"/>
        <w:ind w:left="720" w:hanging="720"/>
        <w:jc w:val="both"/>
        <w:rPr>
          <w:rFonts w:ascii="Arial" w:hAnsi="Arial"/>
          <w:rtl/>
        </w:rPr>
      </w:pPr>
    </w:p>
    <w:p w14:paraId="0806B161"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דיון</w:t>
      </w:r>
    </w:p>
    <w:p w14:paraId="03CF7DE1" w14:textId="77777777" w:rsidR="00575A99" w:rsidRDefault="00575A99" w:rsidP="00575A99">
      <w:pPr>
        <w:spacing w:line="360" w:lineRule="auto"/>
        <w:ind w:left="720" w:hanging="720"/>
        <w:jc w:val="both"/>
        <w:rPr>
          <w:rFonts w:ascii="Arial" w:hAnsi="Arial"/>
          <w:b/>
          <w:bCs/>
          <w:u w:val="single"/>
          <w:rtl/>
        </w:rPr>
      </w:pPr>
    </w:p>
    <w:p w14:paraId="4A1CD796" w14:textId="77777777" w:rsidR="00575A99" w:rsidRDefault="00575A99" w:rsidP="00575A99">
      <w:pPr>
        <w:spacing w:line="360" w:lineRule="auto"/>
        <w:ind w:left="720" w:hanging="720"/>
        <w:jc w:val="both"/>
        <w:rPr>
          <w:rFonts w:ascii="Arial" w:hAnsi="Arial"/>
          <w:rtl/>
        </w:rPr>
      </w:pPr>
      <w:r>
        <w:rPr>
          <w:rFonts w:ascii="Arial" w:hAnsi="Arial" w:hint="cs"/>
          <w:rtl/>
        </w:rPr>
        <w:t>11.</w:t>
      </w:r>
      <w:r>
        <w:rPr>
          <w:rFonts w:ascii="Arial" w:hAnsi="Arial" w:hint="cs"/>
          <w:rtl/>
        </w:rPr>
        <w:tab/>
        <w:t>במקרה דנן נפגעו הערכים המוגנים של ביטחון הציבור ושלומו, שלמות הגוף ושמירה על ערך חיי אדם. מידת הפגיעה הייתה ברמה בינונית- גבוהה. קדם תכנון לביצוע העבירה לכל הפחות כאשר הנאשם הצטייד בנשק טעון לקראת בואו של המתלונן. חלקו היחסי של הנאשם בביצוע העבירה היה דומיננטי כאשר המתיחות הקודמת ששררה בין הצדדים אינה מהווה הצדקה כלשהי למעבר לשימוש בנשק חם. היה צפוי להיגרם נזק משמעותי מביצוע העבירה, ובפועל נגרמו למתלונן נזקים קשים לרגלו שהוא טרם החלים מהם. לכל הפחות תידרש תקופת החלמה ארוכה ואין זה ברור שלא תישאר נכות משמעותית למתלונן, גם לצמיתות.</w:t>
      </w:r>
    </w:p>
    <w:p w14:paraId="4F876DD5" w14:textId="77777777" w:rsidR="00575A99" w:rsidRDefault="00575A99" w:rsidP="00575A99">
      <w:pPr>
        <w:spacing w:line="360" w:lineRule="auto"/>
        <w:ind w:left="720" w:hanging="720"/>
        <w:jc w:val="both"/>
        <w:rPr>
          <w:rFonts w:ascii="Arial" w:hAnsi="Arial"/>
          <w:rtl/>
        </w:rPr>
      </w:pPr>
    </w:p>
    <w:p w14:paraId="198D6424" w14:textId="77777777" w:rsidR="00575A99" w:rsidRDefault="00575A99" w:rsidP="00575A99">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הסיבות שהביאו את הנאשם לביצוע העבירה פורטו בראשית גזר הדין אך אינן מהוות הצדקה כאמור. הנאשם היה צריך להבין את אשר הוא עשה, ולהימנע מכך, כאשר בעניין זה יצוין שהעובדה שהיה תחת השפעת אלכוהול אינה מהווה נסיבה מקלה. </w:t>
      </w:r>
    </w:p>
    <w:p w14:paraId="604771CC" w14:textId="77777777" w:rsidR="00575A99" w:rsidRDefault="00575A99" w:rsidP="00575A99">
      <w:pPr>
        <w:spacing w:line="360" w:lineRule="auto"/>
        <w:ind w:left="720" w:hanging="720"/>
        <w:jc w:val="both"/>
        <w:rPr>
          <w:rFonts w:ascii="Arial" w:hAnsi="Arial"/>
          <w:rtl/>
        </w:rPr>
      </w:pPr>
    </w:p>
    <w:p w14:paraId="2FE58C35" w14:textId="77777777" w:rsidR="00575A99" w:rsidRDefault="00575A99" w:rsidP="00575A99">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מתוך העיון בפסיקה ויישומה על נסיבות המקרה, הגעתי למסקנה שמתחם הענישה ההולם נמצא בין 4-7 שנות מאסר. </w:t>
      </w:r>
    </w:p>
    <w:p w14:paraId="144092B7" w14:textId="77777777" w:rsidR="00575A99" w:rsidRDefault="00575A99" w:rsidP="00575A99">
      <w:pPr>
        <w:spacing w:line="360" w:lineRule="auto"/>
        <w:ind w:left="720" w:hanging="720"/>
        <w:jc w:val="both"/>
        <w:rPr>
          <w:rFonts w:ascii="Arial" w:hAnsi="Arial"/>
          <w:rtl/>
        </w:rPr>
      </w:pPr>
    </w:p>
    <w:p w14:paraId="0C493892" w14:textId="77777777" w:rsidR="00575A99" w:rsidRDefault="00575A99" w:rsidP="00575A99">
      <w:pPr>
        <w:spacing w:line="360" w:lineRule="auto"/>
        <w:ind w:left="720" w:hanging="720"/>
        <w:jc w:val="both"/>
        <w:rPr>
          <w:rFonts w:ascii="Arial" w:hAnsi="Arial"/>
          <w:rtl/>
        </w:rPr>
      </w:pPr>
      <w:r>
        <w:rPr>
          <w:rFonts w:ascii="Arial" w:hAnsi="Arial" w:hint="cs"/>
          <w:rtl/>
        </w:rPr>
        <w:t>14.</w:t>
      </w:r>
      <w:r>
        <w:rPr>
          <w:rFonts w:ascii="Arial" w:hAnsi="Arial" w:hint="cs"/>
          <w:rtl/>
        </w:rPr>
        <w:tab/>
        <w:t>מבחינת הנסיבות שאינן קשורות בביצוע העבירה אין ספק שענישה משמעותית תפגע בנאשם והתפתחותו כאשר הוא עדיין אדם צעיר יחסית. יש להתחשב לקולא בעובדה שהודה ונטל אחריות על מעשיו וכמו כן שהוא עושה מאמצים להשתקם- אם כי בשלב זה לא בהצלחה מרובה. אין מקום להחשיב את עברו הפלילי כנגדו אף שלא ניתן לומר שמדובר באדם נטול עבר.</w:t>
      </w:r>
    </w:p>
    <w:p w14:paraId="700BF474" w14:textId="77777777" w:rsidR="00575A99" w:rsidRDefault="00575A99" w:rsidP="00575A99">
      <w:pPr>
        <w:spacing w:line="360" w:lineRule="auto"/>
        <w:ind w:left="720" w:hanging="720"/>
        <w:jc w:val="both"/>
        <w:rPr>
          <w:rFonts w:ascii="Arial" w:hAnsi="Arial"/>
          <w:rtl/>
        </w:rPr>
      </w:pPr>
    </w:p>
    <w:p w14:paraId="15AE07EB" w14:textId="77777777" w:rsidR="00575A99" w:rsidRDefault="00575A99" w:rsidP="00575A99">
      <w:pPr>
        <w:spacing w:line="360" w:lineRule="auto"/>
        <w:ind w:left="720"/>
        <w:jc w:val="both"/>
        <w:rPr>
          <w:rFonts w:ascii="Arial" w:hAnsi="Arial"/>
          <w:b/>
          <w:bCs/>
          <w:u w:val="single"/>
          <w:rtl/>
        </w:rPr>
      </w:pPr>
      <w:r w:rsidRPr="004C4D42">
        <w:rPr>
          <w:rFonts w:ascii="Arial" w:hAnsi="Arial" w:hint="cs"/>
          <w:b/>
          <w:bCs/>
          <w:u w:val="single"/>
          <w:rtl/>
        </w:rPr>
        <w:t>אשר על כן אני מטיל את העונשים כדלקמן:</w:t>
      </w:r>
    </w:p>
    <w:p w14:paraId="50728CED" w14:textId="77777777" w:rsidR="00575A99" w:rsidRDefault="00575A99" w:rsidP="00575A99">
      <w:pPr>
        <w:spacing w:line="360" w:lineRule="auto"/>
        <w:ind w:left="720" w:hanging="720"/>
        <w:jc w:val="both"/>
        <w:rPr>
          <w:rFonts w:ascii="Arial" w:hAnsi="Arial"/>
          <w:rtl/>
        </w:rPr>
      </w:pPr>
    </w:p>
    <w:p w14:paraId="55952FAC" w14:textId="77777777" w:rsidR="00575A99" w:rsidRDefault="00575A99" w:rsidP="00575A99">
      <w:pPr>
        <w:spacing w:line="360" w:lineRule="auto"/>
        <w:ind w:left="720" w:hanging="720"/>
        <w:jc w:val="both"/>
        <w:rPr>
          <w:rFonts w:ascii="Arial" w:hAnsi="Arial"/>
          <w:rtl/>
        </w:rPr>
      </w:pPr>
      <w:r w:rsidRPr="004C4D42">
        <w:rPr>
          <w:rFonts w:ascii="Arial" w:hAnsi="Arial" w:hint="cs"/>
          <w:rtl/>
        </w:rPr>
        <w:t>א.</w:t>
      </w:r>
      <w:r>
        <w:rPr>
          <w:rFonts w:ascii="Arial" w:hAnsi="Arial"/>
          <w:rtl/>
        </w:rPr>
        <w:tab/>
      </w:r>
      <w:r>
        <w:rPr>
          <w:rFonts w:ascii="Arial" w:hAnsi="Arial" w:hint="cs"/>
          <w:rtl/>
        </w:rPr>
        <w:t xml:space="preserve">5 שנות מאסר בפועל, כאשר מתקופה זו תנוכה תקופת מעצרו מיום 12.9.17 ועד ליום </w:t>
      </w:r>
      <w:r w:rsidR="00D95733">
        <w:rPr>
          <w:rFonts w:ascii="Arial" w:hAnsi="Arial"/>
          <w:rtl/>
        </w:rPr>
        <w:t xml:space="preserve">10.1.18 ובהמשך מיום 8.3.18 ועד היום.  </w:t>
      </w:r>
    </w:p>
    <w:p w14:paraId="5752AF93" w14:textId="77777777" w:rsidR="00575A99" w:rsidRDefault="00575A99" w:rsidP="00575A99">
      <w:pPr>
        <w:spacing w:line="360" w:lineRule="auto"/>
        <w:ind w:left="720" w:hanging="720"/>
        <w:jc w:val="both"/>
        <w:rPr>
          <w:rFonts w:ascii="Arial" w:hAnsi="Arial"/>
          <w:rtl/>
        </w:rPr>
      </w:pPr>
      <w:r w:rsidRPr="004C4D42">
        <w:rPr>
          <w:rFonts w:ascii="Arial" w:hAnsi="Arial" w:hint="cs"/>
          <w:rtl/>
        </w:rPr>
        <w:t>ב.</w:t>
      </w:r>
      <w:r>
        <w:rPr>
          <w:rFonts w:ascii="Arial" w:hAnsi="Arial"/>
          <w:rtl/>
        </w:rPr>
        <w:tab/>
      </w:r>
      <w:r>
        <w:rPr>
          <w:rFonts w:ascii="Arial" w:hAnsi="Arial" w:hint="cs"/>
          <w:rtl/>
        </w:rPr>
        <w:t xml:space="preserve">18 חודשי מאסר על תנאי למשך 3 שנים כאשר התנאי יופעל במידה והנאשם עובר עבירות אלימות או נשק מסוג פשע. </w:t>
      </w:r>
    </w:p>
    <w:p w14:paraId="1A268F4B" w14:textId="77777777" w:rsidR="00575A99" w:rsidRPr="004C4D42" w:rsidRDefault="00575A99" w:rsidP="00575A99">
      <w:pPr>
        <w:spacing w:line="360" w:lineRule="auto"/>
        <w:ind w:left="720" w:hanging="720"/>
        <w:jc w:val="both"/>
        <w:rPr>
          <w:rFonts w:ascii="Arial" w:hAnsi="Arial"/>
          <w:rtl/>
        </w:rPr>
      </w:pPr>
    </w:p>
    <w:p w14:paraId="5453F182" w14:textId="77777777" w:rsidR="00575A99" w:rsidRDefault="00575A99" w:rsidP="00575A99">
      <w:pPr>
        <w:spacing w:line="360" w:lineRule="auto"/>
        <w:ind w:left="720" w:hanging="720"/>
        <w:jc w:val="both"/>
        <w:rPr>
          <w:rFonts w:ascii="Arial" w:hAnsi="Arial"/>
          <w:rtl/>
        </w:rPr>
      </w:pPr>
      <w:r w:rsidRPr="004C4D42">
        <w:rPr>
          <w:rFonts w:ascii="Arial" w:hAnsi="Arial" w:hint="cs"/>
          <w:rtl/>
        </w:rPr>
        <w:t>ג.</w:t>
      </w:r>
      <w:r>
        <w:rPr>
          <w:rFonts w:ascii="Arial" w:hAnsi="Arial"/>
          <w:rtl/>
        </w:rPr>
        <w:tab/>
      </w:r>
      <w:r>
        <w:rPr>
          <w:rFonts w:ascii="Arial" w:hAnsi="Arial" w:hint="cs"/>
          <w:rtl/>
        </w:rPr>
        <w:t>פיצויי בסך 60,000 ₪ למתלונן לתשלום עד ליום 31.12.18.</w:t>
      </w:r>
    </w:p>
    <w:p w14:paraId="3364EA16" w14:textId="77777777" w:rsidR="00575A99" w:rsidRDefault="00575A99" w:rsidP="00575A99">
      <w:pPr>
        <w:spacing w:line="360" w:lineRule="auto"/>
        <w:ind w:left="720" w:hanging="720"/>
        <w:jc w:val="both"/>
        <w:rPr>
          <w:rFonts w:ascii="Arial" w:hAnsi="Arial"/>
          <w:rtl/>
        </w:rPr>
      </w:pPr>
    </w:p>
    <w:p w14:paraId="41750A03" w14:textId="77777777" w:rsidR="00575A99" w:rsidRPr="004C4D42" w:rsidRDefault="00575A99" w:rsidP="00575A99">
      <w:pPr>
        <w:spacing w:line="360" w:lineRule="auto"/>
        <w:ind w:left="720" w:hanging="720"/>
        <w:jc w:val="both"/>
        <w:rPr>
          <w:rFonts w:ascii="Arial" w:hAnsi="Arial"/>
          <w:rtl/>
        </w:rPr>
      </w:pPr>
      <w:r>
        <w:rPr>
          <w:rFonts w:ascii="Arial" w:hAnsi="Arial" w:hint="cs"/>
          <w:rtl/>
        </w:rPr>
        <w:t>ד.</w:t>
      </w:r>
      <w:r>
        <w:rPr>
          <w:rFonts w:ascii="Arial" w:hAnsi="Arial" w:hint="cs"/>
          <w:rtl/>
        </w:rPr>
        <w:tab/>
        <w:t>במקרה דנן בעקבות הפיצוי שנפסק- לא ייפסק בנוסף קנס.</w:t>
      </w:r>
    </w:p>
    <w:p w14:paraId="420DDB86" w14:textId="77777777" w:rsidR="00575A99" w:rsidRPr="004C4D42" w:rsidRDefault="00575A99" w:rsidP="00575A99">
      <w:pPr>
        <w:spacing w:line="360" w:lineRule="auto"/>
        <w:ind w:left="720" w:hanging="720"/>
        <w:jc w:val="both"/>
        <w:rPr>
          <w:rFonts w:ascii="Arial" w:hAnsi="Arial"/>
          <w:b/>
          <w:bCs/>
          <w:u w:val="single"/>
          <w:rtl/>
        </w:rPr>
      </w:pPr>
    </w:p>
    <w:p w14:paraId="28AB73A1" w14:textId="77777777" w:rsidR="00575A99" w:rsidRPr="00D95733" w:rsidRDefault="00D95733" w:rsidP="00575A99">
      <w:pPr>
        <w:rPr>
          <w:color w:val="FFFFFF"/>
          <w:sz w:val="2"/>
          <w:szCs w:val="2"/>
          <w:rtl/>
        </w:rPr>
      </w:pPr>
      <w:r w:rsidRPr="00D95733">
        <w:rPr>
          <w:color w:val="FFFFFF"/>
          <w:sz w:val="2"/>
          <w:szCs w:val="2"/>
          <w:rtl/>
        </w:rPr>
        <w:t>5129371</w:t>
      </w:r>
    </w:p>
    <w:p w14:paraId="547FBA0F" w14:textId="77777777" w:rsidR="00575A99" w:rsidRPr="00FB2EF9" w:rsidRDefault="00D95733" w:rsidP="00575A99">
      <w:pPr>
        <w:rPr>
          <w:rFonts w:cs="FrankRuehl"/>
          <w:sz w:val="28"/>
          <w:szCs w:val="28"/>
          <w:rtl/>
        </w:rPr>
      </w:pPr>
      <w:r w:rsidRPr="00D95733">
        <w:rPr>
          <w:rFonts w:ascii="Arial" w:hAnsi="Arial"/>
          <w:color w:val="FFFFFF"/>
          <w:sz w:val="2"/>
          <w:szCs w:val="2"/>
          <w:rtl/>
        </w:rPr>
        <w:t>54678313</w:t>
      </w:r>
      <w:r>
        <w:rPr>
          <w:rFonts w:ascii="Arial" w:hAnsi="Arial"/>
          <w:rtl/>
        </w:rPr>
        <w:t xml:space="preserve">ניתן היום,  א' תמוז תשע"ח, בהעדר הצדדים. </w:t>
      </w:r>
    </w:p>
    <w:p w14:paraId="4311B1BB" w14:textId="77777777" w:rsidR="00575A99" w:rsidRDefault="00575A99" w:rsidP="00575A9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8DC3C6F" w14:textId="77777777" w:rsidR="00575A99" w:rsidRDefault="00575A99" w:rsidP="00575A99">
      <w:pPr>
        <w:jc w:val="center"/>
        <w:rPr>
          <w:rFonts w:ascii="Arial" w:hAnsi="Arial" w:cs="FrankRuehl"/>
          <w:sz w:val="28"/>
          <w:szCs w:val="28"/>
          <w:rtl/>
        </w:rPr>
      </w:pPr>
    </w:p>
    <w:p w14:paraId="54073E92" w14:textId="77777777" w:rsidR="00D95733" w:rsidRDefault="00D95733" w:rsidP="00D95733">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34F8557C" w14:textId="77777777" w:rsidR="00A4353D" w:rsidRPr="00A4353D" w:rsidRDefault="00A4353D" w:rsidP="00A4353D">
      <w:pPr>
        <w:keepNext/>
        <w:rPr>
          <w:rFonts w:ascii="David" w:hAnsi="David"/>
          <w:color w:val="000000"/>
          <w:sz w:val="22"/>
          <w:szCs w:val="22"/>
          <w:rtl/>
        </w:rPr>
      </w:pPr>
    </w:p>
    <w:p w14:paraId="35F445D9" w14:textId="77777777" w:rsidR="00A4353D" w:rsidRPr="00A4353D" w:rsidRDefault="00A4353D" w:rsidP="00A4353D">
      <w:pPr>
        <w:keepNext/>
        <w:rPr>
          <w:rFonts w:ascii="David" w:hAnsi="David"/>
          <w:color w:val="000000"/>
          <w:sz w:val="22"/>
          <w:szCs w:val="22"/>
          <w:rtl/>
        </w:rPr>
      </w:pPr>
      <w:r w:rsidRPr="00A4353D">
        <w:rPr>
          <w:rFonts w:ascii="David" w:hAnsi="David"/>
          <w:color w:val="000000"/>
          <w:sz w:val="22"/>
          <w:szCs w:val="22"/>
          <w:rtl/>
        </w:rPr>
        <w:t>דניאל פיש 54678313-/</w:t>
      </w:r>
    </w:p>
    <w:p w14:paraId="77285A77" w14:textId="77777777" w:rsidR="00D95733" w:rsidRPr="00D95733" w:rsidRDefault="00A4353D" w:rsidP="00A4353D">
      <w:pPr>
        <w:rPr>
          <w:color w:val="0000FF"/>
          <w:u w:val="single"/>
        </w:rPr>
      </w:pPr>
      <w:r w:rsidRPr="00A4353D">
        <w:rPr>
          <w:color w:val="000000"/>
          <w:u w:val="single"/>
          <w:rtl/>
        </w:rPr>
        <w:t>נוסח מסמך זה כפוף לשינויי ניסוח ועריכה</w:t>
      </w:r>
    </w:p>
    <w:sectPr w:rsidR="00D95733" w:rsidRPr="00D95733" w:rsidSect="00A4353D">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E1BB3" w14:textId="77777777" w:rsidR="001B524E" w:rsidRDefault="001B524E" w:rsidP="00E20D9B">
      <w:r>
        <w:separator/>
      </w:r>
    </w:p>
  </w:endnote>
  <w:endnote w:type="continuationSeparator" w:id="0">
    <w:p w14:paraId="2FE3B6D6" w14:textId="77777777" w:rsidR="001B524E" w:rsidRDefault="001B524E" w:rsidP="00E2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8000" w14:textId="77777777" w:rsidR="00A4353D" w:rsidRDefault="00A4353D" w:rsidP="00A435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178467" w14:textId="77777777" w:rsidR="00CA6576" w:rsidRPr="00A4353D" w:rsidRDefault="00A4353D" w:rsidP="00A4353D">
    <w:pPr>
      <w:pStyle w:val="a5"/>
      <w:pBdr>
        <w:top w:val="single" w:sz="4" w:space="1" w:color="auto"/>
        <w:between w:val="single" w:sz="4" w:space="0" w:color="auto"/>
      </w:pBdr>
      <w:spacing w:after="60"/>
      <w:jc w:val="center"/>
      <w:rPr>
        <w:rFonts w:ascii="FrankRuehl" w:hAnsi="FrankRuehl" w:cs="FrankRuehl"/>
        <w:color w:val="000000"/>
      </w:rPr>
    </w:pPr>
    <w:r w:rsidRPr="00A435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4A374" w14:textId="77777777" w:rsidR="00A4353D" w:rsidRDefault="00A4353D" w:rsidP="00A435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0C48">
      <w:rPr>
        <w:rFonts w:ascii="FrankRuehl" w:hAnsi="FrankRuehl" w:cs="FrankRuehl"/>
        <w:noProof/>
        <w:rtl/>
      </w:rPr>
      <w:t>1</w:t>
    </w:r>
    <w:r>
      <w:rPr>
        <w:rFonts w:ascii="FrankRuehl" w:hAnsi="FrankRuehl" w:cs="FrankRuehl"/>
        <w:rtl/>
      </w:rPr>
      <w:fldChar w:fldCharType="end"/>
    </w:r>
  </w:p>
  <w:p w14:paraId="4E9F51DC" w14:textId="77777777" w:rsidR="00CA6576" w:rsidRPr="00A4353D" w:rsidRDefault="00A4353D" w:rsidP="00A4353D">
    <w:pPr>
      <w:pStyle w:val="a5"/>
      <w:pBdr>
        <w:top w:val="single" w:sz="4" w:space="1" w:color="auto"/>
        <w:between w:val="single" w:sz="4" w:space="0" w:color="auto"/>
      </w:pBdr>
      <w:spacing w:after="60"/>
      <w:jc w:val="center"/>
      <w:rPr>
        <w:rFonts w:ascii="FrankRuehl" w:hAnsi="FrankRuehl" w:cs="FrankRuehl"/>
        <w:color w:val="000000"/>
      </w:rPr>
    </w:pPr>
    <w:r w:rsidRPr="00A4353D">
      <w:rPr>
        <w:rFonts w:ascii="FrankRuehl" w:hAnsi="FrankRuehl" w:cs="FrankRuehl"/>
        <w:color w:val="000000"/>
      </w:rPr>
      <w:pict w14:anchorId="483D1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327F1" w14:textId="77777777" w:rsidR="001B524E" w:rsidRDefault="001B524E" w:rsidP="00E20D9B">
      <w:r>
        <w:separator/>
      </w:r>
    </w:p>
  </w:footnote>
  <w:footnote w:type="continuationSeparator" w:id="0">
    <w:p w14:paraId="333E0296" w14:textId="77777777" w:rsidR="001B524E" w:rsidRDefault="001B524E" w:rsidP="00E20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2DA6" w14:textId="77777777" w:rsidR="00D95733" w:rsidRPr="00A4353D" w:rsidRDefault="00A4353D" w:rsidP="00A435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55908-09-17</w:t>
    </w:r>
    <w:r>
      <w:rPr>
        <w:rFonts w:ascii="David" w:hAnsi="David"/>
        <w:color w:val="000000"/>
        <w:sz w:val="22"/>
        <w:szCs w:val="22"/>
        <w:rtl/>
      </w:rPr>
      <w:tab/>
      <w:t xml:space="preserve"> מדינת ישראל נ' אחמד מחמוד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BEF0D" w14:textId="77777777" w:rsidR="00D95733" w:rsidRPr="00A4353D" w:rsidRDefault="00A4353D" w:rsidP="00A435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55908-09-17</w:t>
    </w:r>
    <w:r>
      <w:rPr>
        <w:rFonts w:ascii="David" w:hAnsi="David"/>
        <w:color w:val="000000"/>
        <w:sz w:val="22"/>
        <w:szCs w:val="22"/>
        <w:rtl/>
      </w:rPr>
      <w:tab/>
      <w:t xml:space="preserve"> מדינת ישראל נ' אחמד מחמוד מחאמיד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5A99"/>
    <w:rsid w:val="00090C48"/>
    <w:rsid w:val="001B524E"/>
    <w:rsid w:val="00286C60"/>
    <w:rsid w:val="002D7B2F"/>
    <w:rsid w:val="00575A99"/>
    <w:rsid w:val="00A4353D"/>
    <w:rsid w:val="00BA16A0"/>
    <w:rsid w:val="00CA6576"/>
    <w:rsid w:val="00D57828"/>
    <w:rsid w:val="00D95733"/>
    <w:rsid w:val="00E20D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07436BB"/>
  <w15:chartTrackingRefBased/>
  <w15:docId w15:val="{427E69D7-E750-4063-AE62-45BD0136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5A9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5A99"/>
    <w:pPr>
      <w:tabs>
        <w:tab w:val="center" w:pos="4153"/>
        <w:tab w:val="right" w:pos="8306"/>
      </w:tabs>
    </w:pPr>
  </w:style>
  <w:style w:type="character" w:customStyle="1" w:styleId="a4">
    <w:name w:val="כותרת עליונה תו"/>
    <w:link w:val="a3"/>
    <w:rsid w:val="00575A99"/>
    <w:rPr>
      <w:rFonts w:ascii="Times New Roman" w:eastAsia="Times New Roman" w:hAnsi="Times New Roman" w:cs="David"/>
      <w:sz w:val="24"/>
      <w:szCs w:val="24"/>
    </w:rPr>
  </w:style>
  <w:style w:type="paragraph" w:styleId="a5">
    <w:name w:val="footer"/>
    <w:basedOn w:val="a"/>
    <w:link w:val="a6"/>
    <w:rsid w:val="00575A99"/>
    <w:pPr>
      <w:tabs>
        <w:tab w:val="center" w:pos="4153"/>
        <w:tab w:val="right" w:pos="8306"/>
      </w:tabs>
    </w:pPr>
  </w:style>
  <w:style w:type="character" w:customStyle="1" w:styleId="a6">
    <w:name w:val="כותרת תחתונה תו"/>
    <w:link w:val="a5"/>
    <w:rsid w:val="00575A99"/>
    <w:rPr>
      <w:rFonts w:ascii="Times New Roman" w:eastAsia="Times New Roman" w:hAnsi="Times New Roman" w:cs="David"/>
      <w:sz w:val="24"/>
      <w:szCs w:val="24"/>
    </w:rPr>
  </w:style>
  <w:style w:type="table" w:styleId="a7">
    <w:name w:val="Table Grid"/>
    <w:basedOn w:val="a1"/>
    <w:rsid w:val="00575A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5A99"/>
  </w:style>
  <w:style w:type="character" w:customStyle="1" w:styleId="TimesNewRomanTimesNewRoman">
    <w:name w:val="סגנון (לטיני) Times New Roman (עברית ושפות אחרות) Times New Roman..."/>
    <w:rsid w:val="00575A99"/>
    <w:rPr>
      <w:rFonts w:ascii="Times New Roman" w:hAnsi="Times New Roman" w:cs="David" w:hint="default"/>
      <w:b/>
      <w:bCs/>
      <w:sz w:val="26"/>
      <w:szCs w:val="26"/>
    </w:rPr>
  </w:style>
  <w:style w:type="character" w:styleId="Hyperlink">
    <w:name w:val="Hyperlink"/>
    <w:rsid w:val="00D95733"/>
    <w:rPr>
      <w:color w:val="0563C1"/>
      <w:u w:val="single"/>
    </w:rPr>
  </w:style>
  <w:style w:type="character" w:styleId="a9">
    <w:name w:val="Unresolved Mention"/>
    <w:rsid w:val="00D95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953678" TargetMode="External"/><Relationship Id="rId26" Type="http://schemas.openxmlformats.org/officeDocument/2006/relationships/hyperlink" Target="http://www.nevo.co.il/law/70301/77" TargetMode="External"/><Relationship Id="rId21" Type="http://schemas.openxmlformats.org/officeDocument/2006/relationships/hyperlink" Target="http://www.nevo.co.il/case/17948122" TargetMode="External"/><Relationship Id="rId34" Type="http://schemas.openxmlformats.org/officeDocument/2006/relationships/header" Target="header2.xml"/><Relationship Id="rId7" Type="http://schemas.openxmlformats.org/officeDocument/2006/relationships/hyperlink" Target="http://www.nevo.co.il/law/70301/77"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949796" TargetMode="External"/><Relationship Id="rId25" Type="http://schemas.openxmlformats.org/officeDocument/2006/relationships/hyperlink" Target="http://www.nevo.co.il/law/7183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7948122" TargetMode="External"/><Relationship Id="rId20" Type="http://schemas.openxmlformats.org/officeDocument/2006/relationships/hyperlink" Target="http://www.nevo.co.il/case/18749756" TargetMode="External"/><Relationship Id="rId29" Type="http://schemas.openxmlformats.org/officeDocument/2006/relationships/hyperlink" Target="http://www.nevo.co.il/case/24246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case/2003234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753941" TargetMode="External"/><Relationship Id="rId23" Type="http://schemas.openxmlformats.org/officeDocument/2006/relationships/hyperlink" Target="http://www.nevo.co.il/case/22919929" TargetMode="External"/><Relationship Id="rId28" Type="http://schemas.openxmlformats.org/officeDocument/2006/relationships/hyperlink" Target="http://www.nevo.co.il/case/5884073" TargetMode="External"/><Relationship Id="rId36" Type="http://schemas.openxmlformats.org/officeDocument/2006/relationships/footer" Target="footer2.xml"/><Relationship Id="rId10" Type="http://schemas.openxmlformats.org/officeDocument/2006/relationships/hyperlink" Target="http://www.nevo.co.il/law/71835" TargetMode="External"/><Relationship Id="rId19" Type="http://schemas.openxmlformats.org/officeDocument/2006/relationships/hyperlink" Target="http://www.nevo.co.il/case/21476990" TargetMode="External"/><Relationship Id="rId31" Type="http://schemas.openxmlformats.org/officeDocument/2006/relationships/hyperlink" Target="http://www.nevo.co.il/case/4983248" TargetMode="External"/><Relationship Id="rId4" Type="http://schemas.openxmlformats.org/officeDocument/2006/relationships/footnotes" Target="footnotes.xml"/><Relationship Id="rId9" Type="http://schemas.openxmlformats.org/officeDocument/2006/relationships/hyperlink" Target="http://www.nevo.co.il/law/70301/329.a.1" TargetMode="External"/><Relationship Id="rId14" Type="http://schemas.openxmlformats.org/officeDocument/2006/relationships/hyperlink" Target="http://www.nevo.co.il/case/5594389" TargetMode="External"/><Relationship Id="rId22" Type="http://schemas.openxmlformats.org/officeDocument/2006/relationships/hyperlink" Target="http://www.nevo.co.il/case/7678836"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877504"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2163</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12954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3539066</vt:i4>
      </vt:variant>
      <vt:variant>
        <vt:i4>75</vt:i4>
      </vt:variant>
      <vt:variant>
        <vt:i4>0</vt:i4>
      </vt:variant>
      <vt:variant>
        <vt:i4>5</vt:i4>
      </vt:variant>
      <vt:variant>
        <vt:lpwstr>http://www.nevo.co.il/case/4983248</vt:lpwstr>
      </vt:variant>
      <vt:variant>
        <vt:lpwstr/>
      </vt:variant>
      <vt:variant>
        <vt:i4>3342459</vt:i4>
      </vt:variant>
      <vt:variant>
        <vt:i4>72</vt:i4>
      </vt:variant>
      <vt:variant>
        <vt:i4>0</vt:i4>
      </vt:variant>
      <vt:variant>
        <vt:i4>5</vt:i4>
      </vt:variant>
      <vt:variant>
        <vt:lpwstr>http://www.nevo.co.il/case/5877504</vt:lpwstr>
      </vt:variant>
      <vt:variant>
        <vt:lpwstr/>
      </vt:variant>
      <vt:variant>
        <vt:i4>393284</vt:i4>
      </vt:variant>
      <vt:variant>
        <vt:i4>69</vt:i4>
      </vt:variant>
      <vt:variant>
        <vt:i4>0</vt:i4>
      </vt:variant>
      <vt:variant>
        <vt:i4>5</vt:i4>
      </vt:variant>
      <vt:variant>
        <vt:lpwstr>http://www.nevo.co.il/case/242462</vt:lpwstr>
      </vt:variant>
      <vt:variant>
        <vt:lpwstr/>
      </vt:variant>
      <vt:variant>
        <vt:i4>4063359</vt:i4>
      </vt:variant>
      <vt:variant>
        <vt:i4>66</vt:i4>
      </vt:variant>
      <vt:variant>
        <vt:i4>0</vt:i4>
      </vt:variant>
      <vt:variant>
        <vt:i4>5</vt:i4>
      </vt:variant>
      <vt:variant>
        <vt:lpwstr>http://www.nevo.co.il/case/5884073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6422626</vt:i4>
      </vt:variant>
      <vt:variant>
        <vt:i4>60</vt:i4>
      </vt:variant>
      <vt:variant>
        <vt:i4>0</vt:i4>
      </vt:variant>
      <vt:variant>
        <vt:i4>5</vt:i4>
      </vt:variant>
      <vt:variant>
        <vt:lpwstr>http://www.nevo.co.il/law/70301/77</vt:lpwstr>
      </vt:variant>
      <vt:variant>
        <vt:lpwstr/>
      </vt:variant>
      <vt:variant>
        <vt:i4>7864431</vt:i4>
      </vt:variant>
      <vt:variant>
        <vt:i4>57</vt:i4>
      </vt:variant>
      <vt:variant>
        <vt:i4>0</vt:i4>
      </vt:variant>
      <vt:variant>
        <vt:i4>5</vt:i4>
      </vt:variant>
      <vt:variant>
        <vt:lpwstr>http://www.nevo.co.il/law/71835</vt:lpwstr>
      </vt:variant>
      <vt:variant>
        <vt:lpwstr/>
      </vt:variant>
      <vt:variant>
        <vt:i4>3407988</vt:i4>
      </vt:variant>
      <vt:variant>
        <vt:i4>54</vt:i4>
      </vt:variant>
      <vt:variant>
        <vt:i4>0</vt:i4>
      </vt:variant>
      <vt:variant>
        <vt:i4>5</vt:i4>
      </vt:variant>
      <vt:variant>
        <vt:lpwstr>http://www.nevo.co.il/case/20032343</vt:lpwstr>
      </vt:variant>
      <vt:variant>
        <vt:lpwstr/>
      </vt:variant>
      <vt:variant>
        <vt:i4>3145854</vt:i4>
      </vt:variant>
      <vt:variant>
        <vt:i4>51</vt:i4>
      </vt:variant>
      <vt:variant>
        <vt:i4>0</vt:i4>
      </vt:variant>
      <vt:variant>
        <vt:i4>5</vt:i4>
      </vt:variant>
      <vt:variant>
        <vt:lpwstr>http://www.nevo.co.il/case/22919929</vt:lpwstr>
      </vt:variant>
      <vt:variant>
        <vt:lpwstr/>
      </vt:variant>
      <vt:variant>
        <vt:i4>4063353</vt:i4>
      </vt:variant>
      <vt:variant>
        <vt:i4>48</vt:i4>
      </vt:variant>
      <vt:variant>
        <vt:i4>0</vt:i4>
      </vt:variant>
      <vt:variant>
        <vt:i4>5</vt:i4>
      </vt:variant>
      <vt:variant>
        <vt:lpwstr>http://www.nevo.co.il/case/7678836</vt:lpwstr>
      </vt:variant>
      <vt:variant>
        <vt:lpwstr/>
      </vt:variant>
      <vt:variant>
        <vt:i4>3276918</vt:i4>
      </vt:variant>
      <vt:variant>
        <vt:i4>45</vt:i4>
      </vt:variant>
      <vt:variant>
        <vt:i4>0</vt:i4>
      </vt:variant>
      <vt:variant>
        <vt:i4>5</vt:i4>
      </vt:variant>
      <vt:variant>
        <vt:lpwstr>http://www.nevo.co.il/case/17948122</vt:lpwstr>
      </vt:variant>
      <vt:variant>
        <vt:lpwstr/>
      </vt:variant>
      <vt:variant>
        <vt:i4>3801215</vt:i4>
      </vt:variant>
      <vt:variant>
        <vt:i4>42</vt:i4>
      </vt:variant>
      <vt:variant>
        <vt:i4>0</vt:i4>
      </vt:variant>
      <vt:variant>
        <vt:i4>5</vt:i4>
      </vt:variant>
      <vt:variant>
        <vt:lpwstr>http://www.nevo.co.il/case/18749756</vt:lpwstr>
      </vt:variant>
      <vt:variant>
        <vt:lpwstr/>
      </vt:variant>
      <vt:variant>
        <vt:i4>3735675</vt:i4>
      </vt:variant>
      <vt:variant>
        <vt:i4>39</vt:i4>
      </vt:variant>
      <vt:variant>
        <vt:i4>0</vt:i4>
      </vt:variant>
      <vt:variant>
        <vt:i4>5</vt:i4>
      </vt:variant>
      <vt:variant>
        <vt:lpwstr>http://www.nevo.co.il/case/21476990</vt:lpwstr>
      </vt:variant>
      <vt:variant>
        <vt:lpwstr/>
      </vt:variant>
      <vt:variant>
        <vt:i4>4063353</vt:i4>
      </vt:variant>
      <vt:variant>
        <vt:i4>36</vt:i4>
      </vt:variant>
      <vt:variant>
        <vt:i4>0</vt:i4>
      </vt:variant>
      <vt:variant>
        <vt:i4>5</vt:i4>
      </vt:variant>
      <vt:variant>
        <vt:lpwstr>http://www.nevo.co.il/case/5953678</vt:lpwstr>
      </vt:variant>
      <vt:variant>
        <vt:lpwstr/>
      </vt:variant>
      <vt:variant>
        <vt:i4>3145853</vt:i4>
      </vt:variant>
      <vt:variant>
        <vt:i4>33</vt:i4>
      </vt:variant>
      <vt:variant>
        <vt:i4>0</vt:i4>
      </vt:variant>
      <vt:variant>
        <vt:i4>5</vt:i4>
      </vt:variant>
      <vt:variant>
        <vt:lpwstr>http://www.nevo.co.il/case/5949796</vt:lpwstr>
      </vt:variant>
      <vt:variant>
        <vt:lpwstr/>
      </vt:variant>
      <vt:variant>
        <vt:i4>3276918</vt:i4>
      </vt:variant>
      <vt:variant>
        <vt:i4>30</vt:i4>
      </vt:variant>
      <vt:variant>
        <vt:i4>0</vt:i4>
      </vt:variant>
      <vt:variant>
        <vt:i4>5</vt:i4>
      </vt:variant>
      <vt:variant>
        <vt:lpwstr>http://www.nevo.co.il/case/17948122</vt:lpwstr>
      </vt:variant>
      <vt:variant>
        <vt:lpwstr/>
      </vt:variant>
      <vt:variant>
        <vt:i4>3670132</vt:i4>
      </vt:variant>
      <vt:variant>
        <vt:i4>27</vt:i4>
      </vt:variant>
      <vt:variant>
        <vt:i4>0</vt:i4>
      </vt:variant>
      <vt:variant>
        <vt:i4>5</vt:i4>
      </vt:variant>
      <vt:variant>
        <vt:lpwstr>http://www.nevo.co.il/case/5753941</vt:lpwstr>
      </vt:variant>
      <vt:variant>
        <vt:lpwstr/>
      </vt:variant>
      <vt:variant>
        <vt:i4>3539069</vt:i4>
      </vt:variant>
      <vt:variant>
        <vt:i4>24</vt:i4>
      </vt:variant>
      <vt:variant>
        <vt:i4>0</vt:i4>
      </vt:variant>
      <vt:variant>
        <vt:i4>5</vt:i4>
      </vt:variant>
      <vt:variant>
        <vt:lpwstr>http://www.nevo.co.il/case/5594389</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7864431</vt:i4>
      </vt:variant>
      <vt:variant>
        <vt:i4>12</vt:i4>
      </vt:variant>
      <vt:variant>
        <vt:i4>0</vt:i4>
      </vt:variant>
      <vt:variant>
        <vt:i4>5</vt:i4>
      </vt:variant>
      <vt:variant>
        <vt:lpwstr>http://www.nevo.co.il/law/71835</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55908</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אחמד מחמוד מחאמיד</vt:lpwstr>
  </property>
  <property fmtid="{D5CDD505-2E9C-101B-9397-08002B2CF9AE}" pid="10" name="LAWYER">
    <vt:lpwstr>ענאן ג'נאם;עומר מסארווה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20180110</vt:lpwstr>
  </property>
  <property fmtid="{D5CDD505-2E9C-101B-9397-08002B2CF9AE}" pid="14" name="TYPE_N_DATE">
    <vt:lpwstr>39020180110</vt:lpwstr>
  </property>
  <property fmtid="{D5CDD505-2E9C-101B-9397-08002B2CF9AE}" pid="15" name="CASESLISTTMP1">
    <vt:lpwstr>5594389;5753941;17948122:2;5949796;5953678;21476990;18749756;7678836;22919929;20032343;5884073;242462;5877504;4983248</vt:lpwstr>
  </property>
  <property fmtid="{D5CDD505-2E9C-101B-9397-08002B2CF9AE}" pid="16" name="CASENOTES1">
    <vt:lpwstr>ProcID=133;209&amp;PartA=517&amp;PartC=14</vt:lpwstr>
  </property>
  <property fmtid="{D5CDD505-2E9C-101B-9397-08002B2CF9AE}" pid="17" name="WORDNUMPAGES">
    <vt:lpwstr>7</vt:lpwstr>
  </property>
  <property fmtid="{D5CDD505-2E9C-101B-9397-08002B2CF9AE}" pid="18" name="TYPE_ABS_DATE">
    <vt:lpwstr>390020180110</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70301/329.a.1;144.a;077</vt:lpwstr>
  </property>
  <property fmtid="{D5CDD505-2E9C-101B-9397-08002B2CF9AE}" pid="38" name="LAWLISTTMP2">
    <vt:lpwstr>71835</vt:lpwstr>
  </property>
</Properties>
</file>